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E30" w:rsidRDefault="00146E30" w:rsidP="00BB0074">
      <w:pPr>
        <w:spacing w:before="100" w:beforeAutospacing="1" w:after="100" w:afterAutospacing="1" w:line="240" w:lineRule="auto"/>
        <w:jc w:val="center"/>
        <w:rPr>
          <w:rFonts w:cs="Arial"/>
          <w:sz w:val="44"/>
          <w:szCs w:val="44"/>
        </w:rPr>
      </w:pPr>
    </w:p>
    <w:p w:rsidR="00146E30" w:rsidRDefault="00146E30" w:rsidP="00BB0074">
      <w:pPr>
        <w:spacing w:before="100" w:beforeAutospacing="1" w:after="100" w:afterAutospacing="1" w:line="240" w:lineRule="auto"/>
        <w:jc w:val="center"/>
        <w:rPr>
          <w:rFonts w:cs="Arial"/>
          <w:sz w:val="44"/>
          <w:szCs w:val="44"/>
        </w:rPr>
      </w:pPr>
    </w:p>
    <w:p w:rsidR="00146E30" w:rsidRDefault="00146E30" w:rsidP="00BB0074">
      <w:pPr>
        <w:spacing w:before="100" w:beforeAutospacing="1" w:after="100" w:afterAutospacing="1" w:line="240" w:lineRule="auto"/>
        <w:jc w:val="center"/>
        <w:rPr>
          <w:rFonts w:cs="Arial"/>
          <w:sz w:val="44"/>
          <w:szCs w:val="44"/>
        </w:rPr>
      </w:pPr>
    </w:p>
    <w:p w:rsidR="00146E30" w:rsidRDefault="00146E30" w:rsidP="00BB0074">
      <w:pPr>
        <w:spacing w:before="100" w:beforeAutospacing="1" w:after="100" w:afterAutospacing="1" w:line="240" w:lineRule="auto"/>
        <w:jc w:val="center"/>
        <w:rPr>
          <w:rFonts w:cs="Arial"/>
          <w:sz w:val="44"/>
          <w:szCs w:val="44"/>
        </w:rPr>
      </w:pPr>
    </w:p>
    <w:p w:rsidR="00146E30" w:rsidRDefault="00146E30" w:rsidP="00BB0074">
      <w:pPr>
        <w:spacing w:before="100" w:beforeAutospacing="1" w:after="100" w:afterAutospacing="1" w:line="240" w:lineRule="auto"/>
        <w:jc w:val="center"/>
        <w:rPr>
          <w:rFonts w:cs="Arial"/>
          <w:sz w:val="44"/>
          <w:szCs w:val="44"/>
        </w:rPr>
      </w:pPr>
    </w:p>
    <w:p w:rsidR="00296600" w:rsidRDefault="00172B40" w:rsidP="007E2CD5">
      <w:pPr>
        <w:spacing w:after="0" w:line="240" w:lineRule="auto"/>
        <w:jc w:val="center"/>
        <w:rPr>
          <w:rFonts w:cs="Arial"/>
          <w:sz w:val="44"/>
          <w:szCs w:val="44"/>
        </w:rPr>
      </w:pPr>
      <w:r>
        <w:rPr>
          <w:rFonts w:cs="Arial"/>
          <w:sz w:val="44"/>
          <w:szCs w:val="44"/>
        </w:rPr>
        <w:t>Synthetic cannabinoids</w:t>
      </w:r>
      <w:r w:rsidR="00AC7C23">
        <w:rPr>
          <w:rFonts w:cs="Arial"/>
          <w:sz w:val="44"/>
          <w:szCs w:val="44"/>
        </w:rPr>
        <w:t>:</w:t>
      </w:r>
      <w:r w:rsidR="009A148D" w:rsidRPr="009A148D">
        <w:rPr>
          <w:rFonts w:cs="Arial"/>
          <w:sz w:val="44"/>
          <w:szCs w:val="44"/>
        </w:rPr>
        <w:t xml:space="preserve"> </w:t>
      </w:r>
    </w:p>
    <w:p w:rsidR="00B97B24" w:rsidRDefault="00D403C2" w:rsidP="007E2CD5">
      <w:pPr>
        <w:spacing w:after="0" w:line="240" w:lineRule="auto"/>
        <w:jc w:val="center"/>
        <w:rPr>
          <w:rFonts w:cs="Arial"/>
          <w:sz w:val="44"/>
          <w:szCs w:val="44"/>
        </w:rPr>
      </w:pPr>
      <w:r>
        <w:rPr>
          <w:rFonts w:cs="Arial"/>
          <w:sz w:val="44"/>
          <w:szCs w:val="44"/>
        </w:rPr>
        <w:t>Report prepared for</w:t>
      </w:r>
      <w:r w:rsidR="009A148D" w:rsidRPr="009A148D">
        <w:rPr>
          <w:rFonts w:cs="Arial"/>
          <w:sz w:val="44"/>
          <w:szCs w:val="44"/>
        </w:rPr>
        <w:t xml:space="preserve"> the Expert Advisory </w:t>
      </w:r>
      <w:r w:rsidR="00AC7C23">
        <w:rPr>
          <w:rFonts w:cs="Arial"/>
          <w:sz w:val="44"/>
          <w:szCs w:val="44"/>
        </w:rPr>
        <w:t xml:space="preserve">Committee on </w:t>
      </w:r>
      <w:r w:rsidR="009A148D" w:rsidRPr="009A148D">
        <w:rPr>
          <w:rFonts w:cs="Arial"/>
          <w:sz w:val="44"/>
          <w:szCs w:val="44"/>
        </w:rPr>
        <w:t>Drug</w:t>
      </w:r>
      <w:r w:rsidR="00AC7C23">
        <w:rPr>
          <w:rFonts w:cs="Arial"/>
          <w:sz w:val="44"/>
          <w:szCs w:val="44"/>
        </w:rPr>
        <w:t>s</w:t>
      </w:r>
      <w:r w:rsidR="009A148D" w:rsidRPr="009A148D">
        <w:rPr>
          <w:rFonts w:cs="Arial"/>
          <w:sz w:val="44"/>
          <w:szCs w:val="44"/>
        </w:rPr>
        <w:t xml:space="preserve"> </w:t>
      </w:r>
    </w:p>
    <w:p w:rsidR="002D7799" w:rsidRDefault="002D7799" w:rsidP="007E2CD5">
      <w:pPr>
        <w:spacing w:after="0" w:line="240" w:lineRule="auto"/>
        <w:jc w:val="center"/>
        <w:rPr>
          <w:rFonts w:cs="Arial"/>
          <w:sz w:val="44"/>
          <w:szCs w:val="44"/>
        </w:rPr>
      </w:pPr>
    </w:p>
    <w:p w:rsidR="002D7799" w:rsidRDefault="002D7799" w:rsidP="007E2CD5">
      <w:pPr>
        <w:spacing w:after="0" w:line="240" w:lineRule="auto"/>
        <w:jc w:val="center"/>
        <w:rPr>
          <w:rFonts w:cs="Arial"/>
          <w:sz w:val="44"/>
          <w:szCs w:val="44"/>
        </w:rPr>
      </w:pPr>
    </w:p>
    <w:p w:rsidR="002D7799" w:rsidRPr="00331CF7" w:rsidRDefault="00AE0451" w:rsidP="00331CF7">
      <w:pPr>
        <w:jc w:val="center"/>
        <w:rPr>
          <w:sz w:val="44"/>
          <w:szCs w:val="44"/>
        </w:rPr>
      </w:pPr>
      <w:r>
        <w:rPr>
          <w:sz w:val="44"/>
          <w:szCs w:val="44"/>
        </w:rPr>
        <w:t xml:space="preserve">Prepared by the </w:t>
      </w:r>
      <w:r w:rsidR="002D7799" w:rsidRPr="00331CF7">
        <w:rPr>
          <w:sz w:val="44"/>
          <w:szCs w:val="44"/>
        </w:rPr>
        <w:t>Ministry of Health</w:t>
      </w:r>
      <w:r>
        <w:rPr>
          <w:sz w:val="44"/>
          <w:szCs w:val="44"/>
        </w:rPr>
        <w:t xml:space="preserve"> </w:t>
      </w:r>
    </w:p>
    <w:p w:rsidR="004D7018" w:rsidRDefault="00602065" w:rsidP="00331CF7">
      <w:pPr>
        <w:jc w:val="center"/>
      </w:pPr>
      <w:r>
        <w:rPr>
          <w:sz w:val="44"/>
          <w:szCs w:val="44"/>
        </w:rPr>
        <w:t>1</w:t>
      </w:r>
      <w:r w:rsidR="00172B40">
        <w:rPr>
          <w:sz w:val="44"/>
          <w:szCs w:val="44"/>
        </w:rPr>
        <w:t>7</w:t>
      </w:r>
      <w:r>
        <w:rPr>
          <w:sz w:val="44"/>
          <w:szCs w:val="44"/>
        </w:rPr>
        <w:t xml:space="preserve"> </w:t>
      </w:r>
      <w:r w:rsidR="00172B40">
        <w:rPr>
          <w:sz w:val="44"/>
          <w:szCs w:val="44"/>
        </w:rPr>
        <w:t xml:space="preserve">April </w:t>
      </w:r>
      <w:r w:rsidR="00493A53">
        <w:rPr>
          <w:sz w:val="44"/>
          <w:szCs w:val="44"/>
        </w:rPr>
        <w:t>2018</w:t>
      </w:r>
      <w:r w:rsidR="004D7018">
        <w:br w:type="page"/>
      </w:r>
    </w:p>
    <w:sdt>
      <w:sdtPr>
        <w:rPr>
          <w:rFonts w:ascii="Arial" w:eastAsiaTheme="minorHAnsi" w:hAnsi="Arial" w:cstheme="minorBidi"/>
          <w:b w:val="0"/>
          <w:bCs w:val="0"/>
          <w:color w:val="auto"/>
          <w:sz w:val="24"/>
          <w:szCs w:val="22"/>
          <w:lang w:val="en-NZ" w:eastAsia="en-US"/>
        </w:rPr>
        <w:id w:val="-1168943361"/>
        <w:docPartObj>
          <w:docPartGallery w:val="Table of Contents"/>
          <w:docPartUnique/>
        </w:docPartObj>
      </w:sdtPr>
      <w:sdtEndPr>
        <w:rPr>
          <w:noProof/>
        </w:rPr>
      </w:sdtEndPr>
      <w:sdtContent>
        <w:p w:rsidR="004C29D6" w:rsidRDefault="004C29D6" w:rsidP="00BB0074">
          <w:pPr>
            <w:pStyle w:val="TOCHeading"/>
            <w:spacing w:before="100" w:beforeAutospacing="1" w:after="100" w:afterAutospacing="1" w:line="240" w:lineRule="auto"/>
          </w:pPr>
          <w:r>
            <w:t>C</w:t>
          </w:r>
          <w:r w:rsidR="00BB0074">
            <w:t>ONTENTS</w:t>
          </w:r>
        </w:p>
        <w:p w:rsidR="00BB0074" w:rsidRPr="00BB0074" w:rsidRDefault="00BB0074" w:rsidP="00BB0074">
          <w:pPr>
            <w:rPr>
              <w:lang w:val="en-US" w:eastAsia="ja-JP"/>
            </w:rPr>
          </w:pPr>
        </w:p>
        <w:p w:rsidR="001C6C3F" w:rsidRDefault="004C29D6">
          <w:pPr>
            <w:pStyle w:val="TOC1"/>
            <w:tabs>
              <w:tab w:val="left" w:pos="660"/>
              <w:tab w:val="right" w:leader="dot" w:pos="9016"/>
            </w:tabs>
            <w:rPr>
              <w:rFonts w:asciiTheme="minorHAnsi" w:eastAsiaTheme="minorEastAsia" w:hAnsiTheme="minorHAnsi"/>
              <w:noProof/>
              <w:sz w:val="22"/>
              <w:lang w:eastAsia="en-NZ"/>
            </w:rPr>
          </w:pPr>
          <w:r>
            <w:fldChar w:fldCharType="begin"/>
          </w:r>
          <w:r>
            <w:instrText xml:space="preserve"> TOC \o "1-3" \h \z \u </w:instrText>
          </w:r>
          <w:r>
            <w:fldChar w:fldCharType="separate"/>
          </w:r>
          <w:hyperlink w:anchor="_Toc509487277" w:history="1">
            <w:r w:rsidR="001C6C3F" w:rsidRPr="00686570">
              <w:rPr>
                <w:rStyle w:val="Hyperlink"/>
                <w:noProof/>
              </w:rPr>
              <w:t>1.0</w:t>
            </w:r>
            <w:r w:rsidR="001C6C3F">
              <w:rPr>
                <w:rFonts w:asciiTheme="minorHAnsi" w:eastAsiaTheme="minorEastAsia" w:hAnsiTheme="minorHAnsi"/>
                <w:noProof/>
                <w:sz w:val="22"/>
                <w:lang w:eastAsia="en-NZ"/>
              </w:rPr>
              <w:tab/>
            </w:r>
            <w:r w:rsidR="001C6C3F" w:rsidRPr="00686570">
              <w:rPr>
                <w:rStyle w:val="Hyperlink"/>
                <w:noProof/>
              </w:rPr>
              <w:t>SUMMARY</w:t>
            </w:r>
            <w:r w:rsidR="001C6C3F">
              <w:rPr>
                <w:noProof/>
                <w:webHidden/>
              </w:rPr>
              <w:tab/>
            </w:r>
            <w:r w:rsidR="001C6C3F">
              <w:rPr>
                <w:noProof/>
                <w:webHidden/>
              </w:rPr>
              <w:fldChar w:fldCharType="begin"/>
            </w:r>
            <w:r w:rsidR="001C6C3F">
              <w:rPr>
                <w:noProof/>
                <w:webHidden/>
              </w:rPr>
              <w:instrText xml:space="preserve"> PAGEREF _Toc509487277 \h </w:instrText>
            </w:r>
            <w:r w:rsidR="001C6C3F">
              <w:rPr>
                <w:noProof/>
                <w:webHidden/>
              </w:rPr>
            </w:r>
            <w:r w:rsidR="001C6C3F">
              <w:rPr>
                <w:noProof/>
                <w:webHidden/>
              </w:rPr>
              <w:fldChar w:fldCharType="separate"/>
            </w:r>
            <w:r w:rsidR="001C6C3F">
              <w:rPr>
                <w:noProof/>
                <w:webHidden/>
              </w:rPr>
              <w:t>4</w:t>
            </w:r>
            <w:r w:rsidR="001C6C3F">
              <w:rPr>
                <w:noProof/>
                <w:webHidden/>
              </w:rPr>
              <w:fldChar w:fldCharType="end"/>
            </w:r>
          </w:hyperlink>
        </w:p>
        <w:p w:rsidR="001C6C3F" w:rsidRDefault="00904AC6">
          <w:pPr>
            <w:pStyle w:val="TOC2"/>
            <w:tabs>
              <w:tab w:val="left" w:pos="880"/>
              <w:tab w:val="right" w:leader="dot" w:pos="9016"/>
            </w:tabs>
            <w:rPr>
              <w:rFonts w:asciiTheme="minorHAnsi" w:eastAsiaTheme="minorEastAsia" w:hAnsiTheme="minorHAnsi"/>
              <w:noProof/>
              <w:sz w:val="22"/>
              <w:lang w:eastAsia="en-NZ"/>
            </w:rPr>
          </w:pPr>
          <w:hyperlink w:anchor="_Toc509487278" w:history="1">
            <w:r w:rsidR="001C6C3F" w:rsidRPr="00686570">
              <w:rPr>
                <w:rStyle w:val="Hyperlink"/>
                <w:noProof/>
              </w:rPr>
              <w:t>1.1</w:t>
            </w:r>
            <w:r w:rsidR="001C6C3F">
              <w:rPr>
                <w:rFonts w:asciiTheme="minorHAnsi" w:eastAsiaTheme="minorEastAsia" w:hAnsiTheme="minorHAnsi"/>
                <w:noProof/>
                <w:sz w:val="22"/>
                <w:lang w:eastAsia="en-NZ"/>
              </w:rPr>
              <w:tab/>
            </w:r>
            <w:r w:rsidR="001C6C3F" w:rsidRPr="00686570">
              <w:rPr>
                <w:rStyle w:val="Hyperlink"/>
                <w:noProof/>
              </w:rPr>
              <w:t>Purpose</w:t>
            </w:r>
            <w:r w:rsidR="001C6C3F">
              <w:rPr>
                <w:noProof/>
                <w:webHidden/>
              </w:rPr>
              <w:tab/>
            </w:r>
            <w:r w:rsidR="001C6C3F">
              <w:rPr>
                <w:noProof/>
                <w:webHidden/>
              </w:rPr>
              <w:fldChar w:fldCharType="begin"/>
            </w:r>
            <w:r w:rsidR="001C6C3F">
              <w:rPr>
                <w:noProof/>
                <w:webHidden/>
              </w:rPr>
              <w:instrText xml:space="preserve"> PAGEREF _Toc509487278 \h </w:instrText>
            </w:r>
            <w:r w:rsidR="001C6C3F">
              <w:rPr>
                <w:noProof/>
                <w:webHidden/>
              </w:rPr>
            </w:r>
            <w:r w:rsidR="001C6C3F">
              <w:rPr>
                <w:noProof/>
                <w:webHidden/>
              </w:rPr>
              <w:fldChar w:fldCharType="separate"/>
            </w:r>
            <w:r w:rsidR="001C6C3F">
              <w:rPr>
                <w:noProof/>
                <w:webHidden/>
              </w:rPr>
              <w:t>4</w:t>
            </w:r>
            <w:r w:rsidR="001C6C3F">
              <w:rPr>
                <w:noProof/>
                <w:webHidden/>
              </w:rPr>
              <w:fldChar w:fldCharType="end"/>
            </w:r>
          </w:hyperlink>
        </w:p>
        <w:p w:rsidR="001C6C3F" w:rsidRDefault="00904AC6">
          <w:pPr>
            <w:pStyle w:val="TOC2"/>
            <w:tabs>
              <w:tab w:val="left" w:pos="880"/>
              <w:tab w:val="right" w:leader="dot" w:pos="9016"/>
            </w:tabs>
            <w:rPr>
              <w:rFonts w:asciiTheme="minorHAnsi" w:eastAsiaTheme="minorEastAsia" w:hAnsiTheme="minorHAnsi"/>
              <w:noProof/>
              <w:sz w:val="22"/>
              <w:lang w:eastAsia="en-NZ"/>
            </w:rPr>
          </w:pPr>
          <w:hyperlink w:anchor="_Toc509487279" w:history="1">
            <w:r w:rsidR="001C6C3F" w:rsidRPr="00686570">
              <w:rPr>
                <w:rStyle w:val="Hyperlink"/>
                <w:noProof/>
              </w:rPr>
              <w:t>1.2</w:t>
            </w:r>
            <w:r w:rsidR="001C6C3F">
              <w:rPr>
                <w:rFonts w:asciiTheme="minorHAnsi" w:eastAsiaTheme="minorEastAsia" w:hAnsiTheme="minorHAnsi"/>
                <w:noProof/>
                <w:sz w:val="22"/>
                <w:lang w:eastAsia="en-NZ"/>
              </w:rPr>
              <w:tab/>
            </w:r>
            <w:r w:rsidR="001C6C3F" w:rsidRPr="00686570">
              <w:rPr>
                <w:rStyle w:val="Hyperlink"/>
                <w:noProof/>
              </w:rPr>
              <w:t>Substances</w:t>
            </w:r>
            <w:r w:rsidR="001C6C3F">
              <w:rPr>
                <w:noProof/>
                <w:webHidden/>
              </w:rPr>
              <w:tab/>
            </w:r>
            <w:r w:rsidR="001C6C3F">
              <w:rPr>
                <w:noProof/>
                <w:webHidden/>
              </w:rPr>
              <w:fldChar w:fldCharType="begin"/>
            </w:r>
            <w:r w:rsidR="001C6C3F">
              <w:rPr>
                <w:noProof/>
                <w:webHidden/>
              </w:rPr>
              <w:instrText xml:space="preserve"> PAGEREF _Toc509487279 \h </w:instrText>
            </w:r>
            <w:r w:rsidR="001C6C3F">
              <w:rPr>
                <w:noProof/>
                <w:webHidden/>
              </w:rPr>
            </w:r>
            <w:r w:rsidR="001C6C3F">
              <w:rPr>
                <w:noProof/>
                <w:webHidden/>
              </w:rPr>
              <w:fldChar w:fldCharType="separate"/>
            </w:r>
            <w:r w:rsidR="001C6C3F">
              <w:rPr>
                <w:noProof/>
                <w:webHidden/>
              </w:rPr>
              <w:t>4</w:t>
            </w:r>
            <w:r w:rsidR="001C6C3F">
              <w:rPr>
                <w:noProof/>
                <w:webHidden/>
              </w:rPr>
              <w:fldChar w:fldCharType="end"/>
            </w:r>
          </w:hyperlink>
        </w:p>
        <w:p w:rsidR="001C6C3F" w:rsidRDefault="00904AC6">
          <w:pPr>
            <w:pStyle w:val="TOC1"/>
            <w:tabs>
              <w:tab w:val="left" w:pos="660"/>
              <w:tab w:val="right" w:leader="dot" w:pos="9016"/>
            </w:tabs>
            <w:rPr>
              <w:rFonts w:asciiTheme="minorHAnsi" w:eastAsiaTheme="minorEastAsia" w:hAnsiTheme="minorHAnsi"/>
              <w:noProof/>
              <w:sz w:val="22"/>
              <w:lang w:eastAsia="en-NZ"/>
            </w:rPr>
          </w:pPr>
          <w:hyperlink w:anchor="_Toc509487280" w:history="1">
            <w:r w:rsidR="001C6C3F" w:rsidRPr="00686570">
              <w:rPr>
                <w:rStyle w:val="Hyperlink"/>
                <w:noProof/>
              </w:rPr>
              <w:t>2.0</w:t>
            </w:r>
            <w:r w:rsidR="001C6C3F">
              <w:rPr>
                <w:rFonts w:asciiTheme="minorHAnsi" w:eastAsiaTheme="minorEastAsia" w:hAnsiTheme="minorHAnsi"/>
                <w:noProof/>
                <w:sz w:val="22"/>
                <w:lang w:eastAsia="en-NZ"/>
              </w:rPr>
              <w:tab/>
            </w:r>
            <w:r w:rsidR="001C6C3F" w:rsidRPr="00686570">
              <w:rPr>
                <w:rStyle w:val="Hyperlink"/>
                <w:noProof/>
              </w:rPr>
              <w:t>SUBSTANCE IDENTIFICATION AND CHEMISTRY</w:t>
            </w:r>
            <w:r w:rsidR="001C6C3F">
              <w:rPr>
                <w:noProof/>
                <w:webHidden/>
              </w:rPr>
              <w:tab/>
            </w:r>
            <w:r w:rsidR="001C6C3F">
              <w:rPr>
                <w:noProof/>
                <w:webHidden/>
              </w:rPr>
              <w:fldChar w:fldCharType="begin"/>
            </w:r>
            <w:r w:rsidR="001C6C3F">
              <w:rPr>
                <w:noProof/>
                <w:webHidden/>
              </w:rPr>
              <w:instrText xml:space="preserve"> PAGEREF _Toc509487280 \h </w:instrText>
            </w:r>
            <w:r w:rsidR="001C6C3F">
              <w:rPr>
                <w:noProof/>
                <w:webHidden/>
              </w:rPr>
            </w:r>
            <w:r w:rsidR="001C6C3F">
              <w:rPr>
                <w:noProof/>
                <w:webHidden/>
              </w:rPr>
              <w:fldChar w:fldCharType="separate"/>
            </w:r>
            <w:r w:rsidR="001C6C3F">
              <w:rPr>
                <w:noProof/>
                <w:webHidden/>
              </w:rPr>
              <w:t>4</w:t>
            </w:r>
            <w:r w:rsidR="001C6C3F">
              <w:rPr>
                <w:noProof/>
                <w:webHidden/>
              </w:rPr>
              <w:fldChar w:fldCharType="end"/>
            </w:r>
          </w:hyperlink>
        </w:p>
        <w:p w:rsidR="001C6C3F" w:rsidRDefault="00904AC6">
          <w:pPr>
            <w:pStyle w:val="TOC2"/>
            <w:tabs>
              <w:tab w:val="left" w:pos="880"/>
              <w:tab w:val="right" w:leader="dot" w:pos="9016"/>
            </w:tabs>
            <w:rPr>
              <w:rFonts w:asciiTheme="minorHAnsi" w:eastAsiaTheme="minorEastAsia" w:hAnsiTheme="minorHAnsi"/>
              <w:noProof/>
              <w:sz w:val="22"/>
              <w:lang w:eastAsia="en-NZ"/>
            </w:rPr>
          </w:pPr>
          <w:hyperlink w:anchor="_Toc509487281" w:history="1">
            <w:r w:rsidR="001C6C3F" w:rsidRPr="00686570">
              <w:rPr>
                <w:rStyle w:val="Hyperlink"/>
                <w:noProof/>
              </w:rPr>
              <w:t>2.1</w:t>
            </w:r>
            <w:r w:rsidR="001C6C3F">
              <w:rPr>
                <w:rFonts w:asciiTheme="minorHAnsi" w:eastAsiaTheme="minorEastAsia" w:hAnsiTheme="minorHAnsi"/>
                <w:noProof/>
                <w:sz w:val="22"/>
                <w:lang w:eastAsia="en-NZ"/>
              </w:rPr>
              <w:tab/>
            </w:r>
            <w:r w:rsidR="001C6C3F" w:rsidRPr="00686570">
              <w:rPr>
                <w:rStyle w:val="Hyperlink"/>
                <w:noProof/>
              </w:rPr>
              <w:t>Identification</w:t>
            </w:r>
            <w:r w:rsidR="001C6C3F">
              <w:rPr>
                <w:noProof/>
                <w:webHidden/>
              </w:rPr>
              <w:tab/>
            </w:r>
            <w:r w:rsidR="001C6C3F">
              <w:rPr>
                <w:noProof/>
                <w:webHidden/>
              </w:rPr>
              <w:fldChar w:fldCharType="begin"/>
            </w:r>
            <w:r w:rsidR="001C6C3F">
              <w:rPr>
                <w:noProof/>
                <w:webHidden/>
              </w:rPr>
              <w:instrText xml:space="preserve"> PAGEREF _Toc509487281 \h </w:instrText>
            </w:r>
            <w:r w:rsidR="001C6C3F">
              <w:rPr>
                <w:noProof/>
                <w:webHidden/>
              </w:rPr>
            </w:r>
            <w:r w:rsidR="001C6C3F">
              <w:rPr>
                <w:noProof/>
                <w:webHidden/>
              </w:rPr>
              <w:fldChar w:fldCharType="separate"/>
            </w:r>
            <w:r w:rsidR="001C6C3F">
              <w:rPr>
                <w:noProof/>
                <w:webHidden/>
              </w:rPr>
              <w:t>4</w:t>
            </w:r>
            <w:r w:rsidR="001C6C3F">
              <w:rPr>
                <w:noProof/>
                <w:webHidden/>
              </w:rPr>
              <w:fldChar w:fldCharType="end"/>
            </w:r>
          </w:hyperlink>
        </w:p>
        <w:p w:rsidR="001C6C3F" w:rsidRDefault="00904AC6">
          <w:pPr>
            <w:pStyle w:val="TOC2"/>
            <w:tabs>
              <w:tab w:val="left" w:pos="880"/>
              <w:tab w:val="right" w:leader="dot" w:pos="9016"/>
            </w:tabs>
            <w:rPr>
              <w:rFonts w:asciiTheme="minorHAnsi" w:eastAsiaTheme="minorEastAsia" w:hAnsiTheme="minorHAnsi"/>
              <w:noProof/>
              <w:sz w:val="22"/>
              <w:lang w:eastAsia="en-NZ"/>
            </w:rPr>
          </w:pPr>
          <w:hyperlink w:anchor="_Toc509487282" w:history="1">
            <w:r w:rsidR="001C6C3F" w:rsidRPr="00686570">
              <w:rPr>
                <w:rStyle w:val="Hyperlink"/>
                <w:noProof/>
              </w:rPr>
              <w:t xml:space="preserve">2.2 </w:t>
            </w:r>
            <w:r w:rsidR="001C6C3F">
              <w:rPr>
                <w:rFonts w:asciiTheme="minorHAnsi" w:eastAsiaTheme="minorEastAsia" w:hAnsiTheme="minorHAnsi"/>
                <w:noProof/>
                <w:sz w:val="22"/>
                <w:lang w:eastAsia="en-NZ"/>
              </w:rPr>
              <w:tab/>
            </w:r>
            <w:r w:rsidR="001C6C3F" w:rsidRPr="00686570">
              <w:rPr>
                <w:rStyle w:val="Hyperlink"/>
                <w:noProof/>
              </w:rPr>
              <w:t>Similarities to other substances</w:t>
            </w:r>
            <w:r w:rsidR="001C6C3F">
              <w:rPr>
                <w:noProof/>
                <w:webHidden/>
              </w:rPr>
              <w:tab/>
            </w:r>
            <w:r w:rsidR="001C6C3F">
              <w:rPr>
                <w:noProof/>
                <w:webHidden/>
              </w:rPr>
              <w:fldChar w:fldCharType="begin"/>
            </w:r>
            <w:r w:rsidR="001C6C3F">
              <w:rPr>
                <w:noProof/>
                <w:webHidden/>
              </w:rPr>
              <w:instrText xml:space="preserve"> PAGEREF _Toc509487282 \h </w:instrText>
            </w:r>
            <w:r w:rsidR="001C6C3F">
              <w:rPr>
                <w:noProof/>
                <w:webHidden/>
              </w:rPr>
            </w:r>
            <w:r w:rsidR="001C6C3F">
              <w:rPr>
                <w:noProof/>
                <w:webHidden/>
              </w:rPr>
              <w:fldChar w:fldCharType="separate"/>
            </w:r>
            <w:r w:rsidR="001C6C3F">
              <w:rPr>
                <w:noProof/>
                <w:webHidden/>
              </w:rPr>
              <w:t>4</w:t>
            </w:r>
            <w:r w:rsidR="001C6C3F">
              <w:rPr>
                <w:noProof/>
                <w:webHidden/>
              </w:rPr>
              <w:fldChar w:fldCharType="end"/>
            </w:r>
          </w:hyperlink>
        </w:p>
        <w:p w:rsidR="001C6C3F" w:rsidRDefault="00904AC6">
          <w:pPr>
            <w:pStyle w:val="TOC2"/>
            <w:tabs>
              <w:tab w:val="left" w:pos="880"/>
              <w:tab w:val="right" w:leader="dot" w:pos="9016"/>
            </w:tabs>
            <w:rPr>
              <w:rFonts w:asciiTheme="minorHAnsi" w:eastAsiaTheme="minorEastAsia" w:hAnsiTheme="minorHAnsi"/>
              <w:noProof/>
              <w:sz w:val="22"/>
              <w:lang w:eastAsia="en-NZ"/>
            </w:rPr>
          </w:pPr>
          <w:hyperlink w:anchor="_Toc509487283" w:history="1">
            <w:r w:rsidR="001C6C3F" w:rsidRPr="00686570">
              <w:rPr>
                <w:rStyle w:val="Hyperlink"/>
                <w:noProof/>
              </w:rPr>
              <w:t xml:space="preserve">2.3 </w:t>
            </w:r>
            <w:r w:rsidR="001C6C3F">
              <w:rPr>
                <w:rFonts w:asciiTheme="minorHAnsi" w:eastAsiaTheme="minorEastAsia" w:hAnsiTheme="minorHAnsi"/>
                <w:noProof/>
                <w:sz w:val="22"/>
                <w:lang w:eastAsia="en-NZ"/>
              </w:rPr>
              <w:tab/>
            </w:r>
            <w:r w:rsidR="001C6C3F" w:rsidRPr="00686570">
              <w:rPr>
                <w:rStyle w:val="Hyperlink"/>
                <w:noProof/>
              </w:rPr>
              <w:t>Methods and ease of manufacturing</w:t>
            </w:r>
            <w:r w:rsidR="001C6C3F">
              <w:rPr>
                <w:noProof/>
                <w:webHidden/>
              </w:rPr>
              <w:tab/>
            </w:r>
            <w:r w:rsidR="001C6C3F">
              <w:rPr>
                <w:noProof/>
                <w:webHidden/>
              </w:rPr>
              <w:fldChar w:fldCharType="begin"/>
            </w:r>
            <w:r w:rsidR="001C6C3F">
              <w:rPr>
                <w:noProof/>
                <w:webHidden/>
              </w:rPr>
              <w:instrText xml:space="preserve"> PAGEREF _Toc509487283 \h </w:instrText>
            </w:r>
            <w:r w:rsidR="001C6C3F">
              <w:rPr>
                <w:noProof/>
                <w:webHidden/>
              </w:rPr>
            </w:r>
            <w:r w:rsidR="001C6C3F">
              <w:rPr>
                <w:noProof/>
                <w:webHidden/>
              </w:rPr>
              <w:fldChar w:fldCharType="separate"/>
            </w:r>
            <w:r w:rsidR="001C6C3F">
              <w:rPr>
                <w:noProof/>
                <w:webHidden/>
              </w:rPr>
              <w:t>5</w:t>
            </w:r>
            <w:r w:rsidR="001C6C3F">
              <w:rPr>
                <w:noProof/>
                <w:webHidden/>
              </w:rPr>
              <w:fldChar w:fldCharType="end"/>
            </w:r>
          </w:hyperlink>
        </w:p>
        <w:p w:rsidR="001C6C3F" w:rsidRDefault="00904AC6">
          <w:pPr>
            <w:pStyle w:val="TOC1"/>
            <w:tabs>
              <w:tab w:val="right" w:leader="dot" w:pos="9016"/>
            </w:tabs>
            <w:rPr>
              <w:rFonts w:asciiTheme="minorHAnsi" w:eastAsiaTheme="minorEastAsia" w:hAnsiTheme="minorHAnsi"/>
              <w:noProof/>
              <w:sz w:val="22"/>
              <w:lang w:eastAsia="en-NZ"/>
            </w:rPr>
          </w:pPr>
          <w:hyperlink w:anchor="_Toc509487284" w:history="1">
            <w:r w:rsidR="001C6C3F" w:rsidRPr="00686570">
              <w:rPr>
                <w:rStyle w:val="Hyperlink"/>
                <w:noProof/>
              </w:rPr>
              <w:t>3.0 RISK OF HARM</w:t>
            </w:r>
            <w:r w:rsidR="001C6C3F">
              <w:rPr>
                <w:noProof/>
                <w:webHidden/>
              </w:rPr>
              <w:tab/>
            </w:r>
            <w:r w:rsidR="001C6C3F">
              <w:rPr>
                <w:noProof/>
                <w:webHidden/>
              </w:rPr>
              <w:fldChar w:fldCharType="begin"/>
            </w:r>
            <w:r w:rsidR="001C6C3F">
              <w:rPr>
                <w:noProof/>
                <w:webHidden/>
              </w:rPr>
              <w:instrText xml:space="preserve"> PAGEREF _Toc509487284 \h </w:instrText>
            </w:r>
            <w:r w:rsidR="001C6C3F">
              <w:rPr>
                <w:noProof/>
                <w:webHidden/>
              </w:rPr>
            </w:r>
            <w:r w:rsidR="001C6C3F">
              <w:rPr>
                <w:noProof/>
                <w:webHidden/>
              </w:rPr>
              <w:fldChar w:fldCharType="separate"/>
            </w:r>
            <w:r w:rsidR="001C6C3F">
              <w:rPr>
                <w:noProof/>
                <w:webHidden/>
              </w:rPr>
              <w:t>6</w:t>
            </w:r>
            <w:r w:rsidR="001C6C3F">
              <w:rPr>
                <w:noProof/>
                <w:webHidden/>
              </w:rPr>
              <w:fldChar w:fldCharType="end"/>
            </w:r>
          </w:hyperlink>
        </w:p>
        <w:p w:rsidR="001C6C3F" w:rsidRDefault="00904AC6">
          <w:pPr>
            <w:pStyle w:val="TOC2"/>
            <w:tabs>
              <w:tab w:val="left" w:pos="880"/>
              <w:tab w:val="right" w:leader="dot" w:pos="9016"/>
            </w:tabs>
            <w:rPr>
              <w:rFonts w:asciiTheme="minorHAnsi" w:eastAsiaTheme="minorEastAsia" w:hAnsiTheme="minorHAnsi"/>
              <w:noProof/>
              <w:sz w:val="22"/>
              <w:lang w:eastAsia="en-NZ"/>
            </w:rPr>
          </w:pPr>
          <w:hyperlink w:anchor="_Toc509487285" w:history="1">
            <w:r w:rsidR="001C6C3F" w:rsidRPr="00686570">
              <w:rPr>
                <w:rStyle w:val="Hyperlink"/>
                <w:noProof/>
              </w:rPr>
              <w:t>3.1</w:t>
            </w:r>
            <w:r w:rsidR="001C6C3F">
              <w:rPr>
                <w:rFonts w:asciiTheme="minorHAnsi" w:eastAsiaTheme="minorEastAsia" w:hAnsiTheme="minorHAnsi"/>
                <w:noProof/>
                <w:sz w:val="22"/>
                <w:lang w:eastAsia="en-NZ"/>
              </w:rPr>
              <w:tab/>
            </w:r>
            <w:r w:rsidR="001C6C3F" w:rsidRPr="00686570">
              <w:rPr>
                <w:rStyle w:val="Hyperlink"/>
                <w:noProof/>
              </w:rPr>
              <w:t xml:space="preserve"> Likelihood evidence of abuse including such matters as the prevalence of the drug, levels of consumption, drug seizure trends, and the potential appeal to vulnerable populations</w:t>
            </w:r>
            <w:r w:rsidR="001C6C3F">
              <w:rPr>
                <w:noProof/>
                <w:webHidden/>
              </w:rPr>
              <w:tab/>
            </w:r>
            <w:r w:rsidR="001C6C3F">
              <w:rPr>
                <w:noProof/>
                <w:webHidden/>
              </w:rPr>
              <w:fldChar w:fldCharType="begin"/>
            </w:r>
            <w:r w:rsidR="001C6C3F">
              <w:rPr>
                <w:noProof/>
                <w:webHidden/>
              </w:rPr>
              <w:instrText xml:space="preserve"> PAGEREF _Toc509487285 \h </w:instrText>
            </w:r>
            <w:r w:rsidR="001C6C3F">
              <w:rPr>
                <w:noProof/>
                <w:webHidden/>
              </w:rPr>
            </w:r>
            <w:r w:rsidR="001C6C3F">
              <w:rPr>
                <w:noProof/>
                <w:webHidden/>
              </w:rPr>
              <w:fldChar w:fldCharType="separate"/>
            </w:r>
            <w:r w:rsidR="001C6C3F">
              <w:rPr>
                <w:noProof/>
                <w:webHidden/>
              </w:rPr>
              <w:t>6</w:t>
            </w:r>
            <w:r w:rsidR="001C6C3F">
              <w:rPr>
                <w:noProof/>
                <w:webHidden/>
              </w:rPr>
              <w:fldChar w:fldCharType="end"/>
            </w:r>
          </w:hyperlink>
        </w:p>
        <w:p w:rsidR="001C6C3F" w:rsidRDefault="00904AC6">
          <w:pPr>
            <w:pStyle w:val="TOC3"/>
            <w:tabs>
              <w:tab w:val="right" w:leader="dot" w:pos="9016"/>
            </w:tabs>
            <w:rPr>
              <w:rFonts w:asciiTheme="minorHAnsi" w:eastAsiaTheme="minorEastAsia" w:hAnsiTheme="minorHAnsi"/>
              <w:noProof/>
              <w:sz w:val="22"/>
              <w:lang w:eastAsia="en-NZ"/>
            </w:rPr>
          </w:pPr>
          <w:hyperlink w:anchor="_Toc509487286" w:history="1">
            <w:r w:rsidR="001C6C3F" w:rsidRPr="00686570">
              <w:rPr>
                <w:rStyle w:val="Hyperlink"/>
                <w:noProof/>
              </w:rPr>
              <w:t>Table 1: New Zealand Police and Customs Service seizures for synthetic cannabinoids</w:t>
            </w:r>
            <w:r w:rsidR="001C6C3F">
              <w:rPr>
                <w:noProof/>
                <w:webHidden/>
              </w:rPr>
              <w:tab/>
            </w:r>
            <w:r w:rsidR="001C6C3F">
              <w:rPr>
                <w:noProof/>
                <w:webHidden/>
              </w:rPr>
              <w:fldChar w:fldCharType="begin"/>
            </w:r>
            <w:r w:rsidR="001C6C3F">
              <w:rPr>
                <w:noProof/>
                <w:webHidden/>
              </w:rPr>
              <w:instrText xml:space="preserve"> PAGEREF _Toc509487286 \h </w:instrText>
            </w:r>
            <w:r w:rsidR="001C6C3F">
              <w:rPr>
                <w:noProof/>
                <w:webHidden/>
              </w:rPr>
            </w:r>
            <w:r w:rsidR="001C6C3F">
              <w:rPr>
                <w:noProof/>
                <w:webHidden/>
              </w:rPr>
              <w:fldChar w:fldCharType="separate"/>
            </w:r>
            <w:r w:rsidR="001C6C3F">
              <w:rPr>
                <w:noProof/>
                <w:webHidden/>
              </w:rPr>
              <w:t>6</w:t>
            </w:r>
            <w:r w:rsidR="001C6C3F">
              <w:rPr>
                <w:noProof/>
                <w:webHidden/>
              </w:rPr>
              <w:fldChar w:fldCharType="end"/>
            </w:r>
          </w:hyperlink>
        </w:p>
        <w:p w:rsidR="001C6C3F" w:rsidRDefault="00904AC6">
          <w:pPr>
            <w:pStyle w:val="TOC3"/>
            <w:tabs>
              <w:tab w:val="right" w:leader="dot" w:pos="9016"/>
            </w:tabs>
            <w:rPr>
              <w:rFonts w:asciiTheme="minorHAnsi" w:eastAsiaTheme="minorEastAsia" w:hAnsiTheme="minorHAnsi"/>
              <w:noProof/>
              <w:sz w:val="22"/>
              <w:lang w:eastAsia="en-NZ"/>
            </w:rPr>
          </w:pPr>
          <w:hyperlink w:anchor="_Toc509487287" w:history="1">
            <w:r w:rsidR="001C6C3F" w:rsidRPr="00686570">
              <w:rPr>
                <w:rStyle w:val="Hyperlink"/>
                <w:noProof/>
              </w:rPr>
              <w:t>Breakdown of seizures per year</w:t>
            </w:r>
            <w:r w:rsidR="001C6C3F">
              <w:rPr>
                <w:noProof/>
                <w:webHidden/>
              </w:rPr>
              <w:tab/>
            </w:r>
            <w:r w:rsidR="001C6C3F">
              <w:rPr>
                <w:noProof/>
                <w:webHidden/>
              </w:rPr>
              <w:fldChar w:fldCharType="begin"/>
            </w:r>
            <w:r w:rsidR="001C6C3F">
              <w:rPr>
                <w:noProof/>
                <w:webHidden/>
              </w:rPr>
              <w:instrText xml:space="preserve"> PAGEREF _Toc509487287 \h </w:instrText>
            </w:r>
            <w:r w:rsidR="001C6C3F">
              <w:rPr>
                <w:noProof/>
                <w:webHidden/>
              </w:rPr>
            </w:r>
            <w:r w:rsidR="001C6C3F">
              <w:rPr>
                <w:noProof/>
                <w:webHidden/>
              </w:rPr>
              <w:fldChar w:fldCharType="separate"/>
            </w:r>
            <w:r w:rsidR="001C6C3F">
              <w:rPr>
                <w:noProof/>
                <w:webHidden/>
              </w:rPr>
              <w:t>6</w:t>
            </w:r>
            <w:r w:rsidR="001C6C3F">
              <w:rPr>
                <w:noProof/>
                <w:webHidden/>
              </w:rPr>
              <w:fldChar w:fldCharType="end"/>
            </w:r>
          </w:hyperlink>
        </w:p>
        <w:p w:rsidR="001C6C3F" w:rsidRDefault="00904AC6">
          <w:pPr>
            <w:pStyle w:val="TOC3"/>
            <w:tabs>
              <w:tab w:val="right" w:leader="dot" w:pos="9016"/>
            </w:tabs>
            <w:rPr>
              <w:rFonts w:asciiTheme="minorHAnsi" w:eastAsiaTheme="minorEastAsia" w:hAnsiTheme="minorHAnsi"/>
              <w:noProof/>
              <w:sz w:val="22"/>
              <w:lang w:eastAsia="en-NZ"/>
            </w:rPr>
          </w:pPr>
          <w:hyperlink w:anchor="_Toc509487288" w:history="1">
            <w:r w:rsidR="001C6C3F" w:rsidRPr="00686570">
              <w:rPr>
                <w:rStyle w:val="Hyperlink"/>
                <w:noProof/>
              </w:rPr>
              <w:t>5F-ADB</w:t>
            </w:r>
            <w:r w:rsidR="001C6C3F">
              <w:rPr>
                <w:noProof/>
                <w:webHidden/>
              </w:rPr>
              <w:tab/>
            </w:r>
            <w:r w:rsidR="001C6C3F">
              <w:rPr>
                <w:noProof/>
                <w:webHidden/>
              </w:rPr>
              <w:fldChar w:fldCharType="begin"/>
            </w:r>
            <w:r w:rsidR="001C6C3F">
              <w:rPr>
                <w:noProof/>
                <w:webHidden/>
              </w:rPr>
              <w:instrText xml:space="preserve"> PAGEREF _Toc509487288 \h </w:instrText>
            </w:r>
            <w:r w:rsidR="001C6C3F">
              <w:rPr>
                <w:noProof/>
                <w:webHidden/>
              </w:rPr>
            </w:r>
            <w:r w:rsidR="001C6C3F">
              <w:rPr>
                <w:noProof/>
                <w:webHidden/>
              </w:rPr>
              <w:fldChar w:fldCharType="separate"/>
            </w:r>
            <w:r w:rsidR="001C6C3F">
              <w:rPr>
                <w:noProof/>
                <w:webHidden/>
              </w:rPr>
              <w:t>6</w:t>
            </w:r>
            <w:r w:rsidR="001C6C3F">
              <w:rPr>
                <w:noProof/>
                <w:webHidden/>
              </w:rPr>
              <w:fldChar w:fldCharType="end"/>
            </w:r>
          </w:hyperlink>
        </w:p>
        <w:p w:rsidR="001C6C3F" w:rsidRDefault="00904AC6">
          <w:pPr>
            <w:pStyle w:val="TOC3"/>
            <w:tabs>
              <w:tab w:val="right" w:leader="dot" w:pos="9016"/>
            </w:tabs>
            <w:rPr>
              <w:rFonts w:asciiTheme="minorHAnsi" w:eastAsiaTheme="minorEastAsia" w:hAnsiTheme="minorHAnsi"/>
              <w:noProof/>
              <w:sz w:val="22"/>
              <w:lang w:eastAsia="en-NZ"/>
            </w:rPr>
          </w:pPr>
          <w:hyperlink w:anchor="_Toc509487289" w:history="1">
            <w:r w:rsidR="001C6C3F" w:rsidRPr="00686570">
              <w:rPr>
                <w:rStyle w:val="Hyperlink"/>
                <w:noProof/>
              </w:rPr>
              <w:t>UR-144</w:t>
            </w:r>
            <w:r w:rsidR="001C6C3F">
              <w:rPr>
                <w:noProof/>
                <w:webHidden/>
              </w:rPr>
              <w:tab/>
            </w:r>
            <w:r w:rsidR="001C6C3F">
              <w:rPr>
                <w:noProof/>
                <w:webHidden/>
              </w:rPr>
              <w:fldChar w:fldCharType="begin"/>
            </w:r>
            <w:r w:rsidR="001C6C3F">
              <w:rPr>
                <w:noProof/>
                <w:webHidden/>
              </w:rPr>
              <w:instrText xml:space="preserve"> PAGEREF _Toc509487289 \h </w:instrText>
            </w:r>
            <w:r w:rsidR="001C6C3F">
              <w:rPr>
                <w:noProof/>
                <w:webHidden/>
              </w:rPr>
            </w:r>
            <w:r w:rsidR="001C6C3F">
              <w:rPr>
                <w:noProof/>
                <w:webHidden/>
              </w:rPr>
              <w:fldChar w:fldCharType="separate"/>
            </w:r>
            <w:r w:rsidR="001C6C3F">
              <w:rPr>
                <w:noProof/>
                <w:webHidden/>
              </w:rPr>
              <w:t>7</w:t>
            </w:r>
            <w:r w:rsidR="001C6C3F">
              <w:rPr>
                <w:noProof/>
                <w:webHidden/>
              </w:rPr>
              <w:fldChar w:fldCharType="end"/>
            </w:r>
          </w:hyperlink>
        </w:p>
        <w:p w:rsidR="001C6C3F" w:rsidRDefault="00904AC6">
          <w:pPr>
            <w:pStyle w:val="TOC3"/>
            <w:tabs>
              <w:tab w:val="right" w:leader="dot" w:pos="9016"/>
            </w:tabs>
            <w:rPr>
              <w:rFonts w:asciiTheme="minorHAnsi" w:eastAsiaTheme="minorEastAsia" w:hAnsiTheme="minorHAnsi"/>
              <w:noProof/>
              <w:sz w:val="22"/>
              <w:lang w:eastAsia="en-NZ"/>
            </w:rPr>
          </w:pPr>
          <w:hyperlink w:anchor="_Toc509487290" w:history="1">
            <w:r w:rsidR="001C6C3F" w:rsidRPr="00686570">
              <w:rPr>
                <w:rStyle w:val="Hyperlink"/>
                <w:noProof/>
              </w:rPr>
              <w:t>5F-PB-22</w:t>
            </w:r>
            <w:r w:rsidR="001C6C3F">
              <w:rPr>
                <w:noProof/>
                <w:webHidden/>
              </w:rPr>
              <w:tab/>
            </w:r>
            <w:r w:rsidR="001C6C3F">
              <w:rPr>
                <w:noProof/>
                <w:webHidden/>
              </w:rPr>
              <w:fldChar w:fldCharType="begin"/>
            </w:r>
            <w:r w:rsidR="001C6C3F">
              <w:rPr>
                <w:noProof/>
                <w:webHidden/>
              </w:rPr>
              <w:instrText xml:space="preserve"> PAGEREF _Toc509487290 \h </w:instrText>
            </w:r>
            <w:r w:rsidR="001C6C3F">
              <w:rPr>
                <w:noProof/>
                <w:webHidden/>
              </w:rPr>
            </w:r>
            <w:r w:rsidR="001C6C3F">
              <w:rPr>
                <w:noProof/>
                <w:webHidden/>
              </w:rPr>
              <w:fldChar w:fldCharType="separate"/>
            </w:r>
            <w:r w:rsidR="001C6C3F">
              <w:rPr>
                <w:noProof/>
                <w:webHidden/>
              </w:rPr>
              <w:t>7</w:t>
            </w:r>
            <w:r w:rsidR="001C6C3F">
              <w:rPr>
                <w:noProof/>
                <w:webHidden/>
              </w:rPr>
              <w:fldChar w:fldCharType="end"/>
            </w:r>
          </w:hyperlink>
        </w:p>
        <w:p w:rsidR="001C6C3F" w:rsidRDefault="00904AC6">
          <w:pPr>
            <w:pStyle w:val="TOC3"/>
            <w:tabs>
              <w:tab w:val="right" w:leader="dot" w:pos="9016"/>
            </w:tabs>
            <w:rPr>
              <w:rFonts w:asciiTheme="minorHAnsi" w:eastAsiaTheme="minorEastAsia" w:hAnsiTheme="minorHAnsi"/>
              <w:noProof/>
              <w:sz w:val="22"/>
              <w:lang w:eastAsia="en-NZ"/>
            </w:rPr>
          </w:pPr>
          <w:hyperlink w:anchor="_Toc509487291" w:history="1">
            <w:r w:rsidR="001C6C3F" w:rsidRPr="00686570">
              <w:rPr>
                <w:rStyle w:val="Hyperlink"/>
                <w:noProof/>
              </w:rPr>
              <w:t>MDMB-CHMICA</w:t>
            </w:r>
            <w:r w:rsidR="001C6C3F">
              <w:rPr>
                <w:noProof/>
                <w:webHidden/>
              </w:rPr>
              <w:tab/>
            </w:r>
            <w:r w:rsidR="001C6C3F">
              <w:rPr>
                <w:noProof/>
                <w:webHidden/>
              </w:rPr>
              <w:fldChar w:fldCharType="begin"/>
            </w:r>
            <w:r w:rsidR="001C6C3F">
              <w:rPr>
                <w:noProof/>
                <w:webHidden/>
              </w:rPr>
              <w:instrText xml:space="preserve"> PAGEREF _Toc509487291 \h </w:instrText>
            </w:r>
            <w:r w:rsidR="001C6C3F">
              <w:rPr>
                <w:noProof/>
                <w:webHidden/>
              </w:rPr>
            </w:r>
            <w:r w:rsidR="001C6C3F">
              <w:rPr>
                <w:noProof/>
                <w:webHidden/>
              </w:rPr>
              <w:fldChar w:fldCharType="separate"/>
            </w:r>
            <w:r w:rsidR="001C6C3F">
              <w:rPr>
                <w:noProof/>
                <w:webHidden/>
              </w:rPr>
              <w:t>7</w:t>
            </w:r>
            <w:r w:rsidR="001C6C3F">
              <w:rPr>
                <w:noProof/>
                <w:webHidden/>
              </w:rPr>
              <w:fldChar w:fldCharType="end"/>
            </w:r>
          </w:hyperlink>
        </w:p>
        <w:p w:rsidR="001C6C3F" w:rsidRDefault="00904AC6">
          <w:pPr>
            <w:pStyle w:val="TOC3"/>
            <w:tabs>
              <w:tab w:val="right" w:leader="dot" w:pos="9016"/>
            </w:tabs>
            <w:rPr>
              <w:rFonts w:asciiTheme="minorHAnsi" w:eastAsiaTheme="minorEastAsia" w:hAnsiTheme="minorHAnsi"/>
              <w:noProof/>
              <w:sz w:val="22"/>
              <w:lang w:eastAsia="en-NZ"/>
            </w:rPr>
          </w:pPr>
          <w:hyperlink w:anchor="_Toc509487292" w:history="1">
            <w:r w:rsidR="001C6C3F" w:rsidRPr="00686570">
              <w:rPr>
                <w:rStyle w:val="Hyperlink"/>
                <w:noProof/>
              </w:rPr>
              <w:t>XLR-11</w:t>
            </w:r>
            <w:r w:rsidR="001C6C3F">
              <w:rPr>
                <w:noProof/>
                <w:webHidden/>
              </w:rPr>
              <w:tab/>
            </w:r>
            <w:r w:rsidR="001C6C3F">
              <w:rPr>
                <w:noProof/>
                <w:webHidden/>
              </w:rPr>
              <w:fldChar w:fldCharType="begin"/>
            </w:r>
            <w:r w:rsidR="001C6C3F">
              <w:rPr>
                <w:noProof/>
                <w:webHidden/>
              </w:rPr>
              <w:instrText xml:space="preserve"> PAGEREF _Toc509487292 \h </w:instrText>
            </w:r>
            <w:r w:rsidR="001C6C3F">
              <w:rPr>
                <w:noProof/>
                <w:webHidden/>
              </w:rPr>
            </w:r>
            <w:r w:rsidR="001C6C3F">
              <w:rPr>
                <w:noProof/>
                <w:webHidden/>
              </w:rPr>
              <w:fldChar w:fldCharType="separate"/>
            </w:r>
            <w:r w:rsidR="001C6C3F">
              <w:rPr>
                <w:noProof/>
                <w:webHidden/>
              </w:rPr>
              <w:t>7</w:t>
            </w:r>
            <w:r w:rsidR="001C6C3F">
              <w:rPr>
                <w:noProof/>
                <w:webHidden/>
              </w:rPr>
              <w:fldChar w:fldCharType="end"/>
            </w:r>
          </w:hyperlink>
        </w:p>
        <w:p w:rsidR="001C6C3F" w:rsidRDefault="00904AC6">
          <w:pPr>
            <w:pStyle w:val="TOC3"/>
            <w:tabs>
              <w:tab w:val="right" w:leader="dot" w:pos="9016"/>
            </w:tabs>
            <w:rPr>
              <w:rFonts w:asciiTheme="minorHAnsi" w:eastAsiaTheme="minorEastAsia" w:hAnsiTheme="minorHAnsi"/>
              <w:noProof/>
              <w:sz w:val="22"/>
              <w:lang w:eastAsia="en-NZ"/>
            </w:rPr>
          </w:pPr>
          <w:hyperlink w:anchor="_Toc509487293" w:history="1">
            <w:r w:rsidR="001C6C3F" w:rsidRPr="00686570">
              <w:rPr>
                <w:rStyle w:val="Hyperlink"/>
                <w:noProof/>
              </w:rPr>
              <w:t>JWH-018</w:t>
            </w:r>
            <w:r w:rsidR="001C6C3F">
              <w:rPr>
                <w:noProof/>
                <w:webHidden/>
              </w:rPr>
              <w:tab/>
            </w:r>
            <w:r w:rsidR="001C6C3F">
              <w:rPr>
                <w:noProof/>
                <w:webHidden/>
              </w:rPr>
              <w:fldChar w:fldCharType="begin"/>
            </w:r>
            <w:r w:rsidR="001C6C3F">
              <w:rPr>
                <w:noProof/>
                <w:webHidden/>
              </w:rPr>
              <w:instrText xml:space="preserve"> PAGEREF _Toc509487293 \h </w:instrText>
            </w:r>
            <w:r w:rsidR="001C6C3F">
              <w:rPr>
                <w:noProof/>
                <w:webHidden/>
              </w:rPr>
            </w:r>
            <w:r w:rsidR="001C6C3F">
              <w:rPr>
                <w:noProof/>
                <w:webHidden/>
              </w:rPr>
              <w:fldChar w:fldCharType="separate"/>
            </w:r>
            <w:r w:rsidR="001C6C3F">
              <w:rPr>
                <w:noProof/>
                <w:webHidden/>
              </w:rPr>
              <w:t>7</w:t>
            </w:r>
            <w:r w:rsidR="001C6C3F">
              <w:rPr>
                <w:noProof/>
                <w:webHidden/>
              </w:rPr>
              <w:fldChar w:fldCharType="end"/>
            </w:r>
          </w:hyperlink>
        </w:p>
        <w:p w:rsidR="001C6C3F" w:rsidRDefault="00904AC6">
          <w:pPr>
            <w:pStyle w:val="TOC3"/>
            <w:tabs>
              <w:tab w:val="right" w:leader="dot" w:pos="9016"/>
            </w:tabs>
            <w:rPr>
              <w:rFonts w:asciiTheme="minorHAnsi" w:eastAsiaTheme="minorEastAsia" w:hAnsiTheme="minorHAnsi"/>
              <w:noProof/>
              <w:sz w:val="22"/>
              <w:lang w:eastAsia="en-NZ"/>
            </w:rPr>
          </w:pPr>
          <w:hyperlink w:anchor="_Toc509487294" w:history="1">
            <w:r w:rsidR="001C6C3F" w:rsidRPr="00686570">
              <w:rPr>
                <w:rStyle w:val="Hyperlink"/>
                <w:noProof/>
              </w:rPr>
              <w:t>AM-2201</w:t>
            </w:r>
            <w:r w:rsidR="001C6C3F">
              <w:rPr>
                <w:noProof/>
                <w:webHidden/>
              </w:rPr>
              <w:tab/>
            </w:r>
            <w:r w:rsidR="001C6C3F">
              <w:rPr>
                <w:noProof/>
                <w:webHidden/>
              </w:rPr>
              <w:fldChar w:fldCharType="begin"/>
            </w:r>
            <w:r w:rsidR="001C6C3F">
              <w:rPr>
                <w:noProof/>
                <w:webHidden/>
              </w:rPr>
              <w:instrText xml:space="preserve"> PAGEREF _Toc509487294 \h </w:instrText>
            </w:r>
            <w:r w:rsidR="001C6C3F">
              <w:rPr>
                <w:noProof/>
                <w:webHidden/>
              </w:rPr>
            </w:r>
            <w:r w:rsidR="001C6C3F">
              <w:rPr>
                <w:noProof/>
                <w:webHidden/>
              </w:rPr>
              <w:fldChar w:fldCharType="separate"/>
            </w:r>
            <w:r w:rsidR="001C6C3F">
              <w:rPr>
                <w:noProof/>
                <w:webHidden/>
              </w:rPr>
              <w:t>8</w:t>
            </w:r>
            <w:r w:rsidR="001C6C3F">
              <w:rPr>
                <w:noProof/>
                <w:webHidden/>
              </w:rPr>
              <w:fldChar w:fldCharType="end"/>
            </w:r>
          </w:hyperlink>
        </w:p>
        <w:p w:rsidR="001C6C3F" w:rsidRDefault="00904AC6">
          <w:pPr>
            <w:pStyle w:val="TOC3"/>
            <w:tabs>
              <w:tab w:val="right" w:leader="dot" w:pos="9016"/>
            </w:tabs>
            <w:rPr>
              <w:rFonts w:asciiTheme="minorHAnsi" w:eastAsiaTheme="minorEastAsia" w:hAnsiTheme="minorHAnsi"/>
              <w:noProof/>
              <w:sz w:val="22"/>
              <w:lang w:eastAsia="en-NZ"/>
            </w:rPr>
          </w:pPr>
          <w:hyperlink w:anchor="_Toc509487295" w:history="1">
            <w:r w:rsidR="001C6C3F" w:rsidRPr="00686570">
              <w:rPr>
                <w:rStyle w:val="Hyperlink"/>
                <w:noProof/>
              </w:rPr>
              <w:t>AMB-FUBINACA</w:t>
            </w:r>
            <w:r w:rsidR="001C6C3F">
              <w:rPr>
                <w:noProof/>
                <w:webHidden/>
              </w:rPr>
              <w:tab/>
            </w:r>
            <w:r w:rsidR="001C6C3F">
              <w:rPr>
                <w:noProof/>
                <w:webHidden/>
              </w:rPr>
              <w:fldChar w:fldCharType="begin"/>
            </w:r>
            <w:r w:rsidR="001C6C3F">
              <w:rPr>
                <w:noProof/>
                <w:webHidden/>
              </w:rPr>
              <w:instrText xml:space="preserve"> PAGEREF _Toc509487295 \h </w:instrText>
            </w:r>
            <w:r w:rsidR="001C6C3F">
              <w:rPr>
                <w:noProof/>
                <w:webHidden/>
              </w:rPr>
            </w:r>
            <w:r w:rsidR="001C6C3F">
              <w:rPr>
                <w:noProof/>
                <w:webHidden/>
              </w:rPr>
              <w:fldChar w:fldCharType="separate"/>
            </w:r>
            <w:r w:rsidR="001C6C3F">
              <w:rPr>
                <w:noProof/>
                <w:webHidden/>
              </w:rPr>
              <w:t>8</w:t>
            </w:r>
            <w:r w:rsidR="001C6C3F">
              <w:rPr>
                <w:noProof/>
                <w:webHidden/>
              </w:rPr>
              <w:fldChar w:fldCharType="end"/>
            </w:r>
          </w:hyperlink>
        </w:p>
        <w:p w:rsidR="001C6C3F" w:rsidRDefault="00904AC6">
          <w:pPr>
            <w:pStyle w:val="TOC3"/>
            <w:tabs>
              <w:tab w:val="right" w:leader="dot" w:pos="9016"/>
            </w:tabs>
            <w:rPr>
              <w:rFonts w:asciiTheme="minorHAnsi" w:eastAsiaTheme="minorEastAsia" w:hAnsiTheme="minorHAnsi"/>
              <w:noProof/>
              <w:sz w:val="22"/>
              <w:lang w:eastAsia="en-NZ"/>
            </w:rPr>
          </w:pPr>
          <w:hyperlink w:anchor="_Toc509487296" w:history="1">
            <w:r w:rsidR="001C6C3F" w:rsidRPr="00686570">
              <w:rPr>
                <w:rStyle w:val="Hyperlink"/>
                <w:noProof/>
              </w:rPr>
              <w:t>AB-FUBINACA</w:t>
            </w:r>
            <w:r w:rsidR="001C6C3F">
              <w:rPr>
                <w:noProof/>
                <w:webHidden/>
              </w:rPr>
              <w:tab/>
            </w:r>
            <w:r w:rsidR="001C6C3F">
              <w:rPr>
                <w:noProof/>
                <w:webHidden/>
              </w:rPr>
              <w:fldChar w:fldCharType="begin"/>
            </w:r>
            <w:r w:rsidR="001C6C3F">
              <w:rPr>
                <w:noProof/>
                <w:webHidden/>
              </w:rPr>
              <w:instrText xml:space="preserve"> PAGEREF _Toc509487296 \h </w:instrText>
            </w:r>
            <w:r w:rsidR="001C6C3F">
              <w:rPr>
                <w:noProof/>
                <w:webHidden/>
              </w:rPr>
            </w:r>
            <w:r w:rsidR="001C6C3F">
              <w:rPr>
                <w:noProof/>
                <w:webHidden/>
              </w:rPr>
              <w:fldChar w:fldCharType="separate"/>
            </w:r>
            <w:r w:rsidR="001C6C3F">
              <w:rPr>
                <w:noProof/>
                <w:webHidden/>
              </w:rPr>
              <w:t>8</w:t>
            </w:r>
            <w:r w:rsidR="001C6C3F">
              <w:rPr>
                <w:noProof/>
                <w:webHidden/>
              </w:rPr>
              <w:fldChar w:fldCharType="end"/>
            </w:r>
          </w:hyperlink>
        </w:p>
        <w:p w:rsidR="001C6C3F" w:rsidRDefault="00904AC6">
          <w:pPr>
            <w:pStyle w:val="TOC2"/>
            <w:tabs>
              <w:tab w:val="left" w:pos="880"/>
              <w:tab w:val="right" w:leader="dot" w:pos="9016"/>
            </w:tabs>
            <w:rPr>
              <w:rFonts w:asciiTheme="minorHAnsi" w:eastAsiaTheme="minorEastAsia" w:hAnsiTheme="minorHAnsi"/>
              <w:noProof/>
              <w:sz w:val="22"/>
              <w:lang w:eastAsia="en-NZ"/>
            </w:rPr>
          </w:pPr>
          <w:hyperlink w:anchor="_Toc509487297" w:history="1">
            <w:r w:rsidR="001C6C3F" w:rsidRPr="00686570">
              <w:rPr>
                <w:rStyle w:val="Hyperlink"/>
                <w:noProof/>
              </w:rPr>
              <w:t>3.2</w:t>
            </w:r>
            <w:r w:rsidR="001C6C3F">
              <w:rPr>
                <w:rFonts w:asciiTheme="minorHAnsi" w:eastAsiaTheme="minorEastAsia" w:hAnsiTheme="minorHAnsi"/>
                <w:noProof/>
                <w:sz w:val="22"/>
                <w:lang w:eastAsia="en-NZ"/>
              </w:rPr>
              <w:tab/>
            </w:r>
            <w:r w:rsidR="001C6C3F" w:rsidRPr="00686570">
              <w:rPr>
                <w:rStyle w:val="Hyperlink"/>
                <w:noProof/>
              </w:rPr>
              <w:t xml:space="preserve"> Specific Effects</w:t>
            </w:r>
            <w:r w:rsidR="001C6C3F">
              <w:rPr>
                <w:noProof/>
                <w:webHidden/>
              </w:rPr>
              <w:tab/>
            </w:r>
            <w:r w:rsidR="001C6C3F">
              <w:rPr>
                <w:noProof/>
                <w:webHidden/>
              </w:rPr>
              <w:fldChar w:fldCharType="begin"/>
            </w:r>
            <w:r w:rsidR="001C6C3F">
              <w:rPr>
                <w:noProof/>
                <w:webHidden/>
              </w:rPr>
              <w:instrText xml:space="preserve"> PAGEREF _Toc509487297 \h </w:instrText>
            </w:r>
            <w:r w:rsidR="001C6C3F">
              <w:rPr>
                <w:noProof/>
                <w:webHidden/>
              </w:rPr>
            </w:r>
            <w:r w:rsidR="001C6C3F">
              <w:rPr>
                <w:noProof/>
                <w:webHidden/>
              </w:rPr>
              <w:fldChar w:fldCharType="separate"/>
            </w:r>
            <w:r w:rsidR="001C6C3F">
              <w:rPr>
                <w:noProof/>
                <w:webHidden/>
              </w:rPr>
              <w:t>8</w:t>
            </w:r>
            <w:r w:rsidR="001C6C3F">
              <w:rPr>
                <w:noProof/>
                <w:webHidden/>
              </w:rPr>
              <w:fldChar w:fldCharType="end"/>
            </w:r>
          </w:hyperlink>
        </w:p>
        <w:p w:rsidR="001C6C3F" w:rsidRDefault="00904AC6">
          <w:pPr>
            <w:pStyle w:val="TOC3"/>
            <w:tabs>
              <w:tab w:val="right" w:leader="dot" w:pos="9016"/>
            </w:tabs>
            <w:rPr>
              <w:rFonts w:asciiTheme="minorHAnsi" w:eastAsiaTheme="minorEastAsia" w:hAnsiTheme="minorHAnsi"/>
              <w:noProof/>
              <w:sz w:val="22"/>
              <w:lang w:eastAsia="en-NZ"/>
            </w:rPr>
          </w:pPr>
          <w:hyperlink w:anchor="_Toc509487298" w:history="1">
            <w:r w:rsidR="001C6C3F" w:rsidRPr="00686570">
              <w:rPr>
                <w:rStyle w:val="Hyperlink"/>
                <w:noProof/>
              </w:rPr>
              <w:t>3.2.1 Toxicology</w:t>
            </w:r>
            <w:r w:rsidR="001C6C3F">
              <w:rPr>
                <w:noProof/>
                <w:webHidden/>
              </w:rPr>
              <w:tab/>
            </w:r>
            <w:r w:rsidR="001C6C3F">
              <w:rPr>
                <w:noProof/>
                <w:webHidden/>
              </w:rPr>
              <w:fldChar w:fldCharType="begin"/>
            </w:r>
            <w:r w:rsidR="001C6C3F">
              <w:rPr>
                <w:noProof/>
                <w:webHidden/>
              </w:rPr>
              <w:instrText xml:space="preserve"> PAGEREF _Toc509487298 \h </w:instrText>
            </w:r>
            <w:r w:rsidR="001C6C3F">
              <w:rPr>
                <w:noProof/>
                <w:webHidden/>
              </w:rPr>
            </w:r>
            <w:r w:rsidR="001C6C3F">
              <w:rPr>
                <w:noProof/>
                <w:webHidden/>
              </w:rPr>
              <w:fldChar w:fldCharType="separate"/>
            </w:r>
            <w:r w:rsidR="001C6C3F">
              <w:rPr>
                <w:noProof/>
                <w:webHidden/>
              </w:rPr>
              <w:t>8</w:t>
            </w:r>
            <w:r w:rsidR="001C6C3F">
              <w:rPr>
                <w:noProof/>
                <w:webHidden/>
              </w:rPr>
              <w:fldChar w:fldCharType="end"/>
            </w:r>
          </w:hyperlink>
        </w:p>
        <w:p w:rsidR="001C6C3F" w:rsidRDefault="00904AC6">
          <w:pPr>
            <w:pStyle w:val="TOC3"/>
            <w:tabs>
              <w:tab w:val="right" w:leader="dot" w:pos="9016"/>
            </w:tabs>
            <w:rPr>
              <w:rFonts w:asciiTheme="minorHAnsi" w:eastAsiaTheme="minorEastAsia" w:hAnsiTheme="minorHAnsi"/>
              <w:noProof/>
              <w:sz w:val="22"/>
              <w:lang w:eastAsia="en-NZ"/>
            </w:rPr>
          </w:pPr>
          <w:hyperlink w:anchor="_Toc509487299" w:history="1">
            <w:r w:rsidR="001C6C3F" w:rsidRPr="00686570">
              <w:rPr>
                <w:rStyle w:val="Hyperlink"/>
                <w:noProof/>
              </w:rPr>
              <w:t>3.2.2 Psychoactivity</w:t>
            </w:r>
            <w:r w:rsidR="001C6C3F">
              <w:rPr>
                <w:noProof/>
                <w:webHidden/>
              </w:rPr>
              <w:tab/>
            </w:r>
            <w:r w:rsidR="001C6C3F">
              <w:rPr>
                <w:noProof/>
                <w:webHidden/>
              </w:rPr>
              <w:fldChar w:fldCharType="begin"/>
            </w:r>
            <w:r w:rsidR="001C6C3F">
              <w:rPr>
                <w:noProof/>
                <w:webHidden/>
              </w:rPr>
              <w:instrText xml:space="preserve"> PAGEREF _Toc509487299 \h </w:instrText>
            </w:r>
            <w:r w:rsidR="001C6C3F">
              <w:rPr>
                <w:noProof/>
                <w:webHidden/>
              </w:rPr>
            </w:r>
            <w:r w:rsidR="001C6C3F">
              <w:rPr>
                <w:noProof/>
                <w:webHidden/>
              </w:rPr>
              <w:fldChar w:fldCharType="separate"/>
            </w:r>
            <w:r w:rsidR="001C6C3F">
              <w:rPr>
                <w:noProof/>
                <w:webHidden/>
              </w:rPr>
              <w:t>8</w:t>
            </w:r>
            <w:r w:rsidR="001C6C3F">
              <w:rPr>
                <w:noProof/>
                <w:webHidden/>
              </w:rPr>
              <w:fldChar w:fldCharType="end"/>
            </w:r>
          </w:hyperlink>
        </w:p>
        <w:p w:rsidR="001C6C3F" w:rsidRDefault="00904AC6">
          <w:pPr>
            <w:pStyle w:val="TOC3"/>
            <w:tabs>
              <w:tab w:val="right" w:leader="dot" w:pos="9016"/>
            </w:tabs>
            <w:rPr>
              <w:rFonts w:asciiTheme="minorHAnsi" w:eastAsiaTheme="minorEastAsia" w:hAnsiTheme="minorHAnsi"/>
              <w:noProof/>
              <w:sz w:val="22"/>
              <w:lang w:eastAsia="en-NZ"/>
            </w:rPr>
          </w:pPr>
          <w:hyperlink w:anchor="_Toc509487300" w:history="1">
            <w:r w:rsidR="001C6C3F" w:rsidRPr="00686570">
              <w:rPr>
                <w:rStyle w:val="Hyperlink"/>
                <w:noProof/>
              </w:rPr>
              <w:t>3.2.3 Pharmacology</w:t>
            </w:r>
            <w:r w:rsidR="001C6C3F">
              <w:rPr>
                <w:noProof/>
                <w:webHidden/>
              </w:rPr>
              <w:tab/>
            </w:r>
            <w:r w:rsidR="001C6C3F">
              <w:rPr>
                <w:noProof/>
                <w:webHidden/>
              </w:rPr>
              <w:fldChar w:fldCharType="begin"/>
            </w:r>
            <w:r w:rsidR="001C6C3F">
              <w:rPr>
                <w:noProof/>
                <w:webHidden/>
              </w:rPr>
              <w:instrText xml:space="preserve"> PAGEREF _Toc509487300 \h </w:instrText>
            </w:r>
            <w:r w:rsidR="001C6C3F">
              <w:rPr>
                <w:noProof/>
                <w:webHidden/>
              </w:rPr>
            </w:r>
            <w:r w:rsidR="001C6C3F">
              <w:rPr>
                <w:noProof/>
                <w:webHidden/>
              </w:rPr>
              <w:fldChar w:fldCharType="separate"/>
            </w:r>
            <w:r w:rsidR="001C6C3F">
              <w:rPr>
                <w:noProof/>
                <w:webHidden/>
              </w:rPr>
              <w:t>8</w:t>
            </w:r>
            <w:r w:rsidR="001C6C3F">
              <w:rPr>
                <w:noProof/>
                <w:webHidden/>
              </w:rPr>
              <w:fldChar w:fldCharType="end"/>
            </w:r>
          </w:hyperlink>
        </w:p>
        <w:p w:rsidR="001C6C3F" w:rsidRDefault="00904AC6">
          <w:pPr>
            <w:pStyle w:val="TOC2"/>
            <w:tabs>
              <w:tab w:val="left" w:pos="880"/>
              <w:tab w:val="right" w:leader="dot" w:pos="9016"/>
            </w:tabs>
            <w:rPr>
              <w:rFonts w:asciiTheme="minorHAnsi" w:eastAsiaTheme="minorEastAsia" w:hAnsiTheme="minorHAnsi"/>
              <w:noProof/>
              <w:sz w:val="22"/>
              <w:lang w:eastAsia="en-NZ"/>
            </w:rPr>
          </w:pPr>
          <w:hyperlink w:anchor="_Toc509487301" w:history="1">
            <w:r w:rsidR="001C6C3F" w:rsidRPr="00686570">
              <w:rPr>
                <w:rStyle w:val="Hyperlink"/>
                <w:noProof/>
              </w:rPr>
              <w:t>3.3</w:t>
            </w:r>
            <w:r w:rsidR="001C6C3F">
              <w:rPr>
                <w:rFonts w:asciiTheme="minorHAnsi" w:eastAsiaTheme="minorEastAsia" w:hAnsiTheme="minorHAnsi"/>
                <w:noProof/>
                <w:sz w:val="22"/>
                <w:lang w:eastAsia="en-NZ"/>
              </w:rPr>
              <w:tab/>
            </w:r>
            <w:r w:rsidR="001C6C3F" w:rsidRPr="00686570">
              <w:rPr>
                <w:rStyle w:val="Hyperlink"/>
                <w:noProof/>
              </w:rPr>
              <w:t xml:space="preserve"> Risks to Public Health</w:t>
            </w:r>
            <w:r w:rsidR="001C6C3F">
              <w:rPr>
                <w:noProof/>
                <w:webHidden/>
              </w:rPr>
              <w:tab/>
            </w:r>
            <w:r w:rsidR="001C6C3F">
              <w:rPr>
                <w:noProof/>
                <w:webHidden/>
              </w:rPr>
              <w:fldChar w:fldCharType="begin"/>
            </w:r>
            <w:r w:rsidR="001C6C3F">
              <w:rPr>
                <w:noProof/>
                <w:webHidden/>
              </w:rPr>
              <w:instrText xml:space="preserve"> PAGEREF _Toc509487301 \h </w:instrText>
            </w:r>
            <w:r w:rsidR="001C6C3F">
              <w:rPr>
                <w:noProof/>
                <w:webHidden/>
              </w:rPr>
            </w:r>
            <w:r w:rsidR="001C6C3F">
              <w:rPr>
                <w:noProof/>
                <w:webHidden/>
              </w:rPr>
              <w:fldChar w:fldCharType="separate"/>
            </w:r>
            <w:r w:rsidR="001C6C3F">
              <w:rPr>
                <w:noProof/>
                <w:webHidden/>
              </w:rPr>
              <w:t>8</w:t>
            </w:r>
            <w:r w:rsidR="001C6C3F">
              <w:rPr>
                <w:noProof/>
                <w:webHidden/>
              </w:rPr>
              <w:fldChar w:fldCharType="end"/>
            </w:r>
          </w:hyperlink>
        </w:p>
        <w:p w:rsidR="001C6C3F" w:rsidRDefault="00904AC6">
          <w:pPr>
            <w:pStyle w:val="TOC2"/>
            <w:tabs>
              <w:tab w:val="left" w:pos="880"/>
              <w:tab w:val="right" w:leader="dot" w:pos="9016"/>
            </w:tabs>
            <w:rPr>
              <w:rFonts w:asciiTheme="minorHAnsi" w:eastAsiaTheme="minorEastAsia" w:hAnsiTheme="minorHAnsi"/>
              <w:noProof/>
              <w:sz w:val="22"/>
              <w:lang w:eastAsia="en-NZ"/>
            </w:rPr>
          </w:pPr>
          <w:hyperlink w:anchor="_Toc509487302" w:history="1">
            <w:r w:rsidR="001C6C3F" w:rsidRPr="00686570">
              <w:rPr>
                <w:rStyle w:val="Hyperlink"/>
                <w:noProof/>
              </w:rPr>
              <w:t xml:space="preserve">3.4 </w:t>
            </w:r>
            <w:r w:rsidR="001C6C3F">
              <w:rPr>
                <w:rFonts w:asciiTheme="minorHAnsi" w:eastAsiaTheme="minorEastAsia" w:hAnsiTheme="minorHAnsi"/>
                <w:noProof/>
                <w:sz w:val="22"/>
                <w:lang w:eastAsia="en-NZ"/>
              </w:rPr>
              <w:tab/>
            </w:r>
            <w:r w:rsidR="001C6C3F" w:rsidRPr="00686570">
              <w:rPr>
                <w:rStyle w:val="Hyperlink"/>
                <w:noProof/>
              </w:rPr>
              <w:t>Therapeutic Value</w:t>
            </w:r>
            <w:r w:rsidR="001C6C3F">
              <w:rPr>
                <w:noProof/>
                <w:webHidden/>
              </w:rPr>
              <w:tab/>
            </w:r>
            <w:r w:rsidR="001C6C3F">
              <w:rPr>
                <w:noProof/>
                <w:webHidden/>
              </w:rPr>
              <w:fldChar w:fldCharType="begin"/>
            </w:r>
            <w:r w:rsidR="001C6C3F">
              <w:rPr>
                <w:noProof/>
                <w:webHidden/>
              </w:rPr>
              <w:instrText xml:space="preserve"> PAGEREF _Toc509487302 \h </w:instrText>
            </w:r>
            <w:r w:rsidR="001C6C3F">
              <w:rPr>
                <w:noProof/>
                <w:webHidden/>
              </w:rPr>
            </w:r>
            <w:r w:rsidR="001C6C3F">
              <w:rPr>
                <w:noProof/>
                <w:webHidden/>
              </w:rPr>
              <w:fldChar w:fldCharType="separate"/>
            </w:r>
            <w:r w:rsidR="001C6C3F">
              <w:rPr>
                <w:noProof/>
                <w:webHidden/>
              </w:rPr>
              <w:t>9</w:t>
            </w:r>
            <w:r w:rsidR="001C6C3F">
              <w:rPr>
                <w:noProof/>
                <w:webHidden/>
              </w:rPr>
              <w:fldChar w:fldCharType="end"/>
            </w:r>
          </w:hyperlink>
        </w:p>
        <w:p w:rsidR="001C6C3F" w:rsidRDefault="00904AC6">
          <w:pPr>
            <w:pStyle w:val="TOC2"/>
            <w:tabs>
              <w:tab w:val="left" w:pos="880"/>
              <w:tab w:val="right" w:leader="dot" w:pos="9016"/>
            </w:tabs>
            <w:rPr>
              <w:rFonts w:asciiTheme="minorHAnsi" w:eastAsiaTheme="minorEastAsia" w:hAnsiTheme="minorHAnsi"/>
              <w:noProof/>
              <w:sz w:val="22"/>
              <w:lang w:eastAsia="en-NZ"/>
            </w:rPr>
          </w:pPr>
          <w:hyperlink w:anchor="_Toc509487303" w:history="1">
            <w:r w:rsidR="001C6C3F" w:rsidRPr="00686570">
              <w:rPr>
                <w:rStyle w:val="Hyperlink"/>
                <w:noProof/>
              </w:rPr>
              <w:t xml:space="preserve">3.5 </w:t>
            </w:r>
            <w:r w:rsidR="001C6C3F">
              <w:rPr>
                <w:rFonts w:asciiTheme="minorHAnsi" w:eastAsiaTheme="minorEastAsia" w:hAnsiTheme="minorHAnsi"/>
                <w:noProof/>
                <w:sz w:val="22"/>
                <w:lang w:eastAsia="en-NZ"/>
              </w:rPr>
              <w:tab/>
            </w:r>
            <w:r w:rsidR="001C6C3F" w:rsidRPr="00686570">
              <w:rPr>
                <w:rStyle w:val="Hyperlink"/>
                <w:noProof/>
              </w:rPr>
              <w:t>Potential to Cause Death</w:t>
            </w:r>
            <w:r w:rsidR="001C6C3F">
              <w:rPr>
                <w:noProof/>
                <w:webHidden/>
              </w:rPr>
              <w:tab/>
            </w:r>
            <w:r w:rsidR="001C6C3F">
              <w:rPr>
                <w:noProof/>
                <w:webHidden/>
              </w:rPr>
              <w:fldChar w:fldCharType="begin"/>
            </w:r>
            <w:r w:rsidR="001C6C3F">
              <w:rPr>
                <w:noProof/>
                <w:webHidden/>
              </w:rPr>
              <w:instrText xml:space="preserve"> PAGEREF _Toc509487303 \h </w:instrText>
            </w:r>
            <w:r w:rsidR="001C6C3F">
              <w:rPr>
                <w:noProof/>
                <w:webHidden/>
              </w:rPr>
            </w:r>
            <w:r w:rsidR="001C6C3F">
              <w:rPr>
                <w:noProof/>
                <w:webHidden/>
              </w:rPr>
              <w:fldChar w:fldCharType="separate"/>
            </w:r>
            <w:r w:rsidR="001C6C3F">
              <w:rPr>
                <w:noProof/>
                <w:webHidden/>
              </w:rPr>
              <w:t>9</w:t>
            </w:r>
            <w:r w:rsidR="001C6C3F">
              <w:rPr>
                <w:noProof/>
                <w:webHidden/>
              </w:rPr>
              <w:fldChar w:fldCharType="end"/>
            </w:r>
          </w:hyperlink>
        </w:p>
        <w:p w:rsidR="001C6C3F" w:rsidRDefault="00904AC6">
          <w:pPr>
            <w:pStyle w:val="TOC2"/>
            <w:tabs>
              <w:tab w:val="left" w:pos="880"/>
              <w:tab w:val="right" w:leader="dot" w:pos="9016"/>
            </w:tabs>
            <w:rPr>
              <w:rFonts w:asciiTheme="minorHAnsi" w:eastAsiaTheme="minorEastAsia" w:hAnsiTheme="minorHAnsi"/>
              <w:noProof/>
              <w:sz w:val="22"/>
              <w:lang w:eastAsia="en-NZ"/>
            </w:rPr>
          </w:pPr>
          <w:hyperlink w:anchor="_Toc509487304" w:history="1">
            <w:r w:rsidR="001C6C3F" w:rsidRPr="00686570">
              <w:rPr>
                <w:rStyle w:val="Hyperlink"/>
                <w:noProof/>
              </w:rPr>
              <w:t xml:space="preserve">3.6 </w:t>
            </w:r>
            <w:r w:rsidR="001C6C3F">
              <w:rPr>
                <w:rFonts w:asciiTheme="minorHAnsi" w:eastAsiaTheme="minorEastAsia" w:hAnsiTheme="minorHAnsi"/>
                <w:noProof/>
                <w:sz w:val="22"/>
                <w:lang w:eastAsia="en-NZ"/>
              </w:rPr>
              <w:tab/>
            </w:r>
            <w:r w:rsidR="001C6C3F" w:rsidRPr="00686570">
              <w:rPr>
                <w:rStyle w:val="Hyperlink"/>
                <w:noProof/>
              </w:rPr>
              <w:t>Potential for Dependence</w:t>
            </w:r>
            <w:r w:rsidR="001C6C3F">
              <w:rPr>
                <w:noProof/>
                <w:webHidden/>
              </w:rPr>
              <w:tab/>
            </w:r>
            <w:r w:rsidR="001C6C3F">
              <w:rPr>
                <w:noProof/>
                <w:webHidden/>
              </w:rPr>
              <w:fldChar w:fldCharType="begin"/>
            </w:r>
            <w:r w:rsidR="001C6C3F">
              <w:rPr>
                <w:noProof/>
                <w:webHidden/>
              </w:rPr>
              <w:instrText xml:space="preserve"> PAGEREF _Toc509487304 \h </w:instrText>
            </w:r>
            <w:r w:rsidR="001C6C3F">
              <w:rPr>
                <w:noProof/>
                <w:webHidden/>
              </w:rPr>
            </w:r>
            <w:r w:rsidR="001C6C3F">
              <w:rPr>
                <w:noProof/>
                <w:webHidden/>
              </w:rPr>
              <w:fldChar w:fldCharType="separate"/>
            </w:r>
            <w:r w:rsidR="001C6C3F">
              <w:rPr>
                <w:noProof/>
                <w:webHidden/>
              </w:rPr>
              <w:t>9</w:t>
            </w:r>
            <w:r w:rsidR="001C6C3F">
              <w:rPr>
                <w:noProof/>
                <w:webHidden/>
              </w:rPr>
              <w:fldChar w:fldCharType="end"/>
            </w:r>
          </w:hyperlink>
        </w:p>
        <w:p w:rsidR="001C6C3F" w:rsidRDefault="00904AC6">
          <w:pPr>
            <w:pStyle w:val="TOC1"/>
            <w:tabs>
              <w:tab w:val="right" w:leader="dot" w:pos="9016"/>
            </w:tabs>
            <w:rPr>
              <w:rFonts w:asciiTheme="minorHAnsi" w:eastAsiaTheme="minorEastAsia" w:hAnsiTheme="minorHAnsi"/>
              <w:noProof/>
              <w:sz w:val="22"/>
              <w:lang w:eastAsia="en-NZ"/>
            </w:rPr>
          </w:pPr>
          <w:hyperlink w:anchor="_Toc509487305" w:history="1">
            <w:r w:rsidR="001C6C3F" w:rsidRPr="00686570">
              <w:rPr>
                <w:rStyle w:val="Hyperlink"/>
                <w:noProof/>
              </w:rPr>
              <w:t>4.0 CLASSIFICATION</w:t>
            </w:r>
            <w:r w:rsidR="001C6C3F">
              <w:rPr>
                <w:noProof/>
                <w:webHidden/>
              </w:rPr>
              <w:tab/>
            </w:r>
            <w:r w:rsidR="001C6C3F">
              <w:rPr>
                <w:noProof/>
                <w:webHidden/>
              </w:rPr>
              <w:fldChar w:fldCharType="begin"/>
            </w:r>
            <w:r w:rsidR="001C6C3F">
              <w:rPr>
                <w:noProof/>
                <w:webHidden/>
              </w:rPr>
              <w:instrText xml:space="preserve"> PAGEREF _Toc509487305 \h </w:instrText>
            </w:r>
            <w:r w:rsidR="001C6C3F">
              <w:rPr>
                <w:noProof/>
                <w:webHidden/>
              </w:rPr>
            </w:r>
            <w:r w:rsidR="001C6C3F">
              <w:rPr>
                <w:noProof/>
                <w:webHidden/>
              </w:rPr>
              <w:fldChar w:fldCharType="separate"/>
            </w:r>
            <w:r w:rsidR="001C6C3F">
              <w:rPr>
                <w:noProof/>
                <w:webHidden/>
              </w:rPr>
              <w:t>10</w:t>
            </w:r>
            <w:r w:rsidR="001C6C3F">
              <w:rPr>
                <w:noProof/>
                <w:webHidden/>
              </w:rPr>
              <w:fldChar w:fldCharType="end"/>
            </w:r>
          </w:hyperlink>
        </w:p>
        <w:p w:rsidR="001C6C3F" w:rsidRDefault="00904AC6">
          <w:pPr>
            <w:pStyle w:val="TOC2"/>
            <w:tabs>
              <w:tab w:val="left" w:pos="880"/>
              <w:tab w:val="right" w:leader="dot" w:pos="9016"/>
            </w:tabs>
            <w:rPr>
              <w:rFonts w:asciiTheme="minorHAnsi" w:eastAsiaTheme="minorEastAsia" w:hAnsiTheme="minorHAnsi"/>
              <w:noProof/>
              <w:sz w:val="22"/>
              <w:lang w:eastAsia="en-NZ"/>
            </w:rPr>
          </w:pPr>
          <w:hyperlink w:anchor="_Toc509487306" w:history="1">
            <w:r w:rsidR="001C6C3F" w:rsidRPr="00686570">
              <w:rPr>
                <w:rStyle w:val="Hyperlink"/>
                <w:noProof/>
              </w:rPr>
              <w:t>4.1</w:t>
            </w:r>
            <w:r w:rsidR="001C6C3F">
              <w:rPr>
                <w:rFonts w:asciiTheme="minorHAnsi" w:eastAsiaTheme="minorEastAsia" w:hAnsiTheme="minorHAnsi"/>
                <w:noProof/>
                <w:sz w:val="22"/>
                <w:lang w:eastAsia="en-NZ"/>
              </w:rPr>
              <w:tab/>
            </w:r>
            <w:r w:rsidR="001C6C3F" w:rsidRPr="00686570">
              <w:rPr>
                <w:rStyle w:val="Hyperlink"/>
                <w:noProof/>
              </w:rPr>
              <w:t xml:space="preserve"> Classification and Regulation in New Zealand (past and present)</w:t>
            </w:r>
            <w:r w:rsidR="001C6C3F">
              <w:rPr>
                <w:noProof/>
                <w:webHidden/>
              </w:rPr>
              <w:tab/>
            </w:r>
            <w:r w:rsidR="001C6C3F">
              <w:rPr>
                <w:noProof/>
                <w:webHidden/>
              </w:rPr>
              <w:fldChar w:fldCharType="begin"/>
            </w:r>
            <w:r w:rsidR="001C6C3F">
              <w:rPr>
                <w:noProof/>
                <w:webHidden/>
              </w:rPr>
              <w:instrText xml:space="preserve"> PAGEREF _Toc509487306 \h </w:instrText>
            </w:r>
            <w:r w:rsidR="001C6C3F">
              <w:rPr>
                <w:noProof/>
                <w:webHidden/>
              </w:rPr>
            </w:r>
            <w:r w:rsidR="001C6C3F">
              <w:rPr>
                <w:noProof/>
                <w:webHidden/>
              </w:rPr>
              <w:fldChar w:fldCharType="separate"/>
            </w:r>
            <w:r w:rsidR="001C6C3F">
              <w:rPr>
                <w:noProof/>
                <w:webHidden/>
              </w:rPr>
              <w:t>10</w:t>
            </w:r>
            <w:r w:rsidR="001C6C3F">
              <w:rPr>
                <w:noProof/>
                <w:webHidden/>
              </w:rPr>
              <w:fldChar w:fldCharType="end"/>
            </w:r>
          </w:hyperlink>
        </w:p>
        <w:p w:rsidR="001C6C3F" w:rsidRDefault="00904AC6">
          <w:pPr>
            <w:pStyle w:val="TOC2"/>
            <w:tabs>
              <w:tab w:val="right" w:leader="dot" w:pos="9016"/>
            </w:tabs>
            <w:rPr>
              <w:rFonts w:asciiTheme="minorHAnsi" w:eastAsiaTheme="minorEastAsia" w:hAnsiTheme="minorHAnsi"/>
              <w:noProof/>
              <w:sz w:val="22"/>
              <w:lang w:eastAsia="en-NZ"/>
            </w:rPr>
          </w:pPr>
          <w:hyperlink w:anchor="_Toc509487307" w:history="1">
            <w:r w:rsidR="001C6C3F" w:rsidRPr="00686570">
              <w:rPr>
                <w:rStyle w:val="Hyperlink"/>
                <w:noProof/>
              </w:rPr>
              <w:t>4.2 International Classification and Experience in Other Jurisdictions</w:t>
            </w:r>
            <w:r w:rsidR="001C6C3F">
              <w:rPr>
                <w:noProof/>
                <w:webHidden/>
              </w:rPr>
              <w:tab/>
            </w:r>
            <w:r w:rsidR="001C6C3F">
              <w:rPr>
                <w:noProof/>
                <w:webHidden/>
              </w:rPr>
              <w:fldChar w:fldCharType="begin"/>
            </w:r>
            <w:r w:rsidR="001C6C3F">
              <w:rPr>
                <w:noProof/>
                <w:webHidden/>
              </w:rPr>
              <w:instrText xml:space="preserve"> PAGEREF _Toc509487307 \h </w:instrText>
            </w:r>
            <w:r w:rsidR="001C6C3F">
              <w:rPr>
                <w:noProof/>
                <w:webHidden/>
              </w:rPr>
            </w:r>
            <w:r w:rsidR="001C6C3F">
              <w:rPr>
                <w:noProof/>
                <w:webHidden/>
              </w:rPr>
              <w:fldChar w:fldCharType="separate"/>
            </w:r>
            <w:r w:rsidR="001C6C3F">
              <w:rPr>
                <w:noProof/>
                <w:webHidden/>
              </w:rPr>
              <w:t>10</w:t>
            </w:r>
            <w:r w:rsidR="001C6C3F">
              <w:rPr>
                <w:noProof/>
                <w:webHidden/>
              </w:rPr>
              <w:fldChar w:fldCharType="end"/>
            </w:r>
          </w:hyperlink>
        </w:p>
        <w:p w:rsidR="001C6C3F" w:rsidRDefault="00904AC6">
          <w:pPr>
            <w:pStyle w:val="TOC3"/>
            <w:tabs>
              <w:tab w:val="right" w:leader="dot" w:pos="9016"/>
            </w:tabs>
            <w:rPr>
              <w:rFonts w:asciiTheme="minorHAnsi" w:eastAsiaTheme="minorEastAsia" w:hAnsiTheme="minorHAnsi"/>
              <w:noProof/>
              <w:sz w:val="22"/>
              <w:lang w:eastAsia="en-NZ"/>
            </w:rPr>
          </w:pPr>
          <w:hyperlink w:anchor="_Toc509487308" w:history="1">
            <w:r w:rsidR="001C6C3F" w:rsidRPr="00686570">
              <w:rPr>
                <w:rStyle w:val="Hyperlink"/>
                <w:noProof/>
              </w:rPr>
              <w:t>Australia</w:t>
            </w:r>
            <w:r w:rsidR="001C6C3F">
              <w:rPr>
                <w:noProof/>
                <w:webHidden/>
              </w:rPr>
              <w:tab/>
            </w:r>
            <w:r w:rsidR="001C6C3F">
              <w:rPr>
                <w:noProof/>
                <w:webHidden/>
              </w:rPr>
              <w:fldChar w:fldCharType="begin"/>
            </w:r>
            <w:r w:rsidR="001C6C3F">
              <w:rPr>
                <w:noProof/>
                <w:webHidden/>
              </w:rPr>
              <w:instrText xml:space="preserve"> PAGEREF _Toc509487308 \h </w:instrText>
            </w:r>
            <w:r w:rsidR="001C6C3F">
              <w:rPr>
                <w:noProof/>
                <w:webHidden/>
              </w:rPr>
            </w:r>
            <w:r w:rsidR="001C6C3F">
              <w:rPr>
                <w:noProof/>
                <w:webHidden/>
              </w:rPr>
              <w:fldChar w:fldCharType="separate"/>
            </w:r>
            <w:r w:rsidR="001C6C3F">
              <w:rPr>
                <w:noProof/>
                <w:webHidden/>
              </w:rPr>
              <w:t>10</w:t>
            </w:r>
            <w:r w:rsidR="001C6C3F">
              <w:rPr>
                <w:noProof/>
                <w:webHidden/>
              </w:rPr>
              <w:fldChar w:fldCharType="end"/>
            </w:r>
          </w:hyperlink>
        </w:p>
        <w:p w:rsidR="001C6C3F" w:rsidRDefault="00904AC6">
          <w:pPr>
            <w:pStyle w:val="TOC3"/>
            <w:tabs>
              <w:tab w:val="right" w:leader="dot" w:pos="9016"/>
            </w:tabs>
            <w:rPr>
              <w:rFonts w:asciiTheme="minorHAnsi" w:eastAsiaTheme="minorEastAsia" w:hAnsiTheme="minorHAnsi"/>
              <w:noProof/>
              <w:sz w:val="22"/>
              <w:lang w:eastAsia="en-NZ"/>
            </w:rPr>
          </w:pPr>
          <w:hyperlink w:anchor="_Toc509487309" w:history="1">
            <w:r w:rsidR="001C6C3F" w:rsidRPr="00686570">
              <w:rPr>
                <w:rStyle w:val="Hyperlink"/>
                <w:noProof/>
              </w:rPr>
              <w:t>Canada</w:t>
            </w:r>
            <w:r w:rsidR="001C6C3F">
              <w:rPr>
                <w:noProof/>
                <w:webHidden/>
              </w:rPr>
              <w:tab/>
            </w:r>
            <w:r w:rsidR="001C6C3F">
              <w:rPr>
                <w:noProof/>
                <w:webHidden/>
              </w:rPr>
              <w:fldChar w:fldCharType="begin"/>
            </w:r>
            <w:r w:rsidR="001C6C3F">
              <w:rPr>
                <w:noProof/>
                <w:webHidden/>
              </w:rPr>
              <w:instrText xml:space="preserve"> PAGEREF _Toc509487309 \h </w:instrText>
            </w:r>
            <w:r w:rsidR="001C6C3F">
              <w:rPr>
                <w:noProof/>
                <w:webHidden/>
              </w:rPr>
            </w:r>
            <w:r w:rsidR="001C6C3F">
              <w:rPr>
                <w:noProof/>
                <w:webHidden/>
              </w:rPr>
              <w:fldChar w:fldCharType="separate"/>
            </w:r>
            <w:r w:rsidR="001C6C3F">
              <w:rPr>
                <w:noProof/>
                <w:webHidden/>
              </w:rPr>
              <w:t>11</w:t>
            </w:r>
            <w:r w:rsidR="001C6C3F">
              <w:rPr>
                <w:noProof/>
                <w:webHidden/>
              </w:rPr>
              <w:fldChar w:fldCharType="end"/>
            </w:r>
          </w:hyperlink>
        </w:p>
        <w:p w:rsidR="001C6C3F" w:rsidRDefault="00904AC6">
          <w:pPr>
            <w:pStyle w:val="TOC3"/>
            <w:tabs>
              <w:tab w:val="right" w:leader="dot" w:pos="9016"/>
            </w:tabs>
            <w:rPr>
              <w:rFonts w:asciiTheme="minorHAnsi" w:eastAsiaTheme="minorEastAsia" w:hAnsiTheme="minorHAnsi"/>
              <w:noProof/>
              <w:sz w:val="22"/>
              <w:lang w:eastAsia="en-NZ"/>
            </w:rPr>
          </w:pPr>
          <w:hyperlink w:anchor="_Toc509487310" w:history="1">
            <w:r w:rsidR="001C6C3F" w:rsidRPr="00686570">
              <w:rPr>
                <w:rStyle w:val="Hyperlink"/>
                <w:noProof/>
              </w:rPr>
              <w:t>United Kingdom</w:t>
            </w:r>
            <w:r w:rsidR="001C6C3F">
              <w:rPr>
                <w:noProof/>
                <w:webHidden/>
              </w:rPr>
              <w:tab/>
            </w:r>
            <w:r w:rsidR="001C6C3F">
              <w:rPr>
                <w:noProof/>
                <w:webHidden/>
              </w:rPr>
              <w:fldChar w:fldCharType="begin"/>
            </w:r>
            <w:r w:rsidR="001C6C3F">
              <w:rPr>
                <w:noProof/>
                <w:webHidden/>
              </w:rPr>
              <w:instrText xml:space="preserve"> PAGEREF _Toc509487310 \h </w:instrText>
            </w:r>
            <w:r w:rsidR="001C6C3F">
              <w:rPr>
                <w:noProof/>
                <w:webHidden/>
              </w:rPr>
            </w:r>
            <w:r w:rsidR="001C6C3F">
              <w:rPr>
                <w:noProof/>
                <w:webHidden/>
              </w:rPr>
              <w:fldChar w:fldCharType="separate"/>
            </w:r>
            <w:r w:rsidR="001C6C3F">
              <w:rPr>
                <w:noProof/>
                <w:webHidden/>
              </w:rPr>
              <w:t>11</w:t>
            </w:r>
            <w:r w:rsidR="001C6C3F">
              <w:rPr>
                <w:noProof/>
                <w:webHidden/>
              </w:rPr>
              <w:fldChar w:fldCharType="end"/>
            </w:r>
          </w:hyperlink>
        </w:p>
        <w:p w:rsidR="001C6C3F" w:rsidRDefault="00904AC6">
          <w:pPr>
            <w:pStyle w:val="TOC3"/>
            <w:tabs>
              <w:tab w:val="right" w:leader="dot" w:pos="9016"/>
            </w:tabs>
            <w:rPr>
              <w:rFonts w:asciiTheme="minorHAnsi" w:eastAsiaTheme="minorEastAsia" w:hAnsiTheme="minorHAnsi"/>
              <w:noProof/>
              <w:sz w:val="22"/>
              <w:lang w:eastAsia="en-NZ"/>
            </w:rPr>
          </w:pPr>
          <w:hyperlink w:anchor="_Toc509487311" w:history="1">
            <w:r w:rsidR="001C6C3F" w:rsidRPr="00686570">
              <w:rPr>
                <w:rStyle w:val="Hyperlink"/>
                <w:noProof/>
              </w:rPr>
              <w:t>Table 2: United Nations Classification</w:t>
            </w:r>
            <w:r w:rsidR="001C6C3F">
              <w:rPr>
                <w:noProof/>
                <w:webHidden/>
              </w:rPr>
              <w:tab/>
            </w:r>
            <w:r w:rsidR="001C6C3F">
              <w:rPr>
                <w:noProof/>
                <w:webHidden/>
              </w:rPr>
              <w:fldChar w:fldCharType="begin"/>
            </w:r>
            <w:r w:rsidR="001C6C3F">
              <w:rPr>
                <w:noProof/>
                <w:webHidden/>
              </w:rPr>
              <w:instrText xml:space="preserve"> PAGEREF _Toc509487311 \h </w:instrText>
            </w:r>
            <w:r w:rsidR="001C6C3F">
              <w:rPr>
                <w:noProof/>
                <w:webHidden/>
              </w:rPr>
            </w:r>
            <w:r w:rsidR="001C6C3F">
              <w:rPr>
                <w:noProof/>
                <w:webHidden/>
              </w:rPr>
              <w:fldChar w:fldCharType="separate"/>
            </w:r>
            <w:r w:rsidR="001C6C3F">
              <w:rPr>
                <w:noProof/>
                <w:webHidden/>
              </w:rPr>
              <w:t>12</w:t>
            </w:r>
            <w:r w:rsidR="001C6C3F">
              <w:rPr>
                <w:noProof/>
                <w:webHidden/>
              </w:rPr>
              <w:fldChar w:fldCharType="end"/>
            </w:r>
          </w:hyperlink>
        </w:p>
        <w:p w:rsidR="001C6C3F" w:rsidRDefault="00904AC6">
          <w:pPr>
            <w:pStyle w:val="TOC3"/>
            <w:tabs>
              <w:tab w:val="right" w:leader="dot" w:pos="9016"/>
            </w:tabs>
            <w:rPr>
              <w:rFonts w:asciiTheme="minorHAnsi" w:eastAsiaTheme="minorEastAsia" w:hAnsiTheme="minorHAnsi"/>
              <w:noProof/>
              <w:sz w:val="22"/>
              <w:lang w:eastAsia="en-NZ"/>
            </w:rPr>
          </w:pPr>
          <w:hyperlink w:anchor="_Toc509487312" w:history="1">
            <w:r w:rsidR="001C6C3F" w:rsidRPr="00686570">
              <w:rPr>
                <w:rStyle w:val="Hyperlink"/>
                <w:noProof/>
              </w:rPr>
              <w:t>New Zealand obligations under the UN Conventions</w:t>
            </w:r>
            <w:r w:rsidR="001C6C3F">
              <w:rPr>
                <w:noProof/>
                <w:webHidden/>
              </w:rPr>
              <w:tab/>
            </w:r>
            <w:r w:rsidR="001C6C3F">
              <w:rPr>
                <w:noProof/>
                <w:webHidden/>
              </w:rPr>
              <w:fldChar w:fldCharType="begin"/>
            </w:r>
            <w:r w:rsidR="001C6C3F">
              <w:rPr>
                <w:noProof/>
                <w:webHidden/>
              </w:rPr>
              <w:instrText xml:space="preserve"> PAGEREF _Toc509487312 \h </w:instrText>
            </w:r>
            <w:r w:rsidR="001C6C3F">
              <w:rPr>
                <w:noProof/>
                <w:webHidden/>
              </w:rPr>
            </w:r>
            <w:r w:rsidR="001C6C3F">
              <w:rPr>
                <w:noProof/>
                <w:webHidden/>
              </w:rPr>
              <w:fldChar w:fldCharType="separate"/>
            </w:r>
            <w:r w:rsidR="001C6C3F">
              <w:rPr>
                <w:noProof/>
                <w:webHidden/>
              </w:rPr>
              <w:t>12</w:t>
            </w:r>
            <w:r w:rsidR="001C6C3F">
              <w:rPr>
                <w:noProof/>
                <w:webHidden/>
              </w:rPr>
              <w:fldChar w:fldCharType="end"/>
            </w:r>
          </w:hyperlink>
        </w:p>
        <w:p w:rsidR="001C6C3F" w:rsidRDefault="00904AC6">
          <w:pPr>
            <w:pStyle w:val="TOC1"/>
            <w:tabs>
              <w:tab w:val="right" w:leader="dot" w:pos="9016"/>
            </w:tabs>
            <w:rPr>
              <w:rFonts w:asciiTheme="minorHAnsi" w:eastAsiaTheme="minorEastAsia" w:hAnsiTheme="minorHAnsi"/>
              <w:noProof/>
              <w:sz w:val="22"/>
              <w:lang w:eastAsia="en-NZ"/>
            </w:rPr>
          </w:pPr>
          <w:hyperlink w:anchor="_Toc509487313" w:history="1">
            <w:r w:rsidR="001C6C3F" w:rsidRPr="00686570">
              <w:rPr>
                <w:rStyle w:val="Hyperlink"/>
                <w:noProof/>
              </w:rPr>
              <w:t>5.0 OTHER RELEVANT INFORMATION</w:t>
            </w:r>
            <w:r w:rsidR="001C6C3F">
              <w:rPr>
                <w:noProof/>
                <w:webHidden/>
              </w:rPr>
              <w:tab/>
            </w:r>
            <w:r w:rsidR="001C6C3F">
              <w:rPr>
                <w:noProof/>
                <w:webHidden/>
              </w:rPr>
              <w:fldChar w:fldCharType="begin"/>
            </w:r>
            <w:r w:rsidR="001C6C3F">
              <w:rPr>
                <w:noProof/>
                <w:webHidden/>
              </w:rPr>
              <w:instrText xml:space="preserve"> PAGEREF _Toc509487313 \h </w:instrText>
            </w:r>
            <w:r w:rsidR="001C6C3F">
              <w:rPr>
                <w:noProof/>
                <w:webHidden/>
              </w:rPr>
            </w:r>
            <w:r w:rsidR="001C6C3F">
              <w:rPr>
                <w:noProof/>
                <w:webHidden/>
              </w:rPr>
              <w:fldChar w:fldCharType="separate"/>
            </w:r>
            <w:r w:rsidR="001C6C3F">
              <w:rPr>
                <w:noProof/>
                <w:webHidden/>
              </w:rPr>
              <w:t>14</w:t>
            </w:r>
            <w:r w:rsidR="001C6C3F">
              <w:rPr>
                <w:noProof/>
                <w:webHidden/>
              </w:rPr>
              <w:fldChar w:fldCharType="end"/>
            </w:r>
          </w:hyperlink>
        </w:p>
        <w:p w:rsidR="001C6C3F" w:rsidRDefault="00904AC6">
          <w:pPr>
            <w:pStyle w:val="TOC2"/>
            <w:tabs>
              <w:tab w:val="left" w:pos="880"/>
              <w:tab w:val="right" w:leader="dot" w:pos="9016"/>
            </w:tabs>
            <w:rPr>
              <w:rFonts w:asciiTheme="minorHAnsi" w:eastAsiaTheme="minorEastAsia" w:hAnsiTheme="minorHAnsi"/>
              <w:noProof/>
              <w:sz w:val="22"/>
              <w:lang w:eastAsia="en-NZ"/>
            </w:rPr>
          </w:pPr>
          <w:hyperlink w:anchor="_Toc509487314" w:history="1">
            <w:r w:rsidR="001C6C3F" w:rsidRPr="00686570">
              <w:rPr>
                <w:rStyle w:val="Hyperlink"/>
                <w:noProof/>
              </w:rPr>
              <w:t>5.1</w:t>
            </w:r>
            <w:r w:rsidR="001C6C3F">
              <w:rPr>
                <w:rFonts w:asciiTheme="minorHAnsi" w:eastAsiaTheme="minorEastAsia" w:hAnsiTheme="minorHAnsi"/>
                <w:noProof/>
                <w:sz w:val="22"/>
                <w:lang w:eastAsia="en-NZ"/>
              </w:rPr>
              <w:tab/>
            </w:r>
            <w:r w:rsidR="001C6C3F" w:rsidRPr="00686570">
              <w:rPr>
                <w:rStyle w:val="Hyperlink"/>
                <w:noProof/>
              </w:rPr>
              <w:t>Dosage/ EC</w:t>
            </w:r>
            <w:r w:rsidR="001C6C3F" w:rsidRPr="00686570">
              <w:rPr>
                <w:rStyle w:val="Hyperlink"/>
                <w:noProof/>
                <w:vertAlign w:val="subscript"/>
              </w:rPr>
              <w:t>50</w:t>
            </w:r>
            <w:r w:rsidR="001C6C3F" w:rsidRPr="00686570">
              <w:rPr>
                <w:rStyle w:val="Hyperlink"/>
                <w:noProof/>
              </w:rPr>
              <w:t xml:space="preserve"> and proposed amount for the presumption of supply</w:t>
            </w:r>
            <w:r w:rsidR="001C6C3F">
              <w:rPr>
                <w:noProof/>
                <w:webHidden/>
              </w:rPr>
              <w:tab/>
            </w:r>
            <w:r w:rsidR="001C6C3F">
              <w:rPr>
                <w:noProof/>
                <w:webHidden/>
              </w:rPr>
              <w:fldChar w:fldCharType="begin"/>
            </w:r>
            <w:r w:rsidR="001C6C3F">
              <w:rPr>
                <w:noProof/>
                <w:webHidden/>
              </w:rPr>
              <w:instrText xml:space="preserve"> PAGEREF _Toc509487314 \h </w:instrText>
            </w:r>
            <w:r w:rsidR="001C6C3F">
              <w:rPr>
                <w:noProof/>
                <w:webHidden/>
              </w:rPr>
            </w:r>
            <w:r w:rsidR="001C6C3F">
              <w:rPr>
                <w:noProof/>
                <w:webHidden/>
              </w:rPr>
              <w:fldChar w:fldCharType="separate"/>
            </w:r>
            <w:r w:rsidR="001C6C3F">
              <w:rPr>
                <w:noProof/>
                <w:webHidden/>
              </w:rPr>
              <w:t>14</w:t>
            </w:r>
            <w:r w:rsidR="001C6C3F">
              <w:rPr>
                <w:noProof/>
                <w:webHidden/>
              </w:rPr>
              <w:fldChar w:fldCharType="end"/>
            </w:r>
          </w:hyperlink>
        </w:p>
        <w:p w:rsidR="001C6C3F" w:rsidRDefault="00904AC6">
          <w:pPr>
            <w:pStyle w:val="TOC3"/>
            <w:tabs>
              <w:tab w:val="right" w:leader="dot" w:pos="9016"/>
            </w:tabs>
            <w:rPr>
              <w:rFonts w:asciiTheme="minorHAnsi" w:eastAsiaTheme="minorEastAsia" w:hAnsiTheme="minorHAnsi"/>
              <w:noProof/>
              <w:sz w:val="22"/>
              <w:lang w:eastAsia="en-NZ"/>
            </w:rPr>
          </w:pPr>
          <w:hyperlink w:anchor="_Toc509487315" w:history="1">
            <w:r w:rsidR="001C6C3F" w:rsidRPr="00686570">
              <w:rPr>
                <w:rStyle w:val="Hyperlink"/>
                <w:noProof/>
              </w:rPr>
              <w:t>Table 3: Potency, anecdotal dosage and proposed quantities for presumption of supply</w:t>
            </w:r>
            <w:r w:rsidR="001C6C3F">
              <w:rPr>
                <w:noProof/>
                <w:webHidden/>
              </w:rPr>
              <w:tab/>
            </w:r>
            <w:r w:rsidR="001C6C3F">
              <w:rPr>
                <w:noProof/>
                <w:webHidden/>
              </w:rPr>
              <w:fldChar w:fldCharType="begin"/>
            </w:r>
            <w:r w:rsidR="001C6C3F">
              <w:rPr>
                <w:noProof/>
                <w:webHidden/>
              </w:rPr>
              <w:instrText xml:space="preserve"> PAGEREF _Toc509487315 \h </w:instrText>
            </w:r>
            <w:r w:rsidR="001C6C3F">
              <w:rPr>
                <w:noProof/>
                <w:webHidden/>
              </w:rPr>
            </w:r>
            <w:r w:rsidR="001C6C3F">
              <w:rPr>
                <w:noProof/>
                <w:webHidden/>
              </w:rPr>
              <w:fldChar w:fldCharType="separate"/>
            </w:r>
            <w:r w:rsidR="001C6C3F">
              <w:rPr>
                <w:noProof/>
                <w:webHidden/>
              </w:rPr>
              <w:t>15</w:t>
            </w:r>
            <w:r w:rsidR="001C6C3F">
              <w:rPr>
                <w:noProof/>
                <w:webHidden/>
              </w:rPr>
              <w:fldChar w:fldCharType="end"/>
            </w:r>
          </w:hyperlink>
        </w:p>
        <w:p w:rsidR="001C6C3F" w:rsidRDefault="00904AC6">
          <w:pPr>
            <w:pStyle w:val="TOC2"/>
            <w:tabs>
              <w:tab w:val="left" w:pos="880"/>
              <w:tab w:val="right" w:leader="dot" w:pos="9016"/>
            </w:tabs>
            <w:rPr>
              <w:rFonts w:asciiTheme="minorHAnsi" w:eastAsiaTheme="minorEastAsia" w:hAnsiTheme="minorHAnsi"/>
              <w:noProof/>
              <w:sz w:val="22"/>
              <w:lang w:eastAsia="en-NZ"/>
            </w:rPr>
          </w:pPr>
          <w:hyperlink w:anchor="_Toc509487316" w:history="1">
            <w:r w:rsidR="001C6C3F" w:rsidRPr="00686570">
              <w:rPr>
                <w:rStyle w:val="Hyperlink"/>
                <w:noProof/>
              </w:rPr>
              <w:t xml:space="preserve">5.2 </w:t>
            </w:r>
            <w:r w:rsidR="001C6C3F">
              <w:rPr>
                <w:rFonts w:asciiTheme="minorHAnsi" w:eastAsiaTheme="minorEastAsia" w:hAnsiTheme="minorHAnsi"/>
                <w:noProof/>
                <w:sz w:val="22"/>
                <w:lang w:eastAsia="en-NZ"/>
              </w:rPr>
              <w:tab/>
            </w:r>
            <w:r w:rsidR="001C6C3F" w:rsidRPr="00686570">
              <w:rPr>
                <w:rStyle w:val="Hyperlink"/>
                <w:noProof/>
              </w:rPr>
              <w:t>Background and history of use in New Zealand</w:t>
            </w:r>
            <w:r w:rsidR="001C6C3F">
              <w:rPr>
                <w:noProof/>
                <w:webHidden/>
              </w:rPr>
              <w:tab/>
            </w:r>
            <w:r w:rsidR="001C6C3F">
              <w:rPr>
                <w:noProof/>
                <w:webHidden/>
              </w:rPr>
              <w:fldChar w:fldCharType="begin"/>
            </w:r>
            <w:r w:rsidR="001C6C3F">
              <w:rPr>
                <w:noProof/>
                <w:webHidden/>
              </w:rPr>
              <w:instrText xml:space="preserve"> PAGEREF _Toc509487316 \h </w:instrText>
            </w:r>
            <w:r w:rsidR="001C6C3F">
              <w:rPr>
                <w:noProof/>
                <w:webHidden/>
              </w:rPr>
            </w:r>
            <w:r w:rsidR="001C6C3F">
              <w:rPr>
                <w:noProof/>
                <w:webHidden/>
              </w:rPr>
              <w:fldChar w:fldCharType="separate"/>
            </w:r>
            <w:r w:rsidR="001C6C3F">
              <w:rPr>
                <w:noProof/>
                <w:webHidden/>
              </w:rPr>
              <w:t>17</w:t>
            </w:r>
            <w:r w:rsidR="001C6C3F">
              <w:rPr>
                <w:noProof/>
                <w:webHidden/>
              </w:rPr>
              <w:fldChar w:fldCharType="end"/>
            </w:r>
          </w:hyperlink>
        </w:p>
        <w:p w:rsidR="001C6C3F" w:rsidRDefault="00904AC6">
          <w:pPr>
            <w:pStyle w:val="TOC3"/>
            <w:tabs>
              <w:tab w:val="right" w:leader="dot" w:pos="9016"/>
            </w:tabs>
            <w:rPr>
              <w:rFonts w:asciiTheme="minorHAnsi" w:eastAsiaTheme="minorEastAsia" w:hAnsiTheme="minorHAnsi"/>
              <w:noProof/>
              <w:sz w:val="22"/>
              <w:lang w:eastAsia="en-NZ"/>
            </w:rPr>
          </w:pPr>
          <w:hyperlink w:anchor="_Toc509487317" w:history="1">
            <w:r w:rsidR="001C6C3F" w:rsidRPr="00686570">
              <w:rPr>
                <w:rStyle w:val="Hyperlink"/>
                <w:noProof/>
              </w:rPr>
              <w:t>Previous Temporary Class Drug Notices</w:t>
            </w:r>
            <w:r w:rsidR="001C6C3F">
              <w:rPr>
                <w:noProof/>
                <w:webHidden/>
              </w:rPr>
              <w:tab/>
            </w:r>
            <w:r w:rsidR="001C6C3F">
              <w:rPr>
                <w:noProof/>
                <w:webHidden/>
              </w:rPr>
              <w:fldChar w:fldCharType="begin"/>
            </w:r>
            <w:r w:rsidR="001C6C3F">
              <w:rPr>
                <w:noProof/>
                <w:webHidden/>
              </w:rPr>
              <w:instrText xml:space="preserve"> PAGEREF _Toc509487317 \h </w:instrText>
            </w:r>
            <w:r w:rsidR="001C6C3F">
              <w:rPr>
                <w:noProof/>
                <w:webHidden/>
              </w:rPr>
            </w:r>
            <w:r w:rsidR="001C6C3F">
              <w:rPr>
                <w:noProof/>
                <w:webHidden/>
              </w:rPr>
              <w:fldChar w:fldCharType="separate"/>
            </w:r>
            <w:r w:rsidR="001C6C3F">
              <w:rPr>
                <w:noProof/>
                <w:webHidden/>
              </w:rPr>
              <w:t>18</w:t>
            </w:r>
            <w:r w:rsidR="001C6C3F">
              <w:rPr>
                <w:noProof/>
                <w:webHidden/>
              </w:rPr>
              <w:fldChar w:fldCharType="end"/>
            </w:r>
          </w:hyperlink>
        </w:p>
        <w:p w:rsidR="001C6C3F" w:rsidRDefault="00904AC6">
          <w:pPr>
            <w:pStyle w:val="TOC3"/>
            <w:tabs>
              <w:tab w:val="right" w:leader="dot" w:pos="9016"/>
            </w:tabs>
            <w:rPr>
              <w:rFonts w:asciiTheme="minorHAnsi" w:eastAsiaTheme="minorEastAsia" w:hAnsiTheme="minorHAnsi"/>
              <w:noProof/>
              <w:sz w:val="22"/>
              <w:lang w:eastAsia="en-NZ"/>
            </w:rPr>
          </w:pPr>
          <w:hyperlink w:anchor="_Toc509487318" w:history="1">
            <w:r w:rsidR="001C6C3F" w:rsidRPr="00686570">
              <w:rPr>
                <w:rStyle w:val="Hyperlink"/>
                <w:noProof/>
                <w:lang w:eastAsia="en-GB"/>
              </w:rPr>
              <w:t>Interim Approvals</w:t>
            </w:r>
            <w:r w:rsidR="001C6C3F">
              <w:rPr>
                <w:noProof/>
                <w:webHidden/>
              </w:rPr>
              <w:tab/>
            </w:r>
            <w:r w:rsidR="001C6C3F">
              <w:rPr>
                <w:noProof/>
                <w:webHidden/>
              </w:rPr>
              <w:fldChar w:fldCharType="begin"/>
            </w:r>
            <w:r w:rsidR="001C6C3F">
              <w:rPr>
                <w:noProof/>
                <w:webHidden/>
              </w:rPr>
              <w:instrText xml:space="preserve"> PAGEREF _Toc509487318 \h </w:instrText>
            </w:r>
            <w:r w:rsidR="001C6C3F">
              <w:rPr>
                <w:noProof/>
                <w:webHidden/>
              </w:rPr>
            </w:r>
            <w:r w:rsidR="001C6C3F">
              <w:rPr>
                <w:noProof/>
                <w:webHidden/>
              </w:rPr>
              <w:fldChar w:fldCharType="separate"/>
            </w:r>
            <w:r w:rsidR="001C6C3F">
              <w:rPr>
                <w:noProof/>
                <w:webHidden/>
              </w:rPr>
              <w:t>19</w:t>
            </w:r>
            <w:r w:rsidR="001C6C3F">
              <w:rPr>
                <w:noProof/>
                <w:webHidden/>
              </w:rPr>
              <w:fldChar w:fldCharType="end"/>
            </w:r>
          </w:hyperlink>
        </w:p>
        <w:p w:rsidR="001C6C3F" w:rsidRDefault="00904AC6">
          <w:pPr>
            <w:pStyle w:val="TOC3"/>
            <w:tabs>
              <w:tab w:val="right" w:leader="dot" w:pos="9016"/>
            </w:tabs>
            <w:rPr>
              <w:rFonts w:asciiTheme="minorHAnsi" w:eastAsiaTheme="minorEastAsia" w:hAnsiTheme="minorHAnsi"/>
              <w:noProof/>
              <w:sz w:val="22"/>
              <w:lang w:eastAsia="en-NZ"/>
            </w:rPr>
          </w:pPr>
          <w:hyperlink w:anchor="_Toc509487319" w:history="1">
            <w:r w:rsidR="001C6C3F" w:rsidRPr="00686570">
              <w:rPr>
                <w:rStyle w:val="Hyperlink"/>
                <w:noProof/>
              </w:rPr>
              <w:t>Neither Temporary Class Drug Notices nor Interim Approvals</w:t>
            </w:r>
            <w:r w:rsidR="001C6C3F">
              <w:rPr>
                <w:noProof/>
                <w:webHidden/>
              </w:rPr>
              <w:tab/>
            </w:r>
            <w:r w:rsidR="001C6C3F">
              <w:rPr>
                <w:noProof/>
                <w:webHidden/>
              </w:rPr>
              <w:fldChar w:fldCharType="begin"/>
            </w:r>
            <w:r w:rsidR="001C6C3F">
              <w:rPr>
                <w:noProof/>
                <w:webHidden/>
              </w:rPr>
              <w:instrText xml:space="preserve"> PAGEREF _Toc509487319 \h </w:instrText>
            </w:r>
            <w:r w:rsidR="001C6C3F">
              <w:rPr>
                <w:noProof/>
                <w:webHidden/>
              </w:rPr>
            </w:r>
            <w:r w:rsidR="001C6C3F">
              <w:rPr>
                <w:noProof/>
                <w:webHidden/>
              </w:rPr>
              <w:fldChar w:fldCharType="separate"/>
            </w:r>
            <w:r w:rsidR="001C6C3F">
              <w:rPr>
                <w:noProof/>
                <w:webHidden/>
              </w:rPr>
              <w:t>20</w:t>
            </w:r>
            <w:r w:rsidR="001C6C3F">
              <w:rPr>
                <w:noProof/>
                <w:webHidden/>
              </w:rPr>
              <w:fldChar w:fldCharType="end"/>
            </w:r>
          </w:hyperlink>
        </w:p>
        <w:p w:rsidR="001C6C3F" w:rsidRDefault="00904AC6">
          <w:pPr>
            <w:pStyle w:val="TOC3"/>
            <w:tabs>
              <w:tab w:val="right" w:leader="dot" w:pos="9016"/>
            </w:tabs>
            <w:rPr>
              <w:rFonts w:asciiTheme="minorHAnsi" w:eastAsiaTheme="minorEastAsia" w:hAnsiTheme="minorHAnsi"/>
              <w:noProof/>
              <w:sz w:val="22"/>
              <w:lang w:eastAsia="en-NZ"/>
            </w:rPr>
          </w:pPr>
          <w:hyperlink w:anchor="_Toc509487320" w:history="1">
            <w:r w:rsidR="001C6C3F" w:rsidRPr="00686570">
              <w:rPr>
                <w:rStyle w:val="Hyperlink"/>
                <w:noProof/>
              </w:rPr>
              <w:t>Table 5: Summary of historical classification in New Zealand</w:t>
            </w:r>
            <w:r w:rsidR="001C6C3F">
              <w:rPr>
                <w:noProof/>
                <w:webHidden/>
              </w:rPr>
              <w:tab/>
            </w:r>
            <w:r w:rsidR="001C6C3F">
              <w:rPr>
                <w:noProof/>
                <w:webHidden/>
              </w:rPr>
              <w:fldChar w:fldCharType="begin"/>
            </w:r>
            <w:r w:rsidR="001C6C3F">
              <w:rPr>
                <w:noProof/>
                <w:webHidden/>
              </w:rPr>
              <w:instrText xml:space="preserve"> PAGEREF _Toc509487320 \h </w:instrText>
            </w:r>
            <w:r w:rsidR="001C6C3F">
              <w:rPr>
                <w:noProof/>
                <w:webHidden/>
              </w:rPr>
            </w:r>
            <w:r w:rsidR="001C6C3F">
              <w:rPr>
                <w:noProof/>
                <w:webHidden/>
              </w:rPr>
              <w:fldChar w:fldCharType="separate"/>
            </w:r>
            <w:r w:rsidR="001C6C3F">
              <w:rPr>
                <w:noProof/>
                <w:webHidden/>
              </w:rPr>
              <w:t>20</w:t>
            </w:r>
            <w:r w:rsidR="001C6C3F">
              <w:rPr>
                <w:noProof/>
                <w:webHidden/>
              </w:rPr>
              <w:fldChar w:fldCharType="end"/>
            </w:r>
          </w:hyperlink>
        </w:p>
        <w:p w:rsidR="001C6C3F" w:rsidRDefault="00904AC6">
          <w:pPr>
            <w:pStyle w:val="TOC2"/>
            <w:tabs>
              <w:tab w:val="left" w:pos="880"/>
              <w:tab w:val="right" w:leader="dot" w:pos="9016"/>
            </w:tabs>
            <w:rPr>
              <w:rFonts w:asciiTheme="minorHAnsi" w:eastAsiaTheme="minorEastAsia" w:hAnsiTheme="minorHAnsi"/>
              <w:noProof/>
              <w:sz w:val="22"/>
              <w:lang w:eastAsia="en-NZ"/>
            </w:rPr>
          </w:pPr>
          <w:hyperlink w:anchor="_Toc509487321" w:history="1">
            <w:r w:rsidR="001C6C3F" w:rsidRPr="00686570">
              <w:rPr>
                <w:rStyle w:val="Hyperlink"/>
                <w:noProof/>
              </w:rPr>
              <w:t xml:space="preserve">5.3 </w:t>
            </w:r>
            <w:r w:rsidR="001C6C3F">
              <w:rPr>
                <w:rFonts w:asciiTheme="minorHAnsi" w:eastAsiaTheme="minorEastAsia" w:hAnsiTheme="minorHAnsi"/>
                <w:noProof/>
                <w:sz w:val="22"/>
                <w:lang w:eastAsia="en-NZ"/>
              </w:rPr>
              <w:tab/>
            </w:r>
            <w:r w:rsidR="001C6C3F" w:rsidRPr="00686570">
              <w:rPr>
                <w:rStyle w:val="Hyperlink"/>
                <w:noProof/>
              </w:rPr>
              <w:t>Anticipated future trends</w:t>
            </w:r>
            <w:r w:rsidR="001C6C3F">
              <w:rPr>
                <w:noProof/>
                <w:webHidden/>
              </w:rPr>
              <w:tab/>
            </w:r>
            <w:r w:rsidR="001C6C3F">
              <w:rPr>
                <w:noProof/>
                <w:webHidden/>
              </w:rPr>
              <w:fldChar w:fldCharType="begin"/>
            </w:r>
            <w:r w:rsidR="001C6C3F">
              <w:rPr>
                <w:noProof/>
                <w:webHidden/>
              </w:rPr>
              <w:instrText xml:space="preserve"> PAGEREF _Toc509487321 \h </w:instrText>
            </w:r>
            <w:r w:rsidR="001C6C3F">
              <w:rPr>
                <w:noProof/>
                <w:webHidden/>
              </w:rPr>
            </w:r>
            <w:r w:rsidR="001C6C3F">
              <w:rPr>
                <w:noProof/>
                <w:webHidden/>
              </w:rPr>
              <w:fldChar w:fldCharType="separate"/>
            </w:r>
            <w:r w:rsidR="001C6C3F">
              <w:rPr>
                <w:noProof/>
                <w:webHidden/>
              </w:rPr>
              <w:t>20</w:t>
            </w:r>
            <w:r w:rsidR="001C6C3F">
              <w:rPr>
                <w:noProof/>
                <w:webHidden/>
              </w:rPr>
              <w:fldChar w:fldCharType="end"/>
            </w:r>
          </w:hyperlink>
        </w:p>
        <w:p w:rsidR="001C6C3F" w:rsidRDefault="00904AC6">
          <w:pPr>
            <w:pStyle w:val="TOC1"/>
            <w:tabs>
              <w:tab w:val="right" w:leader="dot" w:pos="9016"/>
            </w:tabs>
            <w:rPr>
              <w:rFonts w:asciiTheme="minorHAnsi" w:eastAsiaTheme="minorEastAsia" w:hAnsiTheme="minorHAnsi"/>
              <w:noProof/>
              <w:sz w:val="22"/>
              <w:lang w:eastAsia="en-NZ"/>
            </w:rPr>
          </w:pPr>
          <w:hyperlink w:anchor="_Toc509487322" w:history="1">
            <w:r w:rsidR="001C6C3F" w:rsidRPr="00686570">
              <w:rPr>
                <w:rStyle w:val="Hyperlink"/>
                <w:noProof/>
              </w:rPr>
              <w:t>6.0 CLASSIFICATION OPTIONS</w:t>
            </w:r>
            <w:r w:rsidR="001C6C3F">
              <w:rPr>
                <w:noProof/>
                <w:webHidden/>
              </w:rPr>
              <w:tab/>
            </w:r>
            <w:r w:rsidR="001C6C3F">
              <w:rPr>
                <w:noProof/>
                <w:webHidden/>
              </w:rPr>
              <w:fldChar w:fldCharType="begin"/>
            </w:r>
            <w:r w:rsidR="001C6C3F">
              <w:rPr>
                <w:noProof/>
                <w:webHidden/>
              </w:rPr>
              <w:instrText xml:space="preserve"> PAGEREF _Toc509487322 \h </w:instrText>
            </w:r>
            <w:r w:rsidR="001C6C3F">
              <w:rPr>
                <w:noProof/>
                <w:webHidden/>
              </w:rPr>
            </w:r>
            <w:r w:rsidR="001C6C3F">
              <w:rPr>
                <w:noProof/>
                <w:webHidden/>
              </w:rPr>
              <w:fldChar w:fldCharType="separate"/>
            </w:r>
            <w:r w:rsidR="001C6C3F">
              <w:rPr>
                <w:noProof/>
                <w:webHidden/>
              </w:rPr>
              <w:t>21</w:t>
            </w:r>
            <w:r w:rsidR="001C6C3F">
              <w:rPr>
                <w:noProof/>
                <w:webHidden/>
              </w:rPr>
              <w:fldChar w:fldCharType="end"/>
            </w:r>
          </w:hyperlink>
        </w:p>
        <w:p w:rsidR="001C6C3F" w:rsidRDefault="00904AC6">
          <w:pPr>
            <w:pStyle w:val="TOC3"/>
            <w:tabs>
              <w:tab w:val="right" w:leader="dot" w:pos="9016"/>
            </w:tabs>
            <w:rPr>
              <w:rFonts w:asciiTheme="minorHAnsi" w:eastAsiaTheme="minorEastAsia" w:hAnsiTheme="minorHAnsi"/>
              <w:noProof/>
              <w:sz w:val="22"/>
              <w:lang w:eastAsia="en-NZ"/>
            </w:rPr>
          </w:pPr>
          <w:hyperlink w:anchor="_Toc509487323" w:history="1">
            <w:r w:rsidR="001C6C3F" w:rsidRPr="00686570">
              <w:rPr>
                <w:rStyle w:val="Hyperlink"/>
                <w:noProof/>
              </w:rPr>
              <w:t>Table 6: Comparison of Penalties</w:t>
            </w:r>
            <w:r w:rsidR="001C6C3F">
              <w:rPr>
                <w:noProof/>
                <w:webHidden/>
              </w:rPr>
              <w:tab/>
            </w:r>
            <w:r w:rsidR="001C6C3F">
              <w:rPr>
                <w:noProof/>
                <w:webHidden/>
              </w:rPr>
              <w:fldChar w:fldCharType="begin"/>
            </w:r>
            <w:r w:rsidR="001C6C3F">
              <w:rPr>
                <w:noProof/>
                <w:webHidden/>
              </w:rPr>
              <w:instrText xml:space="preserve"> PAGEREF _Toc509487323 \h </w:instrText>
            </w:r>
            <w:r w:rsidR="001C6C3F">
              <w:rPr>
                <w:noProof/>
                <w:webHidden/>
              </w:rPr>
            </w:r>
            <w:r w:rsidR="001C6C3F">
              <w:rPr>
                <w:noProof/>
                <w:webHidden/>
              </w:rPr>
              <w:fldChar w:fldCharType="separate"/>
            </w:r>
            <w:r w:rsidR="001C6C3F">
              <w:rPr>
                <w:noProof/>
                <w:webHidden/>
              </w:rPr>
              <w:t>22</w:t>
            </w:r>
            <w:r w:rsidR="001C6C3F">
              <w:rPr>
                <w:noProof/>
                <w:webHidden/>
              </w:rPr>
              <w:fldChar w:fldCharType="end"/>
            </w:r>
          </w:hyperlink>
        </w:p>
        <w:p w:rsidR="001C6C3F" w:rsidRDefault="00904AC6">
          <w:pPr>
            <w:pStyle w:val="TOC1"/>
            <w:tabs>
              <w:tab w:val="right" w:leader="dot" w:pos="9016"/>
            </w:tabs>
            <w:rPr>
              <w:rFonts w:asciiTheme="minorHAnsi" w:eastAsiaTheme="minorEastAsia" w:hAnsiTheme="minorHAnsi"/>
              <w:noProof/>
              <w:sz w:val="22"/>
              <w:lang w:eastAsia="en-NZ"/>
            </w:rPr>
          </w:pPr>
          <w:hyperlink w:anchor="_Toc509487324" w:history="1">
            <w:r w:rsidR="001C6C3F" w:rsidRPr="00686570">
              <w:rPr>
                <w:rStyle w:val="Hyperlink"/>
                <w:noProof/>
              </w:rPr>
              <w:t>7.0 FUTURE ACTIONS</w:t>
            </w:r>
            <w:r w:rsidR="001C6C3F">
              <w:rPr>
                <w:noProof/>
                <w:webHidden/>
              </w:rPr>
              <w:tab/>
            </w:r>
            <w:r w:rsidR="001C6C3F">
              <w:rPr>
                <w:noProof/>
                <w:webHidden/>
              </w:rPr>
              <w:fldChar w:fldCharType="begin"/>
            </w:r>
            <w:r w:rsidR="001C6C3F">
              <w:rPr>
                <w:noProof/>
                <w:webHidden/>
              </w:rPr>
              <w:instrText xml:space="preserve"> PAGEREF _Toc509487324 \h </w:instrText>
            </w:r>
            <w:r w:rsidR="001C6C3F">
              <w:rPr>
                <w:noProof/>
                <w:webHidden/>
              </w:rPr>
            </w:r>
            <w:r w:rsidR="001C6C3F">
              <w:rPr>
                <w:noProof/>
                <w:webHidden/>
              </w:rPr>
              <w:fldChar w:fldCharType="separate"/>
            </w:r>
            <w:r w:rsidR="001C6C3F">
              <w:rPr>
                <w:noProof/>
                <w:webHidden/>
              </w:rPr>
              <w:t>22</w:t>
            </w:r>
            <w:r w:rsidR="001C6C3F">
              <w:rPr>
                <w:noProof/>
                <w:webHidden/>
              </w:rPr>
              <w:fldChar w:fldCharType="end"/>
            </w:r>
          </w:hyperlink>
        </w:p>
        <w:p w:rsidR="001C6C3F" w:rsidRDefault="00904AC6">
          <w:pPr>
            <w:pStyle w:val="TOC1"/>
            <w:tabs>
              <w:tab w:val="right" w:leader="dot" w:pos="9016"/>
            </w:tabs>
            <w:rPr>
              <w:rFonts w:asciiTheme="minorHAnsi" w:eastAsiaTheme="minorEastAsia" w:hAnsiTheme="minorHAnsi"/>
              <w:noProof/>
              <w:sz w:val="22"/>
              <w:lang w:eastAsia="en-NZ"/>
            </w:rPr>
          </w:pPr>
          <w:hyperlink w:anchor="_Toc509487325" w:history="1">
            <w:r w:rsidR="001C6C3F" w:rsidRPr="00686570">
              <w:rPr>
                <w:rStyle w:val="Hyperlink"/>
                <w:noProof/>
              </w:rPr>
              <w:t>8.0 REFERENCES</w:t>
            </w:r>
            <w:r w:rsidR="001C6C3F">
              <w:rPr>
                <w:noProof/>
                <w:webHidden/>
              </w:rPr>
              <w:tab/>
            </w:r>
            <w:r w:rsidR="001C6C3F">
              <w:rPr>
                <w:noProof/>
                <w:webHidden/>
              </w:rPr>
              <w:fldChar w:fldCharType="begin"/>
            </w:r>
            <w:r w:rsidR="001C6C3F">
              <w:rPr>
                <w:noProof/>
                <w:webHidden/>
              </w:rPr>
              <w:instrText xml:space="preserve"> PAGEREF _Toc509487325 \h </w:instrText>
            </w:r>
            <w:r w:rsidR="001C6C3F">
              <w:rPr>
                <w:noProof/>
                <w:webHidden/>
              </w:rPr>
            </w:r>
            <w:r w:rsidR="001C6C3F">
              <w:rPr>
                <w:noProof/>
                <w:webHidden/>
              </w:rPr>
              <w:fldChar w:fldCharType="separate"/>
            </w:r>
            <w:r w:rsidR="001C6C3F">
              <w:rPr>
                <w:noProof/>
                <w:webHidden/>
              </w:rPr>
              <w:t>23</w:t>
            </w:r>
            <w:r w:rsidR="001C6C3F">
              <w:rPr>
                <w:noProof/>
                <w:webHidden/>
              </w:rPr>
              <w:fldChar w:fldCharType="end"/>
            </w:r>
          </w:hyperlink>
        </w:p>
        <w:p w:rsidR="004C29D6" w:rsidRPr="007B594D" w:rsidRDefault="004C29D6" w:rsidP="00BB0074">
          <w:pPr>
            <w:spacing w:before="100" w:beforeAutospacing="1" w:after="100" w:afterAutospacing="1" w:line="240" w:lineRule="auto"/>
          </w:pPr>
          <w:r>
            <w:rPr>
              <w:b/>
              <w:bCs/>
              <w:noProof/>
            </w:rPr>
            <w:fldChar w:fldCharType="end"/>
          </w:r>
        </w:p>
      </w:sdtContent>
    </w:sdt>
    <w:p w:rsidR="00BB0074" w:rsidRDefault="00BB0074">
      <w:pPr>
        <w:rPr>
          <w:rFonts w:asciiTheme="majorHAnsi" w:eastAsiaTheme="majorEastAsia" w:hAnsiTheme="majorHAnsi" w:cstheme="majorBidi"/>
          <w:b/>
          <w:bCs/>
          <w:color w:val="365F91" w:themeColor="accent1" w:themeShade="BF"/>
          <w:sz w:val="28"/>
          <w:szCs w:val="28"/>
        </w:rPr>
      </w:pPr>
      <w:r>
        <w:br w:type="page"/>
      </w:r>
    </w:p>
    <w:p w:rsidR="0084217D" w:rsidRDefault="009427CF" w:rsidP="003C291D">
      <w:pPr>
        <w:pStyle w:val="Heading1"/>
        <w:numPr>
          <w:ilvl w:val="0"/>
          <w:numId w:val="8"/>
        </w:numPr>
        <w:spacing w:before="120" w:after="120" w:line="240" w:lineRule="auto"/>
        <w:jc w:val="center"/>
      </w:pPr>
      <w:bookmarkStart w:id="0" w:name="_Toc509487277"/>
      <w:r>
        <w:t>SUMMARY</w:t>
      </w:r>
      <w:bookmarkEnd w:id="0"/>
    </w:p>
    <w:p w:rsidR="009427CF" w:rsidRPr="009427CF" w:rsidRDefault="009427CF" w:rsidP="009427CF">
      <w:pPr>
        <w:pStyle w:val="Heading2"/>
        <w:numPr>
          <w:ilvl w:val="1"/>
          <w:numId w:val="32"/>
        </w:numPr>
      </w:pPr>
      <w:bookmarkStart w:id="1" w:name="_Toc509487278"/>
      <w:r>
        <w:t>Purpose</w:t>
      </w:r>
      <w:bookmarkEnd w:id="1"/>
    </w:p>
    <w:p w:rsidR="00287FE3" w:rsidRDefault="00EC5511" w:rsidP="00EC5511">
      <w:pPr>
        <w:autoSpaceDE w:val="0"/>
        <w:autoSpaceDN w:val="0"/>
        <w:adjustRightInd w:val="0"/>
        <w:spacing w:after="120" w:line="240" w:lineRule="auto"/>
        <w:rPr>
          <w:rFonts w:cs="Arial"/>
          <w:szCs w:val="24"/>
        </w:rPr>
      </w:pPr>
      <w:r>
        <w:rPr>
          <w:rFonts w:cs="Arial"/>
          <w:szCs w:val="24"/>
        </w:rPr>
        <w:t xml:space="preserve">This paper provides </w:t>
      </w:r>
      <w:r w:rsidR="004F57EF">
        <w:rPr>
          <w:rFonts w:cs="Arial"/>
          <w:szCs w:val="24"/>
        </w:rPr>
        <w:t>information on</w:t>
      </w:r>
      <w:r>
        <w:rPr>
          <w:rFonts w:cs="Arial"/>
          <w:szCs w:val="24"/>
        </w:rPr>
        <w:t xml:space="preserve"> </w:t>
      </w:r>
      <w:r w:rsidR="006A2F41">
        <w:rPr>
          <w:rFonts w:cs="Arial"/>
          <w:szCs w:val="24"/>
        </w:rPr>
        <w:t xml:space="preserve">specific </w:t>
      </w:r>
      <w:r>
        <w:rPr>
          <w:rFonts w:cs="Arial"/>
          <w:szCs w:val="24"/>
        </w:rPr>
        <w:t xml:space="preserve">synthetic cannabinoids </w:t>
      </w:r>
      <w:r w:rsidR="006A2F41">
        <w:rPr>
          <w:rFonts w:cs="Arial"/>
          <w:szCs w:val="24"/>
        </w:rPr>
        <w:t xml:space="preserve">reported to be </w:t>
      </w:r>
      <w:r w:rsidR="004F57EF">
        <w:rPr>
          <w:rFonts w:cs="Arial"/>
          <w:szCs w:val="24"/>
        </w:rPr>
        <w:t xml:space="preserve">in New Zealand </w:t>
      </w:r>
      <w:r>
        <w:rPr>
          <w:rFonts w:cs="Arial"/>
          <w:szCs w:val="24"/>
        </w:rPr>
        <w:t xml:space="preserve">and options for scheduling them under the Misuse of Drugs Act. Where available, specific information on the individual substances that has been prepared by the World Health Organization (WHO) will be provided alongside this paper. </w:t>
      </w:r>
      <w:r w:rsidR="006A2F41">
        <w:rPr>
          <w:rFonts w:cs="Arial"/>
          <w:szCs w:val="24"/>
        </w:rPr>
        <w:t>A</w:t>
      </w:r>
      <w:r>
        <w:rPr>
          <w:rFonts w:cs="Arial"/>
          <w:szCs w:val="24"/>
        </w:rPr>
        <w:t xml:space="preserve"> separate paper </w:t>
      </w:r>
      <w:r w:rsidR="004F57EF">
        <w:rPr>
          <w:rFonts w:cs="Arial"/>
          <w:szCs w:val="24"/>
        </w:rPr>
        <w:t>has been</w:t>
      </w:r>
      <w:r>
        <w:rPr>
          <w:rFonts w:cs="Arial"/>
          <w:szCs w:val="24"/>
        </w:rPr>
        <w:t xml:space="preserve"> provided on the substance</w:t>
      </w:r>
      <w:r w:rsidR="006A2F41">
        <w:rPr>
          <w:rFonts w:cs="Arial"/>
          <w:szCs w:val="24"/>
        </w:rPr>
        <w:t>s</w:t>
      </w:r>
      <w:r w:rsidR="00554A81">
        <w:rPr>
          <w:rFonts w:cs="Arial"/>
          <w:szCs w:val="24"/>
        </w:rPr>
        <w:t xml:space="preserve"> AMB-FUBINACA and AB-FUBINACA</w:t>
      </w:r>
      <w:r w:rsidR="006A2F41">
        <w:rPr>
          <w:rFonts w:cs="Arial"/>
          <w:szCs w:val="24"/>
        </w:rPr>
        <w:t xml:space="preserve"> as these have not been reviewed by the WHO</w:t>
      </w:r>
      <w:r>
        <w:rPr>
          <w:rFonts w:cs="Arial"/>
          <w:szCs w:val="24"/>
        </w:rPr>
        <w:t xml:space="preserve">. </w:t>
      </w:r>
    </w:p>
    <w:p w:rsidR="002D5FB2" w:rsidRDefault="002D5FB2" w:rsidP="00EC5511">
      <w:pPr>
        <w:autoSpaceDE w:val="0"/>
        <w:autoSpaceDN w:val="0"/>
        <w:adjustRightInd w:val="0"/>
        <w:spacing w:after="120" w:line="240" w:lineRule="auto"/>
        <w:rPr>
          <w:rFonts w:cs="Arial"/>
          <w:szCs w:val="24"/>
        </w:rPr>
      </w:pPr>
      <w:r>
        <w:rPr>
          <w:rFonts w:cs="Arial"/>
          <w:szCs w:val="24"/>
        </w:rPr>
        <w:t xml:space="preserve">The synthetic cannabinoids are being considered following a spate of deaths across New Zealand in 2017 following synthetic cannabinoid use. A handful of synthetic cannabinoids have also been scheduled </w:t>
      </w:r>
      <w:r w:rsidR="006A2F41">
        <w:rPr>
          <w:rFonts w:cs="Arial"/>
          <w:szCs w:val="24"/>
        </w:rPr>
        <w:t xml:space="preserve">under </w:t>
      </w:r>
      <w:r>
        <w:rPr>
          <w:rFonts w:cs="Arial"/>
          <w:szCs w:val="24"/>
        </w:rPr>
        <w:t xml:space="preserve">the United Nations Convention on Psychotropic Substances 1971, </w:t>
      </w:r>
      <w:r w:rsidR="00554A81">
        <w:rPr>
          <w:rFonts w:cs="Arial"/>
          <w:szCs w:val="24"/>
        </w:rPr>
        <w:t>meaning</w:t>
      </w:r>
      <w:r w:rsidR="005914CF">
        <w:rPr>
          <w:rFonts w:cs="Arial"/>
          <w:szCs w:val="24"/>
        </w:rPr>
        <w:t xml:space="preserve"> they </w:t>
      </w:r>
      <w:r w:rsidR="005914CF" w:rsidRPr="005914CF">
        <w:rPr>
          <w:rFonts w:cs="Arial"/>
          <w:szCs w:val="24"/>
        </w:rPr>
        <w:t>must be considered for scheduling in N</w:t>
      </w:r>
      <w:r w:rsidR="005914CF">
        <w:rPr>
          <w:rFonts w:cs="Arial"/>
          <w:szCs w:val="24"/>
        </w:rPr>
        <w:t xml:space="preserve">ew </w:t>
      </w:r>
      <w:r w:rsidR="005914CF" w:rsidRPr="005914CF">
        <w:rPr>
          <w:rFonts w:cs="Arial"/>
          <w:szCs w:val="24"/>
        </w:rPr>
        <w:t>Z</w:t>
      </w:r>
      <w:r w:rsidR="005914CF">
        <w:rPr>
          <w:rFonts w:cs="Arial"/>
          <w:szCs w:val="24"/>
        </w:rPr>
        <w:t>ealand</w:t>
      </w:r>
      <w:r w:rsidR="005914CF" w:rsidRPr="005914CF">
        <w:rPr>
          <w:rFonts w:cs="Arial"/>
          <w:szCs w:val="24"/>
        </w:rPr>
        <w:t xml:space="preserve"> to meet our international ob</w:t>
      </w:r>
      <w:r w:rsidR="005914CF">
        <w:rPr>
          <w:rFonts w:cs="Arial"/>
          <w:szCs w:val="24"/>
        </w:rPr>
        <w:t>ligations for the control of the</w:t>
      </w:r>
      <w:r w:rsidR="005914CF" w:rsidRPr="005914CF">
        <w:rPr>
          <w:rFonts w:cs="Arial"/>
          <w:szCs w:val="24"/>
        </w:rPr>
        <w:t>s</w:t>
      </w:r>
      <w:r w:rsidR="005914CF">
        <w:rPr>
          <w:rFonts w:cs="Arial"/>
          <w:szCs w:val="24"/>
        </w:rPr>
        <w:t>e</w:t>
      </w:r>
      <w:r w:rsidR="005914CF" w:rsidRPr="005914CF">
        <w:rPr>
          <w:rFonts w:cs="Arial"/>
          <w:szCs w:val="24"/>
        </w:rPr>
        <w:t xml:space="preserve"> substance</w:t>
      </w:r>
      <w:r w:rsidR="005914CF">
        <w:rPr>
          <w:rFonts w:cs="Arial"/>
          <w:szCs w:val="24"/>
        </w:rPr>
        <w:t>s.</w:t>
      </w:r>
      <w:r w:rsidR="00554A81">
        <w:rPr>
          <w:rFonts w:cs="Arial"/>
          <w:szCs w:val="24"/>
        </w:rPr>
        <w:t xml:space="preserve"> </w:t>
      </w:r>
    </w:p>
    <w:p w:rsidR="009427CF" w:rsidRPr="00EC5511" w:rsidRDefault="009427CF" w:rsidP="009427CF">
      <w:pPr>
        <w:pStyle w:val="Heading2"/>
        <w:numPr>
          <w:ilvl w:val="1"/>
          <w:numId w:val="32"/>
        </w:numPr>
      </w:pPr>
      <w:bookmarkStart w:id="2" w:name="_Toc509487279"/>
      <w:r>
        <w:t>Substances</w:t>
      </w:r>
      <w:bookmarkEnd w:id="2"/>
    </w:p>
    <w:p w:rsidR="00902834" w:rsidRPr="00291A0C" w:rsidRDefault="00EC5511" w:rsidP="00D92DA7">
      <w:r>
        <w:t>The synthetic cannabinoids</w:t>
      </w:r>
      <w:r w:rsidR="00902834">
        <w:t xml:space="preserve"> to</w:t>
      </w:r>
      <w:r>
        <w:t xml:space="preserve"> be</w:t>
      </w:r>
      <w:r w:rsidR="00902834">
        <w:t xml:space="preserve"> consider</w:t>
      </w:r>
      <w:r>
        <w:t>ed by the Expert Advisory Committee on Drugs (the Committee) are</w:t>
      </w:r>
      <w:r w:rsidR="00902834">
        <w:t>:</w:t>
      </w:r>
    </w:p>
    <w:p w:rsidR="00902834" w:rsidRPr="00291A0C" w:rsidRDefault="00902834" w:rsidP="00902834">
      <w:pPr>
        <w:pStyle w:val="ListParagraph"/>
        <w:numPr>
          <w:ilvl w:val="0"/>
          <w:numId w:val="19"/>
        </w:numPr>
      </w:pPr>
      <w:r w:rsidRPr="00291A0C">
        <w:t xml:space="preserve">5F-ADB (WHO </w:t>
      </w:r>
      <w:r w:rsidR="004F57EF">
        <w:t>report attached</w:t>
      </w:r>
      <w:r w:rsidRPr="00291A0C">
        <w:t>)</w:t>
      </w:r>
    </w:p>
    <w:p w:rsidR="004F57EF" w:rsidRPr="00291A0C" w:rsidRDefault="004F57EF" w:rsidP="004F57EF">
      <w:pPr>
        <w:pStyle w:val="ListParagraph"/>
        <w:numPr>
          <w:ilvl w:val="0"/>
          <w:numId w:val="19"/>
        </w:numPr>
      </w:pPr>
      <w:r>
        <w:t>UR-144</w:t>
      </w:r>
      <w:r w:rsidR="00902834" w:rsidRPr="00291A0C">
        <w:t xml:space="preserve"> </w:t>
      </w:r>
      <w:r w:rsidRPr="00291A0C">
        <w:t xml:space="preserve">(WHO </w:t>
      </w:r>
      <w:r>
        <w:t>report attached</w:t>
      </w:r>
      <w:r w:rsidRPr="00291A0C">
        <w:t>)</w:t>
      </w:r>
    </w:p>
    <w:p w:rsidR="00902834" w:rsidRPr="00291A0C" w:rsidRDefault="00902834" w:rsidP="004F57EF">
      <w:pPr>
        <w:pStyle w:val="ListParagraph"/>
        <w:numPr>
          <w:ilvl w:val="0"/>
          <w:numId w:val="19"/>
        </w:numPr>
      </w:pPr>
      <w:r w:rsidRPr="00291A0C">
        <w:t xml:space="preserve">5F-PB-22 </w:t>
      </w:r>
      <w:r w:rsidR="004F57EF" w:rsidRPr="00291A0C">
        <w:t xml:space="preserve"> (WHO </w:t>
      </w:r>
      <w:r w:rsidR="004F57EF">
        <w:t>report attached</w:t>
      </w:r>
      <w:r w:rsidR="004F57EF" w:rsidRPr="00291A0C">
        <w:t>)</w:t>
      </w:r>
    </w:p>
    <w:p w:rsidR="00902834" w:rsidRPr="00291A0C" w:rsidRDefault="00902834" w:rsidP="004F57EF">
      <w:pPr>
        <w:pStyle w:val="ListParagraph"/>
        <w:numPr>
          <w:ilvl w:val="0"/>
          <w:numId w:val="19"/>
        </w:numPr>
      </w:pPr>
      <w:r w:rsidRPr="00291A0C">
        <w:t xml:space="preserve">MDMB-CHMICA </w:t>
      </w:r>
      <w:r w:rsidR="004F57EF" w:rsidRPr="00291A0C">
        <w:t xml:space="preserve"> (WHO </w:t>
      </w:r>
      <w:r w:rsidR="004F57EF">
        <w:t>report attached</w:t>
      </w:r>
      <w:r w:rsidR="004F57EF" w:rsidRPr="00291A0C">
        <w:t>)</w:t>
      </w:r>
    </w:p>
    <w:p w:rsidR="00902834" w:rsidRPr="00291A0C" w:rsidRDefault="00902834" w:rsidP="004F57EF">
      <w:pPr>
        <w:pStyle w:val="ListParagraph"/>
        <w:numPr>
          <w:ilvl w:val="0"/>
          <w:numId w:val="19"/>
        </w:numPr>
      </w:pPr>
      <w:r w:rsidRPr="00291A0C">
        <w:t xml:space="preserve">5F-AKB-48 </w:t>
      </w:r>
      <w:r w:rsidR="004F57EF" w:rsidRPr="00291A0C">
        <w:t xml:space="preserve"> (WHO </w:t>
      </w:r>
      <w:r w:rsidR="004F57EF">
        <w:t>report attached</w:t>
      </w:r>
      <w:r w:rsidR="004F57EF" w:rsidRPr="00291A0C">
        <w:t>)</w:t>
      </w:r>
    </w:p>
    <w:p w:rsidR="00902834" w:rsidRPr="00291A0C" w:rsidRDefault="00902834" w:rsidP="004F57EF">
      <w:pPr>
        <w:pStyle w:val="ListParagraph"/>
        <w:numPr>
          <w:ilvl w:val="0"/>
          <w:numId w:val="19"/>
        </w:numPr>
      </w:pPr>
      <w:r w:rsidRPr="00291A0C">
        <w:t xml:space="preserve">XLR-11 </w:t>
      </w:r>
      <w:r w:rsidR="004F57EF" w:rsidRPr="00291A0C">
        <w:t xml:space="preserve"> (WHO </w:t>
      </w:r>
      <w:r w:rsidR="004F57EF">
        <w:t>report attached</w:t>
      </w:r>
      <w:r w:rsidR="004F57EF" w:rsidRPr="00291A0C">
        <w:t>)</w:t>
      </w:r>
    </w:p>
    <w:p w:rsidR="004F57EF" w:rsidRPr="00291A0C" w:rsidRDefault="00902834" w:rsidP="004F57EF">
      <w:pPr>
        <w:pStyle w:val="ListParagraph"/>
        <w:numPr>
          <w:ilvl w:val="0"/>
          <w:numId w:val="19"/>
        </w:numPr>
      </w:pPr>
      <w:r w:rsidRPr="00291A0C">
        <w:t xml:space="preserve">JWH-018 </w:t>
      </w:r>
      <w:r w:rsidR="004F57EF" w:rsidRPr="00291A0C">
        <w:t xml:space="preserve"> (WHO </w:t>
      </w:r>
      <w:r w:rsidR="004F57EF">
        <w:t>report attached</w:t>
      </w:r>
      <w:r w:rsidR="004F57EF" w:rsidRPr="00291A0C">
        <w:t>)</w:t>
      </w:r>
    </w:p>
    <w:p w:rsidR="00D92DA7" w:rsidRDefault="00902834" w:rsidP="004F57EF">
      <w:pPr>
        <w:pStyle w:val="ListParagraph"/>
        <w:numPr>
          <w:ilvl w:val="0"/>
          <w:numId w:val="19"/>
        </w:numPr>
      </w:pPr>
      <w:r w:rsidRPr="00291A0C">
        <w:t xml:space="preserve">AM-2201 </w:t>
      </w:r>
      <w:r w:rsidR="004F57EF" w:rsidRPr="00291A0C">
        <w:t xml:space="preserve"> (WHO </w:t>
      </w:r>
      <w:r w:rsidR="004F57EF">
        <w:t>report attached</w:t>
      </w:r>
      <w:r w:rsidR="004F57EF" w:rsidRPr="00291A0C">
        <w:t>)</w:t>
      </w:r>
    </w:p>
    <w:p w:rsidR="00D92DA7" w:rsidRPr="004F57EF" w:rsidRDefault="00D92DA7" w:rsidP="00D92DA7">
      <w:pPr>
        <w:pStyle w:val="ListParagraph"/>
        <w:numPr>
          <w:ilvl w:val="0"/>
          <w:numId w:val="19"/>
        </w:numPr>
      </w:pPr>
      <w:r w:rsidRPr="004F57EF">
        <w:t>AMB-FUBINACA (</w:t>
      </w:r>
      <w:r w:rsidR="004F57EF" w:rsidRPr="004F57EF">
        <w:t>Ministry of Health prepared report attached</w:t>
      </w:r>
      <w:r w:rsidRPr="004F57EF">
        <w:t>)</w:t>
      </w:r>
    </w:p>
    <w:p w:rsidR="00902834" w:rsidRPr="004F57EF" w:rsidRDefault="00D92DA7" w:rsidP="00D92DA7">
      <w:pPr>
        <w:pStyle w:val="ListParagraph"/>
        <w:numPr>
          <w:ilvl w:val="0"/>
          <w:numId w:val="19"/>
        </w:numPr>
      </w:pPr>
      <w:r w:rsidRPr="004F57EF">
        <w:t xml:space="preserve">AB-FUBINACA </w:t>
      </w:r>
      <w:r w:rsidR="004F57EF" w:rsidRPr="004F57EF">
        <w:t>(Ministry of Health prepared report attached)</w:t>
      </w:r>
      <w:r w:rsidR="004F57EF">
        <w:t xml:space="preserve">. </w:t>
      </w:r>
    </w:p>
    <w:p w:rsidR="009427CF" w:rsidRPr="009427CF" w:rsidRDefault="0084217D" w:rsidP="009427CF">
      <w:pPr>
        <w:pStyle w:val="Heading1"/>
        <w:numPr>
          <w:ilvl w:val="0"/>
          <w:numId w:val="8"/>
        </w:numPr>
        <w:spacing w:before="120" w:after="120" w:line="240" w:lineRule="auto"/>
        <w:jc w:val="center"/>
      </w:pPr>
      <w:bookmarkStart w:id="3" w:name="_Toc509487280"/>
      <w:r>
        <w:t>SUBSTANCE IDENTIFICATION</w:t>
      </w:r>
      <w:r w:rsidR="009427CF">
        <w:t xml:space="preserve"> AND CHEMISTRY</w:t>
      </w:r>
      <w:bookmarkEnd w:id="3"/>
    </w:p>
    <w:p w:rsidR="000B57E8" w:rsidRDefault="009427CF" w:rsidP="009427CF">
      <w:pPr>
        <w:pStyle w:val="Heading2"/>
      </w:pPr>
      <w:bookmarkStart w:id="4" w:name="_Toc509487281"/>
      <w:r>
        <w:t>2.1</w:t>
      </w:r>
      <w:r>
        <w:tab/>
        <w:t>Identification</w:t>
      </w:r>
      <w:bookmarkEnd w:id="4"/>
      <w:r w:rsidR="0084217D">
        <w:t xml:space="preserve"> </w:t>
      </w:r>
    </w:p>
    <w:p w:rsidR="009427CF" w:rsidRDefault="002D5FB2" w:rsidP="009427CF">
      <w:r>
        <w:t xml:space="preserve">Identification information can be found in the attached reports. </w:t>
      </w:r>
    </w:p>
    <w:p w:rsidR="009427CF" w:rsidRDefault="009427CF" w:rsidP="009427CF">
      <w:pPr>
        <w:pStyle w:val="Heading2"/>
      </w:pPr>
      <w:bookmarkStart w:id="5" w:name="_Toc509487282"/>
      <w:r>
        <w:t>2.</w:t>
      </w:r>
      <w:r w:rsidR="002D5FB2">
        <w:t>2</w:t>
      </w:r>
      <w:r>
        <w:t xml:space="preserve"> </w:t>
      </w:r>
      <w:r>
        <w:tab/>
        <w:t>Similarities to other substances</w:t>
      </w:r>
      <w:bookmarkEnd w:id="5"/>
    </w:p>
    <w:p w:rsidR="009427CF" w:rsidRDefault="009C58B1" w:rsidP="009427CF">
      <w:r>
        <w:t xml:space="preserve">Synthetic cannabinoids are substances which activate the CB1 and CB2 cannabinoid receptors. These receptors are the same ones that are activated by </w:t>
      </w:r>
      <w:r>
        <w:rPr>
          <w:rFonts w:cs="Arial"/>
        </w:rPr>
        <w:t>Δ</w:t>
      </w:r>
      <w:r w:rsidRPr="009C58B1">
        <w:rPr>
          <w:vertAlign w:val="superscript"/>
        </w:rPr>
        <w:t>9</w:t>
      </w:r>
      <w:r w:rsidR="003E13EB">
        <w:noBreakHyphen/>
      </w:r>
      <w:r>
        <w:t>tetrahydrocannabinol (THC)</w:t>
      </w:r>
      <w:r w:rsidR="003E13EB">
        <w:t>, the major psychoactive component of cannabis</w:t>
      </w:r>
      <w:r>
        <w:t xml:space="preserve">. </w:t>
      </w:r>
      <w:r w:rsidR="002D5FB2">
        <w:t>Activation of the CB1 receptor is responsible for the psychoactivity of cannabis and the synthetic cannabinoids. In general, synthetic cannabinoids have a much stronger affinity for the CB1 receptor when compared to THC</w:t>
      </w:r>
      <w:r w:rsidR="00D245D1">
        <w:t xml:space="preserve"> (Banister</w:t>
      </w:r>
      <w:r w:rsidR="00613F71">
        <w:t xml:space="preserve"> et al</w:t>
      </w:r>
      <w:r w:rsidR="00D245D1">
        <w:t xml:space="preserve"> 2016)</w:t>
      </w:r>
      <w:r w:rsidR="002D5FB2">
        <w:t xml:space="preserve">. This makes the effects of synthetic cannabis much stronger than the effects of natural cannabis. </w:t>
      </w:r>
    </w:p>
    <w:p w:rsidR="009427CF" w:rsidRPr="009427CF" w:rsidRDefault="007732F9" w:rsidP="009427CF">
      <w:pPr>
        <w:pStyle w:val="Heading2"/>
      </w:pPr>
      <w:bookmarkStart w:id="6" w:name="_Toc509487283"/>
      <w:r>
        <w:t>2.3</w:t>
      </w:r>
      <w:r w:rsidR="009427CF">
        <w:t xml:space="preserve"> </w:t>
      </w:r>
      <w:r w:rsidR="009427CF">
        <w:tab/>
        <w:t>Methods and ease of manufacturing</w:t>
      </w:r>
      <w:bookmarkEnd w:id="6"/>
      <w:r w:rsidR="009427CF">
        <w:t xml:space="preserve"> </w:t>
      </w:r>
    </w:p>
    <w:p w:rsidR="00565392" w:rsidRDefault="003E13EB" w:rsidP="00AD7714">
      <w:pPr>
        <w:spacing w:after="120" w:line="240" w:lineRule="auto"/>
      </w:pPr>
      <w:r>
        <w:t>In New Zealand synthetic cannabinoids are generally imported. The imported synthetic cannabinoids are dissolved in solvent and sprayed on to plant material (</w:t>
      </w:r>
      <w:r w:rsidR="00E24578">
        <w:t xml:space="preserve">such as peppermint or damiana). The </w:t>
      </w:r>
      <w:r w:rsidR="00C8157D">
        <w:t>solvent is then</w:t>
      </w:r>
      <w:r w:rsidR="00E24578">
        <w:t xml:space="preserve"> evaporate</w:t>
      </w:r>
      <w:r w:rsidR="00C8157D">
        <w:t>d</w:t>
      </w:r>
      <w:r w:rsidR="00E24578">
        <w:t xml:space="preserve"> before</w:t>
      </w:r>
      <w:r w:rsidR="00C8157D">
        <w:t xml:space="preserve"> the plant material</w:t>
      </w:r>
      <w:r w:rsidR="00E24578">
        <w:t xml:space="preserve"> </w:t>
      </w:r>
      <w:r w:rsidR="00FD35C5">
        <w:t>is</w:t>
      </w:r>
      <w:r w:rsidR="00E24578">
        <w:t xml:space="preserve"> sold as </w:t>
      </w:r>
      <w:r w:rsidR="00E24578" w:rsidRPr="00857D0A">
        <w:rPr>
          <w:u w:val="single"/>
        </w:rPr>
        <w:t>synthetic cannabis</w:t>
      </w:r>
      <w:r w:rsidR="00E24578">
        <w:t>.</w:t>
      </w:r>
      <w:r w:rsidR="00B1680B">
        <w:t xml:space="preserve"> This process is relatively simple which makes synthetic cannabis easy to produce.</w:t>
      </w:r>
      <w:r w:rsidR="00E24578">
        <w:t xml:space="preserve"> </w:t>
      </w:r>
    </w:p>
    <w:p w:rsidR="00857D0A" w:rsidRDefault="00E24578" w:rsidP="00AD7714">
      <w:pPr>
        <w:spacing w:after="120" w:line="240" w:lineRule="auto"/>
      </w:pPr>
      <w:r>
        <w:t xml:space="preserve">It is important </w:t>
      </w:r>
      <w:r w:rsidR="00C8157D">
        <w:t>to</w:t>
      </w:r>
      <w:r>
        <w:t xml:space="preserve"> note the risks in this process as it is unclear whether the number of deaths that have been seen in New Zealand are due to the synthetic cannabinoids or the manufacturing processes</w:t>
      </w:r>
      <w:r w:rsidR="00857D0A">
        <w:t xml:space="preserve"> for synthetic cannabis</w:t>
      </w:r>
      <w:r w:rsidR="006A2F41">
        <w:t>, which are uncontrolled and can result in inconsistent, poor quality and unsafe batches of product</w:t>
      </w:r>
      <w:r>
        <w:t xml:space="preserve">. </w:t>
      </w:r>
    </w:p>
    <w:p w:rsidR="00292B96" w:rsidRDefault="00A3713D" w:rsidP="00AD7714">
      <w:pPr>
        <w:spacing w:after="120" w:line="240" w:lineRule="auto"/>
      </w:pPr>
      <w:r>
        <w:t>I</w:t>
      </w:r>
      <w:r w:rsidR="00292B96">
        <w:t>n 2016</w:t>
      </w:r>
      <w:r>
        <w:t xml:space="preserve">, there was a group of synthetic cannabinoid intoxications referred to as a “zombie outbreak” in New York. </w:t>
      </w:r>
      <w:r w:rsidR="00292B96">
        <w:t xml:space="preserve"> </w:t>
      </w:r>
      <w:r>
        <w:t>One package of product with several</w:t>
      </w:r>
      <w:r w:rsidR="00292B96">
        <w:t xml:space="preserve"> </w:t>
      </w:r>
      <w:r>
        <w:t>aliquots</w:t>
      </w:r>
      <w:r w:rsidR="00292B96">
        <w:t xml:space="preserve"> of </w:t>
      </w:r>
      <w:r>
        <w:t xml:space="preserve">synthetic cannabis was obtained and the aliquots were analysed. The synthetic cannabinoid </w:t>
      </w:r>
      <w:r w:rsidR="00292B96">
        <w:t xml:space="preserve">AMB-FUBINACA </w:t>
      </w:r>
      <w:r>
        <w:t>was identified and the concentration in each aliquot ranged from 14.2 to 25.2 mg/g</w:t>
      </w:r>
      <w:r w:rsidR="005A112B">
        <w:t xml:space="preserve"> with a mean concentration of 16.0 mg/g noted</w:t>
      </w:r>
      <w:r>
        <w:t xml:space="preserve"> (Adams et al 2017)</w:t>
      </w:r>
      <w:r w:rsidR="00C8157D">
        <w:t>.</w:t>
      </w:r>
      <w:r w:rsidR="00292B96">
        <w:t xml:space="preserve"> </w:t>
      </w:r>
    </w:p>
    <w:p w:rsidR="00857D0A" w:rsidRDefault="00E24578" w:rsidP="00AD7714">
      <w:pPr>
        <w:spacing w:after="120" w:line="240" w:lineRule="auto"/>
      </w:pPr>
      <w:r>
        <w:t xml:space="preserve">In December 2017, </w:t>
      </w:r>
      <w:r w:rsidR="00292B96">
        <w:t xml:space="preserve">ESR </w:t>
      </w:r>
      <w:r>
        <w:t xml:space="preserve">produced a report on synthetic </w:t>
      </w:r>
      <w:r w:rsidR="005A112B">
        <w:t xml:space="preserve">cannabinoid </w:t>
      </w:r>
      <w:r w:rsidR="00292B96">
        <w:t xml:space="preserve">samples </w:t>
      </w:r>
      <w:r w:rsidR="006A2F41">
        <w:t xml:space="preserve">found and </w:t>
      </w:r>
      <w:r w:rsidR="00292B96">
        <w:t xml:space="preserve">tested </w:t>
      </w:r>
      <w:r w:rsidR="00CA3933">
        <w:t xml:space="preserve">in New Zealand </w:t>
      </w:r>
      <w:r w:rsidR="00292B96">
        <w:t>between May and December 2017</w:t>
      </w:r>
      <w:r w:rsidR="005A112B">
        <w:t>. They stated that AMB-FUBINACA was the synthetic cannabinoid detected most frequently and reported concentration</w:t>
      </w:r>
      <w:r w:rsidR="00493A53">
        <w:t>s</w:t>
      </w:r>
      <w:r w:rsidR="005A112B">
        <w:t xml:space="preserve"> of AMB-FUBINACA on plant material</w:t>
      </w:r>
      <w:r w:rsidR="00292B96">
        <w:t xml:space="preserve"> from 7 to 417 </w:t>
      </w:r>
      <w:r w:rsidR="005A112B">
        <w:t>mg/</w:t>
      </w:r>
      <w:r w:rsidR="00292B96">
        <w:t xml:space="preserve">g. </w:t>
      </w:r>
      <w:r w:rsidR="005A112B">
        <w:t>They further noted that 75% of the samples analysed had concentrations above the mean</w:t>
      </w:r>
      <w:r w:rsidR="00CE1190">
        <w:t xml:space="preserve"> </w:t>
      </w:r>
      <w:r w:rsidR="005A112B">
        <w:t xml:space="preserve">16 mg/g noted in the New York outbreak and </w:t>
      </w:r>
      <w:r w:rsidR="00CE1190">
        <w:t xml:space="preserve">that </w:t>
      </w:r>
      <w:r w:rsidR="005A112B">
        <w:t>10% of the samples had more than 10 times this strength</w:t>
      </w:r>
      <w:r w:rsidR="00857D0A">
        <w:t xml:space="preserve"> (ESR 2017)</w:t>
      </w:r>
      <w:r w:rsidR="005A112B">
        <w:t xml:space="preserve">. </w:t>
      </w:r>
    </w:p>
    <w:p w:rsidR="00292B96" w:rsidRDefault="00292B96" w:rsidP="00AD7714">
      <w:pPr>
        <w:spacing w:after="120" w:line="240" w:lineRule="auto"/>
      </w:pPr>
      <w:r>
        <w:t>It is possible that it is the variability</w:t>
      </w:r>
      <w:r w:rsidR="005A112B">
        <w:t xml:space="preserve"> in manufacturing of synthetic cannabis and the resulting high concentration of synthetic cannabinoid</w:t>
      </w:r>
      <w:r w:rsidR="00857D0A">
        <w:t>s</w:t>
      </w:r>
      <w:r w:rsidR="005A112B">
        <w:t xml:space="preserve"> in </w:t>
      </w:r>
      <w:r>
        <w:t>samples</w:t>
      </w:r>
      <w:r w:rsidR="005A112B">
        <w:t xml:space="preserve"> </w:t>
      </w:r>
      <w:r w:rsidR="00857D0A">
        <w:t xml:space="preserve">that </w:t>
      </w:r>
      <w:r w:rsidR="005A112B">
        <w:t>is</w:t>
      </w:r>
      <w:r>
        <w:t xml:space="preserve"> leading to the risk to public health more than the potency of these synthetic cannabinoids. </w:t>
      </w:r>
    </w:p>
    <w:p w:rsidR="00857D0A" w:rsidRDefault="00857D0A" w:rsidP="00AD7714">
      <w:pPr>
        <w:spacing w:after="120" w:line="240" w:lineRule="auto"/>
      </w:pPr>
      <w:r>
        <w:t>Some o</w:t>
      </w:r>
      <w:r w:rsidR="00292B96">
        <w:t xml:space="preserve">ther risks </w:t>
      </w:r>
      <w:r>
        <w:t>associated with</w:t>
      </w:r>
      <w:r w:rsidR="00292B96">
        <w:t xml:space="preserve"> this manufacturing method include</w:t>
      </w:r>
      <w:r>
        <w:t>:</w:t>
      </w:r>
    </w:p>
    <w:p w:rsidR="00857D0A" w:rsidRDefault="00292B96" w:rsidP="00857D0A">
      <w:pPr>
        <w:pStyle w:val="ListParagraph"/>
        <w:numPr>
          <w:ilvl w:val="0"/>
          <w:numId w:val="34"/>
        </w:numPr>
        <w:spacing w:after="120" w:line="240" w:lineRule="auto"/>
      </w:pPr>
      <w:r>
        <w:t xml:space="preserve">the possibility of low-grade solvents which contain other </w:t>
      </w:r>
      <w:r w:rsidR="00857D0A">
        <w:t>contaminants being used in the synthesis</w:t>
      </w:r>
    </w:p>
    <w:p w:rsidR="00857D0A" w:rsidRDefault="00292B96" w:rsidP="00857D0A">
      <w:pPr>
        <w:pStyle w:val="ListParagraph"/>
        <w:numPr>
          <w:ilvl w:val="0"/>
          <w:numId w:val="34"/>
        </w:numPr>
        <w:spacing w:after="120" w:line="240" w:lineRule="auto"/>
      </w:pPr>
      <w:r>
        <w:t>pesticides and other substances being present on the plant material used</w:t>
      </w:r>
      <w:r w:rsidR="00857D0A">
        <w:t>,</w:t>
      </w:r>
      <w:r>
        <w:t xml:space="preserve"> and</w:t>
      </w:r>
    </w:p>
    <w:p w:rsidR="009427CF" w:rsidRDefault="00292B96" w:rsidP="009C7780">
      <w:pPr>
        <w:pStyle w:val="ListParagraph"/>
        <w:numPr>
          <w:ilvl w:val="0"/>
          <w:numId w:val="34"/>
        </w:numPr>
        <w:spacing w:after="120" w:line="240" w:lineRule="auto"/>
      </w:pPr>
      <w:r>
        <w:t xml:space="preserve">mould being present on the plant material used. </w:t>
      </w:r>
      <w:r w:rsidR="00867989">
        <w:br w:type="page"/>
      </w:r>
    </w:p>
    <w:p w:rsidR="009427CF" w:rsidRPr="00A856F3" w:rsidRDefault="009427CF" w:rsidP="009427CF">
      <w:pPr>
        <w:pStyle w:val="Heading1"/>
        <w:spacing w:before="0" w:after="120" w:line="240" w:lineRule="auto"/>
        <w:jc w:val="center"/>
      </w:pPr>
      <w:bookmarkStart w:id="7" w:name="_Toc509487284"/>
      <w:r>
        <w:t>3.0 RISK OF HARM</w:t>
      </w:r>
      <w:bookmarkEnd w:id="7"/>
    </w:p>
    <w:p w:rsidR="009427CF" w:rsidRDefault="009427CF" w:rsidP="009427CF">
      <w:pPr>
        <w:pStyle w:val="Heading2"/>
        <w:spacing w:before="0" w:beforeAutospacing="0" w:after="120" w:afterAutospacing="0"/>
      </w:pPr>
      <w:bookmarkStart w:id="8" w:name="_Toc509487285"/>
      <w:r>
        <w:t>3</w:t>
      </w:r>
      <w:r w:rsidRPr="00DD0E97">
        <w:t>.</w:t>
      </w:r>
      <w:r>
        <w:t>1</w:t>
      </w:r>
      <w:r>
        <w:tab/>
      </w:r>
      <w:r w:rsidRPr="00DD0E97">
        <w:t xml:space="preserve"> </w:t>
      </w:r>
      <w:r w:rsidR="000B4BD0" w:rsidRPr="000B4BD0">
        <w:t xml:space="preserve">Likelihood </w:t>
      </w:r>
      <w:r w:rsidR="00493A53">
        <w:t xml:space="preserve">or </w:t>
      </w:r>
      <w:r w:rsidR="000B4BD0" w:rsidRPr="000B4BD0">
        <w:t>evidence of abuse including such matters as the prevalence of the drug, levels of consumption, drug seizure trends, and the potential appeal to vulnerable populations</w:t>
      </w:r>
      <w:bookmarkEnd w:id="8"/>
    </w:p>
    <w:p w:rsidR="009427CF" w:rsidRDefault="007732F9" w:rsidP="007732F9">
      <w:r>
        <w:t>Synthetic cannabinoids are available throughout New Zealand.</w:t>
      </w:r>
      <w:r w:rsidR="00310D52">
        <w:t xml:space="preserve"> Seizure data and media reports on addicted individuals and hospitalisations indicate that synthetic cannabinoids are highly addictive and easily accessible throughout New Zealand. </w:t>
      </w:r>
      <w:r w:rsidR="000B4BD0" w:rsidRPr="000B4BD0">
        <w:t xml:space="preserve">As synthetic cannabinoids are </w:t>
      </w:r>
      <w:r w:rsidR="006A2F41" w:rsidRPr="000B4BD0">
        <w:t>very potent</w:t>
      </w:r>
      <w:r w:rsidR="006A2F41">
        <w:t xml:space="preserve"> and</w:t>
      </w:r>
      <w:r w:rsidR="006A2F41" w:rsidRPr="000B4BD0">
        <w:t xml:space="preserve"> </w:t>
      </w:r>
      <w:r w:rsidR="000B4BD0" w:rsidRPr="000B4BD0">
        <w:t>relatively cheap to buy</w:t>
      </w:r>
      <w:r w:rsidR="006A2F41">
        <w:t>,</w:t>
      </w:r>
      <w:r w:rsidR="000B4BD0" w:rsidRPr="000B4BD0">
        <w:t xml:space="preserve"> synthetic cannabis is relatively cheap to produce. </w:t>
      </w:r>
      <w:r w:rsidR="000B4BD0">
        <w:t>This means that, a</w:t>
      </w:r>
      <w:r w:rsidR="00310D52">
        <w:t xml:space="preserve">s well as being easily accessible, synthetic cannabinoids </w:t>
      </w:r>
      <w:r w:rsidR="00AA3B22">
        <w:t xml:space="preserve">are </w:t>
      </w:r>
      <w:r w:rsidR="00310D52">
        <w:t>cheaper</w:t>
      </w:r>
      <w:r w:rsidR="003C1BD9">
        <w:t xml:space="preserve"> to buy</w:t>
      </w:r>
      <w:r w:rsidR="00310D52">
        <w:t xml:space="preserve"> than </w:t>
      </w:r>
      <w:r w:rsidR="003C1BD9">
        <w:t xml:space="preserve">natural </w:t>
      </w:r>
      <w:r w:rsidR="00310D52">
        <w:t xml:space="preserve">cannabis, </w:t>
      </w:r>
      <w:r w:rsidR="006A2F41">
        <w:t xml:space="preserve">and </w:t>
      </w:r>
      <w:r w:rsidR="00310D52">
        <w:t>this makes them potentially appealing to vulnerable p</w:t>
      </w:r>
      <w:r w:rsidR="003C1BD9">
        <w:t>opulations such as young, poor</w:t>
      </w:r>
      <w:r w:rsidR="00310D52">
        <w:t xml:space="preserve"> and homeless populations. </w:t>
      </w:r>
    </w:p>
    <w:p w:rsidR="000B4BD0" w:rsidRDefault="000B4BD0" w:rsidP="007732F9">
      <w:r w:rsidRPr="000B4BD0">
        <w:t>The WHO Questionnaire for Review of Psychoactive Substances for 5F-ADB</w:t>
      </w:r>
      <w:r w:rsidR="00B31CA8">
        <w:t>,</w:t>
      </w:r>
      <w:r w:rsidR="0060361C">
        <w:t xml:space="preserve"> MDMB-CHMICA</w:t>
      </w:r>
      <w:r w:rsidR="00B31CA8">
        <w:t>, 5F-AKB-48 and XLR-11</w:t>
      </w:r>
      <w:r w:rsidR="002F711A">
        <w:t xml:space="preserve"> (attached to this report)</w:t>
      </w:r>
      <w:r w:rsidRPr="000B4BD0">
        <w:t xml:space="preserve"> </w:t>
      </w:r>
      <w:r w:rsidR="006A2F41">
        <w:t>listed</w:t>
      </w:r>
      <w:r w:rsidR="006A2F41" w:rsidRPr="000B4BD0">
        <w:t xml:space="preserve"> </w:t>
      </w:r>
      <w:r w:rsidRPr="000B4BD0">
        <w:t>specific subpopulations known to misuse the substance</w:t>
      </w:r>
      <w:r w:rsidR="00B31CA8">
        <w:t>. Overall, these populations</w:t>
      </w:r>
      <w:r w:rsidR="0060361C">
        <w:t xml:space="preserve"> included</w:t>
      </w:r>
      <w:r w:rsidRPr="000B4BD0">
        <w:t xml:space="preserve"> </w:t>
      </w:r>
      <w:r w:rsidR="006A2F41">
        <w:t xml:space="preserve">the </w:t>
      </w:r>
      <w:r w:rsidR="0060361C">
        <w:t xml:space="preserve">homeless, </w:t>
      </w:r>
      <w:r w:rsidRPr="000B4BD0">
        <w:t>priso</w:t>
      </w:r>
      <w:r w:rsidR="0060361C">
        <w:t>ners</w:t>
      </w:r>
      <w:r>
        <w:t xml:space="preserve">, </w:t>
      </w:r>
      <w:r w:rsidR="0060361C">
        <w:t>cannabis users,</w:t>
      </w:r>
      <w:r w:rsidRPr="000B4BD0">
        <w:t xml:space="preserve"> young people</w:t>
      </w:r>
      <w:r w:rsidR="0060361C">
        <w:t>, schools, known drug consumers and party-goers</w:t>
      </w:r>
      <w:r w:rsidRPr="000B4BD0">
        <w:t>.</w:t>
      </w:r>
    </w:p>
    <w:p w:rsidR="00E17BB2" w:rsidRDefault="00565392" w:rsidP="00E17BB2">
      <w:pPr>
        <w:pStyle w:val="Heading3"/>
      </w:pPr>
      <w:bookmarkStart w:id="9" w:name="_Toc509487286"/>
      <w:r>
        <w:t xml:space="preserve">Table 1: </w:t>
      </w:r>
      <w:r w:rsidR="00E17BB2">
        <w:t>New Zealand Police</w:t>
      </w:r>
      <w:r w:rsidR="000D0FB1">
        <w:t xml:space="preserve"> and Customs Service</w:t>
      </w:r>
      <w:r w:rsidR="00E17BB2">
        <w:t xml:space="preserve"> seizures for synthetic cannabinoids</w:t>
      </w:r>
      <w:bookmarkEnd w:id="9"/>
    </w:p>
    <w:tbl>
      <w:tblPr>
        <w:tblStyle w:val="TableGrid"/>
        <w:tblW w:w="8784" w:type="dxa"/>
        <w:tblLayout w:type="fixed"/>
        <w:tblLook w:val="04A0" w:firstRow="1" w:lastRow="0" w:firstColumn="1" w:lastColumn="0" w:noHBand="0" w:noVBand="1"/>
      </w:tblPr>
      <w:tblGrid>
        <w:gridCol w:w="2405"/>
        <w:gridCol w:w="2552"/>
        <w:gridCol w:w="1417"/>
        <w:gridCol w:w="1134"/>
        <w:gridCol w:w="1276"/>
      </w:tblGrid>
      <w:tr w:rsidR="0023157A" w:rsidRPr="00B52D6B" w:rsidTr="00791761">
        <w:trPr>
          <w:trHeight w:val="278"/>
        </w:trPr>
        <w:tc>
          <w:tcPr>
            <w:tcW w:w="2405" w:type="dxa"/>
            <w:vMerge w:val="restart"/>
            <w:tcBorders>
              <w:top w:val="single" w:sz="4" w:space="0" w:color="auto"/>
              <w:left w:val="single" w:sz="4" w:space="0" w:color="auto"/>
              <w:right w:val="single" w:sz="4" w:space="0" w:color="auto"/>
            </w:tcBorders>
            <w:shd w:val="clear" w:color="auto" w:fill="D9D9D9" w:themeFill="background1" w:themeFillShade="D9"/>
          </w:tcPr>
          <w:p w:rsidR="0023157A" w:rsidRPr="00B52D6B" w:rsidRDefault="0023157A" w:rsidP="009C7780">
            <w:pPr>
              <w:rPr>
                <w:b/>
              </w:rPr>
            </w:pPr>
            <w:r w:rsidRPr="00B52D6B">
              <w:rPr>
                <w:b/>
              </w:rPr>
              <w:t>Substance</w:t>
            </w:r>
          </w:p>
        </w:tc>
        <w:tc>
          <w:tcPr>
            <w:tcW w:w="2552" w:type="dxa"/>
            <w:vMerge w:val="restart"/>
            <w:tcBorders>
              <w:top w:val="single" w:sz="4" w:space="0" w:color="auto"/>
              <w:left w:val="single" w:sz="4" w:space="0" w:color="auto"/>
              <w:right w:val="single" w:sz="4" w:space="0" w:color="auto"/>
            </w:tcBorders>
            <w:shd w:val="clear" w:color="auto" w:fill="D9D9D9" w:themeFill="background1" w:themeFillShade="D9"/>
          </w:tcPr>
          <w:p w:rsidR="0023157A" w:rsidRPr="00B52D6B" w:rsidRDefault="0023157A" w:rsidP="009C7780">
            <w:pPr>
              <w:rPr>
                <w:b/>
              </w:rPr>
            </w:pPr>
            <w:r>
              <w:rPr>
                <w:b/>
              </w:rPr>
              <w:t>Number of seizures (total 2013-2017)</w:t>
            </w:r>
          </w:p>
        </w:tc>
        <w:tc>
          <w:tcPr>
            <w:tcW w:w="382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3157A" w:rsidRDefault="0023157A" w:rsidP="009C7780">
            <w:pPr>
              <w:rPr>
                <w:b/>
              </w:rPr>
            </w:pPr>
            <w:r>
              <w:rPr>
                <w:b/>
              </w:rPr>
              <w:t>Total quantity seized</w:t>
            </w:r>
          </w:p>
        </w:tc>
      </w:tr>
      <w:tr w:rsidR="00D44E25" w:rsidRPr="00B52D6B" w:rsidTr="00791761">
        <w:trPr>
          <w:trHeight w:val="277"/>
        </w:trPr>
        <w:tc>
          <w:tcPr>
            <w:tcW w:w="2405" w:type="dxa"/>
            <w:vMerge/>
            <w:tcBorders>
              <w:left w:val="single" w:sz="4" w:space="0" w:color="auto"/>
              <w:bottom w:val="single" w:sz="4" w:space="0" w:color="auto"/>
              <w:right w:val="single" w:sz="4" w:space="0" w:color="auto"/>
            </w:tcBorders>
            <w:shd w:val="clear" w:color="auto" w:fill="D9D9D9" w:themeFill="background1" w:themeFillShade="D9"/>
          </w:tcPr>
          <w:p w:rsidR="00D44E25" w:rsidRPr="00B52D6B" w:rsidRDefault="00D44E25" w:rsidP="009C7780">
            <w:pPr>
              <w:rPr>
                <w:b/>
              </w:rPr>
            </w:pPr>
          </w:p>
        </w:tc>
        <w:tc>
          <w:tcPr>
            <w:tcW w:w="2552" w:type="dxa"/>
            <w:vMerge/>
            <w:tcBorders>
              <w:left w:val="single" w:sz="4" w:space="0" w:color="auto"/>
              <w:bottom w:val="single" w:sz="4" w:space="0" w:color="auto"/>
              <w:right w:val="single" w:sz="4" w:space="0" w:color="auto"/>
            </w:tcBorders>
            <w:shd w:val="clear" w:color="auto" w:fill="D9D9D9" w:themeFill="background1" w:themeFillShade="D9"/>
          </w:tcPr>
          <w:p w:rsidR="00D44E25" w:rsidRDefault="00D44E25" w:rsidP="009C7780">
            <w:pPr>
              <w:rPr>
                <w:b/>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44E25" w:rsidRDefault="00D44E25" w:rsidP="0023157A">
            <w:pPr>
              <w:rPr>
                <w:b/>
              </w:rPr>
            </w:pPr>
            <w:r>
              <w:rPr>
                <w:b/>
              </w:rPr>
              <w:t>Powder</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44E25" w:rsidRDefault="00D44E25" w:rsidP="0023157A">
            <w:pPr>
              <w:rPr>
                <w:b/>
              </w:rPr>
            </w:pPr>
            <w:r>
              <w:rPr>
                <w:b/>
              </w:rPr>
              <w:t>Leaf</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44E25" w:rsidRDefault="00D44E25" w:rsidP="009C7780">
            <w:pPr>
              <w:rPr>
                <w:b/>
              </w:rPr>
            </w:pPr>
            <w:r>
              <w:rPr>
                <w:b/>
              </w:rPr>
              <w:t>Liquid</w:t>
            </w:r>
          </w:p>
        </w:tc>
      </w:tr>
      <w:tr w:rsidR="00D44E25" w:rsidTr="00E17BB2">
        <w:tc>
          <w:tcPr>
            <w:tcW w:w="2405" w:type="dxa"/>
            <w:shd w:val="clear" w:color="auto" w:fill="auto"/>
            <w:hideMark/>
          </w:tcPr>
          <w:p w:rsidR="00D44E25" w:rsidRPr="00B52D6B" w:rsidRDefault="00D44E25" w:rsidP="009C7780">
            <w:r w:rsidRPr="00B52D6B">
              <w:t xml:space="preserve">5F-ADB </w:t>
            </w:r>
          </w:p>
        </w:tc>
        <w:tc>
          <w:tcPr>
            <w:tcW w:w="2552" w:type="dxa"/>
            <w:shd w:val="clear" w:color="auto" w:fill="auto"/>
          </w:tcPr>
          <w:p w:rsidR="00D44E25" w:rsidRDefault="00D44E25" w:rsidP="009C7780">
            <w:r>
              <w:t>35</w:t>
            </w:r>
          </w:p>
        </w:tc>
        <w:tc>
          <w:tcPr>
            <w:tcW w:w="1417" w:type="dxa"/>
          </w:tcPr>
          <w:p w:rsidR="00D44E25" w:rsidRDefault="00D44E25" w:rsidP="00D44E25">
            <w:r>
              <w:t xml:space="preserve">919.7 g </w:t>
            </w:r>
          </w:p>
        </w:tc>
        <w:tc>
          <w:tcPr>
            <w:tcW w:w="1134" w:type="dxa"/>
          </w:tcPr>
          <w:p w:rsidR="00D44E25" w:rsidRDefault="00D44E25" w:rsidP="009C7780">
            <w:r>
              <w:t>-</w:t>
            </w:r>
          </w:p>
        </w:tc>
        <w:tc>
          <w:tcPr>
            <w:tcW w:w="1276" w:type="dxa"/>
          </w:tcPr>
          <w:p w:rsidR="00D44E25" w:rsidRDefault="00D44E25" w:rsidP="009C7780">
            <w:r>
              <w:t>14 mL</w:t>
            </w:r>
          </w:p>
        </w:tc>
      </w:tr>
      <w:tr w:rsidR="00D44E25" w:rsidTr="00E17BB2">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D44E25" w:rsidRPr="00B52D6B" w:rsidRDefault="00D44E25" w:rsidP="009C7780">
            <w:r w:rsidRPr="00B52D6B">
              <w:t>UR-144</w:t>
            </w:r>
          </w:p>
        </w:tc>
        <w:tc>
          <w:tcPr>
            <w:tcW w:w="2552" w:type="dxa"/>
            <w:tcBorders>
              <w:top w:val="single" w:sz="4" w:space="0" w:color="auto"/>
              <w:left w:val="single" w:sz="4" w:space="0" w:color="auto"/>
              <w:bottom w:val="single" w:sz="4" w:space="0" w:color="auto"/>
            </w:tcBorders>
            <w:shd w:val="clear" w:color="auto" w:fill="auto"/>
          </w:tcPr>
          <w:p w:rsidR="00D44E25" w:rsidRDefault="00D44E25" w:rsidP="009C7780">
            <w:r>
              <w:t>3</w:t>
            </w:r>
          </w:p>
        </w:tc>
        <w:tc>
          <w:tcPr>
            <w:tcW w:w="1417" w:type="dxa"/>
          </w:tcPr>
          <w:p w:rsidR="00D44E25" w:rsidRDefault="00D44E25" w:rsidP="00D44E25">
            <w:r>
              <w:t xml:space="preserve">7.08 g </w:t>
            </w:r>
          </w:p>
        </w:tc>
        <w:tc>
          <w:tcPr>
            <w:tcW w:w="1134" w:type="dxa"/>
          </w:tcPr>
          <w:p w:rsidR="00D44E25" w:rsidRDefault="00D44E25" w:rsidP="00D44E25">
            <w:r>
              <w:t xml:space="preserve">1 g </w:t>
            </w:r>
          </w:p>
        </w:tc>
        <w:tc>
          <w:tcPr>
            <w:tcW w:w="1276" w:type="dxa"/>
          </w:tcPr>
          <w:p w:rsidR="00D44E25" w:rsidRDefault="00D44E25" w:rsidP="009C7780">
            <w:r>
              <w:t>-</w:t>
            </w:r>
          </w:p>
        </w:tc>
      </w:tr>
      <w:tr w:rsidR="00D44E25" w:rsidTr="00E17BB2">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D44E25" w:rsidRPr="00B52D6B" w:rsidRDefault="00D44E25" w:rsidP="009C7780">
            <w:r w:rsidRPr="00B52D6B">
              <w:t>5F-PB-22</w:t>
            </w:r>
          </w:p>
        </w:tc>
        <w:tc>
          <w:tcPr>
            <w:tcW w:w="2552" w:type="dxa"/>
            <w:tcBorders>
              <w:top w:val="single" w:sz="4" w:space="0" w:color="auto"/>
              <w:left w:val="single" w:sz="4" w:space="0" w:color="auto"/>
              <w:bottom w:val="single" w:sz="4" w:space="0" w:color="auto"/>
            </w:tcBorders>
            <w:shd w:val="clear" w:color="auto" w:fill="auto"/>
          </w:tcPr>
          <w:p w:rsidR="00D44E25" w:rsidRDefault="00D44E25" w:rsidP="009C7780">
            <w:r>
              <w:t>23</w:t>
            </w:r>
          </w:p>
        </w:tc>
        <w:tc>
          <w:tcPr>
            <w:tcW w:w="1417" w:type="dxa"/>
          </w:tcPr>
          <w:p w:rsidR="00D44E25" w:rsidRDefault="00D44E25" w:rsidP="009C7780">
            <w:r>
              <w:t>21862.1 g</w:t>
            </w:r>
          </w:p>
        </w:tc>
        <w:tc>
          <w:tcPr>
            <w:tcW w:w="1134" w:type="dxa"/>
          </w:tcPr>
          <w:p w:rsidR="00D44E25" w:rsidRDefault="00D44E25" w:rsidP="009C7780">
            <w:r>
              <w:t>-</w:t>
            </w:r>
          </w:p>
        </w:tc>
        <w:tc>
          <w:tcPr>
            <w:tcW w:w="1276" w:type="dxa"/>
          </w:tcPr>
          <w:p w:rsidR="00D44E25" w:rsidRDefault="00D44E25" w:rsidP="009C7780">
            <w:r>
              <w:t>-</w:t>
            </w:r>
          </w:p>
        </w:tc>
      </w:tr>
      <w:tr w:rsidR="00D44E25" w:rsidTr="00E17BB2">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D44E25" w:rsidRPr="00B52D6B" w:rsidRDefault="00D44E25" w:rsidP="009C7780">
            <w:r w:rsidRPr="00B52D6B">
              <w:t>MDMB-CHMICA</w:t>
            </w:r>
          </w:p>
        </w:tc>
        <w:tc>
          <w:tcPr>
            <w:tcW w:w="2552" w:type="dxa"/>
            <w:tcBorders>
              <w:top w:val="single" w:sz="4" w:space="0" w:color="auto"/>
              <w:left w:val="single" w:sz="4" w:space="0" w:color="auto"/>
              <w:bottom w:val="single" w:sz="4" w:space="0" w:color="auto"/>
            </w:tcBorders>
            <w:shd w:val="clear" w:color="auto" w:fill="auto"/>
          </w:tcPr>
          <w:p w:rsidR="00D44E25" w:rsidRDefault="00E17BB2" w:rsidP="009C7780">
            <w:r>
              <w:t>3</w:t>
            </w:r>
          </w:p>
        </w:tc>
        <w:tc>
          <w:tcPr>
            <w:tcW w:w="1417" w:type="dxa"/>
          </w:tcPr>
          <w:p w:rsidR="00D44E25" w:rsidRDefault="00E17BB2" w:rsidP="009C7780">
            <w:r>
              <w:t>6.9 g</w:t>
            </w:r>
          </w:p>
        </w:tc>
        <w:tc>
          <w:tcPr>
            <w:tcW w:w="1134" w:type="dxa"/>
          </w:tcPr>
          <w:p w:rsidR="00D44E25" w:rsidRDefault="00E17BB2" w:rsidP="009C7780">
            <w:r>
              <w:t>29 g</w:t>
            </w:r>
          </w:p>
        </w:tc>
        <w:tc>
          <w:tcPr>
            <w:tcW w:w="1276" w:type="dxa"/>
          </w:tcPr>
          <w:p w:rsidR="00D44E25" w:rsidRDefault="00E17BB2" w:rsidP="009C7780">
            <w:r>
              <w:t>-</w:t>
            </w:r>
          </w:p>
        </w:tc>
      </w:tr>
      <w:tr w:rsidR="00D44E25" w:rsidTr="00E17BB2">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D44E25" w:rsidRPr="00B52D6B" w:rsidRDefault="00D44E25" w:rsidP="009C7780">
            <w:r w:rsidRPr="00B52D6B">
              <w:t>5F-AKB-48</w:t>
            </w:r>
          </w:p>
        </w:tc>
        <w:tc>
          <w:tcPr>
            <w:tcW w:w="2552" w:type="dxa"/>
            <w:tcBorders>
              <w:top w:val="single" w:sz="4" w:space="0" w:color="auto"/>
              <w:left w:val="single" w:sz="4" w:space="0" w:color="auto"/>
              <w:bottom w:val="single" w:sz="4" w:space="0" w:color="auto"/>
            </w:tcBorders>
            <w:shd w:val="clear" w:color="auto" w:fill="auto"/>
          </w:tcPr>
          <w:p w:rsidR="00D44E25" w:rsidRDefault="00E17BB2" w:rsidP="009C7780">
            <w:r>
              <w:t>0</w:t>
            </w:r>
          </w:p>
        </w:tc>
        <w:tc>
          <w:tcPr>
            <w:tcW w:w="1417" w:type="dxa"/>
          </w:tcPr>
          <w:p w:rsidR="00D44E25" w:rsidRDefault="00E17BB2" w:rsidP="009C7780">
            <w:r>
              <w:t>-</w:t>
            </w:r>
          </w:p>
        </w:tc>
        <w:tc>
          <w:tcPr>
            <w:tcW w:w="1134" w:type="dxa"/>
          </w:tcPr>
          <w:p w:rsidR="00D44E25" w:rsidRDefault="00E17BB2" w:rsidP="009C7780">
            <w:r>
              <w:t>-</w:t>
            </w:r>
          </w:p>
        </w:tc>
        <w:tc>
          <w:tcPr>
            <w:tcW w:w="1276" w:type="dxa"/>
          </w:tcPr>
          <w:p w:rsidR="00D44E25" w:rsidRDefault="00E17BB2" w:rsidP="009C7780">
            <w:r>
              <w:t>-</w:t>
            </w:r>
          </w:p>
        </w:tc>
      </w:tr>
      <w:tr w:rsidR="00D44E25" w:rsidTr="00E17BB2">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D44E25" w:rsidRPr="00B52D6B" w:rsidRDefault="00D44E25" w:rsidP="009C7780">
            <w:r w:rsidRPr="00B52D6B">
              <w:t>XLR-11</w:t>
            </w:r>
          </w:p>
        </w:tc>
        <w:tc>
          <w:tcPr>
            <w:tcW w:w="2552" w:type="dxa"/>
            <w:tcBorders>
              <w:top w:val="single" w:sz="4" w:space="0" w:color="auto"/>
              <w:left w:val="single" w:sz="4" w:space="0" w:color="auto"/>
              <w:bottom w:val="single" w:sz="4" w:space="0" w:color="auto"/>
            </w:tcBorders>
            <w:shd w:val="clear" w:color="auto" w:fill="auto"/>
          </w:tcPr>
          <w:p w:rsidR="00D44E25" w:rsidRDefault="00E17BB2" w:rsidP="009C7780">
            <w:r>
              <w:t>6</w:t>
            </w:r>
          </w:p>
        </w:tc>
        <w:tc>
          <w:tcPr>
            <w:tcW w:w="1417" w:type="dxa"/>
          </w:tcPr>
          <w:p w:rsidR="00D44E25" w:rsidRDefault="00E17BB2" w:rsidP="009C7780">
            <w:r>
              <w:t>1229.8 g</w:t>
            </w:r>
          </w:p>
        </w:tc>
        <w:tc>
          <w:tcPr>
            <w:tcW w:w="1134" w:type="dxa"/>
          </w:tcPr>
          <w:p w:rsidR="00D44E25" w:rsidRDefault="00E17BB2" w:rsidP="009C7780">
            <w:r>
              <w:t>-</w:t>
            </w:r>
          </w:p>
        </w:tc>
        <w:tc>
          <w:tcPr>
            <w:tcW w:w="1276" w:type="dxa"/>
          </w:tcPr>
          <w:p w:rsidR="00D44E25" w:rsidRDefault="00E17BB2" w:rsidP="009C7780">
            <w:r>
              <w:t>-</w:t>
            </w:r>
          </w:p>
        </w:tc>
      </w:tr>
      <w:tr w:rsidR="00D44E25" w:rsidTr="00E17BB2">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D44E25" w:rsidRPr="00B52D6B" w:rsidRDefault="00D44E25" w:rsidP="009C7780">
            <w:r w:rsidRPr="00B52D6B">
              <w:t>JWH-018</w:t>
            </w:r>
          </w:p>
        </w:tc>
        <w:tc>
          <w:tcPr>
            <w:tcW w:w="2552" w:type="dxa"/>
            <w:tcBorders>
              <w:top w:val="single" w:sz="4" w:space="0" w:color="auto"/>
              <w:left w:val="single" w:sz="4" w:space="0" w:color="auto"/>
              <w:bottom w:val="single" w:sz="4" w:space="0" w:color="auto"/>
            </w:tcBorders>
            <w:shd w:val="clear" w:color="auto" w:fill="auto"/>
          </w:tcPr>
          <w:p w:rsidR="00D44E25" w:rsidRDefault="00B67A2C" w:rsidP="009C7780">
            <w:r>
              <w:t>7</w:t>
            </w:r>
          </w:p>
        </w:tc>
        <w:tc>
          <w:tcPr>
            <w:tcW w:w="1417" w:type="dxa"/>
          </w:tcPr>
          <w:p w:rsidR="00D44E25" w:rsidRDefault="00B67A2C" w:rsidP="009C7780">
            <w:r>
              <w:t>1548 g</w:t>
            </w:r>
          </w:p>
        </w:tc>
        <w:tc>
          <w:tcPr>
            <w:tcW w:w="1134" w:type="dxa"/>
          </w:tcPr>
          <w:p w:rsidR="00D44E25" w:rsidRDefault="00B67A2C" w:rsidP="009C7780">
            <w:r>
              <w:t>-</w:t>
            </w:r>
          </w:p>
        </w:tc>
        <w:tc>
          <w:tcPr>
            <w:tcW w:w="1276" w:type="dxa"/>
          </w:tcPr>
          <w:p w:rsidR="00D44E25" w:rsidRDefault="00B67A2C" w:rsidP="009C7780">
            <w:r>
              <w:t>-</w:t>
            </w:r>
          </w:p>
        </w:tc>
      </w:tr>
      <w:tr w:rsidR="00D44E25" w:rsidTr="00E17BB2">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D44E25" w:rsidRPr="00B52D6B" w:rsidRDefault="00D44E25" w:rsidP="009C7780">
            <w:r w:rsidRPr="00B52D6B">
              <w:t>AM-2201</w:t>
            </w:r>
          </w:p>
        </w:tc>
        <w:tc>
          <w:tcPr>
            <w:tcW w:w="2552" w:type="dxa"/>
            <w:tcBorders>
              <w:top w:val="single" w:sz="4" w:space="0" w:color="auto"/>
              <w:left w:val="single" w:sz="4" w:space="0" w:color="auto"/>
              <w:bottom w:val="single" w:sz="4" w:space="0" w:color="auto"/>
            </w:tcBorders>
            <w:shd w:val="clear" w:color="auto" w:fill="auto"/>
          </w:tcPr>
          <w:p w:rsidR="00D44E25" w:rsidRDefault="00B67A2C" w:rsidP="009C7780">
            <w:r>
              <w:t>8</w:t>
            </w:r>
          </w:p>
        </w:tc>
        <w:tc>
          <w:tcPr>
            <w:tcW w:w="1417" w:type="dxa"/>
          </w:tcPr>
          <w:p w:rsidR="00D44E25" w:rsidRDefault="00B67A2C" w:rsidP="009C7780">
            <w:r>
              <w:t>817.34 g</w:t>
            </w:r>
          </w:p>
        </w:tc>
        <w:tc>
          <w:tcPr>
            <w:tcW w:w="1134" w:type="dxa"/>
          </w:tcPr>
          <w:p w:rsidR="00D44E25" w:rsidRDefault="00B67A2C" w:rsidP="009C7780">
            <w:r>
              <w:t>-</w:t>
            </w:r>
          </w:p>
        </w:tc>
        <w:tc>
          <w:tcPr>
            <w:tcW w:w="1276" w:type="dxa"/>
          </w:tcPr>
          <w:p w:rsidR="00D44E25" w:rsidRDefault="00B67A2C" w:rsidP="009C7780">
            <w:r>
              <w:t>-</w:t>
            </w:r>
          </w:p>
        </w:tc>
      </w:tr>
      <w:tr w:rsidR="00D44E25" w:rsidTr="00E17BB2">
        <w:tc>
          <w:tcPr>
            <w:tcW w:w="2405" w:type="dxa"/>
            <w:shd w:val="clear" w:color="auto" w:fill="auto"/>
            <w:hideMark/>
          </w:tcPr>
          <w:p w:rsidR="00D44E25" w:rsidRDefault="00D44E25" w:rsidP="009C7780">
            <w:r>
              <w:t>AMB-FUBINACA</w:t>
            </w:r>
          </w:p>
        </w:tc>
        <w:tc>
          <w:tcPr>
            <w:tcW w:w="2552" w:type="dxa"/>
            <w:shd w:val="clear" w:color="auto" w:fill="auto"/>
          </w:tcPr>
          <w:p w:rsidR="00D44E25" w:rsidRDefault="00B67A2C" w:rsidP="009C7780">
            <w:r>
              <w:t>28</w:t>
            </w:r>
          </w:p>
        </w:tc>
        <w:tc>
          <w:tcPr>
            <w:tcW w:w="1417" w:type="dxa"/>
          </w:tcPr>
          <w:p w:rsidR="00D44E25" w:rsidRDefault="00B67A2C" w:rsidP="009C7780">
            <w:r>
              <w:t>8444.1 g</w:t>
            </w:r>
          </w:p>
        </w:tc>
        <w:tc>
          <w:tcPr>
            <w:tcW w:w="1134" w:type="dxa"/>
          </w:tcPr>
          <w:p w:rsidR="00D44E25" w:rsidRDefault="00B67A2C" w:rsidP="009C7780">
            <w:r>
              <w:t>-</w:t>
            </w:r>
          </w:p>
        </w:tc>
        <w:tc>
          <w:tcPr>
            <w:tcW w:w="1276" w:type="dxa"/>
          </w:tcPr>
          <w:p w:rsidR="00D44E25" w:rsidRDefault="00B67A2C" w:rsidP="009C7780">
            <w:r>
              <w:t>-</w:t>
            </w:r>
          </w:p>
        </w:tc>
      </w:tr>
      <w:tr w:rsidR="00D44E25" w:rsidTr="00E17BB2">
        <w:tc>
          <w:tcPr>
            <w:tcW w:w="2405" w:type="dxa"/>
            <w:shd w:val="clear" w:color="auto" w:fill="auto"/>
            <w:hideMark/>
          </w:tcPr>
          <w:p w:rsidR="00D44E25" w:rsidRDefault="00D44E25" w:rsidP="009C7780">
            <w:r>
              <w:t>AB-FUBINACA</w:t>
            </w:r>
          </w:p>
        </w:tc>
        <w:tc>
          <w:tcPr>
            <w:tcW w:w="2552" w:type="dxa"/>
            <w:shd w:val="clear" w:color="auto" w:fill="auto"/>
          </w:tcPr>
          <w:p w:rsidR="00D44E25" w:rsidRDefault="00B67A2C" w:rsidP="009C7780">
            <w:r>
              <w:t>21</w:t>
            </w:r>
          </w:p>
        </w:tc>
        <w:tc>
          <w:tcPr>
            <w:tcW w:w="1417" w:type="dxa"/>
          </w:tcPr>
          <w:p w:rsidR="00D44E25" w:rsidRDefault="00B67A2C" w:rsidP="009C7780">
            <w:r>
              <w:t>81358.3 g + 10 pills</w:t>
            </w:r>
          </w:p>
        </w:tc>
        <w:tc>
          <w:tcPr>
            <w:tcW w:w="1134" w:type="dxa"/>
          </w:tcPr>
          <w:p w:rsidR="00D44E25" w:rsidRDefault="00B67A2C" w:rsidP="009C7780">
            <w:r>
              <w:t>-</w:t>
            </w:r>
          </w:p>
        </w:tc>
        <w:tc>
          <w:tcPr>
            <w:tcW w:w="1276" w:type="dxa"/>
          </w:tcPr>
          <w:p w:rsidR="00D44E25" w:rsidRDefault="00B67A2C" w:rsidP="009C7780">
            <w:r>
              <w:t>-</w:t>
            </w:r>
          </w:p>
        </w:tc>
      </w:tr>
    </w:tbl>
    <w:p w:rsidR="0023157A" w:rsidRDefault="0023157A" w:rsidP="007732F9">
      <w:pPr>
        <w:rPr>
          <w:sz w:val="22"/>
        </w:rPr>
      </w:pPr>
      <w:r w:rsidRPr="0023157A">
        <w:rPr>
          <w:sz w:val="22"/>
        </w:rPr>
        <w:t xml:space="preserve">Note: Data includes </w:t>
      </w:r>
      <w:r>
        <w:rPr>
          <w:sz w:val="22"/>
        </w:rPr>
        <w:t>“</w:t>
      </w:r>
      <w:r w:rsidRPr="0023157A">
        <w:rPr>
          <w:sz w:val="22"/>
        </w:rPr>
        <w:t>suspected</w:t>
      </w:r>
      <w:r>
        <w:rPr>
          <w:sz w:val="22"/>
        </w:rPr>
        <w:t>”</w:t>
      </w:r>
      <w:r w:rsidRPr="0023157A">
        <w:rPr>
          <w:sz w:val="22"/>
        </w:rPr>
        <w:t xml:space="preserve"> substances which have only been </w:t>
      </w:r>
      <w:r>
        <w:rPr>
          <w:sz w:val="22"/>
        </w:rPr>
        <w:t>analysed</w:t>
      </w:r>
      <w:r w:rsidRPr="0023157A">
        <w:rPr>
          <w:sz w:val="22"/>
        </w:rPr>
        <w:t xml:space="preserve"> using field tests. </w:t>
      </w:r>
      <w:r w:rsidR="000974FF">
        <w:rPr>
          <w:sz w:val="22"/>
        </w:rPr>
        <w:t>“Leaf” means plant material containing synthetic cannabinoids (ie, synthetic cannabis).</w:t>
      </w:r>
    </w:p>
    <w:p w:rsidR="0023157A" w:rsidRDefault="0023157A" w:rsidP="000974FF">
      <w:pPr>
        <w:pStyle w:val="Heading3"/>
      </w:pPr>
      <w:bookmarkStart w:id="10" w:name="_Toc509487287"/>
      <w:r>
        <w:t xml:space="preserve">Breakdown of seizures </w:t>
      </w:r>
      <w:r w:rsidR="003C1BD9">
        <w:t>per year</w:t>
      </w:r>
      <w:bookmarkEnd w:id="10"/>
    </w:p>
    <w:p w:rsidR="0023157A" w:rsidRDefault="0023157A" w:rsidP="001C6C3F">
      <w:pPr>
        <w:pStyle w:val="Heading3"/>
        <w:spacing w:before="0"/>
      </w:pPr>
      <w:bookmarkStart w:id="11" w:name="_Toc509487288"/>
      <w:r>
        <w:t>5F-ADB</w:t>
      </w:r>
      <w:bookmarkEnd w:id="11"/>
    </w:p>
    <w:tbl>
      <w:tblPr>
        <w:tblStyle w:val="TableGrid"/>
        <w:tblW w:w="8784" w:type="dxa"/>
        <w:tblLayout w:type="fixed"/>
        <w:tblLook w:val="04A0" w:firstRow="1" w:lastRow="0" w:firstColumn="1" w:lastColumn="0" w:noHBand="0" w:noVBand="1"/>
      </w:tblPr>
      <w:tblGrid>
        <w:gridCol w:w="2405"/>
        <w:gridCol w:w="2552"/>
        <w:gridCol w:w="1417"/>
        <w:gridCol w:w="1134"/>
        <w:gridCol w:w="1276"/>
      </w:tblGrid>
      <w:tr w:rsidR="0023157A" w:rsidTr="00791761">
        <w:trPr>
          <w:trHeight w:val="278"/>
        </w:trPr>
        <w:tc>
          <w:tcPr>
            <w:tcW w:w="2405" w:type="dxa"/>
            <w:vMerge w:val="restart"/>
            <w:tcBorders>
              <w:top w:val="single" w:sz="4" w:space="0" w:color="auto"/>
              <w:left w:val="single" w:sz="4" w:space="0" w:color="auto"/>
              <w:right w:val="single" w:sz="4" w:space="0" w:color="auto"/>
            </w:tcBorders>
            <w:shd w:val="clear" w:color="auto" w:fill="D9D9D9" w:themeFill="background1" w:themeFillShade="D9"/>
          </w:tcPr>
          <w:p w:rsidR="0023157A" w:rsidRPr="00B52D6B" w:rsidRDefault="0023157A" w:rsidP="009C7780">
            <w:pPr>
              <w:rPr>
                <w:b/>
              </w:rPr>
            </w:pPr>
            <w:r>
              <w:rPr>
                <w:b/>
              </w:rPr>
              <w:t>Year</w:t>
            </w:r>
          </w:p>
        </w:tc>
        <w:tc>
          <w:tcPr>
            <w:tcW w:w="2552" w:type="dxa"/>
            <w:vMerge w:val="restart"/>
            <w:tcBorders>
              <w:top w:val="single" w:sz="4" w:space="0" w:color="auto"/>
              <w:left w:val="single" w:sz="4" w:space="0" w:color="auto"/>
              <w:right w:val="single" w:sz="4" w:space="0" w:color="auto"/>
            </w:tcBorders>
            <w:shd w:val="clear" w:color="auto" w:fill="D9D9D9" w:themeFill="background1" w:themeFillShade="D9"/>
          </w:tcPr>
          <w:p w:rsidR="0023157A" w:rsidRPr="00B52D6B" w:rsidRDefault="0023157A" w:rsidP="003B7363">
            <w:pPr>
              <w:rPr>
                <w:b/>
              </w:rPr>
            </w:pPr>
            <w:r>
              <w:rPr>
                <w:b/>
              </w:rPr>
              <w:t xml:space="preserve">Number of seizures </w:t>
            </w:r>
          </w:p>
        </w:tc>
        <w:tc>
          <w:tcPr>
            <w:tcW w:w="382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3157A" w:rsidRDefault="0023157A" w:rsidP="009C7780">
            <w:pPr>
              <w:rPr>
                <w:b/>
              </w:rPr>
            </w:pPr>
            <w:r>
              <w:rPr>
                <w:b/>
              </w:rPr>
              <w:t>Total quantity seized</w:t>
            </w:r>
          </w:p>
        </w:tc>
      </w:tr>
      <w:tr w:rsidR="003B7363" w:rsidTr="00791761">
        <w:trPr>
          <w:trHeight w:val="277"/>
        </w:trPr>
        <w:tc>
          <w:tcPr>
            <w:tcW w:w="2405" w:type="dxa"/>
            <w:vMerge/>
            <w:tcBorders>
              <w:left w:val="single" w:sz="4" w:space="0" w:color="auto"/>
              <w:bottom w:val="single" w:sz="4" w:space="0" w:color="auto"/>
              <w:right w:val="single" w:sz="4" w:space="0" w:color="auto"/>
            </w:tcBorders>
            <w:shd w:val="clear" w:color="auto" w:fill="D9D9D9" w:themeFill="background1" w:themeFillShade="D9"/>
          </w:tcPr>
          <w:p w:rsidR="003B7363" w:rsidRPr="00B52D6B" w:rsidRDefault="003B7363" w:rsidP="009C7780">
            <w:pPr>
              <w:rPr>
                <w:b/>
              </w:rPr>
            </w:pPr>
          </w:p>
        </w:tc>
        <w:tc>
          <w:tcPr>
            <w:tcW w:w="2552" w:type="dxa"/>
            <w:vMerge/>
            <w:tcBorders>
              <w:left w:val="single" w:sz="4" w:space="0" w:color="auto"/>
              <w:bottom w:val="single" w:sz="4" w:space="0" w:color="auto"/>
              <w:right w:val="single" w:sz="4" w:space="0" w:color="auto"/>
            </w:tcBorders>
            <w:shd w:val="clear" w:color="auto" w:fill="D9D9D9" w:themeFill="background1" w:themeFillShade="D9"/>
          </w:tcPr>
          <w:p w:rsidR="003B7363" w:rsidRDefault="003B7363" w:rsidP="009C7780">
            <w:pPr>
              <w:rPr>
                <w:b/>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B7363" w:rsidRDefault="003B7363" w:rsidP="009C7780">
            <w:pPr>
              <w:rPr>
                <w:b/>
              </w:rPr>
            </w:pPr>
            <w:r>
              <w:rPr>
                <w:b/>
              </w:rPr>
              <w:t>Powder</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B7363" w:rsidRDefault="003B7363" w:rsidP="009C7780">
            <w:pPr>
              <w:rPr>
                <w:b/>
              </w:rPr>
            </w:pPr>
            <w:r>
              <w:rPr>
                <w:b/>
              </w:rPr>
              <w:t>Leaf</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B7363" w:rsidRDefault="003B7363" w:rsidP="009C7780">
            <w:pPr>
              <w:rPr>
                <w:b/>
              </w:rPr>
            </w:pPr>
            <w:r>
              <w:rPr>
                <w:b/>
              </w:rPr>
              <w:t>Liquid</w:t>
            </w:r>
          </w:p>
        </w:tc>
      </w:tr>
      <w:tr w:rsidR="003B7363" w:rsidTr="00E17BB2">
        <w:tc>
          <w:tcPr>
            <w:tcW w:w="2405" w:type="dxa"/>
            <w:shd w:val="clear" w:color="auto" w:fill="auto"/>
          </w:tcPr>
          <w:p w:rsidR="003B7363" w:rsidRPr="00B52D6B" w:rsidRDefault="003B7363" w:rsidP="009C7780">
            <w:r>
              <w:t>2013</w:t>
            </w:r>
          </w:p>
        </w:tc>
        <w:tc>
          <w:tcPr>
            <w:tcW w:w="2552" w:type="dxa"/>
            <w:shd w:val="clear" w:color="auto" w:fill="auto"/>
          </w:tcPr>
          <w:p w:rsidR="003B7363" w:rsidRDefault="003B7363" w:rsidP="009C7780">
            <w:r>
              <w:t>0</w:t>
            </w:r>
          </w:p>
        </w:tc>
        <w:tc>
          <w:tcPr>
            <w:tcW w:w="1417" w:type="dxa"/>
          </w:tcPr>
          <w:p w:rsidR="003B7363" w:rsidRDefault="003B7363" w:rsidP="009C7780">
            <w:r>
              <w:t>-</w:t>
            </w:r>
          </w:p>
        </w:tc>
        <w:tc>
          <w:tcPr>
            <w:tcW w:w="1134" w:type="dxa"/>
          </w:tcPr>
          <w:p w:rsidR="003B7363" w:rsidRDefault="003B7363" w:rsidP="009C7780">
            <w:r>
              <w:t>-</w:t>
            </w:r>
          </w:p>
        </w:tc>
        <w:tc>
          <w:tcPr>
            <w:tcW w:w="1276" w:type="dxa"/>
          </w:tcPr>
          <w:p w:rsidR="003B7363" w:rsidRDefault="003B7363" w:rsidP="009C7780">
            <w:r>
              <w:t>-</w:t>
            </w:r>
          </w:p>
        </w:tc>
      </w:tr>
      <w:tr w:rsidR="003B7363" w:rsidTr="00E17BB2">
        <w:tc>
          <w:tcPr>
            <w:tcW w:w="2405" w:type="dxa"/>
            <w:tcBorders>
              <w:top w:val="single" w:sz="4" w:space="0" w:color="auto"/>
              <w:left w:val="single" w:sz="4" w:space="0" w:color="auto"/>
              <w:bottom w:val="single" w:sz="4" w:space="0" w:color="auto"/>
              <w:right w:val="single" w:sz="4" w:space="0" w:color="auto"/>
            </w:tcBorders>
            <w:shd w:val="clear" w:color="auto" w:fill="auto"/>
          </w:tcPr>
          <w:p w:rsidR="003B7363" w:rsidRPr="00B52D6B" w:rsidRDefault="003B7363" w:rsidP="009C7780">
            <w:r>
              <w:t>2014</w:t>
            </w:r>
          </w:p>
        </w:tc>
        <w:tc>
          <w:tcPr>
            <w:tcW w:w="2552" w:type="dxa"/>
            <w:tcBorders>
              <w:top w:val="single" w:sz="4" w:space="0" w:color="auto"/>
              <w:left w:val="single" w:sz="4" w:space="0" w:color="auto"/>
              <w:bottom w:val="single" w:sz="4" w:space="0" w:color="auto"/>
            </w:tcBorders>
            <w:shd w:val="clear" w:color="auto" w:fill="auto"/>
          </w:tcPr>
          <w:p w:rsidR="003B7363" w:rsidRDefault="003B7363" w:rsidP="009C7780">
            <w:r>
              <w:t>0</w:t>
            </w:r>
          </w:p>
        </w:tc>
        <w:tc>
          <w:tcPr>
            <w:tcW w:w="1417" w:type="dxa"/>
          </w:tcPr>
          <w:p w:rsidR="003B7363" w:rsidRDefault="003B7363" w:rsidP="009C7780">
            <w:r>
              <w:t>-</w:t>
            </w:r>
          </w:p>
        </w:tc>
        <w:tc>
          <w:tcPr>
            <w:tcW w:w="1134" w:type="dxa"/>
          </w:tcPr>
          <w:p w:rsidR="003B7363" w:rsidRDefault="003B7363" w:rsidP="009C7780">
            <w:r>
              <w:t>-</w:t>
            </w:r>
          </w:p>
        </w:tc>
        <w:tc>
          <w:tcPr>
            <w:tcW w:w="1276" w:type="dxa"/>
          </w:tcPr>
          <w:p w:rsidR="003B7363" w:rsidRDefault="003B7363" w:rsidP="009C7780">
            <w:r>
              <w:t>-</w:t>
            </w:r>
          </w:p>
        </w:tc>
      </w:tr>
      <w:tr w:rsidR="003B7363" w:rsidTr="00E17BB2">
        <w:tc>
          <w:tcPr>
            <w:tcW w:w="2405" w:type="dxa"/>
            <w:tcBorders>
              <w:top w:val="single" w:sz="4" w:space="0" w:color="auto"/>
              <w:left w:val="single" w:sz="4" w:space="0" w:color="auto"/>
              <w:bottom w:val="single" w:sz="4" w:space="0" w:color="auto"/>
              <w:right w:val="single" w:sz="4" w:space="0" w:color="auto"/>
            </w:tcBorders>
            <w:shd w:val="clear" w:color="auto" w:fill="auto"/>
          </w:tcPr>
          <w:p w:rsidR="003B7363" w:rsidRPr="00B52D6B" w:rsidRDefault="003B7363" w:rsidP="009C7780">
            <w:r>
              <w:t>2015</w:t>
            </w:r>
          </w:p>
        </w:tc>
        <w:tc>
          <w:tcPr>
            <w:tcW w:w="2552" w:type="dxa"/>
            <w:tcBorders>
              <w:top w:val="single" w:sz="4" w:space="0" w:color="auto"/>
              <w:left w:val="single" w:sz="4" w:space="0" w:color="auto"/>
              <w:bottom w:val="single" w:sz="4" w:space="0" w:color="auto"/>
            </w:tcBorders>
            <w:shd w:val="clear" w:color="auto" w:fill="auto"/>
          </w:tcPr>
          <w:p w:rsidR="003B7363" w:rsidRDefault="003B7363" w:rsidP="009C7780">
            <w:r>
              <w:t>0</w:t>
            </w:r>
          </w:p>
        </w:tc>
        <w:tc>
          <w:tcPr>
            <w:tcW w:w="1417" w:type="dxa"/>
          </w:tcPr>
          <w:p w:rsidR="003B7363" w:rsidRDefault="003B7363" w:rsidP="009C7780">
            <w:r>
              <w:t>-</w:t>
            </w:r>
          </w:p>
        </w:tc>
        <w:tc>
          <w:tcPr>
            <w:tcW w:w="1134" w:type="dxa"/>
          </w:tcPr>
          <w:p w:rsidR="003B7363" w:rsidRDefault="003B7363" w:rsidP="009C7780">
            <w:r>
              <w:t>-</w:t>
            </w:r>
          </w:p>
        </w:tc>
        <w:tc>
          <w:tcPr>
            <w:tcW w:w="1276" w:type="dxa"/>
          </w:tcPr>
          <w:p w:rsidR="003B7363" w:rsidRDefault="003B7363" w:rsidP="009C7780">
            <w:r>
              <w:t>-</w:t>
            </w:r>
          </w:p>
        </w:tc>
      </w:tr>
      <w:tr w:rsidR="003B7363" w:rsidTr="00E17BB2">
        <w:tc>
          <w:tcPr>
            <w:tcW w:w="2405" w:type="dxa"/>
            <w:tcBorders>
              <w:top w:val="single" w:sz="4" w:space="0" w:color="auto"/>
              <w:left w:val="single" w:sz="4" w:space="0" w:color="auto"/>
              <w:bottom w:val="single" w:sz="4" w:space="0" w:color="auto"/>
              <w:right w:val="single" w:sz="4" w:space="0" w:color="auto"/>
            </w:tcBorders>
            <w:shd w:val="clear" w:color="auto" w:fill="auto"/>
          </w:tcPr>
          <w:p w:rsidR="003B7363" w:rsidRPr="00B52D6B" w:rsidRDefault="003B7363" w:rsidP="009C7780">
            <w:r>
              <w:t>2016</w:t>
            </w:r>
          </w:p>
        </w:tc>
        <w:tc>
          <w:tcPr>
            <w:tcW w:w="2552" w:type="dxa"/>
            <w:tcBorders>
              <w:top w:val="single" w:sz="4" w:space="0" w:color="auto"/>
              <w:left w:val="single" w:sz="4" w:space="0" w:color="auto"/>
              <w:bottom w:val="single" w:sz="4" w:space="0" w:color="auto"/>
            </w:tcBorders>
            <w:shd w:val="clear" w:color="auto" w:fill="auto"/>
          </w:tcPr>
          <w:p w:rsidR="003B7363" w:rsidRDefault="003B7363" w:rsidP="009C7780">
            <w:r>
              <w:t>24</w:t>
            </w:r>
          </w:p>
        </w:tc>
        <w:tc>
          <w:tcPr>
            <w:tcW w:w="1417" w:type="dxa"/>
          </w:tcPr>
          <w:p w:rsidR="003B7363" w:rsidRDefault="003B7363" w:rsidP="003B7363">
            <w:r>
              <w:t xml:space="preserve">783.9 g </w:t>
            </w:r>
          </w:p>
        </w:tc>
        <w:tc>
          <w:tcPr>
            <w:tcW w:w="1134" w:type="dxa"/>
          </w:tcPr>
          <w:p w:rsidR="003B7363" w:rsidRDefault="003B7363" w:rsidP="009C7780">
            <w:r>
              <w:t>-</w:t>
            </w:r>
          </w:p>
        </w:tc>
        <w:tc>
          <w:tcPr>
            <w:tcW w:w="1276" w:type="dxa"/>
          </w:tcPr>
          <w:p w:rsidR="003B7363" w:rsidRDefault="003B7363" w:rsidP="009C7780">
            <w:r>
              <w:t>14 mL</w:t>
            </w:r>
          </w:p>
        </w:tc>
      </w:tr>
      <w:tr w:rsidR="003B7363" w:rsidTr="00E17BB2">
        <w:tc>
          <w:tcPr>
            <w:tcW w:w="2405" w:type="dxa"/>
            <w:tcBorders>
              <w:top w:val="single" w:sz="4" w:space="0" w:color="auto"/>
              <w:left w:val="single" w:sz="4" w:space="0" w:color="auto"/>
              <w:bottom w:val="single" w:sz="4" w:space="0" w:color="auto"/>
              <w:right w:val="single" w:sz="4" w:space="0" w:color="auto"/>
            </w:tcBorders>
            <w:shd w:val="clear" w:color="auto" w:fill="auto"/>
          </w:tcPr>
          <w:p w:rsidR="003B7363" w:rsidRPr="00B52D6B" w:rsidRDefault="003B7363" w:rsidP="009C7780">
            <w:r>
              <w:t>2017</w:t>
            </w:r>
          </w:p>
        </w:tc>
        <w:tc>
          <w:tcPr>
            <w:tcW w:w="2552" w:type="dxa"/>
            <w:tcBorders>
              <w:top w:val="single" w:sz="4" w:space="0" w:color="auto"/>
              <w:left w:val="single" w:sz="4" w:space="0" w:color="auto"/>
              <w:bottom w:val="single" w:sz="4" w:space="0" w:color="auto"/>
            </w:tcBorders>
            <w:shd w:val="clear" w:color="auto" w:fill="auto"/>
          </w:tcPr>
          <w:p w:rsidR="003B7363" w:rsidRDefault="003B7363" w:rsidP="009C7780">
            <w:r>
              <w:t>11</w:t>
            </w:r>
          </w:p>
        </w:tc>
        <w:tc>
          <w:tcPr>
            <w:tcW w:w="1417" w:type="dxa"/>
          </w:tcPr>
          <w:p w:rsidR="003B7363" w:rsidRDefault="003B7363" w:rsidP="003B7363">
            <w:r>
              <w:t xml:space="preserve">135.8 g </w:t>
            </w:r>
          </w:p>
        </w:tc>
        <w:tc>
          <w:tcPr>
            <w:tcW w:w="1134" w:type="dxa"/>
          </w:tcPr>
          <w:p w:rsidR="003B7363" w:rsidRDefault="003B7363" w:rsidP="009C7780">
            <w:r>
              <w:t>-</w:t>
            </w:r>
          </w:p>
        </w:tc>
        <w:tc>
          <w:tcPr>
            <w:tcW w:w="1276" w:type="dxa"/>
          </w:tcPr>
          <w:p w:rsidR="003B7363" w:rsidRDefault="003B7363" w:rsidP="009C7780">
            <w:r>
              <w:t>-</w:t>
            </w:r>
          </w:p>
        </w:tc>
      </w:tr>
    </w:tbl>
    <w:p w:rsidR="000974FF" w:rsidRDefault="000974FF" w:rsidP="000974FF">
      <w:pPr>
        <w:pStyle w:val="Heading3"/>
      </w:pPr>
      <w:bookmarkStart w:id="12" w:name="_Toc509487289"/>
      <w:r>
        <w:t>UR-144</w:t>
      </w:r>
      <w:bookmarkEnd w:id="12"/>
    </w:p>
    <w:tbl>
      <w:tblPr>
        <w:tblStyle w:val="TableGrid"/>
        <w:tblW w:w="8784" w:type="dxa"/>
        <w:tblLayout w:type="fixed"/>
        <w:tblLook w:val="04A0" w:firstRow="1" w:lastRow="0" w:firstColumn="1" w:lastColumn="0" w:noHBand="0" w:noVBand="1"/>
      </w:tblPr>
      <w:tblGrid>
        <w:gridCol w:w="2405"/>
        <w:gridCol w:w="2552"/>
        <w:gridCol w:w="1417"/>
        <w:gridCol w:w="1134"/>
        <w:gridCol w:w="1276"/>
      </w:tblGrid>
      <w:tr w:rsidR="000974FF" w:rsidTr="00791761">
        <w:trPr>
          <w:trHeight w:val="278"/>
        </w:trPr>
        <w:tc>
          <w:tcPr>
            <w:tcW w:w="2405" w:type="dxa"/>
            <w:vMerge w:val="restart"/>
            <w:tcBorders>
              <w:top w:val="single" w:sz="4" w:space="0" w:color="auto"/>
              <w:left w:val="single" w:sz="4" w:space="0" w:color="auto"/>
              <w:right w:val="single" w:sz="4" w:space="0" w:color="auto"/>
            </w:tcBorders>
            <w:shd w:val="clear" w:color="auto" w:fill="D9D9D9" w:themeFill="background1" w:themeFillShade="D9"/>
          </w:tcPr>
          <w:p w:rsidR="000974FF" w:rsidRPr="00B52D6B" w:rsidRDefault="000974FF" w:rsidP="009C7780">
            <w:pPr>
              <w:rPr>
                <w:b/>
              </w:rPr>
            </w:pPr>
            <w:r>
              <w:rPr>
                <w:b/>
              </w:rPr>
              <w:t>Year</w:t>
            </w:r>
          </w:p>
        </w:tc>
        <w:tc>
          <w:tcPr>
            <w:tcW w:w="2552" w:type="dxa"/>
            <w:vMerge w:val="restart"/>
            <w:tcBorders>
              <w:top w:val="single" w:sz="4" w:space="0" w:color="auto"/>
              <w:left w:val="single" w:sz="4" w:space="0" w:color="auto"/>
              <w:right w:val="single" w:sz="4" w:space="0" w:color="auto"/>
            </w:tcBorders>
            <w:shd w:val="clear" w:color="auto" w:fill="D9D9D9" w:themeFill="background1" w:themeFillShade="D9"/>
          </w:tcPr>
          <w:p w:rsidR="000974FF" w:rsidRPr="00B52D6B" w:rsidRDefault="000974FF" w:rsidP="003B7363">
            <w:pPr>
              <w:rPr>
                <w:b/>
              </w:rPr>
            </w:pPr>
            <w:r>
              <w:rPr>
                <w:b/>
              </w:rPr>
              <w:t xml:space="preserve">Number of seizures </w:t>
            </w:r>
          </w:p>
        </w:tc>
        <w:tc>
          <w:tcPr>
            <w:tcW w:w="382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974FF" w:rsidRDefault="000974FF" w:rsidP="009C7780">
            <w:pPr>
              <w:rPr>
                <w:b/>
              </w:rPr>
            </w:pPr>
            <w:r>
              <w:rPr>
                <w:b/>
              </w:rPr>
              <w:t>Total quantity seized</w:t>
            </w:r>
          </w:p>
        </w:tc>
      </w:tr>
      <w:tr w:rsidR="003B7363" w:rsidTr="00791761">
        <w:trPr>
          <w:trHeight w:val="277"/>
        </w:trPr>
        <w:tc>
          <w:tcPr>
            <w:tcW w:w="2405" w:type="dxa"/>
            <w:vMerge/>
            <w:tcBorders>
              <w:left w:val="single" w:sz="4" w:space="0" w:color="auto"/>
              <w:bottom w:val="single" w:sz="4" w:space="0" w:color="auto"/>
              <w:right w:val="single" w:sz="4" w:space="0" w:color="auto"/>
            </w:tcBorders>
            <w:shd w:val="clear" w:color="auto" w:fill="D9D9D9" w:themeFill="background1" w:themeFillShade="D9"/>
          </w:tcPr>
          <w:p w:rsidR="003B7363" w:rsidRPr="00B52D6B" w:rsidRDefault="003B7363" w:rsidP="009C7780">
            <w:pPr>
              <w:rPr>
                <w:b/>
              </w:rPr>
            </w:pPr>
          </w:p>
        </w:tc>
        <w:tc>
          <w:tcPr>
            <w:tcW w:w="2552" w:type="dxa"/>
            <w:vMerge/>
            <w:tcBorders>
              <w:left w:val="single" w:sz="4" w:space="0" w:color="auto"/>
              <w:bottom w:val="single" w:sz="4" w:space="0" w:color="auto"/>
              <w:right w:val="single" w:sz="4" w:space="0" w:color="auto"/>
            </w:tcBorders>
            <w:shd w:val="clear" w:color="auto" w:fill="D9D9D9" w:themeFill="background1" w:themeFillShade="D9"/>
          </w:tcPr>
          <w:p w:rsidR="003B7363" w:rsidRDefault="003B7363" w:rsidP="009C7780">
            <w:pPr>
              <w:rPr>
                <w:b/>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B7363" w:rsidRDefault="003B7363" w:rsidP="009C7780">
            <w:pPr>
              <w:rPr>
                <w:b/>
              </w:rPr>
            </w:pPr>
            <w:r>
              <w:rPr>
                <w:b/>
              </w:rPr>
              <w:t>Powder</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B7363" w:rsidRDefault="003B7363" w:rsidP="009C7780">
            <w:pPr>
              <w:rPr>
                <w:b/>
              </w:rPr>
            </w:pPr>
            <w:r>
              <w:rPr>
                <w:b/>
              </w:rPr>
              <w:t>Leaf</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B7363" w:rsidRDefault="003B7363" w:rsidP="009C7780">
            <w:pPr>
              <w:rPr>
                <w:b/>
              </w:rPr>
            </w:pPr>
            <w:r>
              <w:rPr>
                <w:b/>
              </w:rPr>
              <w:t>Liquid</w:t>
            </w:r>
          </w:p>
        </w:tc>
      </w:tr>
      <w:tr w:rsidR="003B7363" w:rsidTr="00E17BB2">
        <w:tc>
          <w:tcPr>
            <w:tcW w:w="2405" w:type="dxa"/>
            <w:shd w:val="clear" w:color="auto" w:fill="auto"/>
          </w:tcPr>
          <w:p w:rsidR="003B7363" w:rsidRPr="00B52D6B" w:rsidRDefault="003B7363" w:rsidP="009C7780">
            <w:r>
              <w:t>2013</w:t>
            </w:r>
          </w:p>
        </w:tc>
        <w:tc>
          <w:tcPr>
            <w:tcW w:w="2552" w:type="dxa"/>
            <w:shd w:val="clear" w:color="auto" w:fill="auto"/>
          </w:tcPr>
          <w:p w:rsidR="003B7363" w:rsidRDefault="003B7363" w:rsidP="009C7780">
            <w:r>
              <w:t>2</w:t>
            </w:r>
          </w:p>
        </w:tc>
        <w:tc>
          <w:tcPr>
            <w:tcW w:w="1417" w:type="dxa"/>
          </w:tcPr>
          <w:p w:rsidR="003B7363" w:rsidRDefault="003B7363" w:rsidP="003B7363">
            <w:r>
              <w:t xml:space="preserve">4 g </w:t>
            </w:r>
          </w:p>
        </w:tc>
        <w:tc>
          <w:tcPr>
            <w:tcW w:w="1134" w:type="dxa"/>
          </w:tcPr>
          <w:p w:rsidR="003B7363" w:rsidRDefault="003B7363" w:rsidP="003B7363">
            <w:r>
              <w:t xml:space="preserve">1 g </w:t>
            </w:r>
          </w:p>
        </w:tc>
        <w:tc>
          <w:tcPr>
            <w:tcW w:w="1276" w:type="dxa"/>
          </w:tcPr>
          <w:p w:rsidR="003B7363" w:rsidRDefault="003B7363" w:rsidP="009C7780">
            <w:r>
              <w:t>-</w:t>
            </w:r>
          </w:p>
        </w:tc>
      </w:tr>
      <w:tr w:rsidR="003B7363" w:rsidTr="00E17BB2">
        <w:tc>
          <w:tcPr>
            <w:tcW w:w="2405" w:type="dxa"/>
            <w:tcBorders>
              <w:top w:val="single" w:sz="4" w:space="0" w:color="auto"/>
              <w:left w:val="single" w:sz="4" w:space="0" w:color="auto"/>
              <w:bottom w:val="single" w:sz="4" w:space="0" w:color="auto"/>
              <w:right w:val="single" w:sz="4" w:space="0" w:color="auto"/>
            </w:tcBorders>
            <w:shd w:val="clear" w:color="auto" w:fill="auto"/>
          </w:tcPr>
          <w:p w:rsidR="003B7363" w:rsidRPr="00B52D6B" w:rsidRDefault="003B7363" w:rsidP="009C7780">
            <w:r>
              <w:t>2014</w:t>
            </w:r>
          </w:p>
        </w:tc>
        <w:tc>
          <w:tcPr>
            <w:tcW w:w="2552" w:type="dxa"/>
            <w:tcBorders>
              <w:top w:val="single" w:sz="4" w:space="0" w:color="auto"/>
              <w:left w:val="single" w:sz="4" w:space="0" w:color="auto"/>
              <w:bottom w:val="single" w:sz="4" w:space="0" w:color="auto"/>
            </w:tcBorders>
            <w:shd w:val="clear" w:color="auto" w:fill="auto"/>
          </w:tcPr>
          <w:p w:rsidR="003B7363" w:rsidRDefault="003B7363" w:rsidP="009C7780">
            <w:r>
              <w:t>0</w:t>
            </w:r>
          </w:p>
        </w:tc>
        <w:tc>
          <w:tcPr>
            <w:tcW w:w="1417" w:type="dxa"/>
          </w:tcPr>
          <w:p w:rsidR="003B7363" w:rsidRDefault="003B7363" w:rsidP="009C7780">
            <w:r>
              <w:t>-</w:t>
            </w:r>
          </w:p>
        </w:tc>
        <w:tc>
          <w:tcPr>
            <w:tcW w:w="1134" w:type="dxa"/>
          </w:tcPr>
          <w:p w:rsidR="003B7363" w:rsidRDefault="003B7363" w:rsidP="009C7780">
            <w:r>
              <w:t>-</w:t>
            </w:r>
          </w:p>
        </w:tc>
        <w:tc>
          <w:tcPr>
            <w:tcW w:w="1276" w:type="dxa"/>
          </w:tcPr>
          <w:p w:rsidR="003B7363" w:rsidRDefault="003B7363" w:rsidP="009C7780">
            <w:r>
              <w:t>-</w:t>
            </w:r>
          </w:p>
        </w:tc>
      </w:tr>
      <w:tr w:rsidR="003B7363" w:rsidTr="00E17BB2">
        <w:tc>
          <w:tcPr>
            <w:tcW w:w="2405" w:type="dxa"/>
            <w:tcBorders>
              <w:top w:val="single" w:sz="4" w:space="0" w:color="auto"/>
              <w:left w:val="single" w:sz="4" w:space="0" w:color="auto"/>
              <w:bottom w:val="single" w:sz="4" w:space="0" w:color="auto"/>
              <w:right w:val="single" w:sz="4" w:space="0" w:color="auto"/>
            </w:tcBorders>
            <w:shd w:val="clear" w:color="auto" w:fill="auto"/>
          </w:tcPr>
          <w:p w:rsidR="003B7363" w:rsidRPr="00B52D6B" w:rsidRDefault="003B7363" w:rsidP="009C7780">
            <w:r>
              <w:t>2015</w:t>
            </w:r>
          </w:p>
        </w:tc>
        <w:tc>
          <w:tcPr>
            <w:tcW w:w="2552" w:type="dxa"/>
            <w:tcBorders>
              <w:top w:val="single" w:sz="4" w:space="0" w:color="auto"/>
              <w:left w:val="single" w:sz="4" w:space="0" w:color="auto"/>
              <w:bottom w:val="single" w:sz="4" w:space="0" w:color="auto"/>
            </w:tcBorders>
            <w:shd w:val="clear" w:color="auto" w:fill="auto"/>
          </w:tcPr>
          <w:p w:rsidR="003B7363" w:rsidRDefault="003B7363" w:rsidP="009C7780">
            <w:r>
              <w:t>0</w:t>
            </w:r>
          </w:p>
        </w:tc>
        <w:tc>
          <w:tcPr>
            <w:tcW w:w="1417" w:type="dxa"/>
          </w:tcPr>
          <w:p w:rsidR="003B7363" w:rsidRDefault="003B7363" w:rsidP="009C7780">
            <w:r>
              <w:t>-</w:t>
            </w:r>
          </w:p>
        </w:tc>
        <w:tc>
          <w:tcPr>
            <w:tcW w:w="1134" w:type="dxa"/>
          </w:tcPr>
          <w:p w:rsidR="003B7363" w:rsidRDefault="003B7363" w:rsidP="009C7780">
            <w:r>
              <w:t>-</w:t>
            </w:r>
          </w:p>
        </w:tc>
        <w:tc>
          <w:tcPr>
            <w:tcW w:w="1276" w:type="dxa"/>
          </w:tcPr>
          <w:p w:rsidR="003B7363" w:rsidRDefault="003B7363" w:rsidP="009C7780">
            <w:r>
              <w:t>-</w:t>
            </w:r>
          </w:p>
        </w:tc>
      </w:tr>
      <w:tr w:rsidR="003B7363" w:rsidTr="00E17BB2">
        <w:tc>
          <w:tcPr>
            <w:tcW w:w="2405" w:type="dxa"/>
            <w:tcBorders>
              <w:top w:val="single" w:sz="4" w:space="0" w:color="auto"/>
              <w:left w:val="single" w:sz="4" w:space="0" w:color="auto"/>
              <w:bottom w:val="single" w:sz="4" w:space="0" w:color="auto"/>
              <w:right w:val="single" w:sz="4" w:space="0" w:color="auto"/>
            </w:tcBorders>
            <w:shd w:val="clear" w:color="auto" w:fill="auto"/>
          </w:tcPr>
          <w:p w:rsidR="003B7363" w:rsidRPr="00B52D6B" w:rsidRDefault="003B7363" w:rsidP="009C7780">
            <w:r>
              <w:t>2016</w:t>
            </w:r>
          </w:p>
        </w:tc>
        <w:tc>
          <w:tcPr>
            <w:tcW w:w="2552" w:type="dxa"/>
            <w:tcBorders>
              <w:top w:val="single" w:sz="4" w:space="0" w:color="auto"/>
              <w:left w:val="single" w:sz="4" w:space="0" w:color="auto"/>
              <w:bottom w:val="single" w:sz="4" w:space="0" w:color="auto"/>
            </w:tcBorders>
            <w:shd w:val="clear" w:color="auto" w:fill="auto"/>
          </w:tcPr>
          <w:p w:rsidR="003B7363" w:rsidRDefault="003B7363" w:rsidP="009C7780">
            <w:r>
              <w:t>1</w:t>
            </w:r>
          </w:p>
        </w:tc>
        <w:tc>
          <w:tcPr>
            <w:tcW w:w="1417" w:type="dxa"/>
          </w:tcPr>
          <w:p w:rsidR="003B7363" w:rsidRDefault="003B7363" w:rsidP="003B7363">
            <w:r>
              <w:t xml:space="preserve">3.08 g </w:t>
            </w:r>
          </w:p>
        </w:tc>
        <w:tc>
          <w:tcPr>
            <w:tcW w:w="1134" w:type="dxa"/>
          </w:tcPr>
          <w:p w:rsidR="003B7363" w:rsidRDefault="003B7363" w:rsidP="009C7780">
            <w:r>
              <w:t>-</w:t>
            </w:r>
          </w:p>
        </w:tc>
        <w:tc>
          <w:tcPr>
            <w:tcW w:w="1276" w:type="dxa"/>
          </w:tcPr>
          <w:p w:rsidR="003B7363" w:rsidRDefault="003B7363" w:rsidP="009C7780">
            <w:r>
              <w:t>-</w:t>
            </w:r>
          </w:p>
        </w:tc>
      </w:tr>
      <w:tr w:rsidR="003B7363" w:rsidTr="00E17BB2">
        <w:tc>
          <w:tcPr>
            <w:tcW w:w="2405" w:type="dxa"/>
            <w:tcBorders>
              <w:top w:val="single" w:sz="4" w:space="0" w:color="auto"/>
              <w:left w:val="single" w:sz="4" w:space="0" w:color="auto"/>
              <w:bottom w:val="single" w:sz="4" w:space="0" w:color="auto"/>
              <w:right w:val="single" w:sz="4" w:space="0" w:color="auto"/>
            </w:tcBorders>
            <w:shd w:val="clear" w:color="auto" w:fill="auto"/>
          </w:tcPr>
          <w:p w:rsidR="003B7363" w:rsidRPr="00B52D6B" w:rsidRDefault="003B7363" w:rsidP="009C7780">
            <w:r>
              <w:t>2017</w:t>
            </w:r>
          </w:p>
        </w:tc>
        <w:tc>
          <w:tcPr>
            <w:tcW w:w="2552" w:type="dxa"/>
            <w:tcBorders>
              <w:top w:val="single" w:sz="4" w:space="0" w:color="auto"/>
              <w:left w:val="single" w:sz="4" w:space="0" w:color="auto"/>
              <w:bottom w:val="single" w:sz="4" w:space="0" w:color="auto"/>
            </w:tcBorders>
            <w:shd w:val="clear" w:color="auto" w:fill="auto"/>
          </w:tcPr>
          <w:p w:rsidR="003B7363" w:rsidRDefault="003B7363" w:rsidP="009C7780">
            <w:r>
              <w:t>0</w:t>
            </w:r>
          </w:p>
        </w:tc>
        <w:tc>
          <w:tcPr>
            <w:tcW w:w="1417" w:type="dxa"/>
          </w:tcPr>
          <w:p w:rsidR="003B7363" w:rsidRDefault="003B7363" w:rsidP="009C7780">
            <w:r>
              <w:t>-</w:t>
            </w:r>
          </w:p>
        </w:tc>
        <w:tc>
          <w:tcPr>
            <w:tcW w:w="1134" w:type="dxa"/>
          </w:tcPr>
          <w:p w:rsidR="003B7363" w:rsidRDefault="003B7363" w:rsidP="009C7780">
            <w:r>
              <w:t>-</w:t>
            </w:r>
          </w:p>
        </w:tc>
        <w:tc>
          <w:tcPr>
            <w:tcW w:w="1276" w:type="dxa"/>
          </w:tcPr>
          <w:p w:rsidR="003B7363" w:rsidRDefault="003B7363" w:rsidP="009C7780">
            <w:r>
              <w:t>-</w:t>
            </w:r>
          </w:p>
        </w:tc>
      </w:tr>
    </w:tbl>
    <w:p w:rsidR="00DC16D6" w:rsidRDefault="00DC16D6" w:rsidP="00DC16D6">
      <w:pPr>
        <w:pStyle w:val="Heading3"/>
      </w:pPr>
      <w:bookmarkStart w:id="13" w:name="_Toc509487290"/>
      <w:r>
        <w:t>5F-PB-22</w:t>
      </w:r>
      <w:bookmarkEnd w:id="13"/>
    </w:p>
    <w:tbl>
      <w:tblPr>
        <w:tblStyle w:val="TableGrid"/>
        <w:tblW w:w="8784" w:type="dxa"/>
        <w:tblLayout w:type="fixed"/>
        <w:tblLook w:val="04A0" w:firstRow="1" w:lastRow="0" w:firstColumn="1" w:lastColumn="0" w:noHBand="0" w:noVBand="1"/>
      </w:tblPr>
      <w:tblGrid>
        <w:gridCol w:w="2405"/>
        <w:gridCol w:w="2552"/>
        <w:gridCol w:w="1417"/>
        <w:gridCol w:w="1134"/>
        <w:gridCol w:w="1276"/>
      </w:tblGrid>
      <w:tr w:rsidR="00DC16D6" w:rsidTr="00791761">
        <w:trPr>
          <w:trHeight w:val="278"/>
        </w:trPr>
        <w:tc>
          <w:tcPr>
            <w:tcW w:w="2405" w:type="dxa"/>
            <w:vMerge w:val="restart"/>
            <w:tcBorders>
              <w:top w:val="single" w:sz="4" w:space="0" w:color="auto"/>
              <w:left w:val="single" w:sz="4" w:space="0" w:color="auto"/>
              <w:right w:val="single" w:sz="4" w:space="0" w:color="auto"/>
            </w:tcBorders>
            <w:shd w:val="clear" w:color="auto" w:fill="D9D9D9" w:themeFill="background1" w:themeFillShade="D9"/>
          </w:tcPr>
          <w:p w:rsidR="00DC16D6" w:rsidRPr="00B52D6B" w:rsidRDefault="00DC16D6" w:rsidP="009C7780">
            <w:pPr>
              <w:rPr>
                <w:b/>
              </w:rPr>
            </w:pPr>
            <w:r>
              <w:rPr>
                <w:b/>
              </w:rPr>
              <w:t>Year</w:t>
            </w:r>
          </w:p>
        </w:tc>
        <w:tc>
          <w:tcPr>
            <w:tcW w:w="2552" w:type="dxa"/>
            <w:vMerge w:val="restart"/>
            <w:tcBorders>
              <w:top w:val="single" w:sz="4" w:space="0" w:color="auto"/>
              <w:left w:val="single" w:sz="4" w:space="0" w:color="auto"/>
              <w:right w:val="single" w:sz="4" w:space="0" w:color="auto"/>
            </w:tcBorders>
            <w:shd w:val="clear" w:color="auto" w:fill="D9D9D9" w:themeFill="background1" w:themeFillShade="D9"/>
          </w:tcPr>
          <w:p w:rsidR="00DC16D6" w:rsidRPr="00B52D6B" w:rsidRDefault="00DC16D6" w:rsidP="003B7363">
            <w:pPr>
              <w:rPr>
                <w:b/>
              </w:rPr>
            </w:pPr>
            <w:r>
              <w:rPr>
                <w:b/>
              </w:rPr>
              <w:t xml:space="preserve">Number of seizures </w:t>
            </w:r>
          </w:p>
        </w:tc>
        <w:tc>
          <w:tcPr>
            <w:tcW w:w="382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C16D6" w:rsidRDefault="00DC16D6" w:rsidP="009C7780">
            <w:pPr>
              <w:rPr>
                <w:b/>
              </w:rPr>
            </w:pPr>
            <w:r>
              <w:rPr>
                <w:b/>
              </w:rPr>
              <w:t>Total quantity seized</w:t>
            </w:r>
          </w:p>
        </w:tc>
      </w:tr>
      <w:tr w:rsidR="003B7363" w:rsidTr="00791761">
        <w:trPr>
          <w:trHeight w:val="277"/>
        </w:trPr>
        <w:tc>
          <w:tcPr>
            <w:tcW w:w="2405" w:type="dxa"/>
            <w:vMerge/>
            <w:tcBorders>
              <w:left w:val="single" w:sz="4" w:space="0" w:color="auto"/>
              <w:bottom w:val="single" w:sz="4" w:space="0" w:color="auto"/>
              <w:right w:val="single" w:sz="4" w:space="0" w:color="auto"/>
            </w:tcBorders>
            <w:shd w:val="clear" w:color="auto" w:fill="D9D9D9" w:themeFill="background1" w:themeFillShade="D9"/>
          </w:tcPr>
          <w:p w:rsidR="003B7363" w:rsidRPr="00B52D6B" w:rsidRDefault="003B7363" w:rsidP="009C7780">
            <w:pPr>
              <w:rPr>
                <w:b/>
              </w:rPr>
            </w:pPr>
          </w:p>
        </w:tc>
        <w:tc>
          <w:tcPr>
            <w:tcW w:w="2552" w:type="dxa"/>
            <w:vMerge/>
            <w:tcBorders>
              <w:left w:val="single" w:sz="4" w:space="0" w:color="auto"/>
              <w:bottom w:val="single" w:sz="4" w:space="0" w:color="auto"/>
              <w:right w:val="single" w:sz="4" w:space="0" w:color="auto"/>
            </w:tcBorders>
            <w:shd w:val="clear" w:color="auto" w:fill="D9D9D9" w:themeFill="background1" w:themeFillShade="D9"/>
          </w:tcPr>
          <w:p w:rsidR="003B7363" w:rsidRDefault="003B7363" w:rsidP="009C7780">
            <w:pPr>
              <w:rPr>
                <w:b/>
              </w:rPr>
            </w:pPr>
          </w:p>
        </w:tc>
        <w:tc>
          <w:tcPr>
            <w:tcW w:w="1417" w:type="dxa"/>
            <w:tcBorders>
              <w:top w:val="single" w:sz="4" w:space="0" w:color="auto"/>
              <w:left w:val="single" w:sz="4" w:space="0" w:color="auto"/>
              <w:right w:val="single" w:sz="4" w:space="0" w:color="auto"/>
            </w:tcBorders>
            <w:shd w:val="clear" w:color="auto" w:fill="D9D9D9" w:themeFill="background1" w:themeFillShade="D9"/>
          </w:tcPr>
          <w:p w:rsidR="003B7363" w:rsidRDefault="003B7363" w:rsidP="009C7780">
            <w:pPr>
              <w:rPr>
                <w:b/>
              </w:rPr>
            </w:pPr>
            <w:r>
              <w:rPr>
                <w:b/>
              </w:rPr>
              <w:t>Powder</w:t>
            </w:r>
          </w:p>
        </w:tc>
        <w:tc>
          <w:tcPr>
            <w:tcW w:w="1134" w:type="dxa"/>
            <w:tcBorders>
              <w:top w:val="single" w:sz="4" w:space="0" w:color="auto"/>
              <w:left w:val="single" w:sz="4" w:space="0" w:color="auto"/>
              <w:right w:val="single" w:sz="4" w:space="0" w:color="auto"/>
            </w:tcBorders>
            <w:shd w:val="clear" w:color="auto" w:fill="D9D9D9" w:themeFill="background1" w:themeFillShade="D9"/>
          </w:tcPr>
          <w:p w:rsidR="003B7363" w:rsidRDefault="003B7363" w:rsidP="009C7780">
            <w:pPr>
              <w:rPr>
                <w:b/>
              </w:rPr>
            </w:pPr>
            <w:r>
              <w:rPr>
                <w:b/>
              </w:rPr>
              <w:t>Leaf</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B7363" w:rsidRDefault="003B7363" w:rsidP="009C7780">
            <w:pPr>
              <w:rPr>
                <w:b/>
              </w:rPr>
            </w:pPr>
            <w:r>
              <w:rPr>
                <w:b/>
              </w:rPr>
              <w:t>Liquid</w:t>
            </w:r>
          </w:p>
        </w:tc>
      </w:tr>
      <w:tr w:rsidR="003B7363" w:rsidTr="00E17BB2">
        <w:tc>
          <w:tcPr>
            <w:tcW w:w="2405" w:type="dxa"/>
            <w:shd w:val="clear" w:color="auto" w:fill="auto"/>
          </w:tcPr>
          <w:p w:rsidR="003B7363" w:rsidRPr="00B52D6B" w:rsidRDefault="003B7363" w:rsidP="009C7780">
            <w:r>
              <w:t>2013</w:t>
            </w:r>
          </w:p>
        </w:tc>
        <w:tc>
          <w:tcPr>
            <w:tcW w:w="2552" w:type="dxa"/>
            <w:tcBorders>
              <w:right w:val="single" w:sz="4" w:space="0" w:color="auto"/>
            </w:tcBorders>
            <w:shd w:val="clear" w:color="auto" w:fill="auto"/>
          </w:tcPr>
          <w:p w:rsidR="003B7363" w:rsidRDefault="003B7363" w:rsidP="009C7780">
            <w:r>
              <w:t>3</w:t>
            </w:r>
          </w:p>
        </w:tc>
        <w:tc>
          <w:tcPr>
            <w:tcW w:w="1417" w:type="dxa"/>
            <w:tcBorders>
              <w:left w:val="single" w:sz="4" w:space="0" w:color="auto"/>
              <w:right w:val="single" w:sz="4" w:space="0" w:color="auto"/>
            </w:tcBorders>
          </w:tcPr>
          <w:p w:rsidR="003B7363" w:rsidRDefault="003B7363" w:rsidP="003B7363">
            <w:r>
              <w:t xml:space="preserve">1012.5 g </w:t>
            </w:r>
          </w:p>
        </w:tc>
        <w:tc>
          <w:tcPr>
            <w:tcW w:w="1134" w:type="dxa"/>
            <w:tcBorders>
              <w:left w:val="single" w:sz="4" w:space="0" w:color="auto"/>
              <w:right w:val="single" w:sz="4" w:space="0" w:color="auto"/>
            </w:tcBorders>
          </w:tcPr>
          <w:p w:rsidR="003B7363" w:rsidRDefault="003B7363" w:rsidP="009C7780">
            <w:r>
              <w:t>-</w:t>
            </w:r>
          </w:p>
        </w:tc>
        <w:tc>
          <w:tcPr>
            <w:tcW w:w="1276" w:type="dxa"/>
            <w:tcBorders>
              <w:left w:val="single" w:sz="4" w:space="0" w:color="auto"/>
            </w:tcBorders>
          </w:tcPr>
          <w:p w:rsidR="003B7363" w:rsidRDefault="003B7363" w:rsidP="009C7780">
            <w:r>
              <w:t>-</w:t>
            </w:r>
          </w:p>
        </w:tc>
      </w:tr>
      <w:tr w:rsidR="003B7363" w:rsidTr="00E17BB2">
        <w:tc>
          <w:tcPr>
            <w:tcW w:w="2405" w:type="dxa"/>
            <w:tcBorders>
              <w:top w:val="single" w:sz="4" w:space="0" w:color="auto"/>
              <w:left w:val="single" w:sz="4" w:space="0" w:color="auto"/>
              <w:bottom w:val="single" w:sz="4" w:space="0" w:color="auto"/>
              <w:right w:val="single" w:sz="4" w:space="0" w:color="auto"/>
            </w:tcBorders>
            <w:shd w:val="clear" w:color="auto" w:fill="auto"/>
          </w:tcPr>
          <w:p w:rsidR="003B7363" w:rsidRPr="00B52D6B" w:rsidRDefault="003B7363" w:rsidP="009C7780">
            <w:r>
              <w:t>2014</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3B7363" w:rsidRDefault="003B7363" w:rsidP="009C7780">
            <w:r>
              <w:t>1</w:t>
            </w:r>
          </w:p>
        </w:tc>
        <w:tc>
          <w:tcPr>
            <w:tcW w:w="1417" w:type="dxa"/>
            <w:tcBorders>
              <w:left w:val="single" w:sz="4" w:space="0" w:color="auto"/>
              <w:right w:val="single" w:sz="4" w:space="0" w:color="auto"/>
            </w:tcBorders>
          </w:tcPr>
          <w:p w:rsidR="003B7363" w:rsidRDefault="003B7363" w:rsidP="009C7780">
            <w:r>
              <w:t>10240 g</w:t>
            </w:r>
          </w:p>
        </w:tc>
        <w:tc>
          <w:tcPr>
            <w:tcW w:w="1134" w:type="dxa"/>
            <w:tcBorders>
              <w:left w:val="single" w:sz="4" w:space="0" w:color="auto"/>
              <w:right w:val="single" w:sz="4" w:space="0" w:color="auto"/>
            </w:tcBorders>
          </w:tcPr>
          <w:p w:rsidR="003B7363" w:rsidRDefault="003B7363" w:rsidP="009C7780">
            <w:r>
              <w:t>-</w:t>
            </w:r>
          </w:p>
        </w:tc>
        <w:tc>
          <w:tcPr>
            <w:tcW w:w="1276" w:type="dxa"/>
            <w:tcBorders>
              <w:left w:val="single" w:sz="4" w:space="0" w:color="auto"/>
            </w:tcBorders>
          </w:tcPr>
          <w:p w:rsidR="003B7363" w:rsidRDefault="003B7363" w:rsidP="009C7780">
            <w:r>
              <w:t>-</w:t>
            </w:r>
          </w:p>
        </w:tc>
      </w:tr>
      <w:tr w:rsidR="003B7363" w:rsidTr="00E17BB2">
        <w:tc>
          <w:tcPr>
            <w:tcW w:w="2405" w:type="dxa"/>
            <w:tcBorders>
              <w:top w:val="single" w:sz="4" w:space="0" w:color="auto"/>
              <w:left w:val="single" w:sz="4" w:space="0" w:color="auto"/>
              <w:bottom w:val="single" w:sz="4" w:space="0" w:color="auto"/>
              <w:right w:val="single" w:sz="4" w:space="0" w:color="auto"/>
            </w:tcBorders>
            <w:shd w:val="clear" w:color="auto" w:fill="auto"/>
          </w:tcPr>
          <w:p w:rsidR="003B7363" w:rsidRPr="00B52D6B" w:rsidRDefault="003B7363" w:rsidP="009C7780">
            <w:r>
              <w:t>2015</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3B7363" w:rsidRDefault="003B7363" w:rsidP="009C7780">
            <w:r>
              <w:t>12</w:t>
            </w:r>
          </w:p>
        </w:tc>
        <w:tc>
          <w:tcPr>
            <w:tcW w:w="1417" w:type="dxa"/>
            <w:tcBorders>
              <w:left w:val="single" w:sz="4" w:space="0" w:color="auto"/>
              <w:right w:val="single" w:sz="4" w:space="0" w:color="auto"/>
            </w:tcBorders>
          </w:tcPr>
          <w:p w:rsidR="003B7363" w:rsidRDefault="003B7363" w:rsidP="009C7780">
            <w:r>
              <w:t>232.1 g</w:t>
            </w:r>
          </w:p>
        </w:tc>
        <w:tc>
          <w:tcPr>
            <w:tcW w:w="1134" w:type="dxa"/>
            <w:tcBorders>
              <w:left w:val="single" w:sz="4" w:space="0" w:color="auto"/>
              <w:right w:val="single" w:sz="4" w:space="0" w:color="auto"/>
            </w:tcBorders>
          </w:tcPr>
          <w:p w:rsidR="003B7363" w:rsidRDefault="00D44E25" w:rsidP="009C7780">
            <w:r>
              <w:t>-</w:t>
            </w:r>
          </w:p>
        </w:tc>
        <w:tc>
          <w:tcPr>
            <w:tcW w:w="1276" w:type="dxa"/>
            <w:tcBorders>
              <w:left w:val="single" w:sz="4" w:space="0" w:color="auto"/>
            </w:tcBorders>
          </w:tcPr>
          <w:p w:rsidR="003B7363" w:rsidRDefault="00D44E25" w:rsidP="009C7780">
            <w:r>
              <w:t>-</w:t>
            </w:r>
          </w:p>
        </w:tc>
      </w:tr>
      <w:tr w:rsidR="003B7363" w:rsidTr="00E17BB2">
        <w:tc>
          <w:tcPr>
            <w:tcW w:w="2405" w:type="dxa"/>
            <w:tcBorders>
              <w:top w:val="single" w:sz="4" w:space="0" w:color="auto"/>
              <w:left w:val="single" w:sz="4" w:space="0" w:color="auto"/>
              <w:bottom w:val="single" w:sz="4" w:space="0" w:color="auto"/>
              <w:right w:val="single" w:sz="4" w:space="0" w:color="auto"/>
            </w:tcBorders>
            <w:shd w:val="clear" w:color="auto" w:fill="auto"/>
          </w:tcPr>
          <w:p w:rsidR="003B7363" w:rsidRPr="00B52D6B" w:rsidRDefault="003B7363" w:rsidP="009C7780">
            <w:r>
              <w:t>2016</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3B7363" w:rsidRDefault="003B7363" w:rsidP="009C7780">
            <w:r>
              <w:t>7</w:t>
            </w:r>
          </w:p>
        </w:tc>
        <w:tc>
          <w:tcPr>
            <w:tcW w:w="1417" w:type="dxa"/>
            <w:tcBorders>
              <w:left w:val="single" w:sz="4" w:space="0" w:color="auto"/>
              <w:right w:val="single" w:sz="4" w:space="0" w:color="auto"/>
            </w:tcBorders>
          </w:tcPr>
          <w:p w:rsidR="003B7363" w:rsidRDefault="003B7363" w:rsidP="009C7780">
            <w:r>
              <w:t>10377.5 g</w:t>
            </w:r>
          </w:p>
        </w:tc>
        <w:tc>
          <w:tcPr>
            <w:tcW w:w="1134" w:type="dxa"/>
            <w:tcBorders>
              <w:left w:val="single" w:sz="4" w:space="0" w:color="auto"/>
              <w:right w:val="single" w:sz="4" w:space="0" w:color="auto"/>
            </w:tcBorders>
          </w:tcPr>
          <w:p w:rsidR="003B7363" w:rsidRDefault="00D44E25" w:rsidP="009C7780">
            <w:r>
              <w:t>-</w:t>
            </w:r>
          </w:p>
        </w:tc>
        <w:tc>
          <w:tcPr>
            <w:tcW w:w="1276" w:type="dxa"/>
            <w:tcBorders>
              <w:left w:val="single" w:sz="4" w:space="0" w:color="auto"/>
            </w:tcBorders>
          </w:tcPr>
          <w:p w:rsidR="003B7363" w:rsidRDefault="00D44E25" w:rsidP="009C7780">
            <w:r>
              <w:t>-</w:t>
            </w:r>
          </w:p>
        </w:tc>
      </w:tr>
      <w:tr w:rsidR="003B7363" w:rsidTr="00E17BB2">
        <w:tc>
          <w:tcPr>
            <w:tcW w:w="2405" w:type="dxa"/>
            <w:tcBorders>
              <w:top w:val="single" w:sz="4" w:space="0" w:color="auto"/>
              <w:left w:val="single" w:sz="4" w:space="0" w:color="auto"/>
              <w:bottom w:val="single" w:sz="4" w:space="0" w:color="auto"/>
              <w:right w:val="single" w:sz="4" w:space="0" w:color="auto"/>
            </w:tcBorders>
            <w:shd w:val="clear" w:color="auto" w:fill="auto"/>
          </w:tcPr>
          <w:p w:rsidR="003B7363" w:rsidRPr="00B52D6B" w:rsidRDefault="003B7363" w:rsidP="009C7780">
            <w:r>
              <w:t>2017</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3B7363" w:rsidRDefault="00D44E25" w:rsidP="009C7780">
            <w:r>
              <w:t>0</w:t>
            </w:r>
          </w:p>
        </w:tc>
        <w:tc>
          <w:tcPr>
            <w:tcW w:w="1417" w:type="dxa"/>
            <w:tcBorders>
              <w:left w:val="single" w:sz="4" w:space="0" w:color="auto"/>
              <w:right w:val="single" w:sz="4" w:space="0" w:color="auto"/>
            </w:tcBorders>
          </w:tcPr>
          <w:p w:rsidR="003B7363" w:rsidRDefault="00D44E25" w:rsidP="009C7780">
            <w:r>
              <w:t>-</w:t>
            </w:r>
          </w:p>
        </w:tc>
        <w:tc>
          <w:tcPr>
            <w:tcW w:w="1134" w:type="dxa"/>
            <w:tcBorders>
              <w:left w:val="single" w:sz="4" w:space="0" w:color="auto"/>
              <w:right w:val="single" w:sz="4" w:space="0" w:color="auto"/>
            </w:tcBorders>
          </w:tcPr>
          <w:p w:rsidR="003B7363" w:rsidRDefault="00D44E25" w:rsidP="009C7780">
            <w:r>
              <w:t>-</w:t>
            </w:r>
          </w:p>
        </w:tc>
        <w:tc>
          <w:tcPr>
            <w:tcW w:w="1276" w:type="dxa"/>
            <w:tcBorders>
              <w:left w:val="single" w:sz="4" w:space="0" w:color="auto"/>
            </w:tcBorders>
          </w:tcPr>
          <w:p w:rsidR="003B7363" w:rsidRDefault="00D44E25" w:rsidP="009C7780">
            <w:r>
              <w:t>-</w:t>
            </w:r>
          </w:p>
        </w:tc>
      </w:tr>
    </w:tbl>
    <w:p w:rsidR="00DC16D6" w:rsidRDefault="009C7780" w:rsidP="009C7780">
      <w:pPr>
        <w:pStyle w:val="Heading3"/>
      </w:pPr>
      <w:bookmarkStart w:id="14" w:name="_Toc509487291"/>
      <w:r>
        <w:t>MDMB-CHMICA</w:t>
      </w:r>
      <w:bookmarkEnd w:id="14"/>
    </w:p>
    <w:tbl>
      <w:tblPr>
        <w:tblStyle w:val="TableGrid"/>
        <w:tblW w:w="8784" w:type="dxa"/>
        <w:tblLayout w:type="fixed"/>
        <w:tblLook w:val="04A0" w:firstRow="1" w:lastRow="0" w:firstColumn="1" w:lastColumn="0" w:noHBand="0" w:noVBand="1"/>
      </w:tblPr>
      <w:tblGrid>
        <w:gridCol w:w="2405"/>
        <w:gridCol w:w="2552"/>
        <w:gridCol w:w="1417"/>
        <w:gridCol w:w="1134"/>
        <w:gridCol w:w="1276"/>
      </w:tblGrid>
      <w:tr w:rsidR="009C7780" w:rsidTr="00791761">
        <w:trPr>
          <w:trHeight w:val="278"/>
        </w:trPr>
        <w:tc>
          <w:tcPr>
            <w:tcW w:w="2405" w:type="dxa"/>
            <w:vMerge w:val="restart"/>
            <w:tcBorders>
              <w:top w:val="single" w:sz="4" w:space="0" w:color="auto"/>
              <w:left w:val="single" w:sz="4" w:space="0" w:color="auto"/>
              <w:right w:val="single" w:sz="4" w:space="0" w:color="auto"/>
            </w:tcBorders>
            <w:shd w:val="clear" w:color="auto" w:fill="D9D9D9" w:themeFill="background1" w:themeFillShade="D9"/>
          </w:tcPr>
          <w:p w:rsidR="009C7780" w:rsidRPr="00B52D6B" w:rsidRDefault="009C7780" w:rsidP="009C7780">
            <w:pPr>
              <w:rPr>
                <w:b/>
              </w:rPr>
            </w:pPr>
            <w:r>
              <w:rPr>
                <w:b/>
              </w:rPr>
              <w:t>Year</w:t>
            </w:r>
          </w:p>
        </w:tc>
        <w:tc>
          <w:tcPr>
            <w:tcW w:w="2552" w:type="dxa"/>
            <w:vMerge w:val="restart"/>
            <w:tcBorders>
              <w:top w:val="single" w:sz="4" w:space="0" w:color="auto"/>
              <w:left w:val="single" w:sz="4" w:space="0" w:color="auto"/>
              <w:right w:val="single" w:sz="4" w:space="0" w:color="auto"/>
            </w:tcBorders>
            <w:shd w:val="clear" w:color="auto" w:fill="D9D9D9" w:themeFill="background1" w:themeFillShade="D9"/>
          </w:tcPr>
          <w:p w:rsidR="009C7780" w:rsidRPr="00B52D6B" w:rsidRDefault="009C7780" w:rsidP="009C7780">
            <w:pPr>
              <w:rPr>
                <w:b/>
              </w:rPr>
            </w:pPr>
            <w:r>
              <w:rPr>
                <w:b/>
              </w:rPr>
              <w:t xml:space="preserve">Number of seizures </w:t>
            </w:r>
          </w:p>
        </w:tc>
        <w:tc>
          <w:tcPr>
            <w:tcW w:w="382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C7780" w:rsidRDefault="009C7780" w:rsidP="009C7780">
            <w:pPr>
              <w:rPr>
                <w:b/>
              </w:rPr>
            </w:pPr>
            <w:r>
              <w:rPr>
                <w:b/>
              </w:rPr>
              <w:t>Total quantity seized</w:t>
            </w:r>
          </w:p>
        </w:tc>
      </w:tr>
      <w:tr w:rsidR="009C7780" w:rsidTr="00791761">
        <w:trPr>
          <w:trHeight w:val="277"/>
        </w:trPr>
        <w:tc>
          <w:tcPr>
            <w:tcW w:w="2405" w:type="dxa"/>
            <w:vMerge/>
            <w:tcBorders>
              <w:left w:val="single" w:sz="4" w:space="0" w:color="auto"/>
              <w:bottom w:val="single" w:sz="4" w:space="0" w:color="auto"/>
              <w:right w:val="single" w:sz="4" w:space="0" w:color="auto"/>
            </w:tcBorders>
            <w:shd w:val="clear" w:color="auto" w:fill="D9D9D9" w:themeFill="background1" w:themeFillShade="D9"/>
          </w:tcPr>
          <w:p w:rsidR="009C7780" w:rsidRPr="00B52D6B" w:rsidRDefault="009C7780" w:rsidP="009C7780">
            <w:pPr>
              <w:rPr>
                <w:b/>
              </w:rPr>
            </w:pPr>
          </w:p>
        </w:tc>
        <w:tc>
          <w:tcPr>
            <w:tcW w:w="2552" w:type="dxa"/>
            <w:vMerge/>
            <w:tcBorders>
              <w:left w:val="single" w:sz="4" w:space="0" w:color="auto"/>
              <w:bottom w:val="single" w:sz="4" w:space="0" w:color="auto"/>
              <w:right w:val="single" w:sz="4" w:space="0" w:color="auto"/>
            </w:tcBorders>
            <w:shd w:val="clear" w:color="auto" w:fill="D9D9D9" w:themeFill="background1" w:themeFillShade="D9"/>
          </w:tcPr>
          <w:p w:rsidR="009C7780" w:rsidRDefault="009C7780" w:rsidP="009C7780">
            <w:pPr>
              <w:rPr>
                <w:b/>
              </w:rPr>
            </w:pPr>
          </w:p>
        </w:tc>
        <w:tc>
          <w:tcPr>
            <w:tcW w:w="1417" w:type="dxa"/>
            <w:tcBorders>
              <w:top w:val="single" w:sz="4" w:space="0" w:color="auto"/>
              <w:left w:val="single" w:sz="4" w:space="0" w:color="auto"/>
              <w:right w:val="single" w:sz="4" w:space="0" w:color="auto"/>
            </w:tcBorders>
            <w:shd w:val="clear" w:color="auto" w:fill="D9D9D9" w:themeFill="background1" w:themeFillShade="D9"/>
          </w:tcPr>
          <w:p w:rsidR="009C7780" w:rsidRDefault="009C7780" w:rsidP="009C7780">
            <w:pPr>
              <w:rPr>
                <w:b/>
              </w:rPr>
            </w:pPr>
            <w:r>
              <w:rPr>
                <w:b/>
              </w:rPr>
              <w:t>Powder</w:t>
            </w:r>
          </w:p>
        </w:tc>
        <w:tc>
          <w:tcPr>
            <w:tcW w:w="1134" w:type="dxa"/>
            <w:tcBorders>
              <w:top w:val="single" w:sz="4" w:space="0" w:color="auto"/>
              <w:left w:val="single" w:sz="4" w:space="0" w:color="auto"/>
              <w:right w:val="single" w:sz="4" w:space="0" w:color="auto"/>
            </w:tcBorders>
            <w:shd w:val="clear" w:color="auto" w:fill="D9D9D9" w:themeFill="background1" w:themeFillShade="D9"/>
          </w:tcPr>
          <w:p w:rsidR="009C7780" w:rsidRDefault="009C7780" w:rsidP="009C7780">
            <w:pPr>
              <w:rPr>
                <w:b/>
              </w:rPr>
            </w:pPr>
            <w:r>
              <w:rPr>
                <w:b/>
              </w:rPr>
              <w:t>Leaf</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C7780" w:rsidRDefault="009C7780" w:rsidP="009C7780">
            <w:pPr>
              <w:rPr>
                <w:b/>
              </w:rPr>
            </w:pPr>
            <w:r>
              <w:rPr>
                <w:b/>
              </w:rPr>
              <w:t>Liquid</w:t>
            </w:r>
          </w:p>
        </w:tc>
      </w:tr>
      <w:tr w:rsidR="009C7780" w:rsidTr="00E17BB2">
        <w:tc>
          <w:tcPr>
            <w:tcW w:w="2405" w:type="dxa"/>
            <w:shd w:val="clear" w:color="auto" w:fill="auto"/>
          </w:tcPr>
          <w:p w:rsidR="009C7780" w:rsidRPr="00B52D6B" w:rsidRDefault="009C7780" w:rsidP="009C7780">
            <w:r>
              <w:t>2013</w:t>
            </w:r>
          </w:p>
        </w:tc>
        <w:tc>
          <w:tcPr>
            <w:tcW w:w="2552" w:type="dxa"/>
            <w:tcBorders>
              <w:right w:val="single" w:sz="4" w:space="0" w:color="auto"/>
            </w:tcBorders>
            <w:shd w:val="clear" w:color="auto" w:fill="auto"/>
          </w:tcPr>
          <w:p w:rsidR="009C7780" w:rsidRDefault="009C7780" w:rsidP="009C7780">
            <w:r>
              <w:t>0</w:t>
            </w:r>
          </w:p>
        </w:tc>
        <w:tc>
          <w:tcPr>
            <w:tcW w:w="1417" w:type="dxa"/>
            <w:tcBorders>
              <w:left w:val="single" w:sz="4" w:space="0" w:color="auto"/>
              <w:right w:val="single" w:sz="4" w:space="0" w:color="auto"/>
            </w:tcBorders>
          </w:tcPr>
          <w:p w:rsidR="009C7780" w:rsidRDefault="009C7780" w:rsidP="009C7780">
            <w:r>
              <w:t>-</w:t>
            </w:r>
          </w:p>
        </w:tc>
        <w:tc>
          <w:tcPr>
            <w:tcW w:w="1134" w:type="dxa"/>
            <w:tcBorders>
              <w:left w:val="single" w:sz="4" w:space="0" w:color="auto"/>
              <w:right w:val="single" w:sz="4" w:space="0" w:color="auto"/>
            </w:tcBorders>
          </w:tcPr>
          <w:p w:rsidR="009C7780" w:rsidRDefault="009C7780" w:rsidP="009C7780">
            <w:r>
              <w:t>-</w:t>
            </w:r>
          </w:p>
        </w:tc>
        <w:tc>
          <w:tcPr>
            <w:tcW w:w="1276" w:type="dxa"/>
            <w:tcBorders>
              <w:left w:val="single" w:sz="4" w:space="0" w:color="auto"/>
            </w:tcBorders>
          </w:tcPr>
          <w:p w:rsidR="009C7780" w:rsidRDefault="009C7780" w:rsidP="009C7780">
            <w:r>
              <w:t>-</w:t>
            </w:r>
          </w:p>
        </w:tc>
      </w:tr>
      <w:tr w:rsidR="009C7780" w:rsidTr="00E17BB2">
        <w:tc>
          <w:tcPr>
            <w:tcW w:w="2405" w:type="dxa"/>
            <w:tcBorders>
              <w:top w:val="single" w:sz="4" w:space="0" w:color="auto"/>
              <w:left w:val="single" w:sz="4" w:space="0" w:color="auto"/>
              <w:bottom w:val="single" w:sz="4" w:space="0" w:color="auto"/>
              <w:right w:val="single" w:sz="4" w:space="0" w:color="auto"/>
            </w:tcBorders>
            <w:shd w:val="clear" w:color="auto" w:fill="auto"/>
          </w:tcPr>
          <w:p w:rsidR="009C7780" w:rsidRPr="00B52D6B" w:rsidRDefault="009C7780" w:rsidP="009C7780">
            <w:r>
              <w:t>2014</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C7780" w:rsidRDefault="009C7780" w:rsidP="009C7780">
            <w:r>
              <w:t>0</w:t>
            </w:r>
          </w:p>
        </w:tc>
        <w:tc>
          <w:tcPr>
            <w:tcW w:w="1417" w:type="dxa"/>
            <w:tcBorders>
              <w:left w:val="single" w:sz="4" w:space="0" w:color="auto"/>
              <w:right w:val="single" w:sz="4" w:space="0" w:color="auto"/>
            </w:tcBorders>
          </w:tcPr>
          <w:p w:rsidR="009C7780" w:rsidRDefault="009C7780" w:rsidP="009C7780">
            <w:r>
              <w:t>-</w:t>
            </w:r>
          </w:p>
        </w:tc>
        <w:tc>
          <w:tcPr>
            <w:tcW w:w="1134" w:type="dxa"/>
            <w:tcBorders>
              <w:left w:val="single" w:sz="4" w:space="0" w:color="auto"/>
              <w:right w:val="single" w:sz="4" w:space="0" w:color="auto"/>
            </w:tcBorders>
          </w:tcPr>
          <w:p w:rsidR="009C7780" w:rsidRDefault="009C7780" w:rsidP="009C7780">
            <w:r>
              <w:t>-</w:t>
            </w:r>
          </w:p>
        </w:tc>
        <w:tc>
          <w:tcPr>
            <w:tcW w:w="1276" w:type="dxa"/>
            <w:tcBorders>
              <w:left w:val="single" w:sz="4" w:space="0" w:color="auto"/>
            </w:tcBorders>
          </w:tcPr>
          <w:p w:rsidR="009C7780" w:rsidRDefault="009C7780" w:rsidP="009C7780">
            <w:r>
              <w:t>-</w:t>
            </w:r>
          </w:p>
        </w:tc>
      </w:tr>
      <w:tr w:rsidR="009C7780" w:rsidTr="00E17BB2">
        <w:tc>
          <w:tcPr>
            <w:tcW w:w="2405" w:type="dxa"/>
            <w:tcBorders>
              <w:top w:val="single" w:sz="4" w:space="0" w:color="auto"/>
              <w:left w:val="single" w:sz="4" w:space="0" w:color="auto"/>
              <w:bottom w:val="single" w:sz="4" w:space="0" w:color="auto"/>
              <w:right w:val="single" w:sz="4" w:space="0" w:color="auto"/>
            </w:tcBorders>
            <w:shd w:val="clear" w:color="auto" w:fill="auto"/>
          </w:tcPr>
          <w:p w:rsidR="009C7780" w:rsidRPr="00B52D6B" w:rsidRDefault="009C7780" w:rsidP="009C7780">
            <w:r>
              <w:t>2015</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C7780" w:rsidRDefault="009C7780" w:rsidP="009C7780">
            <w:r>
              <w:t>1</w:t>
            </w:r>
          </w:p>
        </w:tc>
        <w:tc>
          <w:tcPr>
            <w:tcW w:w="1417" w:type="dxa"/>
            <w:tcBorders>
              <w:left w:val="single" w:sz="4" w:space="0" w:color="auto"/>
              <w:right w:val="single" w:sz="4" w:space="0" w:color="auto"/>
            </w:tcBorders>
          </w:tcPr>
          <w:p w:rsidR="009C7780" w:rsidRDefault="009C7780" w:rsidP="009C7780">
            <w:r>
              <w:t>5 g</w:t>
            </w:r>
          </w:p>
        </w:tc>
        <w:tc>
          <w:tcPr>
            <w:tcW w:w="1134" w:type="dxa"/>
            <w:tcBorders>
              <w:left w:val="single" w:sz="4" w:space="0" w:color="auto"/>
              <w:right w:val="single" w:sz="4" w:space="0" w:color="auto"/>
            </w:tcBorders>
          </w:tcPr>
          <w:p w:rsidR="009C7780" w:rsidRDefault="009C7780" w:rsidP="009C7780">
            <w:r>
              <w:t>-</w:t>
            </w:r>
          </w:p>
        </w:tc>
        <w:tc>
          <w:tcPr>
            <w:tcW w:w="1276" w:type="dxa"/>
            <w:tcBorders>
              <w:left w:val="single" w:sz="4" w:space="0" w:color="auto"/>
            </w:tcBorders>
          </w:tcPr>
          <w:p w:rsidR="009C7780" w:rsidRDefault="009C7780" w:rsidP="009C7780">
            <w:r>
              <w:t>-</w:t>
            </w:r>
          </w:p>
        </w:tc>
      </w:tr>
      <w:tr w:rsidR="009C7780" w:rsidTr="00E17BB2">
        <w:tc>
          <w:tcPr>
            <w:tcW w:w="2405" w:type="dxa"/>
            <w:tcBorders>
              <w:top w:val="single" w:sz="4" w:space="0" w:color="auto"/>
              <w:left w:val="single" w:sz="4" w:space="0" w:color="auto"/>
              <w:bottom w:val="single" w:sz="4" w:space="0" w:color="auto"/>
              <w:right w:val="single" w:sz="4" w:space="0" w:color="auto"/>
            </w:tcBorders>
            <w:shd w:val="clear" w:color="auto" w:fill="auto"/>
          </w:tcPr>
          <w:p w:rsidR="009C7780" w:rsidRPr="00B52D6B" w:rsidRDefault="009C7780" w:rsidP="009C7780">
            <w:r>
              <w:t>2016</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C7780" w:rsidRDefault="009C7780" w:rsidP="009C7780">
            <w:r>
              <w:t>2</w:t>
            </w:r>
          </w:p>
        </w:tc>
        <w:tc>
          <w:tcPr>
            <w:tcW w:w="1417" w:type="dxa"/>
            <w:tcBorders>
              <w:left w:val="single" w:sz="4" w:space="0" w:color="auto"/>
              <w:right w:val="single" w:sz="4" w:space="0" w:color="auto"/>
            </w:tcBorders>
          </w:tcPr>
          <w:p w:rsidR="009C7780" w:rsidRDefault="009C7780" w:rsidP="009C7780">
            <w:r>
              <w:t>1.9 g</w:t>
            </w:r>
          </w:p>
        </w:tc>
        <w:tc>
          <w:tcPr>
            <w:tcW w:w="1134" w:type="dxa"/>
            <w:tcBorders>
              <w:left w:val="single" w:sz="4" w:space="0" w:color="auto"/>
              <w:right w:val="single" w:sz="4" w:space="0" w:color="auto"/>
            </w:tcBorders>
          </w:tcPr>
          <w:p w:rsidR="009C7780" w:rsidRDefault="009C7780" w:rsidP="009C7780">
            <w:r>
              <w:t>29 g</w:t>
            </w:r>
          </w:p>
        </w:tc>
        <w:tc>
          <w:tcPr>
            <w:tcW w:w="1276" w:type="dxa"/>
            <w:tcBorders>
              <w:left w:val="single" w:sz="4" w:space="0" w:color="auto"/>
            </w:tcBorders>
          </w:tcPr>
          <w:p w:rsidR="009C7780" w:rsidRDefault="009C7780" w:rsidP="009C7780">
            <w:r>
              <w:t>-</w:t>
            </w:r>
          </w:p>
        </w:tc>
      </w:tr>
      <w:tr w:rsidR="009C7780" w:rsidTr="00E17BB2">
        <w:trPr>
          <w:trHeight w:val="70"/>
        </w:trPr>
        <w:tc>
          <w:tcPr>
            <w:tcW w:w="2405" w:type="dxa"/>
            <w:tcBorders>
              <w:top w:val="single" w:sz="4" w:space="0" w:color="auto"/>
              <w:left w:val="single" w:sz="4" w:space="0" w:color="auto"/>
              <w:bottom w:val="single" w:sz="4" w:space="0" w:color="auto"/>
              <w:right w:val="single" w:sz="4" w:space="0" w:color="auto"/>
            </w:tcBorders>
            <w:shd w:val="clear" w:color="auto" w:fill="auto"/>
          </w:tcPr>
          <w:p w:rsidR="009C7780" w:rsidRPr="00B52D6B" w:rsidRDefault="009C7780" w:rsidP="009C7780">
            <w:r>
              <w:t>2017</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C7780" w:rsidRDefault="00E17BB2" w:rsidP="009C7780">
            <w:r>
              <w:t>0</w:t>
            </w:r>
          </w:p>
        </w:tc>
        <w:tc>
          <w:tcPr>
            <w:tcW w:w="1417" w:type="dxa"/>
            <w:tcBorders>
              <w:left w:val="single" w:sz="4" w:space="0" w:color="auto"/>
              <w:right w:val="single" w:sz="4" w:space="0" w:color="auto"/>
            </w:tcBorders>
          </w:tcPr>
          <w:p w:rsidR="009C7780" w:rsidRDefault="00E17BB2" w:rsidP="009C7780">
            <w:r>
              <w:t>-</w:t>
            </w:r>
          </w:p>
        </w:tc>
        <w:tc>
          <w:tcPr>
            <w:tcW w:w="1134" w:type="dxa"/>
            <w:tcBorders>
              <w:left w:val="single" w:sz="4" w:space="0" w:color="auto"/>
              <w:right w:val="single" w:sz="4" w:space="0" w:color="auto"/>
            </w:tcBorders>
          </w:tcPr>
          <w:p w:rsidR="009C7780" w:rsidRDefault="00E17BB2" w:rsidP="009C7780">
            <w:r>
              <w:t>-</w:t>
            </w:r>
          </w:p>
        </w:tc>
        <w:tc>
          <w:tcPr>
            <w:tcW w:w="1276" w:type="dxa"/>
            <w:tcBorders>
              <w:left w:val="single" w:sz="4" w:space="0" w:color="auto"/>
            </w:tcBorders>
          </w:tcPr>
          <w:p w:rsidR="009C7780" w:rsidRDefault="00E17BB2" w:rsidP="009C7780">
            <w:r>
              <w:t>-</w:t>
            </w:r>
          </w:p>
        </w:tc>
      </w:tr>
    </w:tbl>
    <w:p w:rsidR="001A2637" w:rsidRPr="001A2637" w:rsidRDefault="001A2637" w:rsidP="001A2637">
      <w:pPr>
        <w:rPr>
          <w:sz w:val="22"/>
        </w:rPr>
      </w:pPr>
      <w:r w:rsidRPr="001A2637">
        <w:rPr>
          <w:sz w:val="22"/>
        </w:rPr>
        <w:t xml:space="preserve">Note that MDMB-CHMICA has previously been sold under the name MMB-CHMINACA so actual seizures for this substance will </w:t>
      </w:r>
      <w:r>
        <w:rPr>
          <w:sz w:val="22"/>
        </w:rPr>
        <w:t xml:space="preserve">likely </w:t>
      </w:r>
      <w:r w:rsidRPr="001A2637">
        <w:rPr>
          <w:sz w:val="22"/>
        </w:rPr>
        <w:t>be higher than the numbers reported here.</w:t>
      </w:r>
    </w:p>
    <w:p w:rsidR="00E17BB2" w:rsidRDefault="00E17BB2" w:rsidP="00E17BB2">
      <w:pPr>
        <w:pStyle w:val="Heading3"/>
      </w:pPr>
      <w:bookmarkStart w:id="15" w:name="_Toc509487292"/>
      <w:r>
        <w:t>XLR-11</w:t>
      </w:r>
      <w:bookmarkEnd w:id="15"/>
    </w:p>
    <w:tbl>
      <w:tblPr>
        <w:tblStyle w:val="TableGrid"/>
        <w:tblW w:w="8784" w:type="dxa"/>
        <w:tblLayout w:type="fixed"/>
        <w:tblLook w:val="04A0" w:firstRow="1" w:lastRow="0" w:firstColumn="1" w:lastColumn="0" w:noHBand="0" w:noVBand="1"/>
      </w:tblPr>
      <w:tblGrid>
        <w:gridCol w:w="2405"/>
        <w:gridCol w:w="2552"/>
        <w:gridCol w:w="1417"/>
        <w:gridCol w:w="1134"/>
        <w:gridCol w:w="1276"/>
      </w:tblGrid>
      <w:tr w:rsidR="00E17BB2" w:rsidTr="00791761">
        <w:trPr>
          <w:trHeight w:val="278"/>
        </w:trPr>
        <w:tc>
          <w:tcPr>
            <w:tcW w:w="2405" w:type="dxa"/>
            <w:vMerge w:val="restart"/>
            <w:tcBorders>
              <w:top w:val="single" w:sz="4" w:space="0" w:color="auto"/>
              <w:left w:val="single" w:sz="4" w:space="0" w:color="auto"/>
              <w:right w:val="single" w:sz="4" w:space="0" w:color="auto"/>
            </w:tcBorders>
            <w:shd w:val="clear" w:color="auto" w:fill="D9D9D9" w:themeFill="background1" w:themeFillShade="D9"/>
          </w:tcPr>
          <w:p w:rsidR="00E17BB2" w:rsidRPr="00B52D6B" w:rsidRDefault="00E17BB2" w:rsidP="00265DF3">
            <w:pPr>
              <w:rPr>
                <w:b/>
              </w:rPr>
            </w:pPr>
            <w:r>
              <w:rPr>
                <w:b/>
              </w:rPr>
              <w:t>Year</w:t>
            </w:r>
          </w:p>
        </w:tc>
        <w:tc>
          <w:tcPr>
            <w:tcW w:w="2552" w:type="dxa"/>
            <w:vMerge w:val="restart"/>
            <w:tcBorders>
              <w:top w:val="single" w:sz="4" w:space="0" w:color="auto"/>
              <w:left w:val="single" w:sz="4" w:space="0" w:color="auto"/>
              <w:right w:val="single" w:sz="4" w:space="0" w:color="auto"/>
            </w:tcBorders>
            <w:shd w:val="clear" w:color="auto" w:fill="D9D9D9" w:themeFill="background1" w:themeFillShade="D9"/>
          </w:tcPr>
          <w:p w:rsidR="00E17BB2" w:rsidRPr="00B52D6B" w:rsidRDefault="00E17BB2" w:rsidP="00265DF3">
            <w:pPr>
              <w:rPr>
                <w:b/>
              </w:rPr>
            </w:pPr>
            <w:r>
              <w:rPr>
                <w:b/>
              </w:rPr>
              <w:t xml:space="preserve">Number of seizures </w:t>
            </w:r>
          </w:p>
        </w:tc>
        <w:tc>
          <w:tcPr>
            <w:tcW w:w="382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17BB2" w:rsidRDefault="00E17BB2" w:rsidP="00265DF3">
            <w:pPr>
              <w:rPr>
                <w:b/>
              </w:rPr>
            </w:pPr>
            <w:r>
              <w:rPr>
                <w:b/>
              </w:rPr>
              <w:t>Total quantity seized</w:t>
            </w:r>
          </w:p>
        </w:tc>
      </w:tr>
      <w:tr w:rsidR="00E17BB2" w:rsidTr="00791761">
        <w:trPr>
          <w:trHeight w:val="277"/>
        </w:trPr>
        <w:tc>
          <w:tcPr>
            <w:tcW w:w="2405" w:type="dxa"/>
            <w:vMerge/>
            <w:tcBorders>
              <w:left w:val="single" w:sz="4" w:space="0" w:color="auto"/>
              <w:bottom w:val="single" w:sz="4" w:space="0" w:color="auto"/>
              <w:right w:val="single" w:sz="4" w:space="0" w:color="auto"/>
            </w:tcBorders>
            <w:shd w:val="clear" w:color="auto" w:fill="D9D9D9" w:themeFill="background1" w:themeFillShade="D9"/>
          </w:tcPr>
          <w:p w:rsidR="00E17BB2" w:rsidRPr="00B52D6B" w:rsidRDefault="00E17BB2" w:rsidP="00265DF3">
            <w:pPr>
              <w:rPr>
                <w:b/>
              </w:rPr>
            </w:pPr>
          </w:p>
        </w:tc>
        <w:tc>
          <w:tcPr>
            <w:tcW w:w="2552" w:type="dxa"/>
            <w:vMerge/>
            <w:tcBorders>
              <w:left w:val="single" w:sz="4" w:space="0" w:color="auto"/>
              <w:bottom w:val="single" w:sz="4" w:space="0" w:color="auto"/>
              <w:right w:val="single" w:sz="4" w:space="0" w:color="auto"/>
            </w:tcBorders>
            <w:shd w:val="clear" w:color="auto" w:fill="D9D9D9" w:themeFill="background1" w:themeFillShade="D9"/>
          </w:tcPr>
          <w:p w:rsidR="00E17BB2" w:rsidRDefault="00E17BB2" w:rsidP="00265DF3">
            <w:pPr>
              <w:rPr>
                <w:b/>
              </w:rPr>
            </w:pPr>
          </w:p>
        </w:tc>
        <w:tc>
          <w:tcPr>
            <w:tcW w:w="1417" w:type="dxa"/>
            <w:tcBorders>
              <w:top w:val="single" w:sz="4" w:space="0" w:color="auto"/>
              <w:left w:val="single" w:sz="4" w:space="0" w:color="auto"/>
              <w:right w:val="single" w:sz="4" w:space="0" w:color="auto"/>
            </w:tcBorders>
            <w:shd w:val="clear" w:color="auto" w:fill="D9D9D9" w:themeFill="background1" w:themeFillShade="D9"/>
          </w:tcPr>
          <w:p w:rsidR="00E17BB2" w:rsidRDefault="00E17BB2" w:rsidP="00265DF3">
            <w:pPr>
              <w:rPr>
                <w:b/>
              </w:rPr>
            </w:pPr>
            <w:r>
              <w:rPr>
                <w:b/>
              </w:rPr>
              <w:t>Powder</w:t>
            </w:r>
          </w:p>
        </w:tc>
        <w:tc>
          <w:tcPr>
            <w:tcW w:w="1134" w:type="dxa"/>
            <w:tcBorders>
              <w:top w:val="single" w:sz="4" w:space="0" w:color="auto"/>
              <w:left w:val="single" w:sz="4" w:space="0" w:color="auto"/>
              <w:right w:val="single" w:sz="4" w:space="0" w:color="auto"/>
            </w:tcBorders>
            <w:shd w:val="clear" w:color="auto" w:fill="D9D9D9" w:themeFill="background1" w:themeFillShade="D9"/>
          </w:tcPr>
          <w:p w:rsidR="00E17BB2" w:rsidRDefault="00E17BB2" w:rsidP="00265DF3">
            <w:pPr>
              <w:rPr>
                <w:b/>
              </w:rPr>
            </w:pPr>
            <w:r>
              <w:rPr>
                <w:b/>
              </w:rPr>
              <w:t>Leaf</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17BB2" w:rsidRDefault="00E17BB2" w:rsidP="00265DF3">
            <w:pPr>
              <w:rPr>
                <w:b/>
              </w:rPr>
            </w:pPr>
            <w:r>
              <w:rPr>
                <w:b/>
              </w:rPr>
              <w:t>Liquid</w:t>
            </w:r>
          </w:p>
        </w:tc>
      </w:tr>
      <w:tr w:rsidR="00E17BB2" w:rsidTr="00E17BB2">
        <w:tc>
          <w:tcPr>
            <w:tcW w:w="2405" w:type="dxa"/>
            <w:shd w:val="clear" w:color="auto" w:fill="auto"/>
          </w:tcPr>
          <w:p w:rsidR="00E17BB2" w:rsidRPr="00B52D6B" w:rsidRDefault="00E17BB2" w:rsidP="00265DF3">
            <w:r>
              <w:t>2013</w:t>
            </w:r>
          </w:p>
        </w:tc>
        <w:tc>
          <w:tcPr>
            <w:tcW w:w="2552" w:type="dxa"/>
            <w:tcBorders>
              <w:right w:val="single" w:sz="4" w:space="0" w:color="auto"/>
            </w:tcBorders>
            <w:shd w:val="clear" w:color="auto" w:fill="auto"/>
          </w:tcPr>
          <w:p w:rsidR="00E17BB2" w:rsidRDefault="00E17BB2" w:rsidP="00265DF3">
            <w:r>
              <w:t>4</w:t>
            </w:r>
          </w:p>
        </w:tc>
        <w:tc>
          <w:tcPr>
            <w:tcW w:w="1417" w:type="dxa"/>
            <w:tcBorders>
              <w:left w:val="single" w:sz="4" w:space="0" w:color="auto"/>
              <w:right w:val="single" w:sz="4" w:space="0" w:color="auto"/>
            </w:tcBorders>
          </w:tcPr>
          <w:p w:rsidR="00E17BB2" w:rsidRDefault="00E17BB2" w:rsidP="00265DF3">
            <w:r>
              <w:t>1130 g</w:t>
            </w:r>
          </w:p>
        </w:tc>
        <w:tc>
          <w:tcPr>
            <w:tcW w:w="1134" w:type="dxa"/>
            <w:tcBorders>
              <w:left w:val="single" w:sz="4" w:space="0" w:color="auto"/>
              <w:right w:val="single" w:sz="4" w:space="0" w:color="auto"/>
            </w:tcBorders>
          </w:tcPr>
          <w:p w:rsidR="00E17BB2" w:rsidRDefault="00E17BB2" w:rsidP="00265DF3">
            <w:r>
              <w:t>-</w:t>
            </w:r>
          </w:p>
        </w:tc>
        <w:tc>
          <w:tcPr>
            <w:tcW w:w="1276" w:type="dxa"/>
            <w:tcBorders>
              <w:left w:val="single" w:sz="4" w:space="0" w:color="auto"/>
            </w:tcBorders>
          </w:tcPr>
          <w:p w:rsidR="00E17BB2" w:rsidRDefault="00E17BB2" w:rsidP="00265DF3">
            <w:r>
              <w:t>-</w:t>
            </w:r>
          </w:p>
        </w:tc>
      </w:tr>
      <w:tr w:rsidR="00E17BB2" w:rsidTr="00E17BB2">
        <w:tc>
          <w:tcPr>
            <w:tcW w:w="2405" w:type="dxa"/>
            <w:tcBorders>
              <w:top w:val="single" w:sz="4" w:space="0" w:color="auto"/>
              <w:left w:val="single" w:sz="4" w:space="0" w:color="auto"/>
              <w:bottom w:val="single" w:sz="4" w:space="0" w:color="auto"/>
              <w:right w:val="single" w:sz="4" w:space="0" w:color="auto"/>
            </w:tcBorders>
            <w:shd w:val="clear" w:color="auto" w:fill="auto"/>
          </w:tcPr>
          <w:p w:rsidR="00E17BB2" w:rsidRPr="00B52D6B" w:rsidRDefault="00E17BB2" w:rsidP="00265DF3">
            <w:r>
              <w:t>2014</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17BB2" w:rsidRDefault="00E17BB2" w:rsidP="00265DF3">
            <w:r>
              <w:t>2</w:t>
            </w:r>
          </w:p>
        </w:tc>
        <w:tc>
          <w:tcPr>
            <w:tcW w:w="1417" w:type="dxa"/>
            <w:tcBorders>
              <w:left w:val="single" w:sz="4" w:space="0" w:color="auto"/>
              <w:right w:val="single" w:sz="4" w:space="0" w:color="auto"/>
            </w:tcBorders>
          </w:tcPr>
          <w:p w:rsidR="00E17BB2" w:rsidRDefault="00E17BB2" w:rsidP="00265DF3">
            <w:r>
              <w:t>99.8 g</w:t>
            </w:r>
          </w:p>
        </w:tc>
        <w:tc>
          <w:tcPr>
            <w:tcW w:w="1134" w:type="dxa"/>
            <w:tcBorders>
              <w:left w:val="single" w:sz="4" w:space="0" w:color="auto"/>
              <w:right w:val="single" w:sz="4" w:space="0" w:color="auto"/>
            </w:tcBorders>
          </w:tcPr>
          <w:p w:rsidR="00E17BB2" w:rsidRDefault="00E17BB2" w:rsidP="00265DF3">
            <w:r>
              <w:t>-</w:t>
            </w:r>
          </w:p>
        </w:tc>
        <w:tc>
          <w:tcPr>
            <w:tcW w:w="1276" w:type="dxa"/>
            <w:tcBorders>
              <w:left w:val="single" w:sz="4" w:space="0" w:color="auto"/>
            </w:tcBorders>
          </w:tcPr>
          <w:p w:rsidR="00E17BB2" w:rsidRDefault="00E17BB2" w:rsidP="00265DF3">
            <w:r>
              <w:t>-</w:t>
            </w:r>
          </w:p>
        </w:tc>
      </w:tr>
      <w:tr w:rsidR="00E17BB2" w:rsidTr="00E17BB2">
        <w:tc>
          <w:tcPr>
            <w:tcW w:w="2405" w:type="dxa"/>
            <w:tcBorders>
              <w:top w:val="single" w:sz="4" w:space="0" w:color="auto"/>
              <w:left w:val="single" w:sz="4" w:space="0" w:color="auto"/>
              <w:bottom w:val="single" w:sz="4" w:space="0" w:color="auto"/>
              <w:right w:val="single" w:sz="4" w:space="0" w:color="auto"/>
            </w:tcBorders>
            <w:shd w:val="clear" w:color="auto" w:fill="auto"/>
          </w:tcPr>
          <w:p w:rsidR="00E17BB2" w:rsidRPr="00B52D6B" w:rsidRDefault="00E17BB2" w:rsidP="00265DF3">
            <w:r>
              <w:t>2015</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17BB2" w:rsidRDefault="00E17BB2" w:rsidP="00265DF3">
            <w:r>
              <w:t>0</w:t>
            </w:r>
          </w:p>
        </w:tc>
        <w:tc>
          <w:tcPr>
            <w:tcW w:w="1417" w:type="dxa"/>
            <w:tcBorders>
              <w:left w:val="single" w:sz="4" w:space="0" w:color="auto"/>
              <w:right w:val="single" w:sz="4" w:space="0" w:color="auto"/>
            </w:tcBorders>
          </w:tcPr>
          <w:p w:rsidR="00E17BB2" w:rsidRDefault="00E17BB2" w:rsidP="00265DF3">
            <w:r>
              <w:t>-</w:t>
            </w:r>
          </w:p>
        </w:tc>
        <w:tc>
          <w:tcPr>
            <w:tcW w:w="1134" w:type="dxa"/>
            <w:tcBorders>
              <w:left w:val="single" w:sz="4" w:space="0" w:color="auto"/>
              <w:right w:val="single" w:sz="4" w:space="0" w:color="auto"/>
            </w:tcBorders>
          </w:tcPr>
          <w:p w:rsidR="00E17BB2" w:rsidRDefault="00E17BB2" w:rsidP="00265DF3">
            <w:r>
              <w:t>-</w:t>
            </w:r>
          </w:p>
        </w:tc>
        <w:tc>
          <w:tcPr>
            <w:tcW w:w="1276" w:type="dxa"/>
            <w:tcBorders>
              <w:left w:val="single" w:sz="4" w:space="0" w:color="auto"/>
            </w:tcBorders>
          </w:tcPr>
          <w:p w:rsidR="00E17BB2" w:rsidRDefault="00E17BB2" w:rsidP="00265DF3">
            <w:r>
              <w:t>-</w:t>
            </w:r>
          </w:p>
        </w:tc>
      </w:tr>
      <w:tr w:rsidR="00E17BB2" w:rsidTr="00E17BB2">
        <w:tc>
          <w:tcPr>
            <w:tcW w:w="2405" w:type="dxa"/>
            <w:tcBorders>
              <w:top w:val="single" w:sz="4" w:space="0" w:color="auto"/>
              <w:left w:val="single" w:sz="4" w:space="0" w:color="auto"/>
              <w:bottom w:val="single" w:sz="4" w:space="0" w:color="auto"/>
              <w:right w:val="single" w:sz="4" w:space="0" w:color="auto"/>
            </w:tcBorders>
            <w:shd w:val="clear" w:color="auto" w:fill="auto"/>
          </w:tcPr>
          <w:p w:rsidR="00E17BB2" w:rsidRPr="00B52D6B" w:rsidRDefault="00E17BB2" w:rsidP="00265DF3">
            <w:r>
              <w:t>2016</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17BB2" w:rsidRDefault="00E17BB2" w:rsidP="00265DF3">
            <w:r>
              <w:t>0</w:t>
            </w:r>
          </w:p>
        </w:tc>
        <w:tc>
          <w:tcPr>
            <w:tcW w:w="1417" w:type="dxa"/>
            <w:tcBorders>
              <w:left w:val="single" w:sz="4" w:space="0" w:color="auto"/>
              <w:right w:val="single" w:sz="4" w:space="0" w:color="auto"/>
            </w:tcBorders>
          </w:tcPr>
          <w:p w:rsidR="00E17BB2" w:rsidRDefault="00E17BB2" w:rsidP="00265DF3">
            <w:r>
              <w:t>-</w:t>
            </w:r>
          </w:p>
        </w:tc>
        <w:tc>
          <w:tcPr>
            <w:tcW w:w="1134" w:type="dxa"/>
            <w:tcBorders>
              <w:left w:val="single" w:sz="4" w:space="0" w:color="auto"/>
              <w:right w:val="single" w:sz="4" w:space="0" w:color="auto"/>
            </w:tcBorders>
          </w:tcPr>
          <w:p w:rsidR="00E17BB2" w:rsidRDefault="00E17BB2" w:rsidP="00265DF3">
            <w:r>
              <w:t>-</w:t>
            </w:r>
          </w:p>
        </w:tc>
        <w:tc>
          <w:tcPr>
            <w:tcW w:w="1276" w:type="dxa"/>
            <w:tcBorders>
              <w:left w:val="single" w:sz="4" w:space="0" w:color="auto"/>
            </w:tcBorders>
          </w:tcPr>
          <w:p w:rsidR="00E17BB2" w:rsidRDefault="00E17BB2" w:rsidP="00265DF3">
            <w:r>
              <w:t>-</w:t>
            </w:r>
          </w:p>
        </w:tc>
      </w:tr>
      <w:tr w:rsidR="00E17BB2" w:rsidTr="00E17BB2">
        <w:trPr>
          <w:trHeight w:val="70"/>
        </w:trPr>
        <w:tc>
          <w:tcPr>
            <w:tcW w:w="2405" w:type="dxa"/>
            <w:tcBorders>
              <w:top w:val="single" w:sz="4" w:space="0" w:color="auto"/>
              <w:left w:val="single" w:sz="4" w:space="0" w:color="auto"/>
              <w:bottom w:val="single" w:sz="4" w:space="0" w:color="auto"/>
              <w:right w:val="single" w:sz="4" w:space="0" w:color="auto"/>
            </w:tcBorders>
            <w:shd w:val="clear" w:color="auto" w:fill="auto"/>
          </w:tcPr>
          <w:p w:rsidR="00E17BB2" w:rsidRPr="00B52D6B" w:rsidRDefault="00E17BB2" w:rsidP="00265DF3">
            <w:r>
              <w:t>2017</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17BB2" w:rsidRDefault="00E17BB2" w:rsidP="00265DF3">
            <w:r>
              <w:t>0</w:t>
            </w:r>
          </w:p>
        </w:tc>
        <w:tc>
          <w:tcPr>
            <w:tcW w:w="1417" w:type="dxa"/>
            <w:tcBorders>
              <w:left w:val="single" w:sz="4" w:space="0" w:color="auto"/>
              <w:right w:val="single" w:sz="4" w:space="0" w:color="auto"/>
            </w:tcBorders>
          </w:tcPr>
          <w:p w:rsidR="00E17BB2" w:rsidRDefault="00E17BB2" w:rsidP="00265DF3">
            <w:r>
              <w:t>-</w:t>
            </w:r>
          </w:p>
        </w:tc>
        <w:tc>
          <w:tcPr>
            <w:tcW w:w="1134" w:type="dxa"/>
            <w:tcBorders>
              <w:left w:val="single" w:sz="4" w:space="0" w:color="auto"/>
              <w:right w:val="single" w:sz="4" w:space="0" w:color="auto"/>
            </w:tcBorders>
          </w:tcPr>
          <w:p w:rsidR="00E17BB2" w:rsidRDefault="00E17BB2" w:rsidP="00265DF3">
            <w:r>
              <w:t>-</w:t>
            </w:r>
          </w:p>
        </w:tc>
        <w:tc>
          <w:tcPr>
            <w:tcW w:w="1276" w:type="dxa"/>
            <w:tcBorders>
              <w:left w:val="single" w:sz="4" w:space="0" w:color="auto"/>
            </w:tcBorders>
          </w:tcPr>
          <w:p w:rsidR="00E17BB2" w:rsidRDefault="00E17BB2" w:rsidP="00265DF3">
            <w:r>
              <w:t>-</w:t>
            </w:r>
          </w:p>
        </w:tc>
      </w:tr>
    </w:tbl>
    <w:p w:rsidR="00E17BB2" w:rsidRDefault="00E17BB2" w:rsidP="00E17BB2">
      <w:pPr>
        <w:pStyle w:val="Heading3"/>
      </w:pPr>
      <w:bookmarkStart w:id="16" w:name="_Toc509487293"/>
      <w:r>
        <w:t>JWH-018</w:t>
      </w:r>
      <w:bookmarkEnd w:id="16"/>
    </w:p>
    <w:tbl>
      <w:tblPr>
        <w:tblStyle w:val="TableGrid"/>
        <w:tblW w:w="8784" w:type="dxa"/>
        <w:tblLayout w:type="fixed"/>
        <w:tblLook w:val="04A0" w:firstRow="1" w:lastRow="0" w:firstColumn="1" w:lastColumn="0" w:noHBand="0" w:noVBand="1"/>
      </w:tblPr>
      <w:tblGrid>
        <w:gridCol w:w="2405"/>
        <w:gridCol w:w="2552"/>
        <w:gridCol w:w="1417"/>
        <w:gridCol w:w="1134"/>
        <w:gridCol w:w="1276"/>
      </w:tblGrid>
      <w:tr w:rsidR="00E17BB2" w:rsidTr="00791761">
        <w:trPr>
          <w:trHeight w:val="278"/>
        </w:trPr>
        <w:tc>
          <w:tcPr>
            <w:tcW w:w="2405" w:type="dxa"/>
            <w:vMerge w:val="restart"/>
            <w:tcBorders>
              <w:top w:val="single" w:sz="4" w:space="0" w:color="auto"/>
              <w:left w:val="single" w:sz="4" w:space="0" w:color="auto"/>
              <w:right w:val="single" w:sz="4" w:space="0" w:color="auto"/>
            </w:tcBorders>
            <w:shd w:val="clear" w:color="auto" w:fill="D9D9D9" w:themeFill="background1" w:themeFillShade="D9"/>
          </w:tcPr>
          <w:p w:rsidR="00E17BB2" w:rsidRPr="00B52D6B" w:rsidRDefault="00E17BB2" w:rsidP="00265DF3">
            <w:pPr>
              <w:rPr>
                <w:b/>
              </w:rPr>
            </w:pPr>
            <w:r>
              <w:rPr>
                <w:b/>
              </w:rPr>
              <w:t>Year</w:t>
            </w:r>
          </w:p>
        </w:tc>
        <w:tc>
          <w:tcPr>
            <w:tcW w:w="2552" w:type="dxa"/>
            <w:vMerge w:val="restart"/>
            <w:tcBorders>
              <w:top w:val="single" w:sz="4" w:space="0" w:color="auto"/>
              <w:left w:val="single" w:sz="4" w:space="0" w:color="auto"/>
              <w:right w:val="single" w:sz="4" w:space="0" w:color="auto"/>
            </w:tcBorders>
            <w:shd w:val="clear" w:color="auto" w:fill="D9D9D9" w:themeFill="background1" w:themeFillShade="D9"/>
          </w:tcPr>
          <w:p w:rsidR="00E17BB2" w:rsidRPr="00B52D6B" w:rsidRDefault="00E17BB2" w:rsidP="00265DF3">
            <w:pPr>
              <w:rPr>
                <w:b/>
              </w:rPr>
            </w:pPr>
            <w:r>
              <w:rPr>
                <w:b/>
              </w:rPr>
              <w:t xml:space="preserve">Number of seizures </w:t>
            </w:r>
          </w:p>
        </w:tc>
        <w:tc>
          <w:tcPr>
            <w:tcW w:w="382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17BB2" w:rsidRDefault="00E17BB2" w:rsidP="00265DF3">
            <w:pPr>
              <w:rPr>
                <w:b/>
              </w:rPr>
            </w:pPr>
            <w:r>
              <w:rPr>
                <w:b/>
              </w:rPr>
              <w:t>Total quantity seized</w:t>
            </w:r>
          </w:p>
        </w:tc>
      </w:tr>
      <w:tr w:rsidR="00E17BB2" w:rsidTr="00791761">
        <w:trPr>
          <w:trHeight w:val="277"/>
        </w:trPr>
        <w:tc>
          <w:tcPr>
            <w:tcW w:w="2405" w:type="dxa"/>
            <w:vMerge/>
            <w:tcBorders>
              <w:left w:val="single" w:sz="4" w:space="0" w:color="auto"/>
              <w:bottom w:val="single" w:sz="4" w:space="0" w:color="auto"/>
              <w:right w:val="single" w:sz="4" w:space="0" w:color="auto"/>
            </w:tcBorders>
            <w:shd w:val="clear" w:color="auto" w:fill="D9D9D9" w:themeFill="background1" w:themeFillShade="D9"/>
          </w:tcPr>
          <w:p w:rsidR="00E17BB2" w:rsidRPr="00B52D6B" w:rsidRDefault="00E17BB2" w:rsidP="00265DF3">
            <w:pPr>
              <w:rPr>
                <w:b/>
              </w:rPr>
            </w:pPr>
          </w:p>
        </w:tc>
        <w:tc>
          <w:tcPr>
            <w:tcW w:w="2552" w:type="dxa"/>
            <w:vMerge/>
            <w:tcBorders>
              <w:left w:val="single" w:sz="4" w:space="0" w:color="auto"/>
              <w:bottom w:val="single" w:sz="4" w:space="0" w:color="auto"/>
              <w:right w:val="single" w:sz="4" w:space="0" w:color="auto"/>
            </w:tcBorders>
            <w:shd w:val="clear" w:color="auto" w:fill="D9D9D9" w:themeFill="background1" w:themeFillShade="D9"/>
          </w:tcPr>
          <w:p w:rsidR="00E17BB2" w:rsidRDefault="00E17BB2" w:rsidP="00265DF3">
            <w:pPr>
              <w:rPr>
                <w:b/>
              </w:rPr>
            </w:pPr>
          </w:p>
        </w:tc>
        <w:tc>
          <w:tcPr>
            <w:tcW w:w="1417" w:type="dxa"/>
            <w:tcBorders>
              <w:top w:val="single" w:sz="4" w:space="0" w:color="auto"/>
              <w:left w:val="single" w:sz="4" w:space="0" w:color="auto"/>
              <w:right w:val="single" w:sz="4" w:space="0" w:color="auto"/>
            </w:tcBorders>
            <w:shd w:val="clear" w:color="auto" w:fill="D9D9D9" w:themeFill="background1" w:themeFillShade="D9"/>
          </w:tcPr>
          <w:p w:rsidR="00E17BB2" w:rsidRDefault="00E17BB2" w:rsidP="00265DF3">
            <w:pPr>
              <w:rPr>
                <w:b/>
              </w:rPr>
            </w:pPr>
            <w:r>
              <w:rPr>
                <w:b/>
              </w:rPr>
              <w:t>Powder</w:t>
            </w:r>
          </w:p>
        </w:tc>
        <w:tc>
          <w:tcPr>
            <w:tcW w:w="1134" w:type="dxa"/>
            <w:tcBorders>
              <w:top w:val="single" w:sz="4" w:space="0" w:color="auto"/>
              <w:left w:val="single" w:sz="4" w:space="0" w:color="auto"/>
              <w:right w:val="single" w:sz="4" w:space="0" w:color="auto"/>
            </w:tcBorders>
            <w:shd w:val="clear" w:color="auto" w:fill="D9D9D9" w:themeFill="background1" w:themeFillShade="D9"/>
          </w:tcPr>
          <w:p w:rsidR="00E17BB2" w:rsidRDefault="00E17BB2" w:rsidP="00265DF3">
            <w:pPr>
              <w:rPr>
                <w:b/>
              </w:rPr>
            </w:pPr>
            <w:r>
              <w:rPr>
                <w:b/>
              </w:rPr>
              <w:t>Leaf</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17BB2" w:rsidRDefault="00E17BB2" w:rsidP="00265DF3">
            <w:pPr>
              <w:rPr>
                <w:b/>
              </w:rPr>
            </w:pPr>
            <w:r>
              <w:rPr>
                <w:b/>
              </w:rPr>
              <w:t>Liquid</w:t>
            </w:r>
          </w:p>
        </w:tc>
      </w:tr>
      <w:tr w:rsidR="00E17BB2" w:rsidTr="00265DF3">
        <w:tc>
          <w:tcPr>
            <w:tcW w:w="2405" w:type="dxa"/>
            <w:shd w:val="clear" w:color="auto" w:fill="auto"/>
          </w:tcPr>
          <w:p w:rsidR="00E17BB2" w:rsidRPr="00B52D6B" w:rsidRDefault="00E17BB2" w:rsidP="00265DF3">
            <w:r>
              <w:t>2013</w:t>
            </w:r>
          </w:p>
        </w:tc>
        <w:tc>
          <w:tcPr>
            <w:tcW w:w="2552" w:type="dxa"/>
            <w:tcBorders>
              <w:right w:val="single" w:sz="4" w:space="0" w:color="auto"/>
            </w:tcBorders>
            <w:shd w:val="clear" w:color="auto" w:fill="auto"/>
          </w:tcPr>
          <w:p w:rsidR="00E17BB2" w:rsidRDefault="00E17BB2" w:rsidP="00265DF3">
            <w:r>
              <w:t>7</w:t>
            </w:r>
          </w:p>
        </w:tc>
        <w:tc>
          <w:tcPr>
            <w:tcW w:w="1417" w:type="dxa"/>
            <w:tcBorders>
              <w:left w:val="single" w:sz="4" w:space="0" w:color="auto"/>
              <w:right w:val="single" w:sz="4" w:space="0" w:color="auto"/>
            </w:tcBorders>
          </w:tcPr>
          <w:p w:rsidR="00E17BB2" w:rsidRDefault="00E17BB2" w:rsidP="00265DF3">
            <w:r>
              <w:t>1548 g</w:t>
            </w:r>
          </w:p>
        </w:tc>
        <w:tc>
          <w:tcPr>
            <w:tcW w:w="1134" w:type="dxa"/>
            <w:tcBorders>
              <w:left w:val="single" w:sz="4" w:space="0" w:color="auto"/>
              <w:right w:val="single" w:sz="4" w:space="0" w:color="auto"/>
            </w:tcBorders>
          </w:tcPr>
          <w:p w:rsidR="00E17BB2" w:rsidRDefault="00B67A2C" w:rsidP="00265DF3">
            <w:r>
              <w:t>-</w:t>
            </w:r>
          </w:p>
        </w:tc>
        <w:tc>
          <w:tcPr>
            <w:tcW w:w="1276" w:type="dxa"/>
            <w:tcBorders>
              <w:left w:val="single" w:sz="4" w:space="0" w:color="auto"/>
            </w:tcBorders>
          </w:tcPr>
          <w:p w:rsidR="00E17BB2" w:rsidRDefault="00B67A2C" w:rsidP="00265DF3">
            <w:r>
              <w:t>-</w:t>
            </w:r>
          </w:p>
        </w:tc>
      </w:tr>
      <w:tr w:rsidR="00E17BB2" w:rsidTr="00265DF3">
        <w:tc>
          <w:tcPr>
            <w:tcW w:w="2405" w:type="dxa"/>
            <w:tcBorders>
              <w:top w:val="single" w:sz="4" w:space="0" w:color="auto"/>
              <w:left w:val="single" w:sz="4" w:space="0" w:color="auto"/>
              <w:bottom w:val="single" w:sz="4" w:space="0" w:color="auto"/>
              <w:right w:val="single" w:sz="4" w:space="0" w:color="auto"/>
            </w:tcBorders>
            <w:shd w:val="clear" w:color="auto" w:fill="auto"/>
          </w:tcPr>
          <w:p w:rsidR="00E17BB2" w:rsidRPr="00B52D6B" w:rsidRDefault="00E17BB2" w:rsidP="00265DF3">
            <w:r>
              <w:t>2014</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17BB2" w:rsidRDefault="00B67A2C" w:rsidP="00265DF3">
            <w:r>
              <w:t>0</w:t>
            </w:r>
          </w:p>
        </w:tc>
        <w:tc>
          <w:tcPr>
            <w:tcW w:w="1417" w:type="dxa"/>
            <w:tcBorders>
              <w:left w:val="single" w:sz="4" w:space="0" w:color="auto"/>
              <w:right w:val="single" w:sz="4" w:space="0" w:color="auto"/>
            </w:tcBorders>
          </w:tcPr>
          <w:p w:rsidR="00E17BB2" w:rsidRDefault="00B67A2C" w:rsidP="00265DF3">
            <w:r>
              <w:t>-</w:t>
            </w:r>
          </w:p>
        </w:tc>
        <w:tc>
          <w:tcPr>
            <w:tcW w:w="1134" w:type="dxa"/>
            <w:tcBorders>
              <w:left w:val="single" w:sz="4" w:space="0" w:color="auto"/>
              <w:right w:val="single" w:sz="4" w:space="0" w:color="auto"/>
            </w:tcBorders>
          </w:tcPr>
          <w:p w:rsidR="00E17BB2" w:rsidRDefault="00B67A2C" w:rsidP="00265DF3">
            <w:r>
              <w:t>-</w:t>
            </w:r>
          </w:p>
        </w:tc>
        <w:tc>
          <w:tcPr>
            <w:tcW w:w="1276" w:type="dxa"/>
            <w:tcBorders>
              <w:left w:val="single" w:sz="4" w:space="0" w:color="auto"/>
            </w:tcBorders>
          </w:tcPr>
          <w:p w:rsidR="00E17BB2" w:rsidRDefault="00B67A2C" w:rsidP="00265DF3">
            <w:r>
              <w:t>-</w:t>
            </w:r>
          </w:p>
        </w:tc>
      </w:tr>
      <w:tr w:rsidR="00E17BB2" w:rsidTr="00265DF3">
        <w:tc>
          <w:tcPr>
            <w:tcW w:w="2405" w:type="dxa"/>
            <w:tcBorders>
              <w:top w:val="single" w:sz="4" w:space="0" w:color="auto"/>
              <w:left w:val="single" w:sz="4" w:space="0" w:color="auto"/>
              <w:bottom w:val="single" w:sz="4" w:space="0" w:color="auto"/>
              <w:right w:val="single" w:sz="4" w:space="0" w:color="auto"/>
            </w:tcBorders>
            <w:shd w:val="clear" w:color="auto" w:fill="auto"/>
          </w:tcPr>
          <w:p w:rsidR="00E17BB2" w:rsidRPr="00B52D6B" w:rsidRDefault="00E17BB2" w:rsidP="00265DF3">
            <w:r>
              <w:t>2015</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17BB2" w:rsidRDefault="00B67A2C" w:rsidP="00265DF3">
            <w:r>
              <w:t>0</w:t>
            </w:r>
          </w:p>
        </w:tc>
        <w:tc>
          <w:tcPr>
            <w:tcW w:w="1417" w:type="dxa"/>
            <w:tcBorders>
              <w:left w:val="single" w:sz="4" w:space="0" w:color="auto"/>
              <w:right w:val="single" w:sz="4" w:space="0" w:color="auto"/>
            </w:tcBorders>
          </w:tcPr>
          <w:p w:rsidR="00E17BB2" w:rsidRDefault="00B67A2C" w:rsidP="00265DF3">
            <w:r>
              <w:t>-</w:t>
            </w:r>
          </w:p>
        </w:tc>
        <w:tc>
          <w:tcPr>
            <w:tcW w:w="1134" w:type="dxa"/>
            <w:tcBorders>
              <w:left w:val="single" w:sz="4" w:space="0" w:color="auto"/>
              <w:right w:val="single" w:sz="4" w:space="0" w:color="auto"/>
            </w:tcBorders>
          </w:tcPr>
          <w:p w:rsidR="00E17BB2" w:rsidRDefault="00B67A2C" w:rsidP="00265DF3">
            <w:r>
              <w:t>-</w:t>
            </w:r>
          </w:p>
        </w:tc>
        <w:tc>
          <w:tcPr>
            <w:tcW w:w="1276" w:type="dxa"/>
            <w:tcBorders>
              <w:left w:val="single" w:sz="4" w:space="0" w:color="auto"/>
            </w:tcBorders>
          </w:tcPr>
          <w:p w:rsidR="00E17BB2" w:rsidRDefault="00B67A2C" w:rsidP="00265DF3">
            <w:r>
              <w:t>-</w:t>
            </w:r>
          </w:p>
        </w:tc>
      </w:tr>
      <w:tr w:rsidR="00E17BB2" w:rsidTr="00265DF3">
        <w:tc>
          <w:tcPr>
            <w:tcW w:w="2405" w:type="dxa"/>
            <w:tcBorders>
              <w:top w:val="single" w:sz="4" w:space="0" w:color="auto"/>
              <w:left w:val="single" w:sz="4" w:space="0" w:color="auto"/>
              <w:bottom w:val="single" w:sz="4" w:space="0" w:color="auto"/>
              <w:right w:val="single" w:sz="4" w:space="0" w:color="auto"/>
            </w:tcBorders>
            <w:shd w:val="clear" w:color="auto" w:fill="auto"/>
          </w:tcPr>
          <w:p w:rsidR="00E17BB2" w:rsidRPr="00B52D6B" w:rsidRDefault="00E17BB2" w:rsidP="00265DF3">
            <w:r>
              <w:t>2016</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17BB2" w:rsidRDefault="00B67A2C" w:rsidP="00265DF3">
            <w:r>
              <w:t>0</w:t>
            </w:r>
          </w:p>
        </w:tc>
        <w:tc>
          <w:tcPr>
            <w:tcW w:w="1417" w:type="dxa"/>
            <w:tcBorders>
              <w:left w:val="single" w:sz="4" w:space="0" w:color="auto"/>
              <w:right w:val="single" w:sz="4" w:space="0" w:color="auto"/>
            </w:tcBorders>
          </w:tcPr>
          <w:p w:rsidR="00E17BB2" w:rsidRDefault="00B67A2C" w:rsidP="00265DF3">
            <w:r>
              <w:t>-</w:t>
            </w:r>
          </w:p>
        </w:tc>
        <w:tc>
          <w:tcPr>
            <w:tcW w:w="1134" w:type="dxa"/>
            <w:tcBorders>
              <w:left w:val="single" w:sz="4" w:space="0" w:color="auto"/>
              <w:right w:val="single" w:sz="4" w:space="0" w:color="auto"/>
            </w:tcBorders>
          </w:tcPr>
          <w:p w:rsidR="00E17BB2" w:rsidRDefault="00B67A2C" w:rsidP="00265DF3">
            <w:r>
              <w:t>-</w:t>
            </w:r>
          </w:p>
        </w:tc>
        <w:tc>
          <w:tcPr>
            <w:tcW w:w="1276" w:type="dxa"/>
            <w:tcBorders>
              <w:left w:val="single" w:sz="4" w:space="0" w:color="auto"/>
            </w:tcBorders>
          </w:tcPr>
          <w:p w:rsidR="00E17BB2" w:rsidRDefault="00B67A2C" w:rsidP="00265DF3">
            <w:r>
              <w:t>-</w:t>
            </w:r>
          </w:p>
        </w:tc>
      </w:tr>
      <w:tr w:rsidR="00E17BB2" w:rsidTr="00265DF3">
        <w:trPr>
          <w:trHeight w:val="70"/>
        </w:trPr>
        <w:tc>
          <w:tcPr>
            <w:tcW w:w="2405" w:type="dxa"/>
            <w:tcBorders>
              <w:top w:val="single" w:sz="4" w:space="0" w:color="auto"/>
              <w:left w:val="single" w:sz="4" w:space="0" w:color="auto"/>
              <w:bottom w:val="single" w:sz="4" w:space="0" w:color="auto"/>
              <w:right w:val="single" w:sz="4" w:space="0" w:color="auto"/>
            </w:tcBorders>
            <w:shd w:val="clear" w:color="auto" w:fill="auto"/>
          </w:tcPr>
          <w:p w:rsidR="00E17BB2" w:rsidRPr="00B52D6B" w:rsidRDefault="00E17BB2" w:rsidP="00265DF3">
            <w:r>
              <w:t>2017</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17BB2" w:rsidRDefault="00B67A2C" w:rsidP="00265DF3">
            <w:r>
              <w:t>0</w:t>
            </w:r>
          </w:p>
        </w:tc>
        <w:tc>
          <w:tcPr>
            <w:tcW w:w="1417" w:type="dxa"/>
            <w:tcBorders>
              <w:left w:val="single" w:sz="4" w:space="0" w:color="auto"/>
              <w:right w:val="single" w:sz="4" w:space="0" w:color="auto"/>
            </w:tcBorders>
          </w:tcPr>
          <w:p w:rsidR="00E17BB2" w:rsidRDefault="00B67A2C" w:rsidP="00265DF3">
            <w:r>
              <w:t>-</w:t>
            </w:r>
          </w:p>
        </w:tc>
        <w:tc>
          <w:tcPr>
            <w:tcW w:w="1134" w:type="dxa"/>
            <w:tcBorders>
              <w:left w:val="single" w:sz="4" w:space="0" w:color="auto"/>
              <w:right w:val="single" w:sz="4" w:space="0" w:color="auto"/>
            </w:tcBorders>
          </w:tcPr>
          <w:p w:rsidR="00E17BB2" w:rsidRDefault="00B67A2C" w:rsidP="00265DF3">
            <w:r>
              <w:t>-</w:t>
            </w:r>
          </w:p>
        </w:tc>
        <w:tc>
          <w:tcPr>
            <w:tcW w:w="1276" w:type="dxa"/>
            <w:tcBorders>
              <w:left w:val="single" w:sz="4" w:space="0" w:color="auto"/>
            </w:tcBorders>
          </w:tcPr>
          <w:p w:rsidR="00E17BB2" w:rsidRDefault="00B67A2C" w:rsidP="00265DF3">
            <w:r>
              <w:t>-</w:t>
            </w:r>
          </w:p>
        </w:tc>
      </w:tr>
    </w:tbl>
    <w:p w:rsidR="001C6C3F" w:rsidRDefault="001C6C3F" w:rsidP="001C6C3F"/>
    <w:p w:rsidR="00B67A2C" w:rsidRDefault="00B67A2C" w:rsidP="00B67A2C">
      <w:pPr>
        <w:pStyle w:val="Heading3"/>
      </w:pPr>
      <w:bookmarkStart w:id="17" w:name="_Toc509487294"/>
      <w:r>
        <w:t>AM-2201</w:t>
      </w:r>
      <w:bookmarkEnd w:id="17"/>
    </w:p>
    <w:tbl>
      <w:tblPr>
        <w:tblStyle w:val="TableGrid"/>
        <w:tblW w:w="8784" w:type="dxa"/>
        <w:tblLayout w:type="fixed"/>
        <w:tblLook w:val="04A0" w:firstRow="1" w:lastRow="0" w:firstColumn="1" w:lastColumn="0" w:noHBand="0" w:noVBand="1"/>
      </w:tblPr>
      <w:tblGrid>
        <w:gridCol w:w="2405"/>
        <w:gridCol w:w="2552"/>
        <w:gridCol w:w="1417"/>
        <w:gridCol w:w="1134"/>
        <w:gridCol w:w="1276"/>
      </w:tblGrid>
      <w:tr w:rsidR="00B67A2C" w:rsidTr="00791761">
        <w:trPr>
          <w:trHeight w:val="278"/>
        </w:trPr>
        <w:tc>
          <w:tcPr>
            <w:tcW w:w="2405" w:type="dxa"/>
            <w:vMerge w:val="restart"/>
            <w:tcBorders>
              <w:top w:val="single" w:sz="4" w:space="0" w:color="auto"/>
              <w:left w:val="single" w:sz="4" w:space="0" w:color="auto"/>
              <w:right w:val="single" w:sz="4" w:space="0" w:color="auto"/>
            </w:tcBorders>
            <w:shd w:val="clear" w:color="auto" w:fill="D9D9D9" w:themeFill="background1" w:themeFillShade="D9"/>
          </w:tcPr>
          <w:p w:rsidR="00B67A2C" w:rsidRPr="00B52D6B" w:rsidRDefault="00B67A2C" w:rsidP="00265DF3">
            <w:pPr>
              <w:rPr>
                <w:b/>
              </w:rPr>
            </w:pPr>
            <w:r>
              <w:rPr>
                <w:b/>
              </w:rPr>
              <w:t>Year</w:t>
            </w:r>
          </w:p>
        </w:tc>
        <w:tc>
          <w:tcPr>
            <w:tcW w:w="2552" w:type="dxa"/>
            <w:vMerge w:val="restart"/>
            <w:tcBorders>
              <w:top w:val="single" w:sz="4" w:space="0" w:color="auto"/>
              <w:left w:val="single" w:sz="4" w:space="0" w:color="auto"/>
              <w:right w:val="single" w:sz="4" w:space="0" w:color="auto"/>
            </w:tcBorders>
            <w:shd w:val="clear" w:color="auto" w:fill="D9D9D9" w:themeFill="background1" w:themeFillShade="D9"/>
          </w:tcPr>
          <w:p w:rsidR="00B67A2C" w:rsidRPr="00B52D6B" w:rsidRDefault="00B67A2C" w:rsidP="00265DF3">
            <w:pPr>
              <w:rPr>
                <w:b/>
              </w:rPr>
            </w:pPr>
            <w:r>
              <w:rPr>
                <w:b/>
              </w:rPr>
              <w:t xml:space="preserve">Number of seizures </w:t>
            </w:r>
          </w:p>
        </w:tc>
        <w:tc>
          <w:tcPr>
            <w:tcW w:w="382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7A2C" w:rsidRDefault="00B67A2C" w:rsidP="00265DF3">
            <w:pPr>
              <w:rPr>
                <w:b/>
              </w:rPr>
            </w:pPr>
            <w:r>
              <w:rPr>
                <w:b/>
              </w:rPr>
              <w:t>Total quantity seized</w:t>
            </w:r>
          </w:p>
        </w:tc>
      </w:tr>
      <w:tr w:rsidR="00B67A2C" w:rsidTr="00791761">
        <w:trPr>
          <w:trHeight w:val="277"/>
        </w:trPr>
        <w:tc>
          <w:tcPr>
            <w:tcW w:w="2405" w:type="dxa"/>
            <w:vMerge/>
            <w:tcBorders>
              <w:left w:val="single" w:sz="4" w:space="0" w:color="auto"/>
              <w:bottom w:val="single" w:sz="4" w:space="0" w:color="auto"/>
              <w:right w:val="single" w:sz="4" w:space="0" w:color="auto"/>
            </w:tcBorders>
            <w:shd w:val="clear" w:color="auto" w:fill="D9D9D9" w:themeFill="background1" w:themeFillShade="D9"/>
          </w:tcPr>
          <w:p w:rsidR="00B67A2C" w:rsidRPr="00B52D6B" w:rsidRDefault="00B67A2C" w:rsidP="00265DF3">
            <w:pPr>
              <w:rPr>
                <w:b/>
              </w:rPr>
            </w:pPr>
          </w:p>
        </w:tc>
        <w:tc>
          <w:tcPr>
            <w:tcW w:w="2552" w:type="dxa"/>
            <w:vMerge/>
            <w:tcBorders>
              <w:left w:val="single" w:sz="4" w:space="0" w:color="auto"/>
              <w:bottom w:val="single" w:sz="4" w:space="0" w:color="auto"/>
              <w:right w:val="single" w:sz="4" w:space="0" w:color="auto"/>
            </w:tcBorders>
            <w:shd w:val="clear" w:color="auto" w:fill="D9D9D9" w:themeFill="background1" w:themeFillShade="D9"/>
          </w:tcPr>
          <w:p w:rsidR="00B67A2C" w:rsidRDefault="00B67A2C" w:rsidP="00265DF3">
            <w:pPr>
              <w:rPr>
                <w:b/>
              </w:rPr>
            </w:pPr>
          </w:p>
        </w:tc>
        <w:tc>
          <w:tcPr>
            <w:tcW w:w="1417" w:type="dxa"/>
            <w:tcBorders>
              <w:top w:val="single" w:sz="4" w:space="0" w:color="auto"/>
              <w:left w:val="single" w:sz="4" w:space="0" w:color="auto"/>
              <w:right w:val="single" w:sz="4" w:space="0" w:color="auto"/>
            </w:tcBorders>
            <w:shd w:val="clear" w:color="auto" w:fill="D9D9D9" w:themeFill="background1" w:themeFillShade="D9"/>
          </w:tcPr>
          <w:p w:rsidR="00B67A2C" w:rsidRDefault="00B67A2C" w:rsidP="00265DF3">
            <w:pPr>
              <w:rPr>
                <w:b/>
              </w:rPr>
            </w:pPr>
            <w:r>
              <w:rPr>
                <w:b/>
              </w:rPr>
              <w:t>Powder</w:t>
            </w:r>
          </w:p>
        </w:tc>
        <w:tc>
          <w:tcPr>
            <w:tcW w:w="1134" w:type="dxa"/>
            <w:tcBorders>
              <w:top w:val="single" w:sz="4" w:space="0" w:color="auto"/>
              <w:left w:val="single" w:sz="4" w:space="0" w:color="auto"/>
              <w:right w:val="single" w:sz="4" w:space="0" w:color="auto"/>
            </w:tcBorders>
            <w:shd w:val="clear" w:color="auto" w:fill="D9D9D9" w:themeFill="background1" w:themeFillShade="D9"/>
          </w:tcPr>
          <w:p w:rsidR="00B67A2C" w:rsidRDefault="00B67A2C" w:rsidP="00265DF3">
            <w:pPr>
              <w:rPr>
                <w:b/>
              </w:rPr>
            </w:pPr>
            <w:r>
              <w:rPr>
                <w:b/>
              </w:rPr>
              <w:t>Leaf</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7A2C" w:rsidRDefault="00B67A2C" w:rsidP="00265DF3">
            <w:pPr>
              <w:rPr>
                <w:b/>
              </w:rPr>
            </w:pPr>
            <w:r>
              <w:rPr>
                <w:b/>
              </w:rPr>
              <w:t>Liquid</w:t>
            </w:r>
          </w:p>
        </w:tc>
      </w:tr>
      <w:tr w:rsidR="00B67A2C" w:rsidTr="00265DF3">
        <w:tc>
          <w:tcPr>
            <w:tcW w:w="2405" w:type="dxa"/>
            <w:shd w:val="clear" w:color="auto" w:fill="auto"/>
          </w:tcPr>
          <w:p w:rsidR="00B67A2C" w:rsidRPr="00B52D6B" w:rsidRDefault="00B67A2C" w:rsidP="00265DF3">
            <w:r>
              <w:t>2013</w:t>
            </w:r>
          </w:p>
        </w:tc>
        <w:tc>
          <w:tcPr>
            <w:tcW w:w="2552" w:type="dxa"/>
            <w:tcBorders>
              <w:right w:val="single" w:sz="4" w:space="0" w:color="auto"/>
            </w:tcBorders>
            <w:shd w:val="clear" w:color="auto" w:fill="auto"/>
          </w:tcPr>
          <w:p w:rsidR="00B67A2C" w:rsidRDefault="00B67A2C" w:rsidP="00265DF3">
            <w:r>
              <w:t>7</w:t>
            </w:r>
          </w:p>
        </w:tc>
        <w:tc>
          <w:tcPr>
            <w:tcW w:w="1417" w:type="dxa"/>
            <w:tcBorders>
              <w:left w:val="single" w:sz="4" w:space="0" w:color="auto"/>
              <w:right w:val="single" w:sz="4" w:space="0" w:color="auto"/>
            </w:tcBorders>
          </w:tcPr>
          <w:p w:rsidR="00B67A2C" w:rsidRDefault="00B67A2C" w:rsidP="00265DF3">
            <w:r>
              <w:t>816 g</w:t>
            </w:r>
          </w:p>
        </w:tc>
        <w:tc>
          <w:tcPr>
            <w:tcW w:w="1134" w:type="dxa"/>
            <w:tcBorders>
              <w:left w:val="single" w:sz="4" w:space="0" w:color="auto"/>
              <w:right w:val="single" w:sz="4" w:space="0" w:color="auto"/>
            </w:tcBorders>
          </w:tcPr>
          <w:p w:rsidR="00B67A2C" w:rsidRDefault="00B67A2C" w:rsidP="00265DF3">
            <w:r>
              <w:t>-</w:t>
            </w:r>
          </w:p>
        </w:tc>
        <w:tc>
          <w:tcPr>
            <w:tcW w:w="1276" w:type="dxa"/>
            <w:tcBorders>
              <w:left w:val="single" w:sz="4" w:space="0" w:color="auto"/>
            </w:tcBorders>
          </w:tcPr>
          <w:p w:rsidR="00B67A2C" w:rsidRDefault="00B67A2C" w:rsidP="00265DF3">
            <w:r>
              <w:t>-</w:t>
            </w:r>
          </w:p>
        </w:tc>
      </w:tr>
      <w:tr w:rsidR="00B67A2C" w:rsidTr="00265DF3">
        <w:tc>
          <w:tcPr>
            <w:tcW w:w="2405" w:type="dxa"/>
            <w:tcBorders>
              <w:top w:val="single" w:sz="4" w:space="0" w:color="auto"/>
              <w:left w:val="single" w:sz="4" w:space="0" w:color="auto"/>
              <w:bottom w:val="single" w:sz="4" w:space="0" w:color="auto"/>
              <w:right w:val="single" w:sz="4" w:space="0" w:color="auto"/>
            </w:tcBorders>
            <w:shd w:val="clear" w:color="auto" w:fill="auto"/>
          </w:tcPr>
          <w:p w:rsidR="00B67A2C" w:rsidRPr="00B52D6B" w:rsidRDefault="00B67A2C" w:rsidP="00265DF3">
            <w:r>
              <w:t>2014</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B67A2C" w:rsidRDefault="00B67A2C" w:rsidP="00265DF3">
            <w:r>
              <w:t>0</w:t>
            </w:r>
          </w:p>
        </w:tc>
        <w:tc>
          <w:tcPr>
            <w:tcW w:w="1417" w:type="dxa"/>
            <w:tcBorders>
              <w:left w:val="single" w:sz="4" w:space="0" w:color="auto"/>
              <w:right w:val="single" w:sz="4" w:space="0" w:color="auto"/>
            </w:tcBorders>
          </w:tcPr>
          <w:p w:rsidR="00B67A2C" w:rsidRDefault="00B67A2C" w:rsidP="00265DF3">
            <w:r>
              <w:t>-</w:t>
            </w:r>
          </w:p>
        </w:tc>
        <w:tc>
          <w:tcPr>
            <w:tcW w:w="1134" w:type="dxa"/>
            <w:tcBorders>
              <w:left w:val="single" w:sz="4" w:space="0" w:color="auto"/>
              <w:right w:val="single" w:sz="4" w:space="0" w:color="auto"/>
            </w:tcBorders>
          </w:tcPr>
          <w:p w:rsidR="00B67A2C" w:rsidRDefault="00B67A2C" w:rsidP="00265DF3">
            <w:r>
              <w:t>-</w:t>
            </w:r>
          </w:p>
        </w:tc>
        <w:tc>
          <w:tcPr>
            <w:tcW w:w="1276" w:type="dxa"/>
            <w:tcBorders>
              <w:left w:val="single" w:sz="4" w:space="0" w:color="auto"/>
            </w:tcBorders>
          </w:tcPr>
          <w:p w:rsidR="00B67A2C" w:rsidRDefault="00B67A2C" w:rsidP="00265DF3">
            <w:r>
              <w:t>-</w:t>
            </w:r>
          </w:p>
        </w:tc>
      </w:tr>
      <w:tr w:rsidR="00B67A2C" w:rsidTr="00265DF3">
        <w:tc>
          <w:tcPr>
            <w:tcW w:w="2405" w:type="dxa"/>
            <w:tcBorders>
              <w:top w:val="single" w:sz="4" w:space="0" w:color="auto"/>
              <w:left w:val="single" w:sz="4" w:space="0" w:color="auto"/>
              <w:bottom w:val="single" w:sz="4" w:space="0" w:color="auto"/>
              <w:right w:val="single" w:sz="4" w:space="0" w:color="auto"/>
            </w:tcBorders>
            <w:shd w:val="clear" w:color="auto" w:fill="auto"/>
          </w:tcPr>
          <w:p w:rsidR="00B67A2C" w:rsidRPr="00B52D6B" w:rsidRDefault="00B67A2C" w:rsidP="00265DF3">
            <w:r>
              <w:t>2015</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B67A2C" w:rsidRDefault="00B67A2C" w:rsidP="00265DF3">
            <w:r>
              <w:t>0</w:t>
            </w:r>
          </w:p>
        </w:tc>
        <w:tc>
          <w:tcPr>
            <w:tcW w:w="1417" w:type="dxa"/>
            <w:tcBorders>
              <w:left w:val="single" w:sz="4" w:space="0" w:color="auto"/>
              <w:right w:val="single" w:sz="4" w:space="0" w:color="auto"/>
            </w:tcBorders>
          </w:tcPr>
          <w:p w:rsidR="00B67A2C" w:rsidRDefault="00B67A2C" w:rsidP="00265DF3">
            <w:r>
              <w:t>-</w:t>
            </w:r>
          </w:p>
        </w:tc>
        <w:tc>
          <w:tcPr>
            <w:tcW w:w="1134" w:type="dxa"/>
            <w:tcBorders>
              <w:left w:val="single" w:sz="4" w:space="0" w:color="auto"/>
              <w:right w:val="single" w:sz="4" w:space="0" w:color="auto"/>
            </w:tcBorders>
          </w:tcPr>
          <w:p w:rsidR="00B67A2C" w:rsidRDefault="00B67A2C" w:rsidP="00265DF3">
            <w:r>
              <w:t>-</w:t>
            </w:r>
          </w:p>
        </w:tc>
        <w:tc>
          <w:tcPr>
            <w:tcW w:w="1276" w:type="dxa"/>
            <w:tcBorders>
              <w:left w:val="single" w:sz="4" w:space="0" w:color="auto"/>
            </w:tcBorders>
          </w:tcPr>
          <w:p w:rsidR="00B67A2C" w:rsidRDefault="00B67A2C" w:rsidP="00265DF3">
            <w:r>
              <w:t>-</w:t>
            </w:r>
          </w:p>
        </w:tc>
      </w:tr>
      <w:tr w:rsidR="00B67A2C" w:rsidTr="00265DF3">
        <w:tc>
          <w:tcPr>
            <w:tcW w:w="2405" w:type="dxa"/>
            <w:tcBorders>
              <w:top w:val="single" w:sz="4" w:space="0" w:color="auto"/>
              <w:left w:val="single" w:sz="4" w:space="0" w:color="auto"/>
              <w:bottom w:val="single" w:sz="4" w:space="0" w:color="auto"/>
              <w:right w:val="single" w:sz="4" w:space="0" w:color="auto"/>
            </w:tcBorders>
            <w:shd w:val="clear" w:color="auto" w:fill="auto"/>
          </w:tcPr>
          <w:p w:rsidR="00B67A2C" w:rsidRPr="00B52D6B" w:rsidRDefault="00B67A2C" w:rsidP="00265DF3">
            <w:r>
              <w:t>2016</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B67A2C" w:rsidRDefault="00B67A2C" w:rsidP="00265DF3">
            <w:r>
              <w:t>1</w:t>
            </w:r>
          </w:p>
        </w:tc>
        <w:tc>
          <w:tcPr>
            <w:tcW w:w="1417" w:type="dxa"/>
            <w:tcBorders>
              <w:left w:val="single" w:sz="4" w:space="0" w:color="auto"/>
              <w:right w:val="single" w:sz="4" w:space="0" w:color="auto"/>
            </w:tcBorders>
          </w:tcPr>
          <w:p w:rsidR="00B67A2C" w:rsidRDefault="00B67A2C" w:rsidP="00265DF3">
            <w:r>
              <w:t>1.34 g</w:t>
            </w:r>
          </w:p>
        </w:tc>
        <w:tc>
          <w:tcPr>
            <w:tcW w:w="1134" w:type="dxa"/>
            <w:tcBorders>
              <w:left w:val="single" w:sz="4" w:space="0" w:color="auto"/>
              <w:right w:val="single" w:sz="4" w:space="0" w:color="auto"/>
            </w:tcBorders>
          </w:tcPr>
          <w:p w:rsidR="00B67A2C" w:rsidRDefault="00B67A2C" w:rsidP="00265DF3">
            <w:r>
              <w:t>-</w:t>
            </w:r>
          </w:p>
        </w:tc>
        <w:tc>
          <w:tcPr>
            <w:tcW w:w="1276" w:type="dxa"/>
            <w:tcBorders>
              <w:left w:val="single" w:sz="4" w:space="0" w:color="auto"/>
            </w:tcBorders>
          </w:tcPr>
          <w:p w:rsidR="00B67A2C" w:rsidRDefault="00B67A2C" w:rsidP="00265DF3">
            <w:r>
              <w:t>-</w:t>
            </w:r>
          </w:p>
        </w:tc>
      </w:tr>
      <w:tr w:rsidR="00B67A2C" w:rsidTr="00265DF3">
        <w:trPr>
          <w:trHeight w:val="70"/>
        </w:trPr>
        <w:tc>
          <w:tcPr>
            <w:tcW w:w="2405" w:type="dxa"/>
            <w:tcBorders>
              <w:top w:val="single" w:sz="4" w:space="0" w:color="auto"/>
              <w:left w:val="single" w:sz="4" w:space="0" w:color="auto"/>
              <w:bottom w:val="single" w:sz="4" w:space="0" w:color="auto"/>
              <w:right w:val="single" w:sz="4" w:space="0" w:color="auto"/>
            </w:tcBorders>
            <w:shd w:val="clear" w:color="auto" w:fill="auto"/>
          </w:tcPr>
          <w:p w:rsidR="00B67A2C" w:rsidRPr="00B52D6B" w:rsidRDefault="00B67A2C" w:rsidP="00265DF3">
            <w:r>
              <w:t>2017</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B67A2C" w:rsidRDefault="00B67A2C" w:rsidP="00265DF3">
            <w:r>
              <w:t>0</w:t>
            </w:r>
          </w:p>
        </w:tc>
        <w:tc>
          <w:tcPr>
            <w:tcW w:w="1417" w:type="dxa"/>
            <w:tcBorders>
              <w:left w:val="single" w:sz="4" w:space="0" w:color="auto"/>
              <w:right w:val="single" w:sz="4" w:space="0" w:color="auto"/>
            </w:tcBorders>
          </w:tcPr>
          <w:p w:rsidR="00B67A2C" w:rsidRDefault="00B67A2C" w:rsidP="00265DF3">
            <w:r>
              <w:t>-</w:t>
            </w:r>
          </w:p>
        </w:tc>
        <w:tc>
          <w:tcPr>
            <w:tcW w:w="1134" w:type="dxa"/>
            <w:tcBorders>
              <w:left w:val="single" w:sz="4" w:space="0" w:color="auto"/>
              <w:right w:val="single" w:sz="4" w:space="0" w:color="auto"/>
            </w:tcBorders>
          </w:tcPr>
          <w:p w:rsidR="00B67A2C" w:rsidRDefault="00B67A2C" w:rsidP="00265DF3">
            <w:r>
              <w:t>-</w:t>
            </w:r>
          </w:p>
        </w:tc>
        <w:tc>
          <w:tcPr>
            <w:tcW w:w="1276" w:type="dxa"/>
            <w:tcBorders>
              <w:left w:val="single" w:sz="4" w:space="0" w:color="auto"/>
            </w:tcBorders>
          </w:tcPr>
          <w:p w:rsidR="00B67A2C" w:rsidRDefault="00B67A2C" w:rsidP="00265DF3">
            <w:r>
              <w:t>-</w:t>
            </w:r>
          </w:p>
        </w:tc>
      </w:tr>
    </w:tbl>
    <w:p w:rsidR="00B67A2C" w:rsidRDefault="00B67A2C" w:rsidP="00B67A2C">
      <w:pPr>
        <w:pStyle w:val="Heading3"/>
      </w:pPr>
      <w:bookmarkStart w:id="18" w:name="_Toc509487295"/>
      <w:r>
        <w:t>AMB-FUBINACA</w:t>
      </w:r>
      <w:bookmarkEnd w:id="18"/>
    </w:p>
    <w:tbl>
      <w:tblPr>
        <w:tblStyle w:val="TableGrid"/>
        <w:tblW w:w="8784" w:type="dxa"/>
        <w:tblLayout w:type="fixed"/>
        <w:tblLook w:val="04A0" w:firstRow="1" w:lastRow="0" w:firstColumn="1" w:lastColumn="0" w:noHBand="0" w:noVBand="1"/>
      </w:tblPr>
      <w:tblGrid>
        <w:gridCol w:w="2405"/>
        <w:gridCol w:w="2552"/>
        <w:gridCol w:w="1417"/>
        <w:gridCol w:w="1134"/>
        <w:gridCol w:w="1276"/>
      </w:tblGrid>
      <w:tr w:rsidR="00B67A2C" w:rsidTr="00791761">
        <w:trPr>
          <w:trHeight w:val="278"/>
        </w:trPr>
        <w:tc>
          <w:tcPr>
            <w:tcW w:w="2405" w:type="dxa"/>
            <w:vMerge w:val="restart"/>
            <w:tcBorders>
              <w:top w:val="single" w:sz="4" w:space="0" w:color="auto"/>
              <w:left w:val="single" w:sz="4" w:space="0" w:color="auto"/>
              <w:right w:val="single" w:sz="4" w:space="0" w:color="auto"/>
            </w:tcBorders>
            <w:shd w:val="clear" w:color="auto" w:fill="D9D9D9" w:themeFill="background1" w:themeFillShade="D9"/>
          </w:tcPr>
          <w:p w:rsidR="00B67A2C" w:rsidRPr="00B52D6B" w:rsidRDefault="00B67A2C" w:rsidP="00265DF3">
            <w:pPr>
              <w:rPr>
                <w:b/>
              </w:rPr>
            </w:pPr>
            <w:r>
              <w:rPr>
                <w:b/>
              </w:rPr>
              <w:t>Year</w:t>
            </w:r>
          </w:p>
        </w:tc>
        <w:tc>
          <w:tcPr>
            <w:tcW w:w="2552" w:type="dxa"/>
            <w:vMerge w:val="restart"/>
            <w:tcBorders>
              <w:top w:val="single" w:sz="4" w:space="0" w:color="auto"/>
              <w:left w:val="single" w:sz="4" w:space="0" w:color="auto"/>
              <w:right w:val="single" w:sz="4" w:space="0" w:color="auto"/>
            </w:tcBorders>
            <w:shd w:val="clear" w:color="auto" w:fill="D9D9D9" w:themeFill="background1" w:themeFillShade="D9"/>
          </w:tcPr>
          <w:p w:rsidR="00B67A2C" w:rsidRPr="00B52D6B" w:rsidRDefault="00B67A2C" w:rsidP="00265DF3">
            <w:pPr>
              <w:rPr>
                <w:b/>
              </w:rPr>
            </w:pPr>
            <w:r>
              <w:rPr>
                <w:b/>
              </w:rPr>
              <w:t xml:space="preserve">Number of seizures </w:t>
            </w:r>
          </w:p>
        </w:tc>
        <w:tc>
          <w:tcPr>
            <w:tcW w:w="382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7A2C" w:rsidRDefault="00B67A2C" w:rsidP="00265DF3">
            <w:pPr>
              <w:rPr>
                <w:b/>
              </w:rPr>
            </w:pPr>
            <w:r>
              <w:rPr>
                <w:b/>
              </w:rPr>
              <w:t>Total quantity seized</w:t>
            </w:r>
          </w:p>
        </w:tc>
      </w:tr>
      <w:tr w:rsidR="00B67A2C" w:rsidTr="00791761">
        <w:trPr>
          <w:trHeight w:val="277"/>
        </w:trPr>
        <w:tc>
          <w:tcPr>
            <w:tcW w:w="2405" w:type="dxa"/>
            <w:vMerge/>
            <w:tcBorders>
              <w:left w:val="single" w:sz="4" w:space="0" w:color="auto"/>
              <w:bottom w:val="single" w:sz="4" w:space="0" w:color="auto"/>
              <w:right w:val="single" w:sz="4" w:space="0" w:color="auto"/>
            </w:tcBorders>
            <w:shd w:val="clear" w:color="auto" w:fill="auto"/>
          </w:tcPr>
          <w:p w:rsidR="00B67A2C" w:rsidRPr="00B52D6B" w:rsidRDefault="00B67A2C" w:rsidP="00265DF3">
            <w:pPr>
              <w:rPr>
                <w:b/>
              </w:rPr>
            </w:pPr>
          </w:p>
        </w:tc>
        <w:tc>
          <w:tcPr>
            <w:tcW w:w="2552" w:type="dxa"/>
            <w:vMerge/>
            <w:tcBorders>
              <w:left w:val="single" w:sz="4" w:space="0" w:color="auto"/>
              <w:bottom w:val="single" w:sz="4" w:space="0" w:color="auto"/>
              <w:right w:val="single" w:sz="4" w:space="0" w:color="auto"/>
            </w:tcBorders>
            <w:shd w:val="clear" w:color="auto" w:fill="auto"/>
          </w:tcPr>
          <w:p w:rsidR="00B67A2C" w:rsidRDefault="00B67A2C" w:rsidP="00265DF3">
            <w:pPr>
              <w:rPr>
                <w:b/>
              </w:rPr>
            </w:pPr>
          </w:p>
        </w:tc>
        <w:tc>
          <w:tcPr>
            <w:tcW w:w="1417" w:type="dxa"/>
            <w:tcBorders>
              <w:top w:val="single" w:sz="4" w:space="0" w:color="auto"/>
              <w:left w:val="single" w:sz="4" w:space="0" w:color="auto"/>
              <w:right w:val="single" w:sz="4" w:space="0" w:color="auto"/>
            </w:tcBorders>
            <w:shd w:val="clear" w:color="auto" w:fill="D9D9D9" w:themeFill="background1" w:themeFillShade="D9"/>
          </w:tcPr>
          <w:p w:rsidR="00B67A2C" w:rsidRDefault="00B67A2C" w:rsidP="00265DF3">
            <w:pPr>
              <w:rPr>
                <w:b/>
              </w:rPr>
            </w:pPr>
            <w:r>
              <w:rPr>
                <w:b/>
              </w:rPr>
              <w:t>Powder</w:t>
            </w:r>
          </w:p>
        </w:tc>
        <w:tc>
          <w:tcPr>
            <w:tcW w:w="1134" w:type="dxa"/>
            <w:tcBorders>
              <w:top w:val="single" w:sz="4" w:space="0" w:color="auto"/>
              <w:left w:val="single" w:sz="4" w:space="0" w:color="auto"/>
              <w:right w:val="single" w:sz="4" w:space="0" w:color="auto"/>
            </w:tcBorders>
            <w:shd w:val="clear" w:color="auto" w:fill="D9D9D9" w:themeFill="background1" w:themeFillShade="D9"/>
          </w:tcPr>
          <w:p w:rsidR="00B67A2C" w:rsidRDefault="00B67A2C" w:rsidP="00265DF3">
            <w:pPr>
              <w:rPr>
                <w:b/>
              </w:rPr>
            </w:pPr>
            <w:r>
              <w:rPr>
                <w:b/>
              </w:rPr>
              <w:t>Leaf</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7A2C" w:rsidRDefault="00B67A2C" w:rsidP="00265DF3">
            <w:pPr>
              <w:rPr>
                <w:b/>
              </w:rPr>
            </w:pPr>
            <w:r>
              <w:rPr>
                <w:b/>
              </w:rPr>
              <w:t>Liquid</w:t>
            </w:r>
          </w:p>
        </w:tc>
      </w:tr>
      <w:tr w:rsidR="00B67A2C" w:rsidTr="00265DF3">
        <w:tc>
          <w:tcPr>
            <w:tcW w:w="2405" w:type="dxa"/>
            <w:shd w:val="clear" w:color="auto" w:fill="auto"/>
          </w:tcPr>
          <w:p w:rsidR="00B67A2C" w:rsidRPr="00B52D6B" w:rsidRDefault="00B67A2C" w:rsidP="00265DF3">
            <w:r>
              <w:t>2013</w:t>
            </w:r>
          </w:p>
        </w:tc>
        <w:tc>
          <w:tcPr>
            <w:tcW w:w="2552" w:type="dxa"/>
            <w:tcBorders>
              <w:right w:val="single" w:sz="4" w:space="0" w:color="auto"/>
            </w:tcBorders>
            <w:shd w:val="clear" w:color="auto" w:fill="auto"/>
          </w:tcPr>
          <w:p w:rsidR="00B67A2C" w:rsidRDefault="00B67A2C" w:rsidP="00265DF3">
            <w:r>
              <w:t>0</w:t>
            </w:r>
          </w:p>
        </w:tc>
        <w:tc>
          <w:tcPr>
            <w:tcW w:w="1417" w:type="dxa"/>
            <w:tcBorders>
              <w:left w:val="single" w:sz="4" w:space="0" w:color="auto"/>
              <w:right w:val="single" w:sz="4" w:space="0" w:color="auto"/>
            </w:tcBorders>
          </w:tcPr>
          <w:p w:rsidR="00B67A2C" w:rsidRDefault="00B67A2C" w:rsidP="00265DF3">
            <w:r>
              <w:t>-</w:t>
            </w:r>
          </w:p>
        </w:tc>
        <w:tc>
          <w:tcPr>
            <w:tcW w:w="1134" w:type="dxa"/>
            <w:tcBorders>
              <w:left w:val="single" w:sz="4" w:space="0" w:color="auto"/>
              <w:right w:val="single" w:sz="4" w:space="0" w:color="auto"/>
            </w:tcBorders>
          </w:tcPr>
          <w:p w:rsidR="00B67A2C" w:rsidRDefault="00B67A2C" w:rsidP="00265DF3">
            <w:r>
              <w:t>-</w:t>
            </w:r>
          </w:p>
        </w:tc>
        <w:tc>
          <w:tcPr>
            <w:tcW w:w="1276" w:type="dxa"/>
            <w:tcBorders>
              <w:left w:val="single" w:sz="4" w:space="0" w:color="auto"/>
            </w:tcBorders>
          </w:tcPr>
          <w:p w:rsidR="00B67A2C" w:rsidRDefault="00B67A2C" w:rsidP="00265DF3">
            <w:r>
              <w:t>-</w:t>
            </w:r>
          </w:p>
        </w:tc>
      </w:tr>
      <w:tr w:rsidR="00B67A2C" w:rsidTr="00265DF3">
        <w:tc>
          <w:tcPr>
            <w:tcW w:w="2405" w:type="dxa"/>
            <w:tcBorders>
              <w:top w:val="single" w:sz="4" w:space="0" w:color="auto"/>
              <w:left w:val="single" w:sz="4" w:space="0" w:color="auto"/>
              <w:bottom w:val="single" w:sz="4" w:space="0" w:color="auto"/>
              <w:right w:val="single" w:sz="4" w:space="0" w:color="auto"/>
            </w:tcBorders>
            <w:shd w:val="clear" w:color="auto" w:fill="auto"/>
          </w:tcPr>
          <w:p w:rsidR="00B67A2C" w:rsidRPr="00B52D6B" w:rsidRDefault="00B67A2C" w:rsidP="00265DF3">
            <w:r>
              <w:t>2014</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B67A2C" w:rsidRDefault="00B67A2C" w:rsidP="00265DF3">
            <w:r>
              <w:t>0</w:t>
            </w:r>
          </w:p>
        </w:tc>
        <w:tc>
          <w:tcPr>
            <w:tcW w:w="1417" w:type="dxa"/>
            <w:tcBorders>
              <w:left w:val="single" w:sz="4" w:space="0" w:color="auto"/>
              <w:right w:val="single" w:sz="4" w:space="0" w:color="auto"/>
            </w:tcBorders>
          </w:tcPr>
          <w:p w:rsidR="00B67A2C" w:rsidRDefault="00B67A2C" w:rsidP="00265DF3">
            <w:r>
              <w:t>-</w:t>
            </w:r>
          </w:p>
        </w:tc>
        <w:tc>
          <w:tcPr>
            <w:tcW w:w="1134" w:type="dxa"/>
            <w:tcBorders>
              <w:left w:val="single" w:sz="4" w:space="0" w:color="auto"/>
              <w:right w:val="single" w:sz="4" w:space="0" w:color="auto"/>
            </w:tcBorders>
          </w:tcPr>
          <w:p w:rsidR="00B67A2C" w:rsidRDefault="00B67A2C" w:rsidP="00265DF3">
            <w:r>
              <w:t>-</w:t>
            </w:r>
          </w:p>
        </w:tc>
        <w:tc>
          <w:tcPr>
            <w:tcW w:w="1276" w:type="dxa"/>
            <w:tcBorders>
              <w:left w:val="single" w:sz="4" w:space="0" w:color="auto"/>
            </w:tcBorders>
          </w:tcPr>
          <w:p w:rsidR="00B67A2C" w:rsidRDefault="00B67A2C" w:rsidP="00265DF3">
            <w:r>
              <w:t>-</w:t>
            </w:r>
          </w:p>
        </w:tc>
      </w:tr>
      <w:tr w:rsidR="00B67A2C" w:rsidTr="00265DF3">
        <w:tc>
          <w:tcPr>
            <w:tcW w:w="2405" w:type="dxa"/>
            <w:tcBorders>
              <w:top w:val="single" w:sz="4" w:space="0" w:color="auto"/>
              <w:left w:val="single" w:sz="4" w:space="0" w:color="auto"/>
              <w:bottom w:val="single" w:sz="4" w:space="0" w:color="auto"/>
              <w:right w:val="single" w:sz="4" w:space="0" w:color="auto"/>
            </w:tcBorders>
            <w:shd w:val="clear" w:color="auto" w:fill="auto"/>
          </w:tcPr>
          <w:p w:rsidR="00B67A2C" w:rsidRPr="00B52D6B" w:rsidRDefault="00B67A2C" w:rsidP="00265DF3">
            <w:r>
              <w:t>2015</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B67A2C" w:rsidRDefault="00B67A2C" w:rsidP="00265DF3">
            <w:r>
              <w:t>0</w:t>
            </w:r>
          </w:p>
        </w:tc>
        <w:tc>
          <w:tcPr>
            <w:tcW w:w="1417" w:type="dxa"/>
            <w:tcBorders>
              <w:left w:val="single" w:sz="4" w:space="0" w:color="auto"/>
              <w:right w:val="single" w:sz="4" w:space="0" w:color="auto"/>
            </w:tcBorders>
          </w:tcPr>
          <w:p w:rsidR="00B67A2C" w:rsidRDefault="00B67A2C" w:rsidP="00265DF3">
            <w:r>
              <w:t>-</w:t>
            </w:r>
          </w:p>
        </w:tc>
        <w:tc>
          <w:tcPr>
            <w:tcW w:w="1134" w:type="dxa"/>
            <w:tcBorders>
              <w:left w:val="single" w:sz="4" w:space="0" w:color="auto"/>
              <w:right w:val="single" w:sz="4" w:space="0" w:color="auto"/>
            </w:tcBorders>
          </w:tcPr>
          <w:p w:rsidR="00B67A2C" w:rsidRDefault="00B67A2C" w:rsidP="00265DF3">
            <w:r>
              <w:t>-</w:t>
            </w:r>
          </w:p>
        </w:tc>
        <w:tc>
          <w:tcPr>
            <w:tcW w:w="1276" w:type="dxa"/>
            <w:tcBorders>
              <w:left w:val="single" w:sz="4" w:space="0" w:color="auto"/>
            </w:tcBorders>
          </w:tcPr>
          <w:p w:rsidR="00B67A2C" w:rsidRDefault="00B67A2C" w:rsidP="00265DF3">
            <w:r>
              <w:t>-</w:t>
            </w:r>
          </w:p>
        </w:tc>
      </w:tr>
      <w:tr w:rsidR="00B67A2C" w:rsidTr="00265DF3">
        <w:tc>
          <w:tcPr>
            <w:tcW w:w="2405" w:type="dxa"/>
            <w:tcBorders>
              <w:top w:val="single" w:sz="4" w:space="0" w:color="auto"/>
              <w:left w:val="single" w:sz="4" w:space="0" w:color="auto"/>
              <w:bottom w:val="single" w:sz="4" w:space="0" w:color="auto"/>
              <w:right w:val="single" w:sz="4" w:space="0" w:color="auto"/>
            </w:tcBorders>
            <w:shd w:val="clear" w:color="auto" w:fill="auto"/>
          </w:tcPr>
          <w:p w:rsidR="00B67A2C" w:rsidRPr="00B52D6B" w:rsidRDefault="00B67A2C" w:rsidP="00265DF3">
            <w:r>
              <w:t>2016</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B67A2C" w:rsidRDefault="00B67A2C" w:rsidP="00265DF3">
            <w:r>
              <w:t>14</w:t>
            </w:r>
          </w:p>
        </w:tc>
        <w:tc>
          <w:tcPr>
            <w:tcW w:w="1417" w:type="dxa"/>
            <w:tcBorders>
              <w:left w:val="single" w:sz="4" w:space="0" w:color="auto"/>
              <w:right w:val="single" w:sz="4" w:space="0" w:color="auto"/>
            </w:tcBorders>
          </w:tcPr>
          <w:p w:rsidR="00B67A2C" w:rsidRDefault="00B67A2C" w:rsidP="00265DF3">
            <w:r>
              <w:t>4144.8 g</w:t>
            </w:r>
          </w:p>
        </w:tc>
        <w:tc>
          <w:tcPr>
            <w:tcW w:w="1134" w:type="dxa"/>
            <w:tcBorders>
              <w:left w:val="single" w:sz="4" w:space="0" w:color="auto"/>
              <w:right w:val="single" w:sz="4" w:space="0" w:color="auto"/>
            </w:tcBorders>
          </w:tcPr>
          <w:p w:rsidR="00B67A2C" w:rsidRDefault="00B67A2C" w:rsidP="00265DF3">
            <w:r>
              <w:t>-</w:t>
            </w:r>
          </w:p>
        </w:tc>
        <w:tc>
          <w:tcPr>
            <w:tcW w:w="1276" w:type="dxa"/>
            <w:tcBorders>
              <w:left w:val="single" w:sz="4" w:space="0" w:color="auto"/>
            </w:tcBorders>
          </w:tcPr>
          <w:p w:rsidR="00B67A2C" w:rsidRDefault="00B67A2C" w:rsidP="00265DF3">
            <w:r>
              <w:t>-</w:t>
            </w:r>
          </w:p>
        </w:tc>
      </w:tr>
      <w:tr w:rsidR="00B67A2C" w:rsidTr="00265DF3">
        <w:trPr>
          <w:trHeight w:val="70"/>
        </w:trPr>
        <w:tc>
          <w:tcPr>
            <w:tcW w:w="2405" w:type="dxa"/>
            <w:tcBorders>
              <w:top w:val="single" w:sz="4" w:space="0" w:color="auto"/>
              <w:left w:val="single" w:sz="4" w:space="0" w:color="auto"/>
              <w:bottom w:val="single" w:sz="4" w:space="0" w:color="auto"/>
              <w:right w:val="single" w:sz="4" w:space="0" w:color="auto"/>
            </w:tcBorders>
            <w:shd w:val="clear" w:color="auto" w:fill="auto"/>
          </w:tcPr>
          <w:p w:rsidR="00B67A2C" w:rsidRPr="00B52D6B" w:rsidRDefault="00B67A2C" w:rsidP="00265DF3">
            <w:r>
              <w:t>2017</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B67A2C" w:rsidRDefault="00B67A2C" w:rsidP="00265DF3">
            <w:r>
              <w:t>14</w:t>
            </w:r>
          </w:p>
        </w:tc>
        <w:tc>
          <w:tcPr>
            <w:tcW w:w="1417" w:type="dxa"/>
            <w:tcBorders>
              <w:left w:val="single" w:sz="4" w:space="0" w:color="auto"/>
              <w:right w:val="single" w:sz="4" w:space="0" w:color="auto"/>
            </w:tcBorders>
          </w:tcPr>
          <w:p w:rsidR="00B67A2C" w:rsidRDefault="00B67A2C" w:rsidP="00265DF3">
            <w:r>
              <w:t>4299.3 g</w:t>
            </w:r>
          </w:p>
        </w:tc>
        <w:tc>
          <w:tcPr>
            <w:tcW w:w="1134" w:type="dxa"/>
            <w:tcBorders>
              <w:left w:val="single" w:sz="4" w:space="0" w:color="auto"/>
              <w:right w:val="single" w:sz="4" w:space="0" w:color="auto"/>
            </w:tcBorders>
          </w:tcPr>
          <w:p w:rsidR="00B67A2C" w:rsidRDefault="00B67A2C" w:rsidP="00265DF3">
            <w:r>
              <w:t>-</w:t>
            </w:r>
          </w:p>
        </w:tc>
        <w:tc>
          <w:tcPr>
            <w:tcW w:w="1276" w:type="dxa"/>
            <w:tcBorders>
              <w:left w:val="single" w:sz="4" w:space="0" w:color="auto"/>
            </w:tcBorders>
          </w:tcPr>
          <w:p w:rsidR="00B67A2C" w:rsidRDefault="00B67A2C" w:rsidP="00265DF3">
            <w:r>
              <w:t>-</w:t>
            </w:r>
          </w:p>
        </w:tc>
      </w:tr>
    </w:tbl>
    <w:p w:rsidR="00B67A2C" w:rsidRDefault="00B67A2C" w:rsidP="00B67A2C">
      <w:pPr>
        <w:pStyle w:val="Heading3"/>
      </w:pPr>
      <w:bookmarkStart w:id="19" w:name="_Toc509487296"/>
      <w:r>
        <w:t>AB-FUBINACA</w:t>
      </w:r>
      <w:bookmarkEnd w:id="19"/>
    </w:p>
    <w:tbl>
      <w:tblPr>
        <w:tblStyle w:val="TableGrid"/>
        <w:tblW w:w="8784" w:type="dxa"/>
        <w:tblLayout w:type="fixed"/>
        <w:tblLook w:val="04A0" w:firstRow="1" w:lastRow="0" w:firstColumn="1" w:lastColumn="0" w:noHBand="0" w:noVBand="1"/>
      </w:tblPr>
      <w:tblGrid>
        <w:gridCol w:w="2405"/>
        <w:gridCol w:w="2552"/>
        <w:gridCol w:w="1417"/>
        <w:gridCol w:w="1134"/>
        <w:gridCol w:w="1276"/>
      </w:tblGrid>
      <w:tr w:rsidR="00B67A2C" w:rsidTr="00791761">
        <w:trPr>
          <w:trHeight w:val="278"/>
        </w:trPr>
        <w:tc>
          <w:tcPr>
            <w:tcW w:w="2405" w:type="dxa"/>
            <w:vMerge w:val="restart"/>
            <w:tcBorders>
              <w:top w:val="single" w:sz="4" w:space="0" w:color="auto"/>
              <w:left w:val="single" w:sz="4" w:space="0" w:color="auto"/>
              <w:right w:val="single" w:sz="4" w:space="0" w:color="auto"/>
            </w:tcBorders>
            <w:shd w:val="clear" w:color="auto" w:fill="D9D9D9" w:themeFill="background1" w:themeFillShade="D9"/>
          </w:tcPr>
          <w:p w:rsidR="00B67A2C" w:rsidRPr="00B52D6B" w:rsidRDefault="00B67A2C" w:rsidP="00265DF3">
            <w:pPr>
              <w:rPr>
                <w:b/>
              </w:rPr>
            </w:pPr>
            <w:r>
              <w:rPr>
                <w:b/>
              </w:rPr>
              <w:t>Year</w:t>
            </w:r>
          </w:p>
        </w:tc>
        <w:tc>
          <w:tcPr>
            <w:tcW w:w="2552" w:type="dxa"/>
            <w:vMerge w:val="restart"/>
            <w:tcBorders>
              <w:top w:val="single" w:sz="4" w:space="0" w:color="auto"/>
              <w:left w:val="single" w:sz="4" w:space="0" w:color="auto"/>
              <w:right w:val="single" w:sz="4" w:space="0" w:color="auto"/>
            </w:tcBorders>
            <w:shd w:val="clear" w:color="auto" w:fill="D9D9D9" w:themeFill="background1" w:themeFillShade="D9"/>
          </w:tcPr>
          <w:p w:rsidR="00B67A2C" w:rsidRPr="00B52D6B" w:rsidRDefault="00B67A2C" w:rsidP="00265DF3">
            <w:pPr>
              <w:rPr>
                <w:b/>
              </w:rPr>
            </w:pPr>
            <w:r>
              <w:rPr>
                <w:b/>
              </w:rPr>
              <w:t xml:space="preserve">Number of seizures </w:t>
            </w:r>
          </w:p>
        </w:tc>
        <w:tc>
          <w:tcPr>
            <w:tcW w:w="382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7A2C" w:rsidRDefault="00B67A2C" w:rsidP="00265DF3">
            <w:pPr>
              <w:rPr>
                <w:b/>
              </w:rPr>
            </w:pPr>
            <w:r>
              <w:rPr>
                <w:b/>
              </w:rPr>
              <w:t>Total quantity seized</w:t>
            </w:r>
          </w:p>
        </w:tc>
      </w:tr>
      <w:tr w:rsidR="00B67A2C" w:rsidTr="00791761">
        <w:trPr>
          <w:trHeight w:val="277"/>
        </w:trPr>
        <w:tc>
          <w:tcPr>
            <w:tcW w:w="2405" w:type="dxa"/>
            <w:vMerge/>
            <w:tcBorders>
              <w:left w:val="single" w:sz="4" w:space="0" w:color="auto"/>
              <w:bottom w:val="single" w:sz="4" w:space="0" w:color="auto"/>
              <w:right w:val="single" w:sz="4" w:space="0" w:color="auto"/>
            </w:tcBorders>
            <w:shd w:val="clear" w:color="auto" w:fill="D9D9D9" w:themeFill="background1" w:themeFillShade="D9"/>
          </w:tcPr>
          <w:p w:rsidR="00B67A2C" w:rsidRPr="00B52D6B" w:rsidRDefault="00B67A2C" w:rsidP="00265DF3">
            <w:pPr>
              <w:rPr>
                <w:b/>
              </w:rPr>
            </w:pPr>
          </w:p>
        </w:tc>
        <w:tc>
          <w:tcPr>
            <w:tcW w:w="2552" w:type="dxa"/>
            <w:vMerge/>
            <w:tcBorders>
              <w:left w:val="single" w:sz="4" w:space="0" w:color="auto"/>
              <w:bottom w:val="single" w:sz="4" w:space="0" w:color="auto"/>
              <w:right w:val="single" w:sz="4" w:space="0" w:color="auto"/>
            </w:tcBorders>
            <w:shd w:val="clear" w:color="auto" w:fill="D9D9D9" w:themeFill="background1" w:themeFillShade="D9"/>
          </w:tcPr>
          <w:p w:rsidR="00B67A2C" w:rsidRDefault="00B67A2C" w:rsidP="00265DF3">
            <w:pPr>
              <w:rPr>
                <w:b/>
              </w:rPr>
            </w:pPr>
          </w:p>
        </w:tc>
        <w:tc>
          <w:tcPr>
            <w:tcW w:w="1417" w:type="dxa"/>
            <w:tcBorders>
              <w:top w:val="single" w:sz="4" w:space="0" w:color="auto"/>
              <w:left w:val="single" w:sz="4" w:space="0" w:color="auto"/>
              <w:right w:val="single" w:sz="4" w:space="0" w:color="auto"/>
            </w:tcBorders>
            <w:shd w:val="clear" w:color="auto" w:fill="D9D9D9" w:themeFill="background1" w:themeFillShade="D9"/>
          </w:tcPr>
          <w:p w:rsidR="00B67A2C" w:rsidRDefault="00B67A2C" w:rsidP="00265DF3">
            <w:pPr>
              <w:rPr>
                <w:b/>
              </w:rPr>
            </w:pPr>
            <w:r>
              <w:rPr>
                <w:b/>
              </w:rPr>
              <w:t>Powder</w:t>
            </w:r>
          </w:p>
        </w:tc>
        <w:tc>
          <w:tcPr>
            <w:tcW w:w="1134" w:type="dxa"/>
            <w:tcBorders>
              <w:top w:val="single" w:sz="4" w:space="0" w:color="auto"/>
              <w:left w:val="single" w:sz="4" w:space="0" w:color="auto"/>
              <w:right w:val="single" w:sz="4" w:space="0" w:color="auto"/>
            </w:tcBorders>
            <w:shd w:val="clear" w:color="auto" w:fill="D9D9D9" w:themeFill="background1" w:themeFillShade="D9"/>
          </w:tcPr>
          <w:p w:rsidR="00B67A2C" w:rsidRDefault="00B67A2C" w:rsidP="00265DF3">
            <w:pPr>
              <w:rPr>
                <w:b/>
              </w:rPr>
            </w:pPr>
            <w:r>
              <w:rPr>
                <w:b/>
              </w:rPr>
              <w:t>Leaf</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7A2C" w:rsidRDefault="00B67A2C" w:rsidP="00265DF3">
            <w:pPr>
              <w:rPr>
                <w:b/>
              </w:rPr>
            </w:pPr>
            <w:r>
              <w:rPr>
                <w:b/>
              </w:rPr>
              <w:t>Liquid</w:t>
            </w:r>
          </w:p>
        </w:tc>
      </w:tr>
      <w:tr w:rsidR="00B67A2C" w:rsidTr="00265DF3">
        <w:tc>
          <w:tcPr>
            <w:tcW w:w="2405" w:type="dxa"/>
            <w:shd w:val="clear" w:color="auto" w:fill="auto"/>
          </w:tcPr>
          <w:p w:rsidR="00B67A2C" w:rsidRPr="00B52D6B" w:rsidRDefault="00B67A2C" w:rsidP="00265DF3">
            <w:r>
              <w:t>2013</w:t>
            </w:r>
          </w:p>
        </w:tc>
        <w:tc>
          <w:tcPr>
            <w:tcW w:w="2552" w:type="dxa"/>
            <w:tcBorders>
              <w:right w:val="single" w:sz="4" w:space="0" w:color="auto"/>
            </w:tcBorders>
            <w:shd w:val="clear" w:color="auto" w:fill="auto"/>
          </w:tcPr>
          <w:p w:rsidR="00B67A2C" w:rsidRDefault="00B67A2C" w:rsidP="00265DF3">
            <w:r>
              <w:t>1</w:t>
            </w:r>
          </w:p>
        </w:tc>
        <w:tc>
          <w:tcPr>
            <w:tcW w:w="1417" w:type="dxa"/>
            <w:tcBorders>
              <w:left w:val="single" w:sz="4" w:space="0" w:color="auto"/>
              <w:right w:val="single" w:sz="4" w:space="0" w:color="auto"/>
            </w:tcBorders>
          </w:tcPr>
          <w:p w:rsidR="00B67A2C" w:rsidRDefault="00B67A2C" w:rsidP="00265DF3">
            <w:r>
              <w:t>1990 g</w:t>
            </w:r>
          </w:p>
        </w:tc>
        <w:tc>
          <w:tcPr>
            <w:tcW w:w="1134" w:type="dxa"/>
            <w:tcBorders>
              <w:left w:val="single" w:sz="4" w:space="0" w:color="auto"/>
              <w:right w:val="single" w:sz="4" w:space="0" w:color="auto"/>
            </w:tcBorders>
          </w:tcPr>
          <w:p w:rsidR="00B67A2C" w:rsidRDefault="00B67A2C" w:rsidP="00265DF3">
            <w:r>
              <w:t>-</w:t>
            </w:r>
          </w:p>
        </w:tc>
        <w:tc>
          <w:tcPr>
            <w:tcW w:w="1276" w:type="dxa"/>
            <w:tcBorders>
              <w:left w:val="single" w:sz="4" w:space="0" w:color="auto"/>
            </w:tcBorders>
          </w:tcPr>
          <w:p w:rsidR="00B67A2C" w:rsidRDefault="00B67A2C" w:rsidP="00265DF3">
            <w:r>
              <w:t>-</w:t>
            </w:r>
          </w:p>
        </w:tc>
      </w:tr>
      <w:tr w:rsidR="00B67A2C" w:rsidTr="00265DF3">
        <w:tc>
          <w:tcPr>
            <w:tcW w:w="2405" w:type="dxa"/>
            <w:tcBorders>
              <w:top w:val="single" w:sz="4" w:space="0" w:color="auto"/>
              <w:left w:val="single" w:sz="4" w:space="0" w:color="auto"/>
              <w:bottom w:val="single" w:sz="4" w:space="0" w:color="auto"/>
              <w:right w:val="single" w:sz="4" w:space="0" w:color="auto"/>
            </w:tcBorders>
            <w:shd w:val="clear" w:color="auto" w:fill="auto"/>
          </w:tcPr>
          <w:p w:rsidR="00B67A2C" w:rsidRPr="00B52D6B" w:rsidRDefault="00B67A2C" w:rsidP="00265DF3">
            <w:r>
              <w:t>2014</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B67A2C" w:rsidRDefault="00B67A2C" w:rsidP="00265DF3">
            <w:r>
              <w:t>8</w:t>
            </w:r>
          </w:p>
        </w:tc>
        <w:tc>
          <w:tcPr>
            <w:tcW w:w="1417" w:type="dxa"/>
            <w:tcBorders>
              <w:left w:val="single" w:sz="4" w:space="0" w:color="auto"/>
              <w:right w:val="single" w:sz="4" w:space="0" w:color="auto"/>
            </w:tcBorders>
          </w:tcPr>
          <w:p w:rsidR="00B67A2C" w:rsidRDefault="00B67A2C" w:rsidP="00265DF3">
            <w:r>
              <w:t>78029.2 g</w:t>
            </w:r>
          </w:p>
        </w:tc>
        <w:tc>
          <w:tcPr>
            <w:tcW w:w="1134" w:type="dxa"/>
            <w:tcBorders>
              <w:left w:val="single" w:sz="4" w:space="0" w:color="auto"/>
              <w:right w:val="single" w:sz="4" w:space="0" w:color="auto"/>
            </w:tcBorders>
          </w:tcPr>
          <w:p w:rsidR="00B67A2C" w:rsidRDefault="00B67A2C" w:rsidP="00265DF3">
            <w:r>
              <w:t>-</w:t>
            </w:r>
          </w:p>
        </w:tc>
        <w:tc>
          <w:tcPr>
            <w:tcW w:w="1276" w:type="dxa"/>
            <w:tcBorders>
              <w:left w:val="single" w:sz="4" w:space="0" w:color="auto"/>
            </w:tcBorders>
          </w:tcPr>
          <w:p w:rsidR="00B67A2C" w:rsidRDefault="00B67A2C" w:rsidP="00265DF3">
            <w:r>
              <w:t>-</w:t>
            </w:r>
          </w:p>
        </w:tc>
      </w:tr>
      <w:tr w:rsidR="00B67A2C" w:rsidTr="00265DF3">
        <w:tc>
          <w:tcPr>
            <w:tcW w:w="2405" w:type="dxa"/>
            <w:tcBorders>
              <w:top w:val="single" w:sz="4" w:space="0" w:color="auto"/>
              <w:left w:val="single" w:sz="4" w:space="0" w:color="auto"/>
              <w:bottom w:val="single" w:sz="4" w:space="0" w:color="auto"/>
              <w:right w:val="single" w:sz="4" w:space="0" w:color="auto"/>
            </w:tcBorders>
            <w:shd w:val="clear" w:color="auto" w:fill="auto"/>
          </w:tcPr>
          <w:p w:rsidR="00B67A2C" w:rsidRPr="00B52D6B" w:rsidRDefault="00B67A2C" w:rsidP="00265DF3">
            <w:r>
              <w:t>2015</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B67A2C" w:rsidRDefault="00B67A2C" w:rsidP="00265DF3">
            <w:r>
              <w:t>4</w:t>
            </w:r>
          </w:p>
        </w:tc>
        <w:tc>
          <w:tcPr>
            <w:tcW w:w="1417" w:type="dxa"/>
            <w:tcBorders>
              <w:left w:val="single" w:sz="4" w:space="0" w:color="auto"/>
              <w:right w:val="single" w:sz="4" w:space="0" w:color="auto"/>
            </w:tcBorders>
          </w:tcPr>
          <w:p w:rsidR="00B67A2C" w:rsidRDefault="00B67A2C" w:rsidP="00265DF3">
            <w:r>
              <w:t>71.5 g + 10 pills</w:t>
            </w:r>
          </w:p>
        </w:tc>
        <w:tc>
          <w:tcPr>
            <w:tcW w:w="1134" w:type="dxa"/>
            <w:tcBorders>
              <w:left w:val="single" w:sz="4" w:space="0" w:color="auto"/>
              <w:right w:val="single" w:sz="4" w:space="0" w:color="auto"/>
            </w:tcBorders>
          </w:tcPr>
          <w:p w:rsidR="00B67A2C" w:rsidRDefault="00B67A2C" w:rsidP="00265DF3">
            <w:r>
              <w:t>-</w:t>
            </w:r>
          </w:p>
        </w:tc>
        <w:tc>
          <w:tcPr>
            <w:tcW w:w="1276" w:type="dxa"/>
            <w:tcBorders>
              <w:left w:val="single" w:sz="4" w:space="0" w:color="auto"/>
            </w:tcBorders>
          </w:tcPr>
          <w:p w:rsidR="00B67A2C" w:rsidRDefault="00B67A2C" w:rsidP="00265DF3">
            <w:r>
              <w:t>-</w:t>
            </w:r>
          </w:p>
        </w:tc>
      </w:tr>
      <w:tr w:rsidR="00B67A2C" w:rsidTr="00265DF3">
        <w:tc>
          <w:tcPr>
            <w:tcW w:w="2405" w:type="dxa"/>
            <w:tcBorders>
              <w:top w:val="single" w:sz="4" w:space="0" w:color="auto"/>
              <w:left w:val="single" w:sz="4" w:space="0" w:color="auto"/>
              <w:bottom w:val="single" w:sz="4" w:space="0" w:color="auto"/>
              <w:right w:val="single" w:sz="4" w:space="0" w:color="auto"/>
            </w:tcBorders>
            <w:shd w:val="clear" w:color="auto" w:fill="auto"/>
          </w:tcPr>
          <w:p w:rsidR="00B67A2C" w:rsidRPr="00B52D6B" w:rsidRDefault="00B67A2C" w:rsidP="00265DF3">
            <w:r>
              <w:t>2016</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B67A2C" w:rsidRDefault="00B67A2C" w:rsidP="00265DF3">
            <w:r>
              <w:t>8</w:t>
            </w:r>
          </w:p>
        </w:tc>
        <w:tc>
          <w:tcPr>
            <w:tcW w:w="1417" w:type="dxa"/>
            <w:tcBorders>
              <w:left w:val="single" w:sz="4" w:space="0" w:color="auto"/>
              <w:right w:val="single" w:sz="4" w:space="0" w:color="auto"/>
            </w:tcBorders>
          </w:tcPr>
          <w:p w:rsidR="00B67A2C" w:rsidRDefault="00B67A2C" w:rsidP="00265DF3">
            <w:r>
              <w:t>1267.6 g</w:t>
            </w:r>
          </w:p>
        </w:tc>
        <w:tc>
          <w:tcPr>
            <w:tcW w:w="1134" w:type="dxa"/>
            <w:tcBorders>
              <w:left w:val="single" w:sz="4" w:space="0" w:color="auto"/>
              <w:right w:val="single" w:sz="4" w:space="0" w:color="auto"/>
            </w:tcBorders>
          </w:tcPr>
          <w:p w:rsidR="00B67A2C" w:rsidRDefault="00B67A2C" w:rsidP="00265DF3">
            <w:r>
              <w:t>-</w:t>
            </w:r>
          </w:p>
        </w:tc>
        <w:tc>
          <w:tcPr>
            <w:tcW w:w="1276" w:type="dxa"/>
            <w:tcBorders>
              <w:left w:val="single" w:sz="4" w:space="0" w:color="auto"/>
            </w:tcBorders>
          </w:tcPr>
          <w:p w:rsidR="00B67A2C" w:rsidRDefault="00B67A2C" w:rsidP="00265DF3">
            <w:r>
              <w:t>-</w:t>
            </w:r>
          </w:p>
        </w:tc>
      </w:tr>
      <w:tr w:rsidR="00B67A2C" w:rsidTr="00265DF3">
        <w:trPr>
          <w:trHeight w:val="70"/>
        </w:trPr>
        <w:tc>
          <w:tcPr>
            <w:tcW w:w="2405" w:type="dxa"/>
            <w:tcBorders>
              <w:top w:val="single" w:sz="4" w:space="0" w:color="auto"/>
              <w:left w:val="single" w:sz="4" w:space="0" w:color="auto"/>
              <w:bottom w:val="single" w:sz="4" w:space="0" w:color="auto"/>
              <w:right w:val="single" w:sz="4" w:space="0" w:color="auto"/>
            </w:tcBorders>
            <w:shd w:val="clear" w:color="auto" w:fill="auto"/>
          </w:tcPr>
          <w:p w:rsidR="00B67A2C" w:rsidRPr="00B52D6B" w:rsidRDefault="00B67A2C" w:rsidP="00265DF3">
            <w:r>
              <w:t>2017</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B67A2C" w:rsidRDefault="00B67A2C" w:rsidP="00265DF3">
            <w:r>
              <w:t>0</w:t>
            </w:r>
          </w:p>
        </w:tc>
        <w:tc>
          <w:tcPr>
            <w:tcW w:w="1417" w:type="dxa"/>
            <w:tcBorders>
              <w:left w:val="single" w:sz="4" w:space="0" w:color="auto"/>
              <w:right w:val="single" w:sz="4" w:space="0" w:color="auto"/>
            </w:tcBorders>
          </w:tcPr>
          <w:p w:rsidR="00B67A2C" w:rsidRDefault="00B67A2C" w:rsidP="00265DF3">
            <w:r>
              <w:t>-</w:t>
            </w:r>
          </w:p>
        </w:tc>
        <w:tc>
          <w:tcPr>
            <w:tcW w:w="1134" w:type="dxa"/>
            <w:tcBorders>
              <w:left w:val="single" w:sz="4" w:space="0" w:color="auto"/>
              <w:right w:val="single" w:sz="4" w:space="0" w:color="auto"/>
            </w:tcBorders>
          </w:tcPr>
          <w:p w:rsidR="00B67A2C" w:rsidRDefault="00B67A2C" w:rsidP="00265DF3">
            <w:r>
              <w:t>-</w:t>
            </w:r>
          </w:p>
        </w:tc>
        <w:tc>
          <w:tcPr>
            <w:tcW w:w="1276" w:type="dxa"/>
            <w:tcBorders>
              <w:left w:val="single" w:sz="4" w:space="0" w:color="auto"/>
            </w:tcBorders>
          </w:tcPr>
          <w:p w:rsidR="00B67A2C" w:rsidRDefault="00B67A2C" w:rsidP="00265DF3">
            <w:r>
              <w:t>-</w:t>
            </w:r>
          </w:p>
        </w:tc>
      </w:tr>
    </w:tbl>
    <w:p w:rsidR="00265DF3" w:rsidRDefault="00265DF3" w:rsidP="007732F9">
      <w:pPr>
        <w:rPr>
          <w:sz w:val="22"/>
        </w:rPr>
      </w:pPr>
    </w:p>
    <w:p w:rsidR="009427CF" w:rsidRDefault="009427CF" w:rsidP="009427CF">
      <w:pPr>
        <w:pStyle w:val="Heading2"/>
        <w:spacing w:before="0" w:beforeAutospacing="0" w:after="120" w:afterAutospacing="0"/>
      </w:pPr>
      <w:bookmarkStart w:id="20" w:name="_Toc509487297"/>
      <w:r>
        <w:t>3.2</w:t>
      </w:r>
      <w:r>
        <w:tab/>
      </w:r>
      <w:r w:rsidRPr="006E4FCA">
        <w:t xml:space="preserve"> Specific Effects</w:t>
      </w:r>
      <w:bookmarkEnd w:id="20"/>
    </w:p>
    <w:p w:rsidR="009427CF" w:rsidRDefault="009427CF" w:rsidP="009427CF">
      <w:pPr>
        <w:pStyle w:val="Heading3"/>
      </w:pPr>
      <w:bookmarkStart w:id="21" w:name="_Toc509487298"/>
      <w:r>
        <w:t>3.2.1 Toxicology</w:t>
      </w:r>
      <w:bookmarkEnd w:id="21"/>
    </w:p>
    <w:p w:rsidR="007047A2" w:rsidRPr="000B4BD0" w:rsidRDefault="007047A2" w:rsidP="007047A2">
      <w:pPr>
        <w:rPr>
          <w:sz w:val="22"/>
        </w:rPr>
      </w:pPr>
      <w:r w:rsidRPr="000B4BD0">
        <w:rPr>
          <w:sz w:val="22"/>
        </w:rPr>
        <w:t>Toxicology information can be found in the attached reports.</w:t>
      </w:r>
    </w:p>
    <w:p w:rsidR="001A2637" w:rsidRPr="001A2637" w:rsidRDefault="001A2637" w:rsidP="001A2637">
      <w:pPr>
        <w:pStyle w:val="Heading3"/>
      </w:pPr>
      <w:bookmarkStart w:id="22" w:name="_Toc509487299"/>
      <w:r w:rsidRPr="001A2637">
        <w:t>3.</w:t>
      </w:r>
      <w:r w:rsidRPr="001A2637">
        <w:rPr>
          <w:rStyle w:val="Heading2Char"/>
          <w:b/>
          <w:bCs/>
          <w:sz w:val="24"/>
          <w:szCs w:val="22"/>
        </w:rPr>
        <w:t>2.2 Psychoactivity</w:t>
      </w:r>
      <w:bookmarkEnd w:id="22"/>
    </w:p>
    <w:p w:rsidR="009427CF" w:rsidRPr="000B4BD0" w:rsidRDefault="007047A2" w:rsidP="009427CF">
      <w:pPr>
        <w:rPr>
          <w:sz w:val="22"/>
        </w:rPr>
      </w:pPr>
      <w:r w:rsidRPr="000B4BD0">
        <w:rPr>
          <w:sz w:val="22"/>
        </w:rPr>
        <w:t>Psychoactivity information can be found in the attached reports.</w:t>
      </w:r>
    </w:p>
    <w:p w:rsidR="009427CF" w:rsidRDefault="009427CF" w:rsidP="009427CF">
      <w:pPr>
        <w:pStyle w:val="Heading3"/>
      </w:pPr>
      <w:bookmarkStart w:id="23" w:name="_Toc509487300"/>
      <w:r>
        <w:t>3.2.</w:t>
      </w:r>
      <w:r w:rsidR="001A2637">
        <w:t>3</w:t>
      </w:r>
      <w:r>
        <w:t xml:space="preserve"> Pharmacology</w:t>
      </w:r>
      <w:bookmarkEnd w:id="23"/>
    </w:p>
    <w:p w:rsidR="009427CF" w:rsidRPr="000B4BD0" w:rsidRDefault="007047A2" w:rsidP="009427CF">
      <w:pPr>
        <w:spacing w:after="120" w:line="240" w:lineRule="auto"/>
        <w:rPr>
          <w:sz w:val="22"/>
        </w:rPr>
      </w:pPr>
      <w:r w:rsidRPr="000B4BD0">
        <w:rPr>
          <w:sz w:val="22"/>
        </w:rPr>
        <w:t>Pha</w:t>
      </w:r>
      <w:r w:rsidR="006A2F41">
        <w:rPr>
          <w:sz w:val="22"/>
        </w:rPr>
        <w:t>r</w:t>
      </w:r>
      <w:r w:rsidRPr="000B4BD0">
        <w:rPr>
          <w:sz w:val="22"/>
        </w:rPr>
        <w:t>macology information can be found in the attached reports.</w:t>
      </w:r>
    </w:p>
    <w:p w:rsidR="009427CF" w:rsidRDefault="009427CF" w:rsidP="009427CF">
      <w:pPr>
        <w:pStyle w:val="Heading2"/>
        <w:spacing w:before="0" w:beforeAutospacing="0" w:after="120" w:afterAutospacing="0"/>
      </w:pPr>
      <w:bookmarkStart w:id="24" w:name="_Toc509487301"/>
      <w:r>
        <w:t>3.3</w:t>
      </w:r>
      <w:r>
        <w:tab/>
        <w:t xml:space="preserve"> R</w:t>
      </w:r>
      <w:r w:rsidRPr="006E31F2">
        <w:t>isks</w:t>
      </w:r>
      <w:r>
        <w:t xml:space="preserve"> </w:t>
      </w:r>
      <w:r w:rsidRPr="006E31F2">
        <w:t xml:space="preserve">to </w:t>
      </w:r>
      <w:r>
        <w:t>P</w:t>
      </w:r>
      <w:r w:rsidRPr="006E31F2">
        <w:t xml:space="preserve">ublic </w:t>
      </w:r>
      <w:r>
        <w:t>H</w:t>
      </w:r>
      <w:r w:rsidRPr="006E31F2">
        <w:t>ealth</w:t>
      </w:r>
      <w:bookmarkEnd w:id="24"/>
      <w:r>
        <w:t xml:space="preserve"> </w:t>
      </w:r>
    </w:p>
    <w:p w:rsidR="009427CF" w:rsidRPr="00750086" w:rsidRDefault="00655D77" w:rsidP="009427CF">
      <w:pPr>
        <w:spacing w:after="120" w:line="240" w:lineRule="auto"/>
        <w:rPr>
          <w:sz w:val="22"/>
        </w:rPr>
      </w:pPr>
      <w:r w:rsidRPr="00750086">
        <w:rPr>
          <w:sz w:val="22"/>
        </w:rPr>
        <w:t xml:space="preserve">There </w:t>
      </w:r>
      <w:r w:rsidR="006A2F41">
        <w:rPr>
          <w:sz w:val="22"/>
        </w:rPr>
        <w:t>are</w:t>
      </w:r>
      <w:r w:rsidRPr="00750086">
        <w:rPr>
          <w:sz w:val="22"/>
        </w:rPr>
        <w:t xml:space="preserve"> many report</w:t>
      </w:r>
      <w:r w:rsidR="006A2F41">
        <w:rPr>
          <w:sz w:val="22"/>
        </w:rPr>
        <w:t>s</w:t>
      </w:r>
      <w:r w:rsidRPr="00750086">
        <w:rPr>
          <w:sz w:val="22"/>
        </w:rPr>
        <w:t xml:space="preserve"> in the New Zealand media where synthetic cannabinoid use has resulted in </w:t>
      </w:r>
      <w:r w:rsidR="003C1BD9">
        <w:rPr>
          <w:sz w:val="22"/>
        </w:rPr>
        <w:t>the safety of others being risked</w:t>
      </w:r>
      <w:r w:rsidRPr="00750086">
        <w:rPr>
          <w:sz w:val="22"/>
        </w:rPr>
        <w:t>. Most notabl</w:t>
      </w:r>
      <w:r w:rsidR="006A2F41">
        <w:rPr>
          <w:sz w:val="22"/>
        </w:rPr>
        <w:t>e</w:t>
      </w:r>
      <w:r w:rsidRPr="00750086">
        <w:rPr>
          <w:sz w:val="22"/>
        </w:rPr>
        <w:t xml:space="preserve"> are several cases </w:t>
      </w:r>
      <w:r w:rsidR="006A2F41">
        <w:rPr>
          <w:sz w:val="22"/>
        </w:rPr>
        <w:t>where</w:t>
      </w:r>
      <w:r w:rsidRPr="00750086">
        <w:rPr>
          <w:sz w:val="22"/>
        </w:rPr>
        <w:t xml:space="preserve"> children </w:t>
      </w:r>
      <w:r w:rsidR="006A2F41">
        <w:rPr>
          <w:sz w:val="22"/>
        </w:rPr>
        <w:t>were</w:t>
      </w:r>
      <w:r w:rsidR="006A2F41" w:rsidRPr="00750086">
        <w:rPr>
          <w:sz w:val="22"/>
        </w:rPr>
        <w:t xml:space="preserve"> </w:t>
      </w:r>
      <w:r w:rsidRPr="00750086">
        <w:rPr>
          <w:sz w:val="22"/>
        </w:rPr>
        <w:t xml:space="preserve">endangered </w:t>
      </w:r>
      <w:r w:rsidR="006A2F41">
        <w:rPr>
          <w:sz w:val="22"/>
        </w:rPr>
        <w:t>when</w:t>
      </w:r>
      <w:r w:rsidR="006A2F41" w:rsidRPr="00750086">
        <w:rPr>
          <w:sz w:val="22"/>
        </w:rPr>
        <w:t xml:space="preserve"> </w:t>
      </w:r>
      <w:r w:rsidRPr="00750086">
        <w:rPr>
          <w:sz w:val="22"/>
        </w:rPr>
        <w:t>synthetic cannabis</w:t>
      </w:r>
      <w:r w:rsidR="006A2F41">
        <w:rPr>
          <w:sz w:val="22"/>
        </w:rPr>
        <w:t xml:space="preserve"> was used</w:t>
      </w:r>
      <w:r w:rsidRPr="00750086">
        <w:rPr>
          <w:sz w:val="22"/>
        </w:rPr>
        <w:t xml:space="preserve">. One such case </w:t>
      </w:r>
      <w:r w:rsidR="006A2F41">
        <w:rPr>
          <w:sz w:val="22"/>
        </w:rPr>
        <w:t>occurred</w:t>
      </w:r>
      <w:r w:rsidR="006A2F41" w:rsidRPr="00750086">
        <w:rPr>
          <w:sz w:val="22"/>
        </w:rPr>
        <w:t xml:space="preserve"> </w:t>
      </w:r>
      <w:r w:rsidRPr="00750086">
        <w:rPr>
          <w:sz w:val="22"/>
        </w:rPr>
        <w:t>in Rotorua where an eight week old baby and five year old child were found in a house with an unconscious man and a woman who was swaying, slurring and holding her eight week old baby. The woman was convicted of two charge</w:t>
      </w:r>
      <w:r w:rsidR="00750086" w:rsidRPr="00750086">
        <w:rPr>
          <w:sz w:val="22"/>
        </w:rPr>
        <w:t>s</w:t>
      </w:r>
      <w:r w:rsidRPr="00750086">
        <w:rPr>
          <w:sz w:val="22"/>
        </w:rPr>
        <w:t xml:space="preserve"> of ill treatment of a child (Stuff 2018).</w:t>
      </w:r>
      <w:r w:rsidR="00F851AE">
        <w:rPr>
          <w:rStyle w:val="FootnoteReference"/>
          <w:sz w:val="22"/>
        </w:rPr>
        <w:footnoteReference w:id="1"/>
      </w:r>
      <w:r w:rsidRPr="00750086">
        <w:rPr>
          <w:sz w:val="22"/>
        </w:rPr>
        <w:t xml:space="preserve"> </w:t>
      </w:r>
    </w:p>
    <w:p w:rsidR="005576FC" w:rsidRPr="00750086" w:rsidRDefault="00FA3345" w:rsidP="009427CF">
      <w:pPr>
        <w:spacing w:after="120" w:line="240" w:lineRule="auto"/>
        <w:rPr>
          <w:sz w:val="22"/>
        </w:rPr>
      </w:pPr>
      <w:r w:rsidRPr="00750086">
        <w:rPr>
          <w:sz w:val="22"/>
        </w:rPr>
        <w:t>Another case involved the death of a baby who was left in a hot car while his mother, father and grandmother smoked synthetic cannabis</w:t>
      </w:r>
      <w:r w:rsidR="005576FC" w:rsidRPr="00750086">
        <w:rPr>
          <w:sz w:val="22"/>
        </w:rPr>
        <w:t>; al</w:t>
      </w:r>
      <w:r w:rsidRPr="00750086">
        <w:rPr>
          <w:sz w:val="22"/>
        </w:rPr>
        <w:t xml:space="preserve">l three were convicted of </w:t>
      </w:r>
      <w:r w:rsidR="005576FC" w:rsidRPr="00750086">
        <w:rPr>
          <w:sz w:val="22"/>
        </w:rPr>
        <w:t>manslaughter</w:t>
      </w:r>
      <w:r w:rsidR="00613F71">
        <w:rPr>
          <w:sz w:val="22"/>
        </w:rPr>
        <w:t>.</w:t>
      </w:r>
      <w:r w:rsidR="00613F71">
        <w:rPr>
          <w:rStyle w:val="FootnoteReference"/>
          <w:sz w:val="22"/>
        </w:rPr>
        <w:footnoteReference w:id="2"/>
      </w:r>
      <w:r w:rsidR="00F851AE">
        <w:rPr>
          <w:sz w:val="22"/>
          <w:vertAlign w:val="superscript"/>
        </w:rPr>
        <w:t>,</w:t>
      </w:r>
      <w:r w:rsidR="00613F71">
        <w:rPr>
          <w:rStyle w:val="FootnoteReference"/>
          <w:sz w:val="22"/>
        </w:rPr>
        <w:footnoteReference w:id="3"/>
      </w:r>
      <w:r w:rsidR="005576FC" w:rsidRPr="00750086">
        <w:rPr>
          <w:sz w:val="22"/>
        </w:rPr>
        <w:t xml:space="preserve"> </w:t>
      </w:r>
      <w:r w:rsidR="00750086" w:rsidRPr="00750086">
        <w:rPr>
          <w:sz w:val="22"/>
        </w:rPr>
        <w:t>Another case again involved the poisoning of three children aged 5, 8 and 14 with synthetic cannabinoids in their dinner. It was unclear how the synthetic cannabinoids had entered the children’s dinner. N</w:t>
      </w:r>
      <w:r w:rsidR="00CE1190">
        <w:rPr>
          <w:sz w:val="22"/>
        </w:rPr>
        <w:t xml:space="preserve">o </w:t>
      </w:r>
      <w:r w:rsidR="00493A53">
        <w:rPr>
          <w:sz w:val="22"/>
        </w:rPr>
        <w:t xml:space="preserve">charges </w:t>
      </w:r>
      <w:r w:rsidR="00CE1190">
        <w:rPr>
          <w:sz w:val="22"/>
        </w:rPr>
        <w:t>had</w:t>
      </w:r>
      <w:r w:rsidR="00750086" w:rsidRPr="00750086">
        <w:rPr>
          <w:sz w:val="22"/>
        </w:rPr>
        <w:t xml:space="preserve"> been laid </w:t>
      </w:r>
      <w:r w:rsidR="00CE1190">
        <w:rPr>
          <w:sz w:val="22"/>
        </w:rPr>
        <w:t>at the time of the article</w:t>
      </w:r>
      <w:r w:rsidR="00750086" w:rsidRPr="00750086">
        <w:rPr>
          <w:sz w:val="22"/>
        </w:rPr>
        <w:t>.</w:t>
      </w:r>
      <w:r w:rsidR="00613F71">
        <w:rPr>
          <w:rStyle w:val="FootnoteReference"/>
          <w:sz w:val="22"/>
        </w:rPr>
        <w:footnoteReference w:id="4"/>
      </w:r>
      <w:r w:rsidR="00750086" w:rsidRPr="00750086">
        <w:rPr>
          <w:sz w:val="22"/>
        </w:rPr>
        <w:t xml:space="preserve">  </w:t>
      </w:r>
    </w:p>
    <w:p w:rsidR="00D403C2" w:rsidRDefault="006A2F41" w:rsidP="00D403C2">
      <w:pPr>
        <w:pStyle w:val="Heading2"/>
      </w:pPr>
      <w:bookmarkStart w:id="25" w:name="_Toc509487302"/>
      <w:r>
        <w:t>3.4</w:t>
      </w:r>
      <w:r w:rsidR="00D403C2">
        <w:t xml:space="preserve"> </w:t>
      </w:r>
      <w:r w:rsidR="00D403C2">
        <w:tab/>
        <w:t>Therapeutic Value</w:t>
      </w:r>
      <w:bookmarkEnd w:id="25"/>
    </w:p>
    <w:p w:rsidR="007732F9" w:rsidRPr="00750086" w:rsidRDefault="007732F9" w:rsidP="007732F9">
      <w:pPr>
        <w:rPr>
          <w:sz w:val="22"/>
        </w:rPr>
      </w:pPr>
      <w:r w:rsidRPr="00750086">
        <w:rPr>
          <w:sz w:val="22"/>
        </w:rPr>
        <w:t xml:space="preserve">Although the original synthetic cannabinoids were chemically synthesised for research purposes into psychosis or as analgesics, there have been no </w:t>
      </w:r>
      <w:r w:rsidR="00C7601F">
        <w:rPr>
          <w:sz w:val="22"/>
        </w:rPr>
        <w:t xml:space="preserve">currently accepted </w:t>
      </w:r>
      <w:r w:rsidRPr="00750086">
        <w:rPr>
          <w:sz w:val="22"/>
        </w:rPr>
        <w:t>therapeutic uses of these synthetic cannabinoids.</w:t>
      </w:r>
      <w:r w:rsidR="00750086">
        <w:rPr>
          <w:sz w:val="22"/>
        </w:rPr>
        <w:t xml:space="preserve"> Any therapeutic value information can be found in the attached reports. </w:t>
      </w:r>
    </w:p>
    <w:p w:rsidR="009427CF" w:rsidRDefault="009427CF" w:rsidP="009427CF">
      <w:pPr>
        <w:pStyle w:val="Heading2"/>
        <w:spacing w:before="0" w:beforeAutospacing="0" w:after="120" w:afterAutospacing="0"/>
      </w:pPr>
      <w:bookmarkStart w:id="26" w:name="_Toc509487303"/>
      <w:r>
        <w:t>3.</w:t>
      </w:r>
      <w:r w:rsidR="006A2F41">
        <w:t>5</w:t>
      </w:r>
      <w:r>
        <w:t xml:space="preserve"> </w:t>
      </w:r>
      <w:r w:rsidR="006A2F41">
        <w:tab/>
      </w:r>
      <w:r w:rsidRPr="00DD0E97">
        <w:t xml:space="preserve">Potential to </w:t>
      </w:r>
      <w:r>
        <w:t>C</w:t>
      </w:r>
      <w:r w:rsidRPr="00DD0E97">
        <w:t xml:space="preserve">ause </w:t>
      </w:r>
      <w:r>
        <w:t>D</w:t>
      </w:r>
      <w:r w:rsidRPr="00DD0E97">
        <w:t>eath</w:t>
      </w:r>
      <w:bookmarkEnd w:id="26"/>
    </w:p>
    <w:p w:rsidR="009427CF" w:rsidRPr="00DA3B83" w:rsidRDefault="00DA3B83" w:rsidP="00DA3B83">
      <w:pPr>
        <w:rPr>
          <w:sz w:val="22"/>
        </w:rPr>
      </w:pPr>
      <w:r w:rsidRPr="00DA3B83">
        <w:rPr>
          <w:sz w:val="22"/>
        </w:rPr>
        <w:t>In New Zealand, synthetic cannabinoids have been linked to a number of deaths. The current total is estimated to be thirty deaths</w:t>
      </w:r>
      <w:r w:rsidR="0047618A">
        <w:rPr>
          <w:sz w:val="22"/>
        </w:rPr>
        <w:t xml:space="preserve"> from 1 June 2017 to 5 February 2018</w:t>
      </w:r>
      <w:r w:rsidRPr="00DA3B83">
        <w:rPr>
          <w:sz w:val="22"/>
        </w:rPr>
        <w:t xml:space="preserve">. </w:t>
      </w:r>
      <w:r w:rsidR="000E3191">
        <w:rPr>
          <w:sz w:val="22"/>
        </w:rPr>
        <w:t>In September 2017, it was reported that</w:t>
      </w:r>
      <w:r w:rsidR="00321C64">
        <w:rPr>
          <w:sz w:val="22"/>
        </w:rPr>
        <w:t xml:space="preserve"> the majority of </w:t>
      </w:r>
      <w:r w:rsidR="00CE1190">
        <w:rPr>
          <w:sz w:val="22"/>
        </w:rPr>
        <w:t xml:space="preserve">ESR testing </w:t>
      </w:r>
      <w:r w:rsidR="000E3191">
        <w:rPr>
          <w:sz w:val="22"/>
        </w:rPr>
        <w:t xml:space="preserve">done in association with the deaths </w:t>
      </w:r>
      <w:r w:rsidR="006A2F41">
        <w:rPr>
          <w:sz w:val="22"/>
        </w:rPr>
        <w:t xml:space="preserve">reported in the media </w:t>
      </w:r>
      <w:r w:rsidR="00CE1190">
        <w:rPr>
          <w:sz w:val="22"/>
        </w:rPr>
        <w:t>found</w:t>
      </w:r>
      <w:r w:rsidR="000E3191">
        <w:rPr>
          <w:sz w:val="22"/>
        </w:rPr>
        <w:t xml:space="preserve"> the synthetic cannabinoid</w:t>
      </w:r>
      <w:r w:rsidR="00321C64">
        <w:rPr>
          <w:sz w:val="22"/>
        </w:rPr>
        <w:t xml:space="preserve"> AMB-FUBINACA. </w:t>
      </w:r>
    </w:p>
    <w:p w:rsidR="009427CF" w:rsidRPr="003C291D" w:rsidRDefault="008F410D" w:rsidP="009427CF">
      <w:pPr>
        <w:spacing w:after="120" w:line="240" w:lineRule="auto"/>
        <w:rPr>
          <w:sz w:val="22"/>
        </w:rPr>
      </w:pPr>
      <w:r>
        <w:rPr>
          <w:sz w:val="22"/>
        </w:rPr>
        <w:t xml:space="preserve">International information on the potential for synthetic cannabinoids </w:t>
      </w:r>
      <w:r w:rsidR="006A2F41">
        <w:rPr>
          <w:sz w:val="22"/>
        </w:rPr>
        <w:t xml:space="preserve">to </w:t>
      </w:r>
      <w:r>
        <w:rPr>
          <w:sz w:val="22"/>
        </w:rPr>
        <w:t xml:space="preserve">cause death can be found in the attached reports. </w:t>
      </w:r>
    </w:p>
    <w:p w:rsidR="009427CF" w:rsidRDefault="009427CF" w:rsidP="009427CF">
      <w:pPr>
        <w:pStyle w:val="Heading2"/>
        <w:spacing w:before="0" w:beforeAutospacing="0" w:after="120" w:afterAutospacing="0"/>
      </w:pPr>
      <w:bookmarkStart w:id="27" w:name="_Toc509487304"/>
      <w:r>
        <w:t>3.</w:t>
      </w:r>
      <w:r w:rsidR="006A2F41">
        <w:t>6</w:t>
      </w:r>
      <w:r w:rsidRPr="00DD0E97">
        <w:t xml:space="preserve"> </w:t>
      </w:r>
      <w:r w:rsidR="006A2F41">
        <w:tab/>
      </w:r>
      <w:r>
        <w:t>Potential for</w:t>
      </w:r>
      <w:r w:rsidRPr="00DD0E97">
        <w:t xml:space="preserve"> </w:t>
      </w:r>
      <w:r>
        <w:t>D</w:t>
      </w:r>
      <w:r w:rsidRPr="00DD0E97">
        <w:t>ependence</w:t>
      </w:r>
      <w:bookmarkEnd w:id="27"/>
      <w:r w:rsidRPr="00DD0E97">
        <w:t xml:space="preserve"> </w:t>
      </w:r>
    </w:p>
    <w:p w:rsidR="009427CF" w:rsidRPr="00530099" w:rsidRDefault="005B6C33" w:rsidP="009427CF">
      <w:pPr>
        <w:spacing w:after="120" w:line="240" w:lineRule="auto"/>
        <w:rPr>
          <w:sz w:val="22"/>
        </w:rPr>
      </w:pPr>
      <w:r>
        <w:rPr>
          <w:sz w:val="22"/>
        </w:rPr>
        <w:t xml:space="preserve">There is little to no scientific evidence for the dependence potential of synthetic cannabinoids. However, anecdotally, it has been </w:t>
      </w:r>
      <w:r w:rsidR="00DA3B83">
        <w:rPr>
          <w:sz w:val="22"/>
        </w:rPr>
        <w:t xml:space="preserve">repeatedly </w:t>
      </w:r>
      <w:r>
        <w:rPr>
          <w:sz w:val="22"/>
        </w:rPr>
        <w:t>reported in the New Zealand media that some users experience a very strong dependence on synthetic cannabinoids.</w:t>
      </w:r>
      <w:r w:rsidR="00F851AE">
        <w:rPr>
          <w:rStyle w:val="FootnoteReference"/>
          <w:sz w:val="22"/>
        </w:rPr>
        <w:footnoteReference w:id="5"/>
      </w:r>
      <w:r w:rsidR="00F851AE" w:rsidRPr="00F851AE">
        <w:rPr>
          <w:sz w:val="22"/>
          <w:vertAlign w:val="superscript"/>
        </w:rPr>
        <w:t>,</w:t>
      </w:r>
      <w:r w:rsidR="00F851AE">
        <w:rPr>
          <w:rStyle w:val="FootnoteReference"/>
          <w:sz w:val="22"/>
        </w:rPr>
        <w:footnoteReference w:id="6"/>
      </w:r>
    </w:p>
    <w:p w:rsidR="009427CF" w:rsidRPr="008F410D" w:rsidRDefault="008F410D" w:rsidP="008F410D">
      <w:pPr>
        <w:rPr>
          <w:sz w:val="22"/>
        </w:rPr>
      </w:pPr>
      <w:r w:rsidRPr="008F410D">
        <w:rPr>
          <w:sz w:val="22"/>
        </w:rPr>
        <w:t xml:space="preserve">Additional information on the potential for dependence of synthetic cannabinoids can be found in the attached reports. </w:t>
      </w:r>
    </w:p>
    <w:p w:rsidR="009427CF" w:rsidRPr="00AD7714" w:rsidRDefault="009427CF" w:rsidP="00AD7714">
      <w:pPr>
        <w:spacing w:after="120" w:line="240" w:lineRule="auto"/>
        <w:rPr>
          <w:rFonts w:asciiTheme="majorHAnsi" w:eastAsiaTheme="majorEastAsia" w:hAnsiTheme="majorHAnsi" w:cstheme="majorBidi"/>
          <w:b/>
          <w:bCs/>
          <w:color w:val="4F81BD" w:themeColor="accent1"/>
          <w:sz w:val="26"/>
          <w:szCs w:val="26"/>
        </w:rPr>
      </w:pPr>
    </w:p>
    <w:p w:rsidR="00864A37" w:rsidRDefault="009427CF" w:rsidP="00CB4162">
      <w:pPr>
        <w:pStyle w:val="Heading1"/>
        <w:spacing w:before="0" w:after="120" w:line="240" w:lineRule="auto"/>
        <w:jc w:val="center"/>
      </w:pPr>
      <w:bookmarkStart w:id="28" w:name="_Toc509487305"/>
      <w:r>
        <w:t>4</w:t>
      </w:r>
      <w:r w:rsidR="00A856F3">
        <w:t>.0</w:t>
      </w:r>
      <w:r w:rsidR="0096795E">
        <w:t xml:space="preserve"> </w:t>
      </w:r>
      <w:r w:rsidR="0084217D">
        <w:t>CLASSIFICATION</w:t>
      </w:r>
      <w:bookmarkEnd w:id="28"/>
    </w:p>
    <w:p w:rsidR="000B57E8" w:rsidRDefault="009427CF" w:rsidP="00CB4162">
      <w:pPr>
        <w:pStyle w:val="Heading2"/>
        <w:spacing w:before="0" w:beforeAutospacing="0" w:after="120" w:afterAutospacing="0"/>
      </w:pPr>
      <w:bookmarkStart w:id="29" w:name="_Toc509487306"/>
      <w:r>
        <w:t>4</w:t>
      </w:r>
      <w:r w:rsidR="0084217D">
        <w:t>.1</w:t>
      </w:r>
      <w:r>
        <w:tab/>
      </w:r>
      <w:r w:rsidR="0084217D">
        <w:t xml:space="preserve"> Cl</w:t>
      </w:r>
      <w:r w:rsidR="00AC7C23">
        <w:t>a</w:t>
      </w:r>
      <w:r w:rsidR="0084217D">
        <w:t>ssification</w:t>
      </w:r>
      <w:r>
        <w:t xml:space="preserve"> and Regulation</w:t>
      </w:r>
      <w:r w:rsidR="0084217D">
        <w:t xml:space="preserve"> in New Ze</w:t>
      </w:r>
      <w:r w:rsidR="007B5C06">
        <w:t>a</w:t>
      </w:r>
      <w:r w:rsidR="0084217D">
        <w:t>land</w:t>
      </w:r>
      <w:r>
        <w:t xml:space="preserve"> (past and present)</w:t>
      </w:r>
      <w:bookmarkEnd w:id="29"/>
    </w:p>
    <w:p w:rsidR="00D92DA7" w:rsidRDefault="003C1BD9" w:rsidP="00D92DA7">
      <w:r>
        <w:t>A</w:t>
      </w:r>
      <w:r w:rsidR="00D92DA7">
        <w:t xml:space="preserve">ll of the synthetic cannabinoids </w:t>
      </w:r>
      <w:r w:rsidR="00D635E1">
        <w:t>that</w:t>
      </w:r>
      <w:r w:rsidR="00D92DA7">
        <w:t xml:space="preserve"> are being considered at this meeting are considered capable of inducing a psychoactive effect. </w:t>
      </w:r>
    </w:p>
    <w:p w:rsidR="00D92DA7" w:rsidRDefault="00EA0B33" w:rsidP="00D92DA7">
      <w:r>
        <w:t>Under section 9</w:t>
      </w:r>
      <w:r w:rsidR="00D92DA7">
        <w:t xml:space="preserve"> of the </w:t>
      </w:r>
      <w:r w:rsidR="003C1BD9">
        <w:t xml:space="preserve">Psychoactive Substances </w:t>
      </w:r>
      <w:r w:rsidR="00D92DA7">
        <w:t>Act</w:t>
      </w:r>
      <w:r w:rsidR="003C1BD9">
        <w:t xml:space="preserve"> 2013</w:t>
      </w:r>
      <w:r>
        <w:t>,</w:t>
      </w:r>
      <w:r w:rsidR="00D92DA7">
        <w:t xml:space="preserve"> a psychoactive substance is defined as a substance, mixture, preparation, article, device, or thing that is capable of inducing a </w:t>
      </w:r>
      <w:r w:rsidR="00D92DA7" w:rsidRPr="003C1BD9">
        <w:rPr>
          <w:i/>
        </w:rPr>
        <w:t>psychoactive effect</w:t>
      </w:r>
      <w:r w:rsidR="00D92DA7">
        <w:t xml:space="preserve"> (by any means) in an individual who uses the psychoactive substance. </w:t>
      </w:r>
    </w:p>
    <w:p w:rsidR="00D92DA7" w:rsidRDefault="00D635E1" w:rsidP="00D92DA7">
      <w:r>
        <w:t>However</w:t>
      </w:r>
      <w:r w:rsidR="00D92DA7">
        <w:t>,</w:t>
      </w:r>
      <w:r>
        <w:t xml:space="preserve"> a</w:t>
      </w:r>
      <w:r w:rsidR="00D92DA7">
        <w:t xml:space="preserve"> psychoactive substance does not include:</w:t>
      </w:r>
    </w:p>
    <w:p w:rsidR="00D92DA7" w:rsidRDefault="00D92DA7" w:rsidP="00EA0B33">
      <w:pPr>
        <w:pStyle w:val="ListParagraph"/>
        <w:numPr>
          <w:ilvl w:val="0"/>
          <w:numId w:val="21"/>
        </w:numPr>
      </w:pPr>
      <w:r>
        <w:t>a controlled drug specified or described in Schedule 1, 2, or 3 of the Misuse of Drugs Act 1975</w:t>
      </w:r>
    </w:p>
    <w:p w:rsidR="00D92DA7" w:rsidRDefault="00D92DA7" w:rsidP="00EA0B33">
      <w:pPr>
        <w:pStyle w:val="ListParagraph"/>
        <w:numPr>
          <w:ilvl w:val="0"/>
          <w:numId w:val="21"/>
        </w:numPr>
      </w:pPr>
      <w:r>
        <w:t>a precursor substance specified or described in Schedule 4 of the Misuse of Drugs Act 1975</w:t>
      </w:r>
    </w:p>
    <w:p w:rsidR="00D92DA7" w:rsidRDefault="00D92DA7" w:rsidP="00EA0B33">
      <w:pPr>
        <w:pStyle w:val="ListParagraph"/>
        <w:numPr>
          <w:ilvl w:val="0"/>
          <w:numId w:val="21"/>
        </w:numPr>
      </w:pPr>
      <w:r>
        <w:t>a medicine within the meaning of section 3 of the Medicines Act 1981 or a related product within the meaning of section 94 of that Act</w:t>
      </w:r>
    </w:p>
    <w:p w:rsidR="00D92DA7" w:rsidRDefault="00D92DA7" w:rsidP="00EA0B33">
      <w:pPr>
        <w:pStyle w:val="ListParagraph"/>
        <w:numPr>
          <w:ilvl w:val="0"/>
          <w:numId w:val="21"/>
        </w:numPr>
      </w:pPr>
      <w:r>
        <w:t>a herbal remedy (within the meaning of section 2(1) of the Medicines Act 1981)</w:t>
      </w:r>
    </w:p>
    <w:p w:rsidR="00D92DA7" w:rsidRDefault="00D92DA7" w:rsidP="00EA0B33">
      <w:pPr>
        <w:pStyle w:val="ListParagraph"/>
        <w:numPr>
          <w:ilvl w:val="0"/>
          <w:numId w:val="21"/>
        </w:numPr>
      </w:pPr>
      <w:r>
        <w:t>a dietary supplement (within the meaning of regulation 2A of the Dietary Supplements Regulations 1985)</w:t>
      </w:r>
    </w:p>
    <w:p w:rsidR="00D92DA7" w:rsidRDefault="00D92DA7" w:rsidP="00EA0B33">
      <w:pPr>
        <w:pStyle w:val="ListParagraph"/>
        <w:numPr>
          <w:ilvl w:val="0"/>
          <w:numId w:val="21"/>
        </w:numPr>
      </w:pPr>
      <w:r>
        <w:t>anything that is ordinarily used or represented for use as food or drink for human beings</w:t>
      </w:r>
    </w:p>
    <w:p w:rsidR="00D92DA7" w:rsidRDefault="00D92DA7" w:rsidP="00EA0B33">
      <w:pPr>
        <w:pStyle w:val="ListParagraph"/>
        <w:numPr>
          <w:ilvl w:val="0"/>
          <w:numId w:val="21"/>
        </w:numPr>
      </w:pPr>
      <w:r>
        <w:t>any alcohol, unless the alcohol contains a psychoactive substance as defined in subsection (1) or (2) that is not alcohol</w:t>
      </w:r>
    </w:p>
    <w:p w:rsidR="00D92DA7" w:rsidRDefault="00D92DA7" w:rsidP="00EA0B33">
      <w:pPr>
        <w:pStyle w:val="ListParagraph"/>
        <w:numPr>
          <w:ilvl w:val="0"/>
          <w:numId w:val="21"/>
        </w:numPr>
      </w:pPr>
      <w:r>
        <w:t>any tobacco product (within the meaning of section 2(1) of the Smoke-free Environments Act 1990), unless the tobacco product contains a psychoactive substance as defined in subsection (1) or (2) that is not tobacco</w:t>
      </w:r>
    </w:p>
    <w:p w:rsidR="00D92DA7" w:rsidRPr="00D92DA7" w:rsidRDefault="00D92DA7" w:rsidP="00EA0B33">
      <w:pPr>
        <w:pStyle w:val="ListParagraph"/>
        <w:numPr>
          <w:ilvl w:val="0"/>
          <w:numId w:val="21"/>
        </w:numPr>
      </w:pPr>
      <w:r>
        <w:t>a substance, mixture, preparation, article, device, or thing that is, or that is of a kind that is, or belongs to a class that is, declared by the Governor-General by Order in Council made under section 99 not to be a psychoactive substance for the purposes of the Act.</w:t>
      </w:r>
    </w:p>
    <w:p w:rsidR="00287409" w:rsidRDefault="009427CF" w:rsidP="00CB4162">
      <w:pPr>
        <w:pStyle w:val="Heading2"/>
        <w:spacing w:before="0" w:beforeAutospacing="0" w:after="120" w:afterAutospacing="0"/>
      </w:pPr>
      <w:bookmarkStart w:id="30" w:name="_Toc509487307"/>
      <w:r>
        <w:t>4</w:t>
      </w:r>
      <w:r w:rsidR="0084217D" w:rsidRPr="005D447B">
        <w:t xml:space="preserve">.2 </w:t>
      </w:r>
      <w:r w:rsidR="00DD0E97" w:rsidRPr="005D447B">
        <w:t xml:space="preserve">International </w:t>
      </w:r>
      <w:r w:rsidR="002D7799" w:rsidRPr="005D447B">
        <w:t>C</w:t>
      </w:r>
      <w:r w:rsidR="00DD0E97" w:rsidRPr="005D447B">
        <w:t xml:space="preserve">lassification and </w:t>
      </w:r>
      <w:r w:rsidR="002D7799" w:rsidRPr="005D447B">
        <w:t>E</w:t>
      </w:r>
      <w:r w:rsidR="00DD0E97" w:rsidRPr="005D447B">
        <w:t xml:space="preserve">xperience in </w:t>
      </w:r>
      <w:r w:rsidR="002D7799" w:rsidRPr="005D447B">
        <w:t>O</w:t>
      </w:r>
      <w:r w:rsidR="00DD0E97" w:rsidRPr="005D447B">
        <w:t xml:space="preserve">ther </w:t>
      </w:r>
      <w:r w:rsidR="002D7799" w:rsidRPr="005D447B">
        <w:t>J</w:t>
      </w:r>
      <w:r w:rsidR="00DD0E97" w:rsidRPr="005D447B">
        <w:t>urisdictions</w:t>
      </w:r>
      <w:bookmarkEnd w:id="30"/>
    </w:p>
    <w:p w:rsidR="00BB668D" w:rsidRDefault="00BB668D" w:rsidP="00BB668D">
      <w:pPr>
        <w:pStyle w:val="Heading3"/>
      </w:pPr>
      <w:bookmarkStart w:id="31" w:name="_Toc509487308"/>
      <w:r>
        <w:t>Australia</w:t>
      </w:r>
      <w:bookmarkEnd w:id="31"/>
    </w:p>
    <w:p w:rsidR="00676BF5" w:rsidRDefault="00676BF5" w:rsidP="00B34C68">
      <w:r>
        <w:t xml:space="preserve">In Australia, </w:t>
      </w:r>
      <w:r w:rsidRPr="00676BF5">
        <w:rPr>
          <w:b/>
        </w:rPr>
        <w:t>synthetic cannabinomimetics</w:t>
      </w:r>
      <w:r>
        <w:t xml:space="preserve"> are listed as prohibited substances in Schedule 9 of the Poisons Standard. Schedule 9 prohibited substances are </w:t>
      </w:r>
      <w:r w:rsidRPr="00676BF5">
        <w:rPr>
          <w:i/>
        </w:rPr>
        <w:t>substances which may be abused or misused, the manufacture, possession, sale or use of which should be prohibited by law except when required for medical or scientific research, or for analytical, teaching or training purposes with approval of Commonwealth and/or State or Territory Health Authorities.</w:t>
      </w:r>
    </w:p>
    <w:p w:rsidR="00676BF5" w:rsidRDefault="00676BF5" w:rsidP="00B34C68">
      <w:r>
        <w:t>Other substances listed in Schedule 9 of the Australian Poisons Standard are:</w:t>
      </w:r>
    </w:p>
    <w:p w:rsidR="00676BF5" w:rsidRDefault="00676BF5" w:rsidP="00676BF5">
      <w:pPr>
        <w:pStyle w:val="ListParagraph"/>
        <w:numPr>
          <w:ilvl w:val="0"/>
          <w:numId w:val="24"/>
        </w:numPr>
      </w:pPr>
      <w:r>
        <w:t>cannabis</w:t>
      </w:r>
      <w:r w:rsidR="003C1BD9">
        <w:t xml:space="preserve"> </w:t>
      </w:r>
    </w:p>
    <w:p w:rsidR="00676BF5" w:rsidRDefault="00676BF5" w:rsidP="00676BF5">
      <w:pPr>
        <w:pStyle w:val="ListParagraph"/>
        <w:numPr>
          <w:ilvl w:val="0"/>
          <w:numId w:val="24"/>
        </w:numPr>
      </w:pPr>
      <w:r>
        <w:t>methcathinone</w:t>
      </w:r>
    </w:p>
    <w:p w:rsidR="00676BF5" w:rsidRDefault="00676BF5" w:rsidP="00676BF5">
      <w:pPr>
        <w:pStyle w:val="ListParagraph"/>
        <w:numPr>
          <w:ilvl w:val="0"/>
          <w:numId w:val="24"/>
        </w:numPr>
      </w:pPr>
      <w:r>
        <w:t>heroin</w:t>
      </w:r>
    </w:p>
    <w:p w:rsidR="00676BF5" w:rsidRDefault="00BB668D" w:rsidP="00676BF5">
      <w:pPr>
        <w:pStyle w:val="ListParagraph"/>
        <w:numPr>
          <w:ilvl w:val="0"/>
          <w:numId w:val="24"/>
        </w:numPr>
      </w:pPr>
      <w:r>
        <w:t>tetrahydrocannabinols</w:t>
      </w:r>
    </w:p>
    <w:p w:rsidR="00BB668D" w:rsidRDefault="00BB668D" w:rsidP="00676BF5">
      <w:pPr>
        <w:pStyle w:val="ListParagraph"/>
        <w:numPr>
          <w:ilvl w:val="0"/>
          <w:numId w:val="24"/>
        </w:numPr>
      </w:pPr>
      <w:r>
        <w:t>JWH-018</w:t>
      </w:r>
    </w:p>
    <w:p w:rsidR="00BB668D" w:rsidRDefault="00BB668D" w:rsidP="00B57082">
      <w:pPr>
        <w:pStyle w:val="Heading3"/>
      </w:pPr>
      <w:bookmarkStart w:id="32" w:name="_Toc509487309"/>
      <w:r>
        <w:t>Canada</w:t>
      </w:r>
      <w:bookmarkEnd w:id="32"/>
    </w:p>
    <w:p w:rsidR="004451CB" w:rsidRDefault="00BB668D" w:rsidP="00BB668D">
      <w:r>
        <w:t xml:space="preserve">In </w:t>
      </w:r>
      <w:r w:rsidR="004451CB">
        <w:t xml:space="preserve">Schedule II of </w:t>
      </w:r>
      <w:r>
        <w:t>Canada’s Cont</w:t>
      </w:r>
      <w:r w:rsidR="004451CB">
        <w:t>rolled Drugs and Substances Act the following synthetic cannabinoids are</w:t>
      </w:r>
      <w:r w:rsidR="004443E4">
        <w:t xml:space="preserve"> specifically listed.</w:t>
      </w:r>
    </w:p>
    <w:p w:rsidR="004451CB" w:rsidRDefault="004451CB" w:rsidP="004451CB">
      <w:pPr>
        <w:pStyle w:val="ListParagraph"/>
        <w:numPr>
          <w:ilvl w:val="0"/>
          <w:numId w:val="25"/>
        </w:numPr>
      </w:pPr>
      <w:r>
        <w:t>UR-144</w:t>
      </w:r>
    </w:p>
    <w:p w:rsidR="00507B62" w:rsidRDefault="00507B62" w:rsidP="004451CB">
      <w:pPr>
        <w:pStyle w:val="ListParagraph"/>
        <w:numPr>
          <w:ilvl w:val="0"/>
          <w:numId w:val="25"/>
        </w:numPr>
      </w:pPr>
      <w:r>
        <w:t>5F-PB-22</w:t>
      </w:r>
    </w:p>
    <w:p w:rsidR="00BB668D" w:rsidRDefault="004443E4" w:rsidP="004451CB">
      <w:pPr>
        <w:pStyle w:val="ListParagraph"/>
        <w:numPr>
          <w:ilvl w:val="0"/>
          <w:numId w:val="25"/>
        </w:numPr>
      </w:pPr>
      <w:r>
        <w:t>5F-AKB-48</w:t>
      </w:r>
    </w:p>
    <w:p w:rsidR="00E46BCA" w:rsidRDefault="0044102A" w:rsidP="004451CB">
      <w:pPr>
        <w:pStyle w:val="ListParagraph"/>
        <w:numPr>
          <w:ilvl w:val="0"/>
          <w:numId w:val="25"/>
        </w:numPr>
      </w:pPr>
      <w:r>
        <w:t>XLR-11 (listed as</w:t>
      </w:r>
      <w:r w:rsidR="00E46BCA">
        <w:t xml:space="preserve"> 5F-UR-144)</w:t>
      </w:r>
    </w:p>
    <w:p w:rsidR="004443E4" w:rsidRDefault="004443E4" w:rsidP="004451CB">
      <w:pPr>
        <w:pStyle w:val="ListParagraph"/>
        <w:numPr>
          <w:ilvl w:val="0"/>
          <w:numId w:val="25"/>
        </w:numPr>
      </w:pPr>
      <w:r>
        <w:t>JWH-018</w:t>
      </w:r>
    </w:p>
    <w:p w:rsidR="004443E4" w:rsidRDefault="004443E4" w:rsidP="004451CB">
      <w:pPr>
        <w:pStyle w:val="ListParagraph"/>
        <w:numPr>
          <w:ilvl w:val="0"/>
          <w:numId w:val="25"/>
        </w:numPr>
      </w:pPr>
      <w:r>
        <w:t>AM-2201</w:t>
      </w:r>
    </w:p>
    <w:p w:rsidR="004443E4" w:rsidRDefault="004443E4" w:rsidP="004451CB">
      <w:pPr>
        <w:pStyle w:val="ListParagraph"/>
        <w:numPr>
          <w:ilvl w:val="0"/>
          <w:numId w:val="25"/>
        </w:numPr>
      </w:pPr>
      <w:r>
        <w:t>AB-FUBINACA</w:t>
      </w:r>
    </w:p>
    <w:p w:rsidR="004443E4" w:rsidRDefault="004443E4" w:rsidP="004443E4">
      <w:r>
        <w:t xml:space="preserve">The </w:t>
      </w:r>
      <w:r w:rsidR="008935C9">
        <w:t>remaining</w:t>
      </w:r>
      <w:r>
        <w:t xml:space="preserve"> substances are captured by the descriptions of synthetic cannabinoids in Schedule II of Canada’s Controlled Drugs and Substances Act.</w:t>
      </w:r>
      <w:r w:rsidR="008935C9">
        <w:t xml:space="preserve"> These are:</w:t>
      </w:r>
      <w:r>
        <w:t xml:space="preserve"> </w:t>
      </w:r>
    </w:p>
    <w:p w:rsidR="004443E4" w:rsidRDefault="004C1B78" w:rsidP="004443E4">
      <w:pPr>
        <w:pStyle w:val="ListParagraph"/>
        <w:numPr>
          <w:ilvl w:val="0"/>
          <w:numId w:val="26"/>
        </w:numPr>
      </w:pPr>
      <w:r>
        <w:t>5F-ADB</w:t>
      </w:r>
    </w:p>
    <w:p w:rsidR="004C1B78" w:rsidRDefault="004C1B78" w:rsidP="004443E4">
      <w:pPr>
        <w:pStyle w:val="ListParagraph"/>
        <w:numPr>
          <w:ilvl w:val="0"/>
          <w:numId w:val="26"/>
        </w:numPr>
      </w:pPr>
      <w:r>
        <w:t>MDMB-CHMICA</w:t>
      </w:r>
    </w:p>
    <w:p w:rsidR="004C1B78" w:rsidRDefault="008935C9" w:rsidP="004443E4">
      <w:pPr>
        <w:pStyle w:val="ListParagraph"/>
        <w:numPr>
          <w:ilvl w:val="0"/>
          <w:numId w:val="26"/>
        </w:numPr>
      </w:pPr>
      <w:r>
        <w:t>AMB-FUBINACA.</w:t>
      </w:r>
    </w:p>
    <w:p w:rsidR="008935C9" w:rsidRDefault="00B57082" w:rsidP="008935C9">
      <w:r>
        <w:t>Other substances in Schedule II of Canada’s Controlled Drugs and Substances Act include:</w:t>
      </w:r>
    </w:p>
    <w:p w:rsidR="00B57082" w:rsidRDefault="00B57082" w:rsidP="00B57082">
      <w:pPr>
        <w:pStyle w:val="ListParagraph"/>
        <w:numPr>
          <w:ilvl w:val="0"/>
          <w:numId w:val="27"/>
        </w:numPr>
      </w:pPr>
      <w:r>
        <w:t>Cannabis</w:t>
      </w:r>
    </w:p>
    <w:p w:rsidR="00B57082" w:rsidRDefault="00B57082" w:rsidP="00B57082">
      <w:pPr>
        <w:pStyle w:val="ListParagraph"/>
        <w:numPr>
          <w:ilvl w:val="0"/>
          <w:numId w:val="27"/>
        </w:numPr>
      </w:pPr>
      <w:r>
        <w:t>Cannabis resin</w:t>
      </w:r>
    </w:p>
    <w:p w:rsidR="00B57082" w:rsidRDefault="00B57082" w:rsidP="00B57082">
      <w:pPr>
        <w:pStyle w:val="ListParagraph"/>
        <w:numPr>
          <w:ilvl w:val="0"/>
          <w:numId w:val="27"/>
        </w:numPr>
      </w:pPr>
      <w:r>
        <w:t>Cannabidiol</w:t>
      </w:r>
    </w:p>
    <w:p w:rsidR="00B57082" w:rsidRDefault="00B57082" w:rsidP="00B57082">
      <w:pPr>
        <w:pStyle w:val="ListParagraph"/>
        <w:numPr>
          <w:ilvl w:val="0"/>
          <w:numId w:val="27"/>
        </w:numPr>
      </w:pPr>
      <w:r>
        <w:t xml:space="preserve">Tetrahydrocannabinol </w:t>
      </w:r>
    </w:p>
    <w:p w:rsidR="00B57082" w:rsidRDefault="00B57082" w:rsidP="00252EEC">
      <w:pPr>
        <w:pStyle w:val="Heading3"/>
      </w:pPr>
      <w:bookmarkStart w:id="33" w:name="_Toc509487310"/>
      <w:r>
        <w:t>United Kingdom</w:t>
      </w:r>
      <w:bookmarkEnd w:id="33"/>
    </w:p>
    <w:p w:rsidR="00252EEC" w:rsidRDefault="00B9691F" w:rsidP="00252EEC">
      <w:r>
        <w:t xml:space="preserve">JWH-018 is </w:t>
      </w:r>
      <w:r w:rsidR="00252EEC">
        <w:t xml:space="preserve">specifically </w:t>
      </w:r>
      <w:r>
        <w:t xml:space="preserve">listed in Part II </w:t>
      </w:r>
      <w:r w:rsidR="00184347">
        <w:t xml:space="preserve">of Schedule 2 </w:t>
      </w:r>
      <w:r>
        <w:t xml:space="preserve">of the UK Misuse of Drugs Act 1971 as a Class B controlled drug. </w:t>
      </w:r>
      <w:r w:rsidR="00252EEC">
        <w:t xml:space="preserve">The remaining substances being considered in this submission are likely to also be Class B controlled drugs as described by the following wording in the </w:t>
      </w:r>
      <w:r w:rsidR="008627DD">
        <w:t xml:space="preserve">UK Misuse of Drugs </w:t>
      </w:r>
      <w:r w:rsidR="00252EEC">
        <w:t xml:space="preserve">Act. </w:t>
      </w:r>
    </w:p>
    <w:p w:rsidR="00252EEC" w:rsidRPr="00252EEC" w:rsidRDefault="00252EEC" w:rsidP="00252EEC">
      <w:pPr>
        <w:rPr>
          <w:i/>
        </w:rPr>
      </w:pPr>
      <w:r w:rsidRPr="00252EEC">
        <w:rPr>
          <w:i/>
        </w:rPr>
        <w:t>any compound (not being clonitazene, etonitazene, acemetacin, atorvastatin, bazedoxifene, indometacin, losartan, olmesartan, proglumetacin, telmisartan, viminol, zafirlukast or a compound for the time being specified in sub-paragraph (c) above) structurally related to 1-pentyl-3-(1-naphthoyl)indole (JWH-018), in that the four sub-structures, that is to say the indole ring, the pentyl substituent, the methanone linking group and the naphthyl ring, are linked together in a similar manner, whether or not any of the sub-structures have been modified, and whether or not substituted in any of the linked sub-structures with one or more univalent substituents and, where any of the sub-structures have been modified, the modifications of the sub-structures are limited to any of the following, that is to say—</w:t>
      </w:r>
    </w:p>
    <w:p w:rsidR="00252EEC" w:rsidRPr="00252EEC" w:rsidRDefault="00252EEC" w:rsidP="00252EEC">
      <w:pPr>
        <w:pStyle w:val="ListParagraph"/>
        <w:numPr>
          <w:ilvl w:val="0"/>
          <w:numId w:val="28"/>
        </w:numPr>
        <w:rPr>
          <w:i/>
        </w:rPr>
      </w:pPr>
      <w:r w:rsidRPr="00252EEC">
        <w:rPr>
          <w:i/>
        </w:rPr>
        <w:t>replacement of the indole ring with indane, indene, indazole, pyrrole, pyrazole, imidazole, benzimidazole, pyrrolo[2,3-b]pyridine, pyrrolo[3,2-c]pyridine or pyrazolo[3,4</w:t>
      </w:r>
      <w:r w:rsidRPr="00252EEC">
        <w:rPr>
          <w:rFonts w:ascii="Cambria Math" w:hAnsi="Cambria Math" w:cs="Cambria Math"/>
          <w:i/>
        </w:rPr>
        <w:t>‑</w:t>
      </w:r>
      <w:r w:rsidRPr="00252EEC">
        <w:rPr>
          <w:i/>
        </w:rPr>
        <w:t>b]pyridine;</w:t>
      </w:r>
    </w:p>
    <w:p w:rsidR="00252EEC" w:rsidRPr="00252EEC" w:rsidRDefault="00252EEC" w:rsidP="00252EEC">
      <w:pPr>
        <w:pStyle w:val="ListParagraph"/>
        <w:numPr>
          <w:ilvl w:val="0"/>
          <w:numId w:val="28"/>
        </w:numPr>
        <w:rPr>
          <w:i/>
        </w:rPr>
      </w:pPr>
      <w:r w:rsidRPr="00252EEC">
        <w:rPr>
          <w:i/>
        </w:rPr>
        <w:t>replacement of the pentyl substituent with alkyl, alkenyl, benzyl, cycloalkylmethyl, cycloalkylethyl, (N-methylpiperidin-2-yl)methyl, 2-(4-morpholinyl)ethyl or (tetrahydropyran-4-yl)methyl;</w:t>
      </w:r>
    </w:p>
    <w:p w:rsidR="00252EEC" w:rsidRPr="00252EEC" w:rsidRDefault="00252EEC" w:rsidP="00252EEC">
      <w:pPr>
        <w:pStyle w:val="ListParagraph"/>
        <w:numPr>
          <w:ilvl w:val="0"/>
          <w:numId w:val="28"/>
        </w:numPr>
        <w:rPr>
          <w:i/>
        </w:rPr>
      </w:pPr>
      <w:r w:rsidRPr="00252EEC">
        <w:rPr>
          <w:i/>
        </w:rPr>
        <w:t>replacement of the methanone linking group with an ethanone, carboxamide, carboxylate, methylene bridge or methine group;</w:t>
      </w:r>
    </w:p>
    <w:p w:rsidR="00252EEC" w:rsidRPr="00252EEC" w:rsidRDefault="00252EEC" w:rsidP="00252EEC">
      <w:pPr>
        <w:pStyle w:val="ListParagraph"/>
        <w:numPr>
          <w:ilvl w:val="0"/>
          <w:numId w:val="28"/>
        </w:numPr>
        <w:rPr>
          <w:i/>
        </w:rPr>
      </w:pPr>
      <w:r w:rsidRPr="00252EEC">
        <w:rPr>
          <w:i/>
        </w:rPr>
        <w:t>replacement of the 1-naphthyl ring with 2-naphthyl, phenyl, benzyl, adamantyl, cycloalkyl, cycloalkylmethyl, cycloalkylethyl, bicyclo[2.2.1]heptanyl, 1,2,3,4-tetrahydronaphthyl, quinolinyl, isoquinolinyl, 1-amino-1-oxopropan-2-yl, 1</w:t>
      </w:r>
      <w:r w:rsidRPr="00252EEC">
        <w:rPr>
          <w:rFonts w:ascii="Cambria Math" w:hAnsi="Cambria Math" w:cs="Cambria Math"/>
          <w:i/>
        </w:rPr>
        <w:t>‑</w:t>
      </w:r>
      <w:r w:rsidRPr="00252EEC">
        <w:rPr>
          <w:i/>
        </w:rPr>
        <w:t>hydroxy-1-oxopropan-2-yl, piperidinyl, morpholinyl, pyrrolidinyl, tetrahydropyranyl or piperazinyl.</w:t>
      </w:r>
    </w:p>
    <w:p w:rsidR="00252EEC" w:rsidRDefault="00252EEC" w:rsidP="00252EEC">
      <w:r>
        <w:t>Other Class B controlled drugs in the UK Misuse of Drugs Act 1971 are:</w:t>
      </w:r>
    </w:p>
    <w:p w:rsidR="00252EEC" w:rsidRDefault="006F49D1" w:rsidP="00252EEC">
      <w:pPr>
        <w:pStyle w:val="ListParagraph"/>
        <w:numPr>
          <w:ilvl w:val="0"/>
          <w:numId w:val="29"/>
        </w:numPr>
      </w:pPr>
      <w:r>
        <w:t>amphetamine</w:t>
      </w:r>
    </w:p>
    <w:p w:rsidR="006F49D1" w:rsidRDefault="006F49D1" w:rsidP="00252EEC">
      <w:pPr>
        <w:pStyle w:val="ListParagraph"/>
        <w:numPr>
          <w:ilvl w:val="0"/>
          <w:numId w:val="29"/>
        </w:numPr>
      </w:pPr>
      <w:r>
        <w:t>cannabis and cannabis resin</w:t>
      </w:r>
    </w:p>
    <w:p w:rsidR="006F49D1" w:rsidRDefault="006F49D1" w:rsidP="00252EEC">
      <w:pPr>
        <w:pStyle w:val="ListParagraph"/>
        <w:numPr>
          <w:ilvl w:val="0"/>
          <w:numId w:val="29"/>
        </w:numPr>
      </w:pPr>
      <w:r>
        <w:t>codeine</w:t>
      </w:r>
    </w:p>
    <w:p w:rsidR="006F49D1" w:rsidRDefault="006F49D1" w:rsidP="00252EEC">
      <w:pPr>
        <w:pStyle w:val="ListParagraph"/>
        <w:numPr>
          <w:ilvl w:val="0"/>
          <w:numId w:val="29"/>
        </w:numPr>
      </w:pPr>
      <w:r>
        <w:t>methylphenidate</w:t>
      </w:r>
    </w:p>
    <w:p w:rsidR="00A856F3" w:rsidRDefault="00565392" w:rsidP="009427CF">
      <w:pPr>
        <w:pStyle w:val="Heading3"/>
      </w:pPr>
      <w:bookmarkStart w:id="34" w:name="_Toc509487311"/>
      <w:r>
        <w:t xml:space="preserve">Table 2: </w:t>
      </w:r>
      <w:r w:rsidR="00E86DFF">
        <w:t>U</w:t>
      </w:r>
      <w:r w:rsidR="003B60C6">
        <w:t xml:space="preserve">nited </w:t>
      </w:r>
      <w:r w:rsidR="00E86DFF">
        <w:t>N</w:t>
      </w:r>
      <w:r w:rsidR="003B60C6">
        <w:t>ations</w:t>
      </w:r>
      <w:r w:rsidR="00E86DFF">
        <w:t xml:space="preserve"> Classification</w:t>
      </w:r>
      <w:bookmarkEnd w:id="34"/>
    </w:p>
    <w:tbl>
      <w:tblPr>
        <w:tblStyle w:val="TableGrid"/>
        <w:tblW w:w="0" w:type="auto"/>
        <w:tblLayout w:type="fixed"/>
        <w:tblLook w:val="04A0" w:firstRow="1" w:lastRow="0" w:firstColumn="1" w:lastColumn="0" w:noHBand="0" w:noVBand="1"/>
      </w:tblPr>
      <w:tblGrid>
        <w:gridCol w:w="2405"/>
        <w:gridCol w:w="6095"/>
      </w:tblGrid>
      <w:tr w:rsidR="00B52D6B" w:rsidTr="00B52D6B">
        <w:tc>
          <w:tcPr>
            <w:tcW w:w="2405" w:type="dxa"/>
            <w:tcBorders>
              <w:top w:val="single" w:sz="4" w:space="0" w:color="auto"/>
              <w:left w:val="single" w:sz="4" w:space="0" w:color="auto"/>
              <w:bottom w:val="single" w:sz="4" w:space="0" w:color="auto"/>
              <w:right w:val="single" w:sz="4" w:space="0" w:color="auto"/>
            </w:tcBorders>
            <w:shd w:val="clear" w:color="auto" w:fill="auto"/>
          </w:tcPr>
          <w:p w:rsidR="00B52D6B" w:rsidRPr="00B52D6B" w:rsidRDefault="00B52D6B">
            <w:pPr>
              <w:rPr>
                <w:b/>
              </w:rPr>
            </w:pPr>
            <w:r w:rsidRPr="00B52D6B">
              <w:rPr>
                <w:b/>
              </w:rPr>
              <w:t>Substance</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B52D6B" w:rsidRPr="00B52D6B" w:rsidRDefault="00B52D6B">
            <w:pPr>
              <w:rPr>
                <w:b/>
              </w:rPr>
            </w:pPr>
            <w:r w:rsidRPr="00B52D6B">
              <w:rPr>
                <w:b/>
              </w:rPr>
              <w:t>Classification under UN Conventions</w:t>
            </w:r>
          </w:p>
        </w:tc>
      </w:tr>
      <w:tr w:rsidR="00B52D6B" w:rsidTr="00AD7714">
        <w:tc>
          <w:tcPr>
            <w:tcW w:w="2405" w:type="dxa"/>
            <w:shd w:val="clear" w:color="auto" w:fill="F2DBDB" w:themeFill="accent2" w:themeFillTint="33"/>
            <w:hideMark/>
          </w:tcPr>
          <w:p w:rsidR="00B52D6B" w:rsidRPr="001A69F4" w:rsidRDefault="00B52D6B" w:rsidP="00B52D6B">
            <w:r w:rsidRPr="001A69F4">
              <w:t xml:space="preserve">5F-ADB </w:t>
            </w:r>
          </w:p>
        </w:tc>
        <w:tc>
          <w:tcPr>
            <w:tcW w:w="6095" w:type="dxa"/>
            <w:shd w:val="clear" w:color="auto" w:fill="F2DBDB" w:themeFill="accent2" w:themeFillTint="33"/>
            <w:hideMark/>
          </w:tcPr>
          <w:p w:rsidR="00B52D6B" w:rsidRDefault="006805C4" w:rsidP="00B52D6B">
            <w:r w:rsidRPr="006805C4">
              <w:t>To be included in Schedule II, of the UN Convention on Psychotropic Substances 1971 (the 1971 Convention)</w:t>
            </w:r>
          </w:p>
        </w:tc>
      </w:tr>
      <w:tr w:rsidR="00B52D6B" w:rsidTr="00AD7714">
        <w:tc>
          <w:tcPr>
            <w:tcW w:w="240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B52D6B" w:rsidRPr="001A69F4" w:rsidRDefault="00B52D6B">
            <w:r w:rsidRPr="001A69F4">
              <w:t>UR-144</w:t>
            </w:r>
          </w:p>
        </w:tc>
        <w:tc>
          <w:tcPr>
            <w:tcW w:w="609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B52D6B" w:rsidRDefault="006805C4">
            <w:r w:rsidRPr="006805C4">
              <w:t>To be included in Schedule II of the 1971 Convention</w:t>
            </w:r>
          </w:p>
        </w:tc>
      </w:tr>
      <w:tr w:rsidR="00B52D6B" w:rsidTr="00AD7714">
        <w:tc>
          <w:tcPr>
            <w:tcW w:w="240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B52D6B" w:rsidRPr="001A69F4" w:rsidRDefault="00B52D6B">
            <w:r w:rsidRPr="001A69F4">
              <w:t>5F-PB-22</w:t>
            </w:r>
          </w:p>
        </w:tc>
        <w:tc>
          <w:tcPr>
            <w:tcW w:w="609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B52D6B" w:rsidRDefault="006805C4">
            <w:r w:rsidRPr="006805C4">
              <w:t>To be included in Schedule II of the 1971 Convention</w:t>
            </w:r>
          </w:p>
        </w:tc>
      </w:tr>
      <w:tr w:rsidR="00B52D6B" w:rsidTr="0090157C">
        <w:tc>
          <w:tcPr>
            <w:tcW w:w="240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B52D6B" w:rsidRPr="001A69F4" w:rsidRDefault="00B52D6B">
            <w:r w:rsidRPr="001A69F4">
              <w:t>MDMB-CHMICA</w:t>
            </w:r>
          </w:p>
        </w:tc>
        <w:tc>
          <w:tcPr>
            <w:tcW w:w="609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B52D6B" w:rsidRDefault="0090157C">
            <w:r>
              <w:t>In Schedule II of the 1971 Convention</w:t>
            </w:r>
          </w:p>
        </w:tc>
      </w:tr>
      <w:tr w:rsidR="00B52D6B" w:rsidTr="0090157C">
        <w:tc>
          <w:tcPr>
            <w:tcW w:w="240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B52D6B" w:rsidRPr="00B52D6B" w:rsidRDefault="00B52D6B">
            <w:r w:rsidRPr="00B52D6B">
              <w:t>5F-AKB-48</w:t>
            </w:r>
          </w:p>
        </w:tc>
        <w:tc>
          <w:tcPr>
            <w:tcW w:w="609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B52D6B" w:rsidRDefault="0090157C" w:rsidP="00B52D6B">
            <w:r>
              <w:t>In Schedule II of the 1971 Convention</w:t>
            </w:r>
          </w:p>
        </w:tc>
      </w:tr>
      <w:tr w:rsidR="00B52D6B" w:rsidTr="0090157C">
        <w:tc>
          <w:tcPr>
            <w:tcW w:w="240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B52D6B" w:rsidRPr="001A69F4" w:rsidRDefault="00B52D6B">
            <w:r w:rsidRPr="001A69F4">
              <w:t>XLR-11</w:t>
            </w:r>
          </w:p>
        </w:tc>
        <w:tc>
          <w:tcPr>
            <w:tcW w:w="609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B52D6B" w:rsidRDefault="0090157C" w:rsidP="00B52D6B">
            <w:r>
              <w:t>In Schedule II of the 1971 Convention</w:t>
            </w:r>
          </w:p>
        </w:tc>
      </w:tr>
      <w:tr w:rsidR="00B52D6B" w:rsidTr="00AD7714">
        <w:tc>
          <w:tcPr>
            <w:tcW w:w="240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B52D6B" w:rsidRPr="001A69F4" w:rsidRDefault="00B52D6B">
            <w:r w:rsidRPr="001A69F4">
              <w:t>JWH-018</w:t>
            </w:r>
          </w:p>
        </w:tc>
        <w:tc>
          <w:tcPr>
            <w:tcW w:w="609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B52D6B" w:rsidRDefault="00B52D6B" w:rsidP="00B52D6B">
            <w:r>
              <w:t>In Schedule II of the 1971 Convention</w:t>
            </w:r>
          </w:p>
        </w:tc>
      </w:tr>
      <w:tr w:rsidR="00B52D6B" w:rsidTr="00AD7714">
        <w:tc>
          <w:tcPr>
            <w:tcW w:w="240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B52D6B" w:rsidRPr="001A69F4" w:rsidRDefault="00B52D6B">
            <w:r w:rsidRPr="001A69F4">
              <w:t>AM-2201</w:t>
            </w:r>
          </w:p>
        </w:tc>
        <w:tc>
          <w:tcPr>
            <w:tcW w:w="609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B52D6B" w:rsidRDefault="00B52D6B">
            <w:r>
              <w:t>In Schedule II of the 1971 Convention</w:t>
            </w:r>
          </w:p>
        </w:tc>
      </w:tr>
      <w:tr w:rsidR="00B52D6B" w:rsidTr="00AD7714">
        <w:tc>
          <w:tcPr>
            <w:tcW w:w="2405" w:type="dxa"/>
            <w:shd w:val="clear" w:color="auto" w:fill="DBE5F1" w:themeFill="accent1" w:themeFillTint="33"/>
            <w:hideMark/>
          </w:tcPr>
          <w:p w:rsidR="00B52D6B" w:rsidRPr="001A69F4" w:rsidRDefault="00B52D6B" w:rsidP="00A04553">
            <w:r w:rsidRPr="001A69F4">
              <w:t>AMB-FUBINACA</w:t>
            </w:r>
          </w:p>
        </w:tc>
        <w:tc>
          <w:tcPr>
            <w:tcW w:w="6095" w:type="dxa"/>
            <w:shd w:val="clear" w:color="auto" w:fill="DBE5F1" w:themeFill="accent1" w:themeFillTint="33"/>
            <w:hideMark/>
          </w:tcPr>
          <w:p w:rsidR="00B52D6B" w:rsidRDefault="00B52D6B" w:rsidP="00A04553">
            <w:r>
              <w:t>Has not been considered by the ECDD or CND</w:t>
            </w:r>
          </w:p>
        </w:tc>
      </w:tr>
      <w:tr w:rsidR="00B52D6B" w:rsidTr="00AD7714">
        <w:tc>
          <w:tcPr>
            <w:tcW w:w="2405" w:type="dxa"/>
            <w:shd w:val="clear" w:color="auto" w:fill="DBE5F1" w:themeFill="accent1" w:themeFillTint="33"/>
            <w:hideMark/>
          </w:tcPr>
          <w:p w:rsidR="00B52D6B" w:rsidRPr="001A69F4" w:rsidRDefault="00B52D6B" w:rsidP="00A04553">
            <w:r w:rsidRPr="001A69F4">
              <w:t>AB-FUBINACA</w:t>
            </w:r>
          </w:p>
        </w:tc>
        <w:tc>
          <w:tcPr>
            <w:tcW w:w="6095" w:type="dxa"/>
            <w:shd w:val="clear" w:color="auto" w:fill="DBE5F1" w:themeFill="accent1" w:themeFillTint="33"/>
            <w:hideMark/>
          </w:tcPr>
          <w:p w:rsidR="00B52D6B" w:rsidRDefault="00B52D6B" w:rsidP="00A04553">
            <w:r>
              <w:t xml:space="preserve">Has not been considered by the ECDD or CND </w:t>
            </w:r>
          </w:p>
        </w:tc>
      </w:tr>
    </w:tbl>
    <w:p w:rsidR="00921EB9" w:rsidRPr="00220D01" w:rsidRDefault="00921EB9" w:rsidP="00CB4162">
      <w:pPr>
        <w:spacing w:after="120" w:line="240" w:lineRule="auto"/>
        <w:rPr>
          <w:rFonts w:cs="Arial"/>
          <w:bCs/>
          <w:color w:val="000000"/>
          <w:lang w:val="en-US"/>
        </w:rPr>
      </w:pPr>
    </w:p>
    <w:p w:rsidR="006A2F41" w:rsidRPr="00C7601F" w:rsidRDefault="006A2F41" w:rsidP="00C7601F">
      <w:pPr>
        <w:pStyle w:val="Heading3"/>
      </w:pPr>
      <w:bookmarkStart w:id="35" w:name="_Toc509487312"/>
      <w:r w:rsidRPr="00C7601F">
        <w:t>New Zealand obligations</w:t>
      </w:r>
      <w:r w:rsidR="00C7601F">
        <w:t xml:space="preserve"> under the UN Conventions</w:t>
      </w:r>
      <w:bookmarkEnd w:id="35"/>
    </w:p>
    <w:p w:rsidR="00C10F06" w:rsidRPr="00220D01" w:rsidRDefault="002E0FBC" w:rsidP="00C10F06">
      <w:pPr>
        <w:autoSpaceDE w:val="0"/>
        <w:autoSpaceDN w:val="0"/>
        <w:adjustRightInd w:val="0"/>
        <w:spacing w:after="0" w:line="240" w:lineRule="auto"/>
        <w:rPr>
          <w:rFonts w:eastAsia="Calibri" w:cs="Arial"/>
          <w:color w:val="000000"/>
        </w:rPr>
      </w:pPr>
      <w:r w:rsidRPr="00220D01">
        <w:rPr>
          <w:rFonts w:eastAsia="Calibri" w:cs="Arial"/>
          <w:color w:val="000000"/>
        </w:rPr>
        <w:t>As part of</w:t>
      </w:r>
      <w:r w:rsidR="00C10F06" w:rsidRPr="00220D01">
        <w:rPr>
          <w:rFonts w:eastAsia="Calibri" w:cs="Arial"/>
          <w:color w:val="000000"/>
        </w:rPr>
        <w:t xml:space="preserve"> comply</w:t>
      </w:r>
      <w:r w:rsidRPr="00220D01">
        <w:rPr>
          <w:rFonts w:eastAsia="Calibri" w:cs="Arial"/>
          <w:color w:val="000000"/>
        </w:rPr>
        <w:t>ing</w:t>
      </w:r>
      <w:r w:rsidR="00C10F06" w:rsidRPr="00220D01">
        <w:rPr>
          <w:rFonts w:eastAsia="Calibri" w:cs="Arial"/>
          <w:color w:val="000000"/>
        </w:rPr>
        <w:t xml:space="preserve"> with obligations </w:t>
      </w:r>
      <w:r w:rsidR="007B3D7D" w:rsidRPr="00220D01">
        <w:rPr>
          <w:rFonts w:eastAsia="Calibri" w:cs="Arial"/>
          <w:color w:val="000000"/>
        </w:rPr>
        <w:t>for substances in Schedule II</w:t>
      </w:r>
      <w:r w:rsidR="00C10F06" w:rsidRPr="00220D01">
        <w:rPr>
          <w:rFonts w:eastAsia="Calibri" w:cs="Arial"/>
          <w:color w:val="000000"/>
        </w:rPr>
        <w:t xml:space="preserve"> of the</w:t>
      </w:r>
      <w:r w:rsidR="007B3D7D" w:rsidRPr="00220D01">
        <w:rPr>
          <w:rFonts w:eastAsia="Calibri" w:cs="Arial"/>
          <w:color w:val="000000"/>
        </w:rPr>
        <w:t xml:space="preserve"> UN</w:t>
      </w:r>
      <w:r w:rsidR="00C10F06" w:rsidRPr="00220D01">
        <w:rPr>
          <w:rFonts w:eastAsia="Calibri" w:cs="Arial"/>
          <w:color w:val="000000"/>
        </w:rPr>
        <w:t xml:space="preserve"> Convention on Psychotropic Substances, New Zealand must:</w:t>
      </w:r>
    </w:p>
    <w:p w:rsidR="007B3D7D" w:rsidRPr="00220D01" w:rsidRDefault="007B3D7D" w:rsidP="007B3D7D">
      <w:pPr>
        <w:numPr>
          <w:ilvl w:val="0"/>
          <w:numId w:val="35"/>
        </w:numPr>
        <w:autoSpaceDE w:val="0"/>
        <w:autoSpaceDN w:val="0"/>
        <w:adjustRightInd w:val="0"/>
        <w:spacing w:after="0" w:line="240" w:lineRule="auto"/>
        <w:rPr>
          <w:rFonts w:eastAsia="Calibri" w:cs="Arial"/>
          <w:color w:val="000000"/>
        </w:rPr>
      </w:pPr>
      <w:r w:rsidRPr="00220D01">
        <w:rPr>
          <w:rFonts w:eastAsia="Calibri" w:cs="Arial"/>
          <w:color w:val="000000"/>
        </w:rPr>
        <w:t>limit the manufacture, export, import, distribution and stocks of, trade in, and use and possession of, substances to medical and scientific purposes</w:t>
      </w:r>
    </w:p>
    <w:p w:rsidR="00C10F06" w:rsidRPr="00220D01" w:rsidRDefault="007B3D7D" w:rsidP="0056115C">
      <w:pPr>
        <w:numPr>
          <w:ilvl w:val="0"/>
          <w:numId w:val="35"/>
        </w:numPr>
        <w:autoSpaceDE w:val="0"/>
        <w:autoSpaceDN w:val="0"/>
        <w:adjustRightInd w:val="0"/>
        <w:spacing w:after="0" w:line="240" w:lineRule="auto"/>
        <w:rPr>
          <w:rFonts w:eastAsia="Calibri" w:cs="Arial"/>
          <w:color w:val="000000"/>
        </w:rPr>
      </w:pPr>
      <w:r w:rsidRPr="00220D01">
        <w:rPr>
          <w:rFonts w:eastAsia="Calibri" w:cs="Arial"/>
          <w:color w:val="000000"/>
        </w:rPr>
        <w:t>require that the manufacture of, trade (including export and import trade) in, and distribution of substances be under licence or other similar control measure with the exception of</w:t>
      </w:r>
      <w:r w:rsidRPr="00220D01">
        <w:rPr>
          <w:sz w:val="28"/>
        </w:rPr>
        <w:t xml:space="preserve"> </w:t>
      </w:r>
      <w:r w:rsidRPr="00220D01">
        <w:rPr>
          <w:rFonts w:eastAsia="Calibri" w:cs="Arial"/>
          <w:color w:val="000000"/>
        </w:rPr>
        <w:t>persons duly authorized to perform and while performing therapeutic or scientific functions.</w:t>
      </w:r>
    </w:p>
    <w:p w:rsidR="007B3D7D" w:rsidRPr="00220D01" w:rsidRDefault="007B3D7D" w:rsidP="007B3D7D">
      <w:pPr>
        <w:numPr>
          <w:ilvl w:val="0"/>
          <w:numId w:val="35"/>
        </w:numPr>
        <w:autoSpaceDE w:val="0"/>
        <w:autoSpaceDN w:val="0"/>
        <w:adjustRightInd w:val="0"/>
        <w:spacing w:after="0" w:line="240" w:lineRule="auto"/>
        <w:rPr>
          <w:rFonts w:eastAsia="Calibri" w:cs="Arial"/>
          <w:color w:val="000000"/>
        </w:rPr>
      </w:pPr>
      <w:r w:rsidRPr="00220D01">
        <w:rPr>
          <w:rFonts w:eastAsia="Calibri" w:cs="Arial"/>
          <w:color w:val="000000"/>
        </w:rPr>
        <w:t>require that substances be supplied or dispensed for use by individuals pursuant to medical prescription only, except when individuals may lawfully obtain, use, dispense or administer such substances in the duly authorized exercise of therapeutic or scientific functions</w:t>
      </w:r>
    </w:p>
    <w:p w:rsidR="00C10F06" w:rsidRPr="00220D01" w:rsidRDefault="00C10F06" w:rsidP="00324D50">
      <w:pPr>
        <w:numPr>
          <w:ilvl w:val="0"/>
          <w:numId w:val="35"/>
        </w:numPr>
        <w:autoSpaceDE w:val="0"/>
        <w:autoSpaceDN w:val="0"/>
        <w:adjustRightInd w:val="0"/>
        <w:spacing w:after="0" w:line="240" w:lineRule="auto"/>
        <w:rPr>
          <w:rFonts w:eastAsia="Calibri" w:cs="Arial"/>
          <w:color w:val="000000"/>
        </w:rPr>
      </w:pPr>
      <w:r w:rsidRPr="00220D01">
        <w:rPr>
          <w:rFonts w:eastAsia="Calibri" w:cs="Arial"/>
          <w:color w:val="000000"/>
        </w:rPr>
        <w:t xml:space="preserve">Require manufacturers, wholesale distributors, exporters, importers, retail distributors, institutions for hospitalization and care and scientific institutions to keep records </w:t>
      </w:r>
      <w:r w:rsidR="00324D50" w:rsidRPr="00220D01">
        <w:rPr>
          <w:rFonts w:eastAsia="Calibri" w:cs="Arial"/>
          <w:color w:val="000000"/>
        </w:rPr>
        <w:t>showing details of the quantities manufactured and, for each acquisition and disposal, details of the quantity, date, supplier and recipient.</w:t>
      </w:r>
    </w:p>
    <w:p w:rsidR="00C10F06" w:rsidRPr="00220D01" w:rsidRDefault="00C10F06" w:rsidP="00324D50">
      <w:pPr>
        <w:numPr>
          <w:ilvl w:val="0"/>
          <w:numId w:val="35"/>
        </w:numPr>
        <w:autoSpaceDE w:val="0"/>
        <w:autoSpaceDN w:val="0"/>
        <w:adjustRightInd w:val="0"/>
        <w:spacing w:after="0" w:line="240" w:lineRule="auto"/>
        <w:rPr>
          <w:rFonts w:eastAsia="Calibri" w:cs="Arial"/>
          <w:color w:val="000000"/>
        </w:rPr>
      </w:pPr>
      <w:r w:rsidRPr="00220D01">
        <w:rPr>
          <w:rFonts w:eastAsia="Calibri" w:cs="Arial"/>
          <w:color w:val="000000"/>
        </w:rPr>
        <w:t>provide a separate import or export authorisation for each import or export of a substance</w:t>
      </w:r>
      <w:r w:rsidR="00324D50" w:rsidRPr="00220D01">
        <w:rPr>
          <w:sz w:val="28"/>
        </w:rPr>
        <w:t xml:space="preserve"> </w:t>
      </w:r>
      <w:r w:rsidR="00324D50" w:rsidRPr="00220D01">
        <w:rPr>
          <w:rFonts w:eastAsia="Calibri" w:cs="Arial"/>
          <w:color w:val="000000"/>
        </w:rPr>
        <w:t>whether it consists of one or more substances</w:t>
      </w:r>
      <w:r w:rsidRPr="00220D01">
        <w:rPr>
          <w:rFonts w:eastAsia="Calibri" w:cs="Arial"/>
          <w:color w:val="000000"/>
        </w:rPr>
        <w:t xml:space="preserve">. </w:t>
      </w:r>
      <w:r w:rsidR="00324D50" w:rsidRPr="00220D01">
        <w:rPr>
          <w:rFonts w:eastAsia="Calibri" w:cs="Arial"/>
          <w:color w:val="000000"/>
        </w:rPr>
        <w:t xml:space="preserve">Before issuing an export authorization </w:t>
      </w:r>
      <w:r w:rsidR="0056115C" w:rsidRPr="00220D01">
        <w:rPr>
          <w:rFonts w:eastAsia="Calibri" w:cs="Arial"/>
          <w:color w:val="000000"/>
        </w:rPr>
        <w:t>New Zealand</w:t>
      </w:r>
      <w:r w:rsidR="00324D50" w:rsidRPr="00220D01">
        <w:rPr>
          <w:rFonts w:eastAsia="Calibri" w:cs="Arial"/>
          <w:color w:val="000000"/>
        </w:rPr>
        <w:t xml:space="preserve"> </w:t>
      </w:r>
      <w:r w:rsidR="0056115C" w:rsidRPr="00220D01">
        <w:rPr>
          <w:rFonts w:eastAsia="Calibri" w:cs="Arial"/>
          <w:color w:val="000000"/>
        </w:rPr>
        <w:t>must also</w:t>
      </w:r>
      <w:r w:rsidR="00324D50" w:rsidRPr="00220D01">
        <w:rPr>
          <w:rFonts w:eastAsia="Calibri" w:cs="Arial"/>
          <w:color w:val="000000"/>
        </w:rPr>
        <w:t xml:space="preserve"> require an import authorization, issued by the competent authority of t</w:t>
      </w:r>
      <w:r w:rsidR="0056115C" w:rsidRPr="00220D01">
        <w:rPr>
          <w:rFonts w:eastAsia="Calibri" w:cs="Arial"/>
          <w:color w:val="000000"/>
        </w:rPr>
        <w:t>he importing country or region</w:t>
      </w:r>
      <w:r w:rsidR="00324D50" w:rsidRPr="00220D01">
        <w:rPr>
          <w:rFonts w:eastAsia="Calibri" w:cs="Arial"/>
          <w:color w:val="000000"/>
        </w:rPr>
        <w:t xml:space="preserve"> certifying that the importation of the substance is approved. </w:t>
      </w:r>
      <w:r w:rsidR="0056115C" w:rsidRPr="00220D01">
        <w:rPr>
          <w:rFonts w:eastAsia="Calibri" w:cs="Arial"/>
          <w:color w:val="000000"/>
        </w:rPr>
        <w:t>For importations</w:t>
      </w:r>
      <w:r w:rsidR="00324D50" w:rsidRPr="00220D01">
        <w:rPr>
          <w:rFonts w:eastAsia="Calibri" w:cs="Arial"/>
          <w:color w:val="000000"/>
        </w:rPr>
        <w:t xml:space="preserve">, when the importation has been effected, </w:t>
      </w:r>
      <w:r w:rsidR="0056115C" w:rsidRPr="00220D01">
        <w:rPr>
          <w:rFonts w:eastAsia="Calibri" w:cs="Arial"/>
          <w:color w:val="000000"/>
        </w:rPr>
        <w:t xml:space="preserve">the New Zealand Government </w:t>
      </w:r>
      <w:r w:rsidR="00324D50" w:rsidRPr="00220D01">
        <w:rPr>
          <w:rFonts w:eastAsia="Calibri" w:cs="Arial"/>
          <w:color w:val="000000"/>
        </w:rPr>
        <w:t>shall return the export authorization with an endorsement certifying the amount actually imported, to the Government of the exporting country or region</w:t>
      </w:r>
    </w:p>
    <w:p w:rsidR="00C10F06" w:rsidRPr="00220D01" w:rsidRDefault="00C10F06" w:rsidP="00C10F06">
      <w:pPr>
        <w:numPr>
          <w:ilvl w:val="0"/>
          <w:numId w:val="35"/>
        </w:numPr>
        <w:autoSpaceDE w:val="0"/>
        <w:autoSpaceDN w:val="0"/>
        <w:adjustRightInd w:val="0"/>
        <w:spacing w:after="0" w:line="240" w:lineRule="auto"/>
        <w:rPr>
          <w:rFonts w:eastAsia="Calibri" w:cs="Arial"/>
          <w:color w:val="000000"/>
        </w:rPr>
      </w:pPr>
      <w:r w:rsidRPr="00220D01">
        <w:rPr>
          <w:rFonts w:eastAsia="Calibri" w:cs="Arial"/>
          <w:color w:val="000000"/>
        </w:rPr>
        <w:t>Comply with the obligations</w:t>
      </w:r>
      <w:r w:rsidRPr="00220D01">
        <w:rPr>
          <w:rFonts w:eastAsia="Calibri" w:cs="Arial"/>
          <w:color w:val="000000"/>
          <w:sz w:val="28"/>
          <w:szCs w:val="24"/>
        </w:rPr>
        <w:t xml:space="preserve"> </w:t>
      </w:r>
      <w:r w:rsidRPr="00220D01">
        <w:rPr>
          <w:rFonts w:eastAsia="Calibri" w:cs="Arial"/>
          <w:color w:val="000000"/>
        </w:rPr>
        <w:t xml:space="preserve">if a country prohibits or places restrictions on the import into its country or into one of its regions of one or more substances. </w:t>
      </w:r>
    </w:p>
    <w:p w:rsidR="00913535" w:rsidRPr="00220D01" w:rsidRDefault="00913535" w:rsidP="00913535">
      <w:pPr>
        <w:numPr>
          <w:ilvl w:val="0"/>
          <w:numId w:val="35"/>
        </w:numPr>
        <w:autoSpaceDE w:val="0"/>
        <w:autoSpaceDN w:val="0"/>
        <w:adjustRightInd w:val="0"/>
        <w:spacing w:after="0" w:line="240" w:lineRule="auto"/>
        <w:rPr>
          <w:rFonts w:eastAsia="Calibri" w:cs="Arial"/>
          <w:color w:val="000000"/>
        </w:rPr>
      </w:pPr>
      <w:r w:rsidRPr="00220D01">
        <w:rPr>
          <w:rFonts w:eastAsia="Calibri" w:cs="Arial"/>
          <w:color w:val="000000"/>
        </w:rPr>
        <w:t>maintain a system of inspection of manufacturers, exporters, importers, and wholesale and retail distributors of psychotropic substances and of medical and scientific institutions which use such substances.</w:t>
      </w:r>
    </w:p>
    <w:p w:rsidR="0056115C" w:rsidRPr="00220D01" w:rsidRDefault="00C10F06" w:rsidP="00790E40">
      <w:pPr>
        <w:numPr>
          <w:ilvl w:val="0"/>
          <w:numId w:val="35"/>
        </w:numPr>
        <w:autoSpaceDE w:val="0"/>
        <w:autoSpaceDN w:val="0"/>
        <w:adjustRightInd w:val="0"/>
        <w:spacing w:after="0" w:line="240" w:lineRule="auto"/>
        <w:rPr>
          <w:rFonts w:eastAsia="Calibri" w:cs="Arial"/>
          <w:color w:val="000000"/>
        </w:rPr>
      </w:pPr>
      <w:r w:rsidRPr="00220D01">
        <w:rPr>
          <w:rFonts w:eastAsia="Calibri" w:cs="Arial"/>
          <w:color w:val="000000"/>
        </w:rPr>
        <w:t xml:space="preserve">Submit to the INCB </w:t>
      </w:r>
      <w:r w:rsidR="00913535" w:rsidRPr="00220D01">
        <w:rPr>
          <w:rFonts w:eastAsia="Calibri" w:cs="Arial"/>
          <w:color w:val="000000"/>
        </w:rPr>
        <w:t>annual statistical reports</w:t>
      </w:r>
      <w:r w:rsidRPr="00220D01">
        <w:rPr>
          <w:rFonts w:eastAsia="Calibri" w:cs="Arial"/>
          <w:color w:val="000000"/>
        </w:rPr>
        <w:t xml:space="preserve"> on</w:t>
      </w:r>
      <w:r w:rsidR="0056115C" w:rsidRPr="00220D01">
        <w:rPr>
          <w:rFonts w:eastAsia="Calibri" w:cs="Arial"/>
          <w:color w:val="000000"/>
        </w:rPr>
        <w:t>:</w:t>
      </w:r>
    </w:p>
    <w:p w:rsidR="0056115C" w:rsidRPr="00220D01" w:rsidRDefault="00C10F06" w:rsidP="0056115C">
      <w:pPr>
        <w:numPr>
          <w:ilvl w:val="1"/>
          <w:numId w:val="35"/>
        </w:numPr>
        <w:autoSpaceDE w:val="0"/>
        <w:autoSpaceDN w:val="0"/>
        <w:adjustRightInd w:val="0"/>
        <w:spacing w:after="0" w:line="240" w:lineRule="auto"/>
        <w:rPr>
          <w:rFonts w:eastAsia="Calibri" w:cs="Arial"/>
          <w:color w:val="000000"/>
        </w:rPr>
      </w:pPr>
      <w:r w:rsidRPr="00220D01">
        <w:rPr>
          <w:rFonts w:eastAsia="Calibri" w:cs="Arial"/>
          <w:color w:val="000000"/>
        </w:rPr>
        <w:t>quantities manufactured, exported to and impor</w:t>
      </w:r>
      <w:r w:rsidR="00790E40" w:rsidRPr="00220D01">
        <w:rPr>
          <w:rFonts w:eastAsia="Calibri" w:cs="Arial"/>
          <w:color w:val="000000"/>
        </w:rPr>
        <w:t>ted from each country or region</w:t>
      </w:r>
      <w:r w:rsidRPr="00220D01">
        <w:rPr>
          <w:rFonts w:eastAsia="Calibri" w:cs="Arial"/>
          <w:color w:val="000000"/>
        </w:rPr>
        <w:t xml:space="preserve"> </w:t>
      </w:r>
    </w:p>
    <w:p w:rsidR="0056115C" w:rsidRPr="00220D01" w:rsidRDefault="00790E40" w:rsidP="0056115C">
      <w:pPr>
        <w:numPr>
          <w:ilvl w:val="1"/>
          <w:numId w:val="35"/>
        </w:numPr>
        <w:autoSpaceDE w:val="0"/>
        <w:autoSpaceDN w:val="0"/>
        <w:adjustRightInd w:val="0"/>
        <w:spacing w:after="0" w:line="240" w:lineRule="auto"/>
        <w:rPr>
          <w:rFonts w:eastAsia="Calibri" w:cs="Arial"/>
          <w:color w:val="000000"/>
        </w:rPr>
      </w:pPr>
      <w:r w:rsidRPr="00220D01">
        <w:rPr>
          <w:rFonts w:eastAsia="Calibri" w:cs="Arial"/>
          <w:color w:val="000000"/>
        </w:rPr>
        <w:t>stocks held by manufacturers</w:t>
      </w:r>
    </w:p>
    <w:p w:rsidR="0056115C" w:rsidRPr="00220D01" w:rsidRDefault="00790E40" w:rsidP="0056115C">
      <w:pPr>
        <w:numPr>
          <w:ilvl w:val="1"/>
          <w:numId w:val="35"/>
        </w:numPr>
        <w:autoSpaceDE w:val="0"/>
        <w:autoSpaceDN w:val="0"/>
        <w:adjustRightInd w:val="0"/>
        <w:spacing w:after="0" w:line="240" w:lineRule="auto"/>
        <w:rPr>
          <w:rFonts w:eastAsia="Calibri" w:cs="Arial"/>
          <w:color w:val="000000"/>
        </w:rPr>
      </w:pPr>
      <w:r w:rsidRPr="00220D01">
        <w:rPr>
          <w:rFonts w:eastAsia="Calibri" w:cs="Arial"/>
          <w:color w:val="000000"/>
        </w:rPr>
        <w:t>quantities used in the manufacture of specified exempt preparations</w:t>
      </w:r>
      <w:r w:rsidR="0056115C" w:rsidRPr="00220D01">
        <w:rPr>
          <w:rFonts w:eastAsia="Calibri" w:cs="Arial"/>
          <w:color w:val="000000"/>
        </w:rPr>
        <w:t>,</w:t>
      </w:r>
      <w:r w:rsidRPr="00220D01">
        <w:rPr>
          <w:rFonts w:eastAsia="Calibri" w:cs="Arial"/>
          <w:color w:val="000000"/>
        </w:rPr>
        <w:t xml:space="preserve"> and</w:t>
      </w:r>
    </w:p>
    <w:p w:rsidR="00C10F06" w:rsidRPr="00220D01" w:rsidRDefault="00790E40" w:rsidP="0056115C">
      <w:pPr>
        <w:numPr>
          <w:ilvl w:val="1"/>
          <w:numId w:val="35"/>
        </w:numPr>
        <w:autoSpaceDE w:val="0"/>
        <w:autoSpaceDN w:val="0"/>
        <w:adjustRightInd w:val="0"/>
        <w:spacing w:after="0" w:line="240" w:lineRule="auto"/>
        <w:rPr>
          <w:rFonts w:eastAsia="Calibri" w:cs="Arial"/>
          <w:color w:val="000000"/>
        </w:rPr>
      </w:pPr>
      <w:r w:rsidRPr="00220D01">
        <w:rPr>
          <w:rFonts w:eastAsia="Calibri" w:cs="Arial"/>
          <w:color w:val="000000"/>
        </w:rPr>
        <w:t>quantities used for industrial purposes</w:t>
      </w:r>
      <w:r w:rsidR="00C10F06" w:rsidRPr="00220D01">
        <w:rPr>
          <w:rFonts w:eastAsia="Calibri" w:cs="Arial"/>
          <w:color w:val="000000"/>
        </w:rPr>
        <w:t>.</w:t>
      </w:r>
    </w:p>
    <w:p w:rsidR="009427CF" w:rsidRPr="001C6C3F" w:rsidRDefault="00C10F06" w:rsidP="001C6C3F">
      <w:pPr>
        <w:numPr>
          <w:ilvl w:val="0"/>
          <w:numId w:val="35"/>
        </w:numPr>
        <w:autoSpaceDE w:val="0"/>
        <w:autoSpaceDN w:val="0"/>
        <w:adjustRightInd w:val="0"/>
        <w:spacing w:line="240" w:lineRule="auto"/>
        <w:rPr>
          <w:rFonts w:eastAsia="Calibri" w:cs="Arial"/>
          <w:color w:val="000000"/>
        </w:rPr>
      </w:pPr>
      <w:r w:rsidRPr="00220D01">
        <w:rPr>
          <w:rFonts w:eastAsia="Calibri" w:cs="Arial"/>
          <w:color w:val="000000"/>
        </w:rPr>
        <w:t xml:space="preserve">Subject to its constitutional limitations, each State party shall treat as a punishable offence, when committed intentionally, any action contrary to a law or regulation adopted in pursuance of its obligations under the 1971 Convention </w:t>
      </w:r>
    </w:p>
    <w:p w:rsidR="0071203B" w:rsidRPr="00220D01" w:rsidRDefault="0071203B" w:rsidP="00C10F06">
      <w:pPr>
        <w:rPr>
          <w:rFonts w:cs="Arial"/>
        </w:rPr>
      </w:pPr>
      <w:r w:rsidRPr="00220D01">
        <w:rPr>
          <w:rFonts w:cs="Arial"/>
        </w:rPr>
        <w:t xml:space="preserve">The </w:t>
      </w:r>
      <w:r w:rsidR="006A2F41">
        <w:rPr>
          <w:rFonts w:cs="Arial"/>
        </w:rPr>
        <w:t xml:space="preserve">obligation to </w:t>
      </w:r>
      <w:r w:rsidRPr="00220D01">
        <w:rPr>
          <w:rFonts w:cs="Arial"/>
        </w:rPr>
        <w:t>require institutions for hospitalisation and care to keep records showing details of the quantities manufactured and, for each acquisition and disposal, details of the quantity, date, supplier and recipient will not be met for substances in Schedule 3</w:t>
      </w:r>
      <w:r w:rsidR="003B60C6" w:rsidRPr="00220D01">
        <w:rPr>
          <w:rFonts w:cs="Arial"/>
        </w:rPr>
        <w:t xml:space="preserve"> (Class C)</w:t>
      </w:r>
      <w:r w:rsidRPr="00220D01">
        <w:rPr>
          <w:rFonts w:cs="Arial"/>
        </w:rPr>
        <w:t xml:space="preserve"> of the Misuse of Drugs Act 1975. </w:t>
      </w:r>
      <w:r w:rsidR="00DA3656" w:rsidRPr="00220D01">
        <w:rPr>
          <w:rFonts w:cs="Arial"/>
        </w:rPr>
        <w:t xml:space="preserve">These record keeping requirements should be met for substances controlled under Schedules 1 and 2 of the Misuse of Drugs Act and substances controlled under the Psychoactive Substances Act 2013. </w:t>
      </w:r>
    </w:p>
    <w:p w:rsidR="00C91E3C" w:rsidRPr="00220D01" w:rsidRDefault="00C91E3C" w:rsidP="00C10F06">
      <w:pPr>
        <w:rPr>
          <w:rFonts w:cs="Arial"/>
        </w:rPr>
      </w:pPr>
      <w:r w:rsidRPr="00220D01">
        <w:rPr>
          <w:rFonts w:cs="Arial"/>
        </w:rPr>
        <w:t xml:space="preserve">Currently, the requirements for import and export for substances in Schedule II of the UN Conventions on Psychotropic Substances 1971 are not met by the Psychoactive Substances Act 2013. These requirements would only be met for substances controlled under Schedules 1, 2 or 3 of the Misuse of Drugs Act 1975 (excluding substances </w:t>
      </w:r>
      <w:r w:rsidR="00DA3656" w:rsidRPr="00220D01">
        <w:rPr>
          <w:rFonts w:cs="Arial"/>
        </w:rPr>
        <w:t>listed in Part 6 of Schedule 3</w:t>
      </w:r>
      <w:r w:rsidRPr="00220D01">
        <w:rPr>
          <w:rFonts w:cs="Arial"/>
        </w:rPr>
        <w:t xml:space="preserve">). </w:t>
      </w:r>
    </w:p>
    <w:p w:rsidR="00C91E3C" w:rsidRPr="00220D01" w:rsidRDefault="00C91E3C" w:rsidP="00C10F06">
      <w:pPr>
        <w:rPr>
          <w:rFonts w:cs="Arial"/>
        </w:rPr>
      </w:pPr>
      <w:r w:rsidRPr="00220D01">
        <w:rPr>
          <w:rFonts w:cs="Arial"/>
        </w:rPr>
        <w:t xml:space="preserve">The reporting requirements for substances used for industrial purposes cannot be met for substances controlled under the Psychoactive Substances Act as substances are only controlled under this Act when they are for the primary purpose of inducing a psychoactive effect. Substances controlled under the Misuse of Drugs Act would only meet the INCB reporting requirements when scheduled in Schedule 1 or 2, or parts 2 or 3 of Schedule 3. </w:t>
      </w:r>
    </w:p>
    <w:p w:rsidR="009427CF" w:rsidRDefault="009427CF" w:rsidP="00D245D1">
      <w:pPr>
        <w:pStyle w:val="Heading1"/>
        <w:spacing w:before="0" w:after="120" w:line="240" w:lineRule="auto"/>
        <w:jc w:val="center"/>
      </w:pPr>
      <w:bookmarkStart w:id="36" w:name="_Toc509487313"/>
      <w:r>
        <w:t>5.0 OTHER RELEVANT INFORMATION</w:t>
      </w:r>
      <w:bookmarkEnd w:id="36"/>
    </w:p>
    <w:p w:rsidR="002F7319" w:rsidRDefault="0020096A" w:rsidP="002F7319">
      <w:pPr>
        <w:pStyle w:val="Heading2"/>
      </w:pPr>
      <w:bookmarkStart w:id="37" w:name="_Toc509487314"/>
      <w:r>
        <w:t>5.1</w:t>
      </w:r>
      <w:r w:rsidR="009427CF" w:rsidRPr="009427CF">
        <w:tab/>
        <w:t xml:space="preserve">Dosage/ </w:t>
      </w:r>
      <w:r>
        <w:t>EC</w:t>
      </w:r>
      <w:r w:rsidR="009427CF" w:rsidRPr="002D57BE">
        <w:rPr>
          <w:vertAlign w:val="subscript"/>
        </w:rPr>
        <w:t>50</w:t>
      </w:r>
      <w:r w:rsidR="009427CF" w:rsidRPr="009427CF">
        <w:t xml:space="preserve"> and </w:t>
      </w:r>
      <w:r>
        <w:t xml:space="preserve">proposed </w:t>
      </w:r>
      <w:r w:rsidR="009427CF" w:rsidRPr="009427CF">
        <w:t xml:space="preserve">amount for </w:t>
      </w:r>
      <w:r>
        <w:t xml:space="preserve">the presumption of </w:t>
      </w:r>
      <w:r w:rsidR="009427CF" w:rsidRPr="009427CF">
        <w:t>supply</w:t>
      </w:r>
      <w:bookmarkEnd w:id="37"/>
      <w:r w:rsidR="002F7319" w:rsidRPr="002F7319">
        <w:t xml:space="preserve"> </w:t>
      </w:r>
    </w:p>
    <w:p w:rsidR="009427CF" w:rsidRDefault="002D57BE" w:rsidP="0083143C">
      <w:r>
        <w:t>Currently, the default level at and over which controlled drugs are presumed to be</w:t>
      </w:r>
      <w:r w:rsidR="002F7319">
        <w:t xml:space="preserve"> for supply in the </w:t>
      </w:r>
      <w:r w:rsidR="00791761">
        <w:t xml:space="preserve">Misuse of Drugs </w:t>
      </w:r>
      <w:r w:rsidR="002F7319">
        <w:t xml:space="preserve">Act is 56 grams. Suggested dosages identified in the WHO critical review reports indicate that a presumption of supply of 56 g would allow an extremely high number of dosages to be held before a </w:t>
      </w:r>
      <w:r w:rsidR="0083143C">
        <w:t>supply penalty would apply.</w:t>
      </w:r>
      <w:r w:rsidR="002F7319">
        <w:t xml:space="preserve"> </w:t>
      </w:r>
      <w:r>
        <w:t xml:space="preserve">For the least potent substance in this series, UR-144, if it were used at its suggested maximum dosage of 20 mg, 56 g </w:t>
      </w:r>
      <w:r w:rsidR="002F7319">
        <w:t>would be</w:t>
      </w:r>
      <w:r w:rsidR="0083143C">
        <w:t xml:space="preserve"> equivalent to</w:t>
      </w:r>
      <w:r>
        <w:t xml:space="preserve"> 2800 doses</w:t>
      </w:r>
      <w:r w:rsidR="002F7319">
        <w:t xml:space="preserve"> </w:t>
      </w:r>
      <w:r w:rsidR="0083143C">
        <w:t xml:space="preserve">and </w:t>
      </w:r>
      <w:r>
        <w:t xml:space="preserve">for the most potent substance in this series, 5F-ADB, if it were used at its suggested dosage of 0.05 mg, 56 g would be equivalent to </w:t>
      </w:r>
      <w:r w:rsidR="002F7319">
        <w:t>1120000</w:t>
      </w:r>
      <w:r w:rsidR="0083143C">
        <w:t>.</w:t>
      </w:r>
      <w:r w:rsidR="00791761">
        <w:t xml:space="preserve"> Therefore, a lower level for the presumption of supply</w:t>
      </w:r>
      <w:r w:rsidR="002F7319">
        <w:t xml:space="preserve"> </w:t>
      </w:r>
      <w:r w:rsidR="00791761">
        <w:t>could be</w:t>
      </w:r>
      <w:r w:rsidR="0083143C">
        <w:t xml:space="preserve"> considered. </w:t>
      </w:r>
    </w:p>
    <w:p w:rsidR="002D57BE" w:rsidRDefault="002D57BE" w:rsidP="002D57BE">
      <w:r>
        <w:t>The table below shows measured EC</w:t>
      </w:r>
      <w:r w:rsidRPr="002D57BE">
        <w:rPr>
          <w:vertAlign w:val="subscript"/>
        </w:rPr>
        <w:t>50</w:t>
      </w:r>
      <w:r w:rsidR="00565392">
        <w:rPr>
          <w:rStyle w:val="FootnoteReference"/>
        </w:rPr>
        <w:footnoteReference w:id="7"/>
      </w:r>
      <w:r>
        <w:rPr>
          <w:vertAlign w:val="subscript"/>
        </w:rPr>
        <w:t xml:space="preserve"> </w:t>
      </w:r>
      <w:r>
        <w:t>values and compares this to anecdotal dosage information. The ranking of potency based on the EC</w:t>
      </w:r>
      <w:r w:rsidRPr="002D57BE">
        <w:rPr>
          <w:vertAlign w:val="subscript"/>
        </w:rPr>
        <w:t>50</w:t>
      </w:r>
      <w:r>
        <w:rPr>
          <w:vertAlign w:val="subscript"/>
        </w:rPr>
        <w:t xml:space="preserve"> </w:t>
      </w:r>
      <w:r>
        <w:t xml:space="preserve">values appears to roughly correlate to the anecdotal dosages. The anecdotal dosages have then </w:t>
      </w:r>
      <w:r w:rsidR="00220D01">
        <w:t>been used to propose</w:t>
      </w:r>
      <w:r>
        <w:t xml:space="preserve"> a level at and over which the substances could be presumed to be for supply. </w:t>
      </w:r>
    </w:p>
    <w:p w:rsidR="002D57BE" w:rsidRDefault="002D57BE" w:rsidP="0083143C">
      <w:r>
        <w:t xml:space="preserve">Generally, the current presumption of supply levels </w:t>
      </w:r>
      <w:r w:rsidR="00220D01">
        <w:t xml:space="preserve">in the Misuse of Drugs Act </w:t>
      </w:r>
      <w:r>
        <w:t xml:space="preserve">are for quantities at and over 100 doses or 25 doses of a substance. Given the prevalence and apparent risk of harm of the synthetic cannabinoids in New Zealand, it would be reasonable to propose a presumption of supply at and over 25 doses. </w:t>
      </w:r>
    </w:p>
    <w:p w:rsidR="00565392" w:rsidRDefault="00565392" w:rsidP="0083143C"/>
    <w:p w:rsidR="00565392" w:rsidRDefault="00565392" w:rsidP="0083143C"/>
    <w:p w:rsidR="00565392" w:rsidRDefault="00565392" w:rsidP="0083143C"/>
    <w:p w:rsidR="00565392" w:rsidRDefault="00565392" w:rsidP="0083143C"/>
    <w:p w:rsidR="00565392" w:rsidRDefault="00565392" w:rsidP="0083143C"/>
    <w:p w:rsidR="00565392" w:rsidRPr="002D57BE" w:rsidRDefault="00565392" w:rsidP="00565392">
      <w:pPr>
        <w:pStyle w:val="Heading3"/>
      </w:pPr>
      <w:bookmarkStart w:id="38" w:name="_Toc509487315"/>
      <w:r>
        <w:t>Table 3: Potency, anecdotal dosage and proposed quantities for presumption of supply</w:t>
      </w:r>
      <w:bookmarkEnd w:id="38"/>
    </w:p>
    <w:tbl>
      <w:tblPr>
        <w:tblStyle w:val="TableGrid"/>
        <w:tblW w:w="10342" w:type="dxa"/>
        <w:jc w:val="center"/>
        <w:tblLayout w:type="fixed"/>
        <w:tblLook w:val="04A0" w:firstRow="1" w:lastRow="0" w:firstColumn="1" w:lastColumn="0" w:noHBand="0" w:noVBand="1"/>
      </w:tblPr>
      <w:tblGrid>
        <w:gridCol w:w="1555"/>
        <w:gridCol w:w="1275"/>
        <w:gridCol w:w="1276"/>
        <w:gridCol w:w="1275"/>
        <w:gridCol w:w="1418"/>
        <w:gridCol w:w="1133"/>
        <w:gridCol w:w="1134"/>
        <w:gridCol w:w="1276"/>
      </w:tblGrid>
      <w:tr w:rsidR="0016781F" w:rsidRPr="00B52D6B" w:rsidTr="00565392">
        <w:trPr>
          <w:jc w:val="center"/>
        </w:trPr>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6781F" w:rsidRPr="00B52D6B" w:rsidRDefault="0016781F" w:rsidP="0016781F">
            <w:pPr>
              <w:rPr>
                <w:b/>
              </w:rPr>
            </w:pPr>
            <w:r w:rsidRPr="00B52D6B">
              <w:rPr>
                <w:b/>
              </w:rPr>
              <w:t>Substance</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6781F" w:rsidRDefault="0016781F" w:rsidP="0016781F">
            <w:pPr>
              <w:rPr>
                <w:b/>
              </w:rPr>
            </w:pPr>
            <w:r>
              <w:rPr>
                <w:b/>
              </w:rPr>
              <w:t>EC</w:t>
            </w:r>
            <w:r w:rsidRPr="002D57BE">
              <w:rPr>
                <w:b/>
                <w:vertAlign w:val="subscript"/>
              </w:rPr>
              <w:t>50</w:t>
            </w:r>
            <w:r>
              <w:rPr>
                <w:b/>
              </w:rPr>
              <w:t xml:space="preserve"> at CB1 receptor</w:t>
            </w:r>
            <w:r>
              <w:rPr>
                <w:rStyle w:val="FootnoteReference"/>
                <w:b/>
              </w:rPr>
              <w:footnoteReference w:id="8"/>
            </w:r>
            <w:r>
              <w:rPr>
                <w:b/>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6781F" w:rsidRPr="00B52D6B" w:rsidRDefault="0016781F" w:rsidP="00493703">
            <w:pPr>
              <w:rPr>
                <w:b/>
              </w:rPr>
            </w:pPr>
            <w:r>
              <w:rPr>
                <w:b/>
              </w:rPr>
              <w:t>EC</w:t>
            </w:r>
            <w:r w:rsidRPr="002D57BE">
              <w:rPr>
                <w:b/>
                <w:vertAlign w:val="subscript"/>
              </w:rPr>
              <w:t>50</w:t>
            </w:r>
            <w:r>
              <w:rPr>
                <w:b/>
              </w:rPr>
              <w:t xml:space="preserve"> at CB1 receptor</w:t>
            </w:r>
            <w:r>
              <w:rPr>
                <w:rStyle w:val="FootnoteReference"/>
                <w:b/>
              </w:rPr>
              <w:footnoteReference w:id="9"/>
            </w:r>
            <w:r>
              <w:rPr>
                <w:b/>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6781F" w:rsidRDefault="0016781F" w:rsidP="0016781F">
            <w:pPr>
              <w:rPr>
                <w:b/>
              </w:rPr>
            </w:pPr>
            <w:r>
              <w:rPr>
                <w:b/>
              </w:rPr>
              <w:t>EC</w:t>
            </w:r>
            <w:r w:rsidRPr="002D57BE">
              <w:rPr>
                <w:b/>
                <w:vertAlign w:val="subscript"/>
              </w:rPr>
              <w:t>50</w:t>
            </w:r>
            <w:r>
              <w:rPr>
                <w:b/>
              </w:rPr>
              <w:t xml:space="preserve"> at CB1 receptor</w:t>
            </w:r>
            <w:r>
              <w:rPr>
                <w:rStyle w:val="FootnoteReference"/>
                <w:b/>
              </w:rPr>
              <w:footnoteReference w:id="10"/>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6781F" w:rsidRDefault="0016781F" w:rsidP="0016781F">
            <w:pPr>
              <w:rPr>
                <w:b/>
              </w:rPr>
            </w:pPr>
            <w:r>
              <w:rPr>
                <w:b/>
              </w:rPr>
              <w:t>Anecdotal dosage</w:t>
            </w:r>
            <w:r>
              <w:rPr>
                <w:rStyle w:val="FootnoteReference"/>
                <w:b/>
              </w:rPr>
              <w:footnoteReference w:id="11"/>
            </w:r>
            <w:r>
              <w:rPr>
                <w:b/>
              </w:rPr>
              <w:t xml:space="preserve"> (mg)</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6781F" w:rsidRDefault="0016781F" w:rsidP="0016781F">
            <w:pPr>
              <w:rPr>
                <w:b/>
              </w:rPr>
            </w:pPr>
            <w:r>
              <w:rPr>
                <w:b/>
              </w:rPr>
              <w:t xml:space="preserve">Supply </w:t>
            </w:r>
          </w:p>
          <w:p w:rsidR="0016781F" w:rsidRDefault="0016781F" w:rsidP="0016781F">
            <w:pPr>
              <w:rPr>
                <w:b/>
              </w:rPr>
            </w:pPr>
            <w:r>
              <w:rPr>
                <w:b/>
              </w:rPr>
              <w:t>100x (max) (mg)</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6781F" w:rsidRDefault="0016781F" w:rsidP="0016781F">
            <w:pPr>
              <w:rPr>
                <w:b/>
              </w:rPr>
            </w:pPr>
            <w:r>
              <w:rPr>
                <w:b/>
              </w:rPr>
              <w:t>Supply</w:t>
            </w:r>
          </w:p>
          <w:p w:rsidR="0016781F" w:rsidRDefault="0016781F" w:rsidP="0016781F">
            <w:pPr>
              <w:rPr>
                <w:b/>
              </w:rPr>
            </w:pPr>
            <w:r>
              <w:rPr>
                <w:b/>
              </w:rPr>
              <w:t>25x</w:t>
            </w:r>
          </w:p>
          <w:p w:rsidR="0016781F" w:rsidRDefault="0016781F" w:rsidP="0016781F">
            <w:pPr>
              <w:rPr>
                <w:b/>
              </w:rPr>
            </w:pPr>
            <w:r>
              <w:rPr>
                <w:b/>
              </w:rPr>
              <w:t>(max)</w:t>
            </w:r>
          </w:p>
          <w:p w:rsidR="0016781F" w:rsidRDefault="0016781F" w:rsidP="0016781F">
            <w:pPr>
              <w:rPr>
                <w:b/>
              </w:rPr>
            </w:pPr>
            <w:r>
              <w:rPr>
                <w:b/>
              </w:rPr>
              <w:t>(mg)</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6781F" w:rsidRDefault="0016781F" w:rsidP="0016781F">
            <w:pPr>
              <w:rPr>
                <w:b/>
              </w:rPr>
            </w:pPr>
            <w:r>
              <w:rPr>
                <w:b/>
              </w:rPr>
              <w:t>Supply on plant material 25x</w:t>
            </w:r>
          </w:p>
          <w:p w:rsidR="0016781F" w:rsidRDefault="0016781F" w:rsidP="0016781F">
            <w:pPr>
              <w:rPr>
                <w:b/>
              </w:rPr>
            </w:pPr>
            <w:r>
              <w:rPr>
                <w:b/>
              </w:rPr>
              <w:t>(max)</w:t>
            </w:r>
          </w:p>
          <w:p w:rsidR="0016781F" w:rsidRDefault="0016781F" w:rsidP="0016781F">
            <w:pPr>
              <w:rPr>
                <w:b/>
              </w:rPr>
            </w:pPr>
            <w:r>
              <w:rPr>
                <w:b/>
              </w:rPr>
              <w:t>(mg)</w:t>
            </w:r>
          </w:p>
        </w:tc>
      </w:tr>
      <w:tr w:rsidR="0016781F" w:rsidTr="00565392">
        <w:trPr>
          <w:jc w:val="center"/>
        </w:trPr>
        <w:tc>
          <w:tcPr>
            <w:tcW w:w="1555" w:type="dxa"/>
            <w:shd w:val="clear" w:color="auto" w:fill="auto"/>
            <w:hideMark/>
          </w:tcPr>
          <w:p w:rsidR="0016781F" w:rsidRPr="00F835FD" w:rsidRDefault="0016781F" w:rsidP="0016781F">
            <w:r w:rsidRPr="00F835FD">
              <w:t xml:space="preserve">5F-ADB </w:t>
            </w:r>
          </w:p>
        </w:tc>
        <w:tc>
          <w:tcPr>
            <w:tcW w:w="1275" w:type="dxa"/>
            <w:shd w:val="clear" w:color="auto" w:fill="auto"/>
          </w:tcPr>
          <w:p w:rsidR="0016781F" w:rsidRDefault="0016781F" w:rsidP="0016781F"/>
        </w:tc>
        <w:tc>
          <w:tcPr>
            <w:tcW w:w="1276" w:type="dxa"/>
            <w:shd w:val="clear" w:color="auto" w:fill="auto"/>
          </w:tcPr>
          <w:p w:rsidR="0016781F" w:rsidRDefault="0016781F" w:rsidP="0016781F"/>
        </w:tc>
        <w:tc>
          <w:tcPr>
            <w:tcW w:w="1275" w:type="dxa"/>
            <w:shd w:val="clear" w:color="auto" w:fill="auto"/>
          </w:tcPr>
          <w:p w:rsidR="0016781F" w:rsidRDefault="0016781F" w:rsidP="007B409F">
            <w:r>
              <w:t>0.59 n</w:t>
            </w:r>
            <w:r w:rsidR="007B409F">
              <w:t>M</w:t>
            </w:r>
          </w:p>
        </w:tc>
        <w:tc>
          <w:tcPr>
            <w:tcW w:w="1418" w:type="dxa"/>
            <w:shd w:val="clear" w:color="auto" w:fill="auto"/>
          </w:tcPr>
          <w:p w:rsidR="0016781F" w:rsidRDefault="0016781F" w:rsidP="0016781F">
            <w:r>
              <w:t xml:space="preserve">0.050 </w:t>
            </w:r>
          </w:p>
        </w:tc>
        <w:tc>
          <w:tcPr>
            <w:tcW w:w="1133" w:type="dxa"/>
            <w:shd w:val="clear" w:color="auto" w:fill="auto"/>
          </w:tcPr>
          <w:p w:rsidR="0016781F" w:rsidRDefault="0016781F" w:rsidP="0016781F">
            <w:r>
              <w:t xml:space="preserve">5 </w:t>
            </w:r>
          </w:p>
        </w:tc>
        <w:tc>
          <w:tcPr>
            <w:tcW w:w="1134" w:type="dxa"/>
            <w:shd w:val="clear" w:color="auto" w:fill="auto"/>
          </w:tcPr>
          <w:p w:rsidR="0016781F" w:rsidRDefault="0016781F" w:rsidP="0016781F">
            <w:r>
              <w:t>1.25</w:t>
            </w:r>
          </w:p>
        </w:tc>
        <w:tc>
          <w:tcPr>
            <w:tcW w:w="1276" w:type="dxa"/>
            <w:shd w:val="clear" w:color="auto" w:fill="auto"/>
          </w:tcPr>
          <w:p w:rsidR="0016781F" w:rsidRDefault="0016781F" w:rsidP="0016781F">
            <w:r>
              <w:t>78.125</w:t>
            </w:r>
          </w:p>
        </w:tc>
      </w:tr>
      <w:tr w:rsidR="0016781F" w:rsidTr="00565392">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hideMark/>
          </w:tcPr>
          <w:p w:rsidR="0016781F" w:rsidRPr="00F835FD" w:rsidRDefault="0016781F" w:rsidP="0016781F">
            <w:r w:rsidRPr="00F835FD">
              <w:t>UR-144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6781F" w:rsidRDefault="0016781F" w:rsidP="007B409F">
            <w:r>
              <w:t>421 n</w:t>
            </w:r>
            <w:r w:rsidR="007B409F">
              <w:t>M</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781F" w:rsidRDefault="0016781F" w:rsidP="0016781F"/>
        </w:tc>
        <w:tc>
          <w:tcPr>
            <w:tcW w:w="1275" w:type="dxa"/>
            <w:tcBorders>
              <w:top w:val="single" w:sz="4" w:space="0" w:color="auto"/>
              <w:left w:val="single" w:sz="4" w:space="0" w:color="auto"/>
              <w:bottom w:val="single" w:sz="4" w:space="0" w:color="auto"/>
              <w:right w:val="single" w:sz="4" w:space="0" w:color="auto"/>
            </w:tcBorders>
            <w:shd w:val="clear" w:color="auto" w:fill="auto"/>
          </w:tcPr>
          <w:p w:rsidR="0016781F" w:rsidRDefault="0016781F" w:rsidP="0016781F"/>
        </w:tc>
        <w:tc>
          <w:tcPr>
            <w:tcW w:w="1418" w:type="dxa"/>
            <w:tcBorders>
              <w:top w:val="single" w:sz="4" w:space="0" w:color="auto"/>
              <w:left w:val="single" w:sz="4" w:space="0" w:color="auto"/>
              <w:bottom w:val="single" w:sz="4" w:space="0" w:color="auto"/>
              <w:right w:val="single" w:sz="4" w:space="0" w:color="auto"/>
            </w:tcBorders>
            <w:shd w:val="clear" w:color="auto" w:fill="auto"/>
          </w:tcPr>
          <w:p w:rsidR="0016781F" w:rsidRDefault="0016781F" w:rsidP="0016781F">
            <w:r>
              <w:t xml:space="preserve">2.5-20 </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16781F" w:rsidRDefault="0016781F" w:rsidP="0016781F">
            <w:r>
              <w:t xml:space="preserve">2000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781F" w:rsidRDefault="0016781F" w:rsidP="0016781F">
            <w:r>
              <w:t>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781F" w:rsidRDefault="0016781F" w:rsidP="0016781F">
            <w:r>
              <w:t>31250</w:t>
            </w:r>
          </w:p>
        </w:tc>
      </w:tr>
      <w:tr w:rsidR="0016781F" w:rsidTr="00565392">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hideMark/>
          </w:tcPr>
          <w:p w:rsidR="0016781F" w:rsidRPr="00F835FD" w:rsidRDefault="0016781F" w:rsidP="0016781F">
            <w:r w:rsidRPr="00F835FD">
              <w:t>5F-PB-22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6781F" w:rsidRDefault="0016781F" w:rsidP="007B409F">
            <w:r>
              <w:t>2.8 n</w:t>
            </w:r>
            <w:r w:rsidR="007B409F">
              <w:t>M</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781F" w:rsidRDefault="0016781F" w:rsidP="0016781F"/>
        </w:tc>
        <w:tc>
          <w:tcPr>
            <w:tcW w:w="1275" w:type="dxa"/>
            <w:tcBorders>
              <w:top w:val="single" w:sz="4" w:space="0" w:color="auto"/>
              <w:left w:val="single" w:sz="4" w:space="0" w:color="auto"/>
              <w:bottom w:val="single" w:sz="4" w:space="0" w:color="auto"/>
              <w:right w:val="single" w:sz="4" w:space="0" w:color="auto"/>
            </w:tcBorders>
            <w:shd w:val="clear" w:color="auto" w:fill="auto"/>
          </w:tcPr>
          <w:p w:rsidR="0016781F" w:rsidRDefault="0016781F" w:rsidP="0016781F"/>
        </w:tc>
        <w:tc>
          <w:tcPr>
            <w:tcW w:w="1418" w:type="dxa"/>
            <w:tcBorders>
              <w:top w:val="single" w:sz="4" w:space="0" w:color="auto"/>
              <w:left w:val="single" w:sz="4" w:space="0" w:color="auto"/>
              <w:bottom w:val="single" w:sz="4" w:space="0" w:color="auto"/>
              <w:right w:val="single" w:sz="4" w:space="0" w:color="auto"/>
            </w:tcBorders>
            <w:shd w:val="clear" w:color="auto" w:fill="auto"/>
          </w:tcPr>
          <w:p w:rsidR="0016781F" w:rsidRDefault="0016781F" w:rsidP="0016781F">
            <w:r>
              <w:t xml:space="preserve">1-8 </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16781F" w:rsidRDefault="0016781F" w:rsidP="0016781F">
            <w:r>
              <w:t xml:space="preserve">800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781F" w:rsidRDefault="0016781F" w:rsidP="0016781F">
            <w:r>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781F" w:rsidRDefault="0016781F" w:rsidP="0016781F">
            <w:r>
              <w:t>12500</w:t>
            </w:r>
          </w:p>
        </w:tc>
      </w:tr>
      <w:tr w:rsidR="0016781F" w:rsidTr="00565392">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hideMark/>
          </w:tcPr>
          <w:p w:rsidR="0016781F" w:rsidRPr="00F835FD" w:rsidRDefault="0016781F" w:rsidP="0016781F">
            <w:r w:rsidRPr="00F835FD">
              <w:t>MDMB-CHMICA</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6781F" w:rsidRDefault="0016781F" w:rsidP="0016781F"/>
        </w:tc>
        <w:tc>
          <w:tcPr>
            <w:tcW w:w="1276" w:type="dxa"/>
            <w:tcBorders>
              <w:top w:val="single" w:sz="4" w:space="0" w:color="auto"/>
              <w:left w:val="single" w:sz="4" w:space="0" w:color="auto"/>
              <w:bottom w:val="single" w:sz="4" w:space="0" w:color="auto"/>
              <w:right w:val="single" w:sz="4" w:space="0" w:color="auto"/>
            </w:tcBorders>
            <w:shd w:val="clear" w:color="auto" w:fill="auto"/>
          </w:tcPr>
          <w:p w:rsidR="0016781F" w:rsidRDefault="0016781F" w:rsidP="0016781F"/>
        </w:tc>
        <w:tc>
          <w:tcPr>
            <w:tcW w:w="1275" w:type="dxa"/>
            <w:tcBorders>
              <w:top w:val="single" w:sz="4" w:space="0" w:color="auto"/>
              <w:left w:val="single" w:sz="4" w:space="0" w:color="auto"/>
              <w:bottom w:val="single" w:sz="4" w:space="0" w:color="auto"/>
              <w:right w:val="single" w:sz="4" w:space="0" w:color="auto"/>
            </w:tcBorders>
            <w:shd w:val="clear" w:color="auto" w:fill="auto"/>
          </w:tcPr>
          <w:p w:rsidR="0016781F" w:rsidRDefault="0016781F" w:rsidP="007B409F">
            <w:r>
              <w:t>10 n</w:t>
            </w:r>
            <w:r w:rsidR="007B409F">
              <w:t>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6781F" w:rsidRDefault="0016781F" w:rsidP="0016781F">
            <w:r>
              <w:t xml:space="preserve">0.1-15 </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16781F" w:rsidRDefault="0016781F" w:rsidP="0016781F">
            <w:r>
              <w:t xml:space="preserve">1500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781F" w:rsidRDefault="0016781F" w:rsidP="0016781F">
            <w:r>
              <w:t>375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781F" w:rsidRDefault="0016781F" w:rsidP="0016781F">
            <w:r>
              <w:t>23437.5</w:t>
            </w:r>
          </w:p>
        </w:tc>
      </w:tr>
      <w:tr w:rsidR="0016781F" w:rsidTr="00565392">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hideMark/>
          </w:tcPr>
          <w:p w:rsidR="0016781F" w:rsidRPr="00B52D6B" w:rsidRDefault="0016781F" w:rsidP="0016781F">
            <w:r w:rsidRPr="00B52D6B">
              <w:t>5F-AKB-48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6781F" w:rsidRDefault="0016781F" w:rsidP="0016781F"/>
        </w:tc>
        <w:tc>
          <w:tcPr>
            <w:tcW w:w="1276" w:type="dxa"/>
            <w:tcBorders>
              <w:top w:val="single" w:sz="4" w:space="0" w:color="auto"/>
              <w:left w:val="single" w:sz="4" w:space="0" w:color="auto"/>
              <w:bottom w:val="single" w:sz="4" w:space="0" w:color="auto"/>
              <w:right w:val="single" w:sz="4" w:space="0" w:color="auto"/>
            </w:tcBorders>
            <w:shd w:val="clear" w:color="auto" w:fill="auto"/>
          </w:tcPr>
          <w:p w:rsidR="0016781F" w:rsidRDefault="0016781F" w:rsidP="0016781F"/>
        </w:tc>
        <w:tc>
          <w:tcPr>
            <w:tcW w:w="1275" w:type="dxa"/>
            <w:tcBorders>
              <w:top w:val="single" w:sz="4" w:space="0" w:color="auto"/>
              <w:left w:val="single" w:sz="4" w:space="0" w:color="auto"/>
              <w:bottom w:val="single" w:sz="4" w:space="0" w:color="auto"/>
              <w:right w:val="single" w:sz="4" w:space="0" w:color="auto"/>
            </w:tcBorders>
            <w:shd w:val="clear" w:color="auto" w:fill="auto"/>
          </w:tcPr>
          <w:p w:rsidR="0016781F" w:rsidRDefault="0016781F" w:rsidP="0016781F"/>
        </w:tc>
        <w:tc>
          <w:tcPr>
            <w:tcW w:w="1418" w:type="dxa"/>
            <w:tcBorders>
              <w:top w:val="single" w:sz="4" w:space="0" w:color="auto"/>
              <w:left w:val="single" w:sz="4" w:space="0" w:color="auto"/>
              <w:bottom w:val="single" w:sz="4" w:space="0" w:color="auto"/>
              <w:right w:val="single" w:sz="4" w:space="0" w:color="auto"/>
            </w:tcBorders>
            <w:shd w:val="clear" w:color="auto" w:fill="auto"/>
          </w:tcPr>
          <w:p w:rsidR="0016781F" w:rsidRDefault="0016781F" w:rsidP="0016781F">
            <w:r>
              <w:t xml:space="preserve">1-2 </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16781F" w:rsidRDefault="0016781F" w:rsidP="0016781F">
            <w:r>
              <w:t xml:space="preserve">200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781F" w:rsidRDefault="0016781F" w:rsidP="0016781F">
            <w:r>
              <w:t>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781F" w:rsidRDefault="0016781F" w:rsidP="0016781F">
            <w:r>
              <w:t>3125</w:t>
            </w:r>
          </w:p>
        </w:tc>
      </w:tr>
      <w:tr w:rsidR="0016781F" w:rsidTr="00565392">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hideMark/>
          </w:tcPr>
          <w:p w:rsidR="0016781F" w:rsidRPr="00F835FD" w:rsidRDefault="0016781F" w:rsidP="0016781F">
            <w:r w:rsidRPr="00F835FD">
              <w:t>XLR-11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6781F" w:rsidRDefault="0016781F" w:rsidP="007B409F">
            <w:r>
              <w:t>98 n</w:t>
            </w:r>
            <w:r w:rsidR="007B409F">
              <w:t>M</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781F" w:rsidRDefault="0016781F" w:rsidP="0016781F"/>
        </w:tc>
        <w:tc>
          <w:tcPr>
            <w:tcW w:w="1275" w:type="dxa"/>
            <w:tcBorders>
              <w:top w:val="single" w:sz="4" w:space="0" w:color="auto"/>
              <w:left w:val="single" w:sz="4" w:space="0" w:color="auto"/>
              <w:bottom w:val="single" w:sz="4" w:space="0" w:color="auto"/>
              <w:right w:val="single" w:sz="4" w:space="0" w:color="auto"/>
            </w:tcBorders>
            <w:shd w:val="clear" w:color="auto" w:fill="auto"/>
          </w:tcPr>
          <w:p w:rsidR="0016781F" w:rsidRDefault="0016781F" w:rsidP="0016781F"/>
        </w:tc>
        <w:tc>
          <w:tcPr>
            <w:tcW w:w="1418" w:type="dxa"/>
            <w:tcBorders>
              <w:top w:val="single" w:sz="4" w:space="0" w:color="auto"/>
              <w:left w:val="single" w:sz="4" w:space="0" w:color="auto"/>
              <w:bottom w:val="single" w:sz="4" w:space="0" w:color="auto"/>
              <w:right w:val="single" w:sz="4" w:space="0" w:color="auto"/>
            </w:tcBorders>
            <w:shd w:val="clear" w:color="auto" w:fill="auto"/>
          </w:tcPr>
          <w:p w:rsidR="0016781F" w:rsidRDefault="0016781F" w:rsidP="0016781F">
            <w:r>
              <w:t>None reported</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16781F" w:rsidRDefault="0016781F" w:rsidP="0016781F">
            <w: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781F" w:rsidRDefault="0016781F" w:rsidP="0016781F">
            <w: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781F" w:rsidRDefault="0016781F" w:rsidP="0016781F">
            <w:r>
              <w:t>N/A</w:t>
            </w:r>
          </w:p>
        </w:tc>
      </w:tr>
      <w:tr w:rsidR="0016781F" w:rsidTr="00565392">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hideMark/>
          </w:tcPr>
          <w:p w:rsidR="0016781F" w:rsidRPr="00F835FD" w:rsidRDefault="0016781F" w:rsidP="0016781F">
            <w:r w:rsidRPr="00F835FD">
              <w:t>JWH-018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6781F" w:rsidRDefault="0016781F" w:rsidP="007B409F">
            <w:r>
              <w:t>102 n</w:t>
            </w:r>
            <w:r w:rsidR="007B409F">
              <w:t>M</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781F" w:rsidRDefault="0016781F" w:rsidP="007B409F">
            <w:r>
              <w:t>18 n</w:t>
            </w:r>
            <w:r w:rsidR="007B409F">
              <w:t>M</w:t>
            </w:r>
            <w: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6781F" w:rsidRDefault="0016781F" w:rsidP="0016781F"/>
        </w:tc>
        <w:tc>
          <w:tcPr>
            <w:tcW w:w="1418" w:type="dxa"/>
            <w:tcBorders>
              <w:top w:val="single" w:sz="4" w:space="0" w:color="auto"/>
              <w:left w:val="single" w:sz="4" w:space="0" w:color="auto"/>
              <w:bottom w:val="single" w:sz="4" w:space="0" w:color="auto"/>
              <w:right w:val="single" w:sz="4" w:space="0" w:color="auto"/>
            </w:tcBorders>
            <w:shd w:val="clear" w:color="auto" w:fill="auto"/>
          </w:tcPr>
          <w:p w:rsidR="0016781F" w:rsidRDefault="0016781F" w:rsidP="0016781F">
            <w:r>
              <w:t xml:space="preserve">2-5 </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16781F" w:rsidRDefault="0016781F" w:rsidP="0016781F">
            <w:r>
              <w:t xml:space="preserve">500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781F" w:rsidRDefault="0016781F" w:rsidP="0016781F">
            <w:r>
              <w:t>125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781F" w:rsidRDefault="0016781F" w:rsidP="0016781F">
            <w:r>
              <w:t>7812.5</w:t>
            </w:r>
          </w:p>
        </w:tc>
      </w:tr>
      <w:tr w:rsidR="0016781F" w:rsidTr="00565392">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hideMark/>
          </w:tcPr>
          <w:p w:rsidR="0016781F" w:rsidRPr="00F835FD" w:rsidRDefault="0016781F" w:rsidP="0016781F">
            <w:r w:rsidRPr="00F835FD">
              <w:t>AM-2201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6781F" w:rsidRDefault="0016781F" w:rsidP="007B409F">
            <w:r>
              <w:t>38 n</w:t>
            </w:r>
            <w:r w:rsidR="007B409F">
              <w:t>M</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781F" w:rsidRDefault="0016781F" w:rsidP="0016781F"/>
        </w:tc>
        <w:tc>
          <w:tcPr>
            <w:tcW w:w="1275" w:type="dxa"/>
            <w:tcBorders>
              <w:top w:val="single" w:sz="4" w:space="0" w:color="auto"/>
              <w:left w:val="single" w:sz="4" w:space="0" w:color="auto"/>
              <w:bottom w:val="single" w:sz="4" w:space="0" w:color="auto"/>
              <w:right w:val="single" w:sz="4" w:space="0" w:color="auto"/>
            </w:tcBorders>
            <w:shd w:val="clear" w:color="auto" w:fill="auto"/>
          </w:tcPr>
          <w:p w:rsidR="0016781F" w:rsidRDefault="0016781F" w:rsidP="0016781F"/>
        </w:tc>
        <w:tc>
          <w:tcPr>
            <w:tcW w:w="1418" w:type="dxa"/>
            <w:tcBorders>
              <w:top w:val="single" w:sz="4" w:space="0" w:color="auto"/>
              <w:left w:val="single" w:sz="4" w:space="0" w:color="auto"/>
              <w:bottom w:val="single" w:sz="4" w:space="0" w:color="auto"/>
              <w:right w:val="single" w:sz="4" w:space="0" w:color="auto"/>
            </w:tcBorders>
            <w:shd w:val="clear" w:color="auto" w:fill="auto"/>
          </w:tcPr>
          <w:p w:rsidR="0016781F" w:rsidRDefault="0016781F" w:rsidP="0016781F">
            <w:r>
              <w:t xml:space="preserve">0.25-2 </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16781F" w:rsidRDefault="0016781F" w:rsidP="0016781F">
            <w:r>
              <w:t xml:space="preserve">200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781F" w:rsidRDefault="0016781F" w:rsidP="0016781F">
            <w:r>
              <w:t>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781F" w:rsidRDefault="0016781F" w:rsidP="0016781F">
            <w:r>
              <w:t>3125</w:t>
            </w:r>
          </w:p>
        </w:tc>
      </w:tr>
      <w:tr w:rsidR="0016781F" w:rsidTr="00565392">
        <w:trPr>
          <w:jc w:val="center"/>
        </w:trPr>
        <w:tc>
          <w:tcPr>
            <w:tcW w:w="1555" w:type="dxa"/>
            <w:shd w:val="clear" w:color="auto" w:fill="auto"/>
            <w:hideMark/>
          </w:tcPr>
          <w:p w:rsidR="0016781F" w:rsidRPr="00F835FD" w:rsidRDefault="0016781F" w:rsidP="0016781F">
            <w:r w:rsidRPr="00F835FD">
              <w:t>AMB-FUBINACA</w:t>
            </w:r>
          </w:p>
        </w:tc>
        <w:tc>
          <w:tcPr>
            <w:tcW w:w="1275" w:type="dxa"/>
            <w:shd w:val="clear" w:color="auto" w:fill="auto"/>
          </w:tcPr>
          <w:p w:rsidR="0016781F" w:rsidRDefault="0016781F" w:rsidP="0016781F"/>
        </w:tc>
        <w:tc>
          <w:tcPr>
            <w:tcW w:w="1276" w:type="dxa"/>
            <w:shd w:val="clear" w:color="auto" w:fill="auto"/>
          </w:tcPr>
          <w:p w:rsidR="0016781F" w:rsidRDefault="0016781F" w:rsidP="0016781F"/>
        </w:tc>
        <w:tc>
          <w:tcPr>
            <w:tcW w:w="1275" w:type="dxa"/>
            <w:shd w:val="clear" w:color="auto" w:fill="auto"/>
          </w:tcPr>
          <w:p w:rsidR="0016781F" w:rsidRDefault="0016781F" w:rsidP="007B409F">
            <w:r>
              <w:t>2.0 n</w:t>
            </w:r>
            <w:r w:rsidR="007B409F">
              <w:t>M</w:t>
            </w:r>
          </w:p>
        </w:tc>
        <w:tc>
          <w:tcPr>
            <w:tcW w:w="1418" w:type="dxa"/>
            <w:shd w:val="clear" w:color="auto" w:fill="auto"/>
          </w:tcPr>
          <w:p w:rsidR="0016781F" w:rsidRDefault="0016781F" w:rsidP="0016781F">
            <w:r>
              <w:t xml:space="preserve">From 0.007 </w:t>
            </w:r>
          </w:p>
        </w:tc>
        <w:tc>
          <w:tcPr>
            <w:tcW w:w="1133" w:type="dxa"/>
            <w:shd w:val="clear" w:color="auto" w:fill="auto"/>
          </w:tcPr>
          <w:p w:rsidR="0016781F" w:rsidRDefault="0016781F" w:rsidP="0016781F">
            <w:r>
              <w:t xml:space="preserve">From 0.7 </w:t>
            </w:r>
          </w:p>
        </w:tc>
        <w:tc>
          <w:tcPr>
            <w:tcW w:w="1134" w:type="dxa"/>
            <w:shd w:val="clear" w:color="auto" w:fill="auto"/>
          </w:tcPr>
          <w:p w:rsidR="0016781F" w:rsidRDefault="0016781F" w:rsidP="0016781F">
            <w:r>
              <w:t>From 0.175</w:t>
            </w:r>
          </w:p>
        </w:tc>
        <w:tc>
          <w:tcPr>
            <w:tcW w:w="1276" w:type="dxa"/>
            <w:shd w:val="clear" w:color="auto" w:fill="auto"/>
          </w:tcPr>
          <w:p w:rsidR="0016781F" w:rsidRDefault="0016781F" w:rsidP="0016781F">
            <w:r>
              <w:t>10.9375</w:t>
            </w:r>
          </w:p>
        </w:tc>
      </w:tr>
      <w:tr w:rsidR="0016781F" w:rsidTr="00565392">
        <w:trPr>
          <w:jc w:val="center"/>
        </w:trPr>
        <w:tc>
          <w:tcPr>
            <w:tcW w:w="1555" w:type="dxa"/>
            <w:shd w:val="clear" w:color="auto" w:fill="auto"/>
            <w:hideMark/>
          </w:tcPr>
          <w:p w:rsidR="0016781F" w:rsidRPr="00F835FD" w:rsidRDefault="0016781F" w:rsidP="0016781F">
            <w:r w:rsidRPr="00F835FD">
              <w:t>AB-FUBINACA</w:t>
            </w:r>
          </w:p>
        </w:tc>
        <w:tc>
          <w:tcPr>
            <w:tcW w:w="1275" w:type="dxa"/>
            <w:shd w:val="clear" w:color="auto" w:fill="auto"/>
          </w:tcPr>
          <w:p w:rsidR="0016781F" w:rsidRDefault="0016781F" w:rsidP="0016781F"/>
        </w:tc>
        <w:tc>
          <w:tcPr>
            <w:tcW w:w="1276" w:type="dxa"/>
            <w:shd w:val="clear" w:color="auto" w:fill="auto"/>
          </w:tcPr>
          <w:p w:rsidR="0016781F" w:rsidRDefault="0016781F" w:rsidP="007B409F">
            <w:r>
              <w:t>1.8 n</w:t>
            </w:r>
            <w:r w:rsidR="007B409F">
              <w:t>M</w:t>
            </w:r>
          </w:p>
        </w:tc>
        <w:tc>
          <w:tcPr>
            <w:tcW w:w="1275" w:type="dxa"/>
            <w:shd w:val="clear" w:color="auto" w:fill="auto"/>
          </w:tcPr>
          <w:p w:rsidR="0016781F" w:rsidRDefault="0016781F" w:rsidP="0016781F"/>
        </w:tc>
        <w:tc>
          <w:tcPr>
            <w:tcW w:w="1418" w:type="dxa"/>
            <w:shd w:val="clear" w:color="auto" w:fill="auto"/>
          </w:tcPr>
          <w:p w:rsidR="0016781F" w:rsidRDefault="0016781F" w:rsidP="0016781F">
            <w:r>
              <w:t xml:space="preserve">0.25-3 </w:t>
            </w:r>
          </w:p>
        </w:tc>
        <w:tc>
          <w:tcPr>
            <w:tcW w:w="1133" w:type="dxa"/>
            <w:shd w:val="clear" w:color="auto" w:fill="auto"/>
          </w:tcPr>
          <w:p w:rsidR="0016781F" w:rsidRDefault="0016781F" w:rsidP="0016781F">
            <w:r>
              <w:t xml:space="preserve">300 </w:t>
            </w:r>
          </w:p>
        </w:tc>
        <w:tc>
          <w:tcPr>
            <w:tcW w:w="1134" w:type="dxa"/>
            <w:shd w:val="clear" w:color="auto" w:fill="auto"/>
          </w:tcPr>
          <w:p w:rsidR="0016781F" w:rsidRDefault="0016781F" w:rsidP="0016781F">
            <w:r>
              <w:t>75</w:t>
            </w:r>
          </w:p>
        </w:tc>
        <w:tc>
          <w:tcPr>
            <w:tcW w:w="1276" w:type="dxa"/>
            <w:shd w:val="clear" w:color="auto" w:fill="auto"/>
          </w:tcPr>
          <w:p w:rsidR="0016781F" w:rsidRDefault="0016781F" w:rsidP="0016781F">
            <w:r>
              <w:t>4687.5</w:t>
            </w:r>
          </w:p>
        </w:tc>
      </w:tr>
    </w:tbl>
    <w:p w:rsidR="0083143C" w:rsidRDefault="00085059" w:rsidP="001A69F4">
      <w:pPr>
        <w:rPr>
          <w:i/>
        </w:rPr>
      </w:pPr>
      <w:r w:rsidRPr="00085059">
        <w:rPr>
          <w:i/>
        </w:rPr>
        <w:t>Note that the EC</w:t>
      </w:r>
      <w:r w:rsidRPr="007B409F">
        <w:rPr>
          <w:i/>
          <w:vertAlign w:val="subscript"/>
        </w:rPr>
        <w:t>50</w:t>
      </w:r>
      <w:r w:rsidRPr="00085059">
        <w:rPr>
          <w:i/>
        </w:rPr>
        <w:t xml:space="preserve"> values can vary depending on the test perform</w:t>
      </w:r>
      <w:r w:rsidR="00493703">
        <w:rPr>
          <w:i/>
        </w:rPr>
        <w:t>ed</w:t>
      </w:r>
      <w:r w:rsidR="00BE366D">
        <w:rPr>
          <w:i/>
        </w:rPr>
        <w:t xml:space="preserve"> and even between the same test performed at different times (as shown by the two JWH-018 measurements)</w:t>
      </w:r>
      <w:r w:rsidR="00493703">
        <w:rPr>
          <w:i/>
        </w:rPr>
        <w:t>. These have been provided to</w:t>
      </w:r>
      <w:r w:rsidRPr="00085059">
        <w:rPr>
          <w:i/>
        </w:rPr>
        <w:t xml:space="preserve"> allow comparative potency to be considered. </w:t>
      </w:r>
    </w:p>
    <w:p w:rsidR="00D13827" w:rsidRDefault="00D13827" w:rsidP="001A69F4">
      <w:r>
        <w:t>The recommended dosage of substances in the table above are all based on anecdotal information. This means that the recommended dosages could be incorrect or could vary</w:t>
      </w:r>
      <w:r w:rsidR="00A34892">
        <w:t xml:space="preserve"> according to individuals</w:t>
      </w:r>
      <w:r>
        <w:t xml:space="preserve">. For this reason it may be reasonable to apply one presumption of supply </w:t>
      </w:r>
      <w:r w:rsidR="00A34892">
        <w:t xml:space="preserve">limit </w:t>
      </w:r>
      <w:r>
        <w:t xml:space="preserve">for all of the synthetic cannabinoids considered here. </w:t>
      </w:r>
      <w:r w:rsidR="00A34892">
        <w:t>If this were to be used, then the median level of supply for 25 doses of substance (from the table above) could be used</w:t>
      </w:r>
      <w:r w:rsidR="006A2F41">
        <w:t>;</w:t>
      </w:r>
      <w:r w:rsidR="00A34892">
        <w:t xml:space="preserve"> this would be 75 mg. </w:t>
      </w:r>
    </w:p>
    <w:p w:rsidR="00A34892" w:rsidRDefault="00A34892" w:rsidP="001A69F4">
      <w:r>
        <w:t>It is also important to consider how a presumption of supply limit will be applied. When it is for the pure substance</w:t>
      </w:r>
      <w:r w:rsidR="00220D01">
        <w:t>,</w:t>
      </w:r>
      <w:r>
        <w:t xml:space="preserve"> wording </w:t>
      </w:r>
      <w:r w:rsidR="0020096A">
        <w:t xml:space="preserve">such as the following </w:t>
      </w:r>
      <w:r>
        <w:t>could be appropriate.</w:t>
      </w:r>
    </w:p>
    <w:p w:rsidR="001C6C3F" w:rsidRDefault="001C6C3F" w:rsidP="001A69F4"/>
    <w:p w:rsidR="00A34892" w:rsidRDefault="00A34892" w:rsidP="001C6C3F">
      <w:pPr>
        <w:pStyle w:val="ListParagraph"/>
        <w:numPr>
          <w:ilvl w:val="0"/>
          <w:numId w:val="37"/>
        </w:numPr>
        <w:spacing w:after="0"/>
      </w:pPr>
      <w:r>
        <w:t>7</w:t>
      </w:r>
      <w:r w:rsidRPr="00A34892">
        <w:t xml:space="preserve">5 milligrams or </w:t>
      </w:r>
      <w:r>
        <w:t>2</w:t>
      </w:r>
      <w:r w:rsidRPr="00A34892">
        <w:t>5 flakes, tablets, capsules, or other drug forms each containing some quantity of the drug</w:t>
      </w:r>
      <w:r>
        <w:t xml:space="preserve">. </w:t>
      </w:r>
    </w:p>
    <w:p w:rsidR="00A34892" w:rsidRDefault="00A34892" w:rsidP="001C6C3F">
      <w:pPr>
        <w:spacing w:after="0"/>
      </w:pPr>
      <w:r>
        <w:t>or</w:t>
      </w:r>
    </w:p>
    <w:p w:rsidR="00A34892" w:rsidRDefault="00A34892" w:rsidP="001754C9">
      <w:pPr>
        <w:pStyle w:val="ListParagraph"/>
        <w:numPr>
          <w:ilvl w:val="0"/>
          <w:numId w:val="37"/>
        </w:numPr>
      </w:pPr>
      <w:r>
        <w:t>7</w:t>
      </w:r>
      <w:r w:rsidRPr="00A34892">
        <w:t xml:space="preserve">5 </w:t>
      </w:r>
      <w:r>
        <w:t>milli</w:t>
      </w:r>
      <w:r w:rsidRPr="00A34892">
        <w:t>grams, whether or not contained in a substance, preparation, or mixture</w:t>
      </w:r>
    </w:p>
    <w:p w:rsidR="0058700C" w:rsidRDefault="001754C9" w:rsidP="001A69F4">
      <w:r>
        <w:t>If the first set of wording were proposed, then a specific limit for</w:t>
      </w:r>
      <w:r w:rsidR="0020096A">
        <w:t xml:space="preserve"> presumption of supply of</w:t>
      </w:r>
      <w:r>
        <w:t xml:space="preserve"> the substance when applied to plant material would also be preferable. </w:t>
      </w:r>
      <w:r w:rsidR="00E42A44">
        <w:t>In Schedule 5 of the Misuse of Drugs Act, p</w:t>
      </w:r>
      <w:r w:rsidR="00A34892">
        <w:t xml:space="preserve">lant material is generally treated as cigarettes, eg, </w:t>
      </w:r>
      <w:r w:rsidR="00C3007F">
        <w:t>for cannabis preparations</w:t>
      </w:r>
      <w:r w:rsidR="006A2F41">
        <w:t>, the quantity defined as being for supply</w:t>
      </w:r>
      <w:r w:rsidR="00C3007F">
        <w:t xml:space="preserve"> is </w:t>
      </w:r>
      <w:r w:rsidR="008E3FA0">
        <w:t xml:space="preserve">at or above </w:t>
      </w:r>
      <w:r w:rsidR="00C3007F">
        <w:t>5 g or 100 cigarettes containing the drug</w:t>
      </w:r>
      <w:r w:rsidR="006A2F41">
        <w:t>,</w:t>
      </w:r>
      <w:r w:rsidR="00C3007F">
        <w:t xml:space="preserve"> and for cannabis plant</w:t>
      </w:r>
      <w:r w:rsidR="006A2F41">
        <w:t>, the quantity defined as being for supply</w:t>
      </w:r>
      <w:r w:rsidR="00C3007F">
        <w:t xml:space="preserve"> is</w:t>
      </w:r>
      <w:r w:rsidR="008E3FA0">
        <w:t xml:space="preserve"> at or above</w:t>
      </w:r>
      <w:r w:rsidR="00C3007F">
        <w:t xml:space="preserve"> 28 g o</w:t>
      </w:r>
      <w:r w:rsidR="008E3FA0">
        <w:t>r</w:t>
      </w:r>
      <w:r w:rsidR="00C3007F">
        <w:t xml:space="preserve"> 100 cigarettes containing the drug. However, without defining </w:t>
      </w:r>
      <w:r w:rsidR="00DC17C7">
        <w:t xml:space="preserve">the size of a cigarette, this is not practical for </w:t>
      </w:r>
      <w:r w:rsidR="00576EE1">
        <w:t>determining if</w:t>
      </w:r>
      <w:r w:rsidR="008E3FA0">
        <w:t xml:space="preserve"> synthetic cannabis</w:t>
      </w:r>
      <w:r w:rsidR="00576EE1">
        <w:t xml:space="preserve"> plant material is for supply when it is not rolled into a cigarette</w:t>
      </w:r>
      <w:r w:rsidR="008E3FA0">
        <w:t xml:space="preserve"> as the weight of the plant material could cause amounts for individual use to fall into the quantities specified for supply</w:t>
      </w:r>
      <w:r w:rsidR="00576EE1">
        <w:t>. Most</w:t>
      </w:r>
      <w:r w:rsidR="008E3FA0">
        <w:t xml:space="preserve"> synthetic cannabis</w:t>
      </w:r>
      <w:r w:rsidR="00576EE1">
        <w:t xml:space="preserve"> plant material is confiscated as </w:t>
      </w:r>
      <w:r w:rsidR="00E42A44">
        <w:t xml:space="preserve">loose </w:t>
      </w:r>
      <w:r w:rsidR="00576EE1">
        <w:t xml:space="preserve">dried plant material and not as a cigarette so the presumption of supply is better suited </w:t>
      </w:r>
      <w:r w:rsidR="006A2F41">
        <w:t xml:space="preserve">to </w:t>
      </w:r>
      <w:r w:rsidR="00576EE1">
        <w:t xml:space="preserve">weight of plant material. </w:t>
      </w:r>
    </w:p>
    <w:p w:rsidR="0058700C" w:rsidRDefault="0058700C" w:rsidP="001A69F4">
      <w:r>
        <w:t xml:space="preserve">If we take the mean concentration of AMB-FUBINACA which appeared in the samples in New York </w:t>
      </w:r>
      <w:r w:rsidR="00E54B4D">
        <w:t>(</w:t>
      </w:r>
      <w:r>
        <w:t>referred to in the “methods and</w:t>
      </w:r>
      <w:r w:rsidR="00E54B4D">
        <w:t xml:space="preserve"> ease of manufacturing” </w:t>
      </w:r>
      <w:r>
        <w:t>section</w:t>
      </w:r>
      <w:r w:rsidR="00E54B4D">
        <w:t>)</w:t>
      </w:r>
      <w:r>
        <w:t xml:space="preserve"> of 16.0 mg/g </w:t>
      </w:r>
      <w:r w:rsidR="00DC60C9">
        <w:t>and consider that one dose of AMB-FUBINACA is 0.007 mg</w:t>
      </w:r>
      <w:r w:rsidR="00F454A9">
        <w:t xml:space="preserve"> (taken from the maximum anecdotal dosage in the table above)</w:t>
      </w:r>
      <w:r w:rsidR="00DC60C9">
        <w:t xml:space="preserve">. At a concentration of 16.0 mg/g, 0.007 mg of AMB-FUBINACA would require 0.4375 mg of plant material. For 25 doses this would be roughly 11 mg and for 100 doses this would be roughly 44 mg. </w:t>
      </w:r>
    </w:p>
    <w:p w:rsidR="0029004F" w:rsidRDefault="00F454A9" w:rsidP="001A69F4">
      <w:r>
        <w:t>As AMB-FUBINACA appears to be one of the more potent substances</w:t>
      </w:r>
      <w:r w:rsidR="00714557">
        <w:t xml:space="preserve"> considered in this report, it may be more appropriate to set a presumption of supply level in line with the substance with a median potency</w:t>
      </w:r>
      <w:r w:rsidR="00BE366D">
        <w:t xml:space="preserve"> and therefore the median maximal dose (AB-FUBINACA)</w:t>
      </w:r>
      <w:r w:rsidR="00714557">
        <w:t>. As we currently do not have a known concentration for</w:t>
      </w:r>
      <w:r w:rsidR="00BE366D">
        <w:t xml:space="preserve"> AB-FUBINACA on plant material the</w:t>
      </w:r>
      <w:r w:rsidR="0029004F" w:rsidRPr="0029004F">
        <w:t xml:space="preserve"> mean concentration of AMB-FUBINACA which appe</w:t>
      </w:r>
      <w:r w:rsidR="00BE366D">
        <w:t>ared in the samples in New York will be used again for these calculations</w:t>
      </w:r>
      <w:r w:rsidR="0029004F" w:rsidRPr="0029004F">
        <w:t xml:space="preserve"> </w:t>
      </w:r>
      <w:r w:rsidR="00BE366D">
        <w:t>(</w:t>
      </w:r>
      <w:r w:rsidR="0029004F" w:rsidRPr="0029004F">
        <w:t>16.0 mg/g</w:t>
      </w:r>
      <w:r w:rsidR="00BE366D">
        <w:t>).  O</w:t>
      </w:r>
      <w:r w:rsidR="0029004F" w:rsidRPr="0029004F">
        <w:t>ne</w:t>
      </w:r>
      <w:r w:rsidR="001754C9">
        <w:t xml:space="preserve"> maximum</w:t>
      </w:r>
      <w:r w:rsidR="0029004F" w:rsidRPr="0029004F">
        <w:t xml:space="preserve"> dose of AB-FUBINACA</w:t>
      </w:r>
      <w:r w:rsidR="0029004F">
        <w:t xml:space="preserve"> is 3</w:t>
      </w:r>
      <w:r w:rsidR="0029004F" w:rsidRPr="0029004F">
        <w:t xml:space="preserve"> mg</w:t>
      </w:r>
      <w:r w:rsidR="00BE366D">
        <w:t xml:space="preserve"> (taken from the maximum anecdotal dosage in the table above). At a concentration of </w:t>
      </w:r>
      <w:r w:rsidR="0029004F" w:rsidRPr="0029004F">
        <w:t>16.0 mg/g,</w:t>
      </w:r>
      <w:r w:rsidR="0029004F">
        <w:t xml:space="preserve"> 3 mg of AB-FUBINACA would require 187.5</w:t>
      </w:r>
      <w:r w:rsidR="0029004F" w:rsidRPr="0029004F">
        <w:t xml:space="preserve"> mg of plant material. For 2</w:t>
      </w:r>
      <w:r w:rsidR="0029004F">
        <w:t>5 doses this would be roughly 4688</w:t>
      </w:r>
      <w:r w:rsidR="0029004F" w:rsidRPr="0029004F">
        <w:t xml:space="preserve"> mg </w:t>
      </w:r>
      <w:r w:rsidR="008C2BE0">
        <w:t xml:space="preserve">(4.688 g) </w:t>
      </w:r>
      <w:r w:rsidR="0029004F" w:rsidRPr="0029004F">
        <w:t>and for 10</w:t>
      </w:r>
      <w:r w:rsidR="0029004F">
        <w:t>0 doses this would be roughly 18750</w:t>
      </w:r>
      <w:r w:rsidR="0029004F" w:rsidRPr="0029004F">
        <w:t xml:space="preserve"> mg</w:t>
      </w:r>
      <w:r w:rsidR="008C2BE0">
        <w:t xml:space="preserve"> (18.750 g)</w:t>
      </w:r>
      <w:r w:rsidR="0029004F" w:rsidRPr="0029004F">
        <w:t xml:space="preserve">.  </w:t>
      </w:r>
    </w:p>
    <w:p w:rsidR="001754C9" w:rsidRDefault="001754C9" w:rsidP="001A69F4">
      <w:r>
        <w:t xml:space="preserve">Following the median maximum value, it would be reasonable to set the level of supply for a synthetic cannabinoid applied to plant material at 5 g. This could allow wording such as the following. </w:t>
      </w:r>
    </w:p>
    <w:p w:rsidR="001754C9" w:rsidRDefault="001754C9" w:rsidP="001A69F4">
      <w:r w:rsidRPr="001754C9">
        <w:rPr>
          <w:i/>
        </w:rPr>
        <w:t xml:space="preserve">75 milligrams or 25 flakes, tablets, capsules, or other drug forms each containing some quantity of the drug </w:t>
      </w:r>
      <w:r>
        <w:rPr>
          <w:i/>
        </w:rPr>
        <w:t>or</w:t>
      </w:r>
      <w:r w:rsidRPr="001754C9">
        <w:rPr>
          <w:i/>
        </w:rPr>
        <w:t xml:space="preserve"> 5 grams</w:t>
      </w:r>
      <w:r w:rsidR="007C3120">
        <w:rPr>
          <w:i/>
        </w:rPr>
        <w:t xml:space="preserve"> of plant material </w:t>
      </w:r>
      <w:r w:rsidRPr="001754C9">
        <w:rPr>
          <w:i/>
        </w:rPr>
        <w:t>when substance has been applied to plant material</w:t>
      </w:r>
      <w:r>
        <w:t xml:space="preserve">. </w:t>
      </w:r>
    </w:p>
    <w:p w:rsidR="001754C9" w:rsidRDefault="0020096A" w:rsidP="001A69F4">
      <w:r w:rsidRPr="0020096A">
        <w:rPr>
          <w:b/>
        </w:rPr>
        <w:t>Proposed options</w:t>
      </w:r>
      <w:r>
        <w:t xml:space="preserve"> (exact wording to be determined when changes to legislation are drafted):</w:t>
      </w:r>
    </w:p>
    <w:p w:rsidR="0020096A" w:rsidRDefault="0020096A" w:rsidP="0020096A">
      <w:pPr>
        <w:pStyle w:val="ListParagraph"/>
        <w:numPr>
          <w:ilvl w:val="0"/>
          <w:numId w:val="38"/>
        </w:numPr>
      </w:pPr>
      <w:r w:rsidRPr="0020096A">
        <w:t xml:space="preserve">75 milligrams or 25 flakes, tablets, capsules, or other drug forms each containing some quantity of the drug or 5 grams </w:t>
      </w:r>
      <w:r w:rsidR="007C3120">
        <w:t xml:space="preserve">of plant material </w:t>
      </w:r>
      <w:r w:rsidRPr="0020096A">
        <w:t xml:space="preserve">when substance has been applied to plant material. </w:t>
      </w:r>
    </w:p>
    <w:p w:rsidR="0020096A" w:rsidRDefault="0020096A" w:rsidP="001A69F4">
      <w:pPr>
        <w:pStyle w:val="ListParagraph"/>
        <w:numPr>
          <w:ilvl w:val="0"/>
          <w:numId w:val="38"/>
        </w:numPr>
      </w:pPr>
      <w:r w:rsidRPr="0020096A">
        <w:t>75 milligrams, whether or not contained in a substance, preparation, or mixture</w:t>
      </w:r>
      <w:r>
        <w:t>.</w:t>
      </w:r>
    </w:p>
    <w:p w:rsidR="0020096A" w:rsidRDefault="0020096A" w:rsidP="0020096A">
      <w:pPr>
        <w:pStyle w:val="Heading2"/>
      </w:pPr>
      <w:bookmarkStart w:id="39" w:name="_Toc509487316"/>
      <w:r>
        <w:t xml:space="preserve">5.2 </w:t>
      </w:r>
      <w:r>
        <w:tab/>
        <w:t>Background and history of use</w:t>
      </w:r>
      <w:r w:rsidR="0009143A">
        <w:t xml:space="preserve"> in New Zealand</w:t>
      </w:r>
      <w:bookmarkEnd w:id="39"/>
    </w:p>
    <w:p w:rsidR="00614A1E" w:rsidRPr="00614A1E" w:rsidRDefault="00614A1E" w:rsidP="00511996">
      <w:pPr>
        <w:spacing w:before="240" w:after="0" w:line="240" w:lineRule="auto"/>
        <w:contextualSpacing/>
        <w:rPr>
          <w:rFonts w:eastAsia="Times New Roman" w:cs="Times"/>
          <w:color w:val="000000"/>
          <w:lang w:eastAsia="en-GB"/>
        </w:rPr>
      </w:pPr>
      <w:r w:rsidRPr="00614A1E">
        <w:rPr>
          <w:rFonts w:eastAsia="Times New Roman" w:cs="Times"/>
          <w:color w:val="000000"/>
          <w:lang w:eastAsia="en-GB"/>
        </w:rPr>
        <w:t>In New Zealand, prior to commencement of the Psychoactive Substances Act</w:t>
      </w:r>
      <w:r w:rsidR="00511996">
        <w:rPr>
          <w:rFonts w:eastAsia="Times New Roman" w:cs="Times"/>
          <w:color w:val="000000"/>
          <w:lang w:eastAsia="en-GB"/>
        </w:rPr>
        <w:t xml:space="preserve"> 2013</w:t>
      </w:r>
      <w:r w:rsidRPr="00614A1E">
        <w:rPr>
          <w:rFonts w:eastAsia="Times New Roman" w:cs="Times"/>
          <w:color w:val="000000"/>
          <w:lang w:eastAsia="en-GB"/>
        </w:rPr>
        <w:t xml:space="preserve">, psychoactive substances </w:t>
      </w:r>
      <w:r w:rsidR="00CA41F0">
        <w:rPr>
          <w:rFonts w:eastAsia="Times New Roman" w:cs="Times"/>
          <w:color w:val="000000"/>
          <w:lang w:eastAsia="en-GB"/>
        </w:rPr>
        <w:t xml:space="preserve">including synthetic cannabinoids </w:t>
      </w:r>
      <w:r w:rsidRPr="00614A1E">
        <w:rPr>
          <w:rFonts w:eastAsia="Times New Roman" w:cs="Times"/>
          <w:color w:val="000000"/>
          <w:lang w:eastAsia="en-GB"/>
        </w:rPr>
        <w:t>were unregulated. Psychoactive products had been sold in shops for about 10 years however their popularity increased significantly in 2010 when they began to be sold from dairies. By mid-2013, there were an estimated 300 psychoactive products being sold from an estimated 4000 premises.</w:t>
      </w:r>
    </w:p>
    <w:p w:rsidR="00614A1E" w:rsidRPr="00614A1E" w:rsidRDefault="00614A1E" w:rsidP="00614A1E">
      <w:pPr>
        <w:spacing w:before="240" w:after="0"/>
        <w:ind w:left="924"/>
        <w:contextualSpacing/>
        <w:rPr>
          <w:rFonts w:eastAsia="Times New Roman" w:cs="Times"/>
          <w:color w:val="000000"/>
          <w:lang w:eastAsia="en-GB"/>
        </w:rPr>
      </w:pPr>
    </w:p>
    <w:p w:rsidR="00614A1E" w:rsidRPr="00614A1E" w:rsidRDefault="00614A1E" w:rsidP="00511996">
      <w:pPr>
        <w:spacing w:before="240" w:after="0" w:line="240" w:lineRule="auto"/>
        <w:contextualSpacing/>
        <w:rPr>
          <w:rFonts w:eastAsia="Times New Roman" w:cs="Times"/>
          <w:color w:val="000000"/>
          <w:lang w:eastAsia="en-GB"/>
        </w:rPr>
      </w:pPr>
      <w:r w:rsidRPr="00614A1E">
        <w:rPr>
          <w:rFonts w:eastAsia="Times New Roman" w:cs="Times"/>
          <w:color w:val="000000"/>
          <w:lang w:eastAsia="en-GB"/>
        </w:rPr>
        <w:t>Between August 2011 and July 2013 the Minister of Health issued a number of Temporary Class Drug Notices under the Misuse of Drugs Act 1975 (Temporary Class Drug Notice), banning 35 substances and 50 products from sale. This had the effect of imposing 12 month temporary bans on the supply and sale of a number of psychoactive substances, including synthetic cannabinoid substances and products.</w:t>
      </w:r>
    </w:p>
    <w:p w:rsidR="00614A1E" w:rsidRPr="00614A1E" w:rsidRDefault="00614A1E" w:rsidP="00614A1E">
      <w:pPr>
        <w:spacing w:before="240" w:after="0"/>
        <w:ind w:left="924"/>
        <w:contextualSpacing/>
        <w:rPr>
          <w:rFonts w:eastAsia="Times New Roman" w:cs="Times"/>
          <w:color w:val="000000"/>
          <w:lang w:eastAsia="en-GB"/>
        </w:rPr>
      </w:pPr>
    </w:p>
    <w:p w:rsidR="007E3004" w:rsidRDefault="007E3004" w:rsidP="007E3004">
      <w:pPr>
        <w:spacing w:before="240" w:after="0" w:line="240" w:lineRule="auto"/>
        <w:contextualSpacing/>
        <w:rPr>
          <w:rFonts w:eastAsia="Calibri" w:cs="Arial"/>
        </w:rPr>
      </w:pPr>
      <w:r w:rsidRPr="0009143A">
        <w:rPr>
          <w:rFonts w:eastAsia="Calibri" w:cs="Arial"/>
        </w:rPr>
        <w:t>Temporary Class Drug Notices were a holding measure until the Psychoactive Substances Act 2013 took effect. The number of synthetic cannabinoid products available in New Zealand had escalated, as had the number and variety of new products on the market containing them. There had been a corresponding increase in adverse effects reported to the Centre for Adverse Reactions Monitoring, National Poisons Centre and the Alcohol Drug Helpline associated with their use, resulting in increased public concern.</w:t>
      </w:r>
    </w:p>
    <w:p w:rsidR="007E3004" w:rsidRPr="0009143A" w:rsidRDefault="007E3004" w:rsidP="007E3004">
      <w:pPr>
        <w:spacing w:before="240" w:after="0" w:line="240" w:lineRule="auto"/>
        <w:contextualSpacing/>
        <w:rPr>
          <w:rFonts w:eastAsia="Calibri" w:cs="Arial"/>
        </w:rPr>
      </w:pPr>
    </w:p>
    <w:p w:rsidR="00614A1E" w:rsidRPr="00614A1E" w:rsidRDefault="00614A1E" w:rsidP="00511996">
      <w:pPr>
        <w:spacing w:before="240" w:after="0" w:line="240" w:lineRule="auto"/>
        <w:contextualSpacing/>
        <w:rPr>
          <w:rFonts w:eastAsia="Times New Roman" w:cs="Times"/>
          <w:color w:val="000000"/>
          <w:lang w:eastAsia="en-GB"/>
        </w:rPr>
      </w:pPr>
      <w:r w:rsidRPr="00614A1E">
        <w:rPr>
          <w:rFonts w:eastAsia="Times New Roman" w:cs="Times"/>
          <w:color w:val="000000"/>
          <w:lang w:eastAsia="en-GB"/>
        </w:rPr>
        <w:t xml:space="preserve">The </w:t>
      </w:r>
      <w:r w:rsidR="00511996">
        <w:rPr>
          <w:rFonts w:eastAsia="Times New Roman" w:cs="Times"/>
          <w:color w:val="000000"/>
          <w:lang w:eastAsia="en-GB"/>
        </w:rPr>
        <w:t xml:space="preserve">Psychoactive Substances </w:t>
      </w:r>
      <w:r w:rsidRPr="00614A1E">
        <w:rPr>
          <w:rFonts w:eastAsia="Times New Roman" w:cs="Times"/>
          <w:color w:val="000000"/>
          <w:lang w:eastAsia="en-GB"/>
        </w:rPr>
        <w:t>Act came into force on 18 July 2013. The purpose of the Act is to regulate the availability of psychoactive substances in New Zealand to protect the health of, and minimise harm to, the individuals who use these substances.</w:t>
      </w:r>
      <w:r w:rsidR="00511996">
        <w:rPr>
          <w:rFonts w:eastAsia="Times New Roman" w:cs="Times"/>
          <w:color w:val="000000"/>
          <w:lang w:eastAsia="en-GB"/>
        </w:rPr>
        <w:t xml:space="preserve"> It set up </w:t>
      </w:r>
      <w:r w:rsidRPr="00614A1E">
        <w:rPr>
          <w:rFonts w:eastAsia="Times New Roman" w:cs="Times"/>
          <w:color w:val="000000"/>
          <w:lang w:eastAsia="en-GB"/>
        </w:rPr>
        <w:t>a system of pre-market approval for psychoactive products by requiring that applicants demonstrate that the products pose no more than a low risk of harm to the individuals who use them, and by placing restrictions on how and to whom they can be sold. The requirements closely resemble the pre-market approval regime for medicines.</w:t>
      </w:r>
    </w:p>
    <w:p w:rsidR="00614A1E" w:rsidRPr="00614A1E" w:rsidRDefault="00614A1E" w:rsidP="00614A1E">
      <w:pPr>
        <w:spacing w:before="240" w:after="0"/>
        <w:ind w:left="924"/>
        <w:contextualSpacing/>
        <w:rPr>
          <w:rFonts w:eastAsia="Times New Roman" w:cs="Times"/>
          <w:color w:val="000000"/>
          <w:lang w:eastAsia="en-GB"/>
        </w:rPr>
      </w:pPr>
    </w:p>
    <w:p w:rsidR="00614A1E" w:rsidRPr="00614A1E" w:rsidRDefault="006A2F41" w:rsidP="00511996">
      <w:pPr>
        <w:spacing w:before="240" w:after="0" w:line="240" w:lineRule="auto"/>
        <w:contextualSpacing/>
        <w:rPr>
          <w:rFonts w:eastAsia="Times New Roman" w:cs="Times"/>
          <w:color w:val="000000"/>
          <w:lang w:eastAsia="en-GB"/>
        </w:rPr>
      </w:pPr>
      <w:r>
        <w:rPr>
          <w:rFonts w:eastAsia="Times New Roman" w:cs="Times"/>
          <w:color w:val="000000"/>
          <w:lang w:eastAsia="en-GB"/>
        </w:rPr>
        <w:t xml:space="preserve">The </w:t>
      </w:r>
      <w:r w:rsidR="00F64BCC">
        <w:rPr>
          <w:rFonts w:eastAsia="Times New Roman" w:cs="Times"/>
          <w:color w:val="000000"/>
          <w:lang w:eastAsia="en-GB"/>
        </w:rPr>
        <w:t>Psychoactive Substances</w:t>
      </w:r>
      <w:r w:rsidR="00614A1E" w:rsidRPr="00614A1E">
        <w:rPr>
          <w:rFonts w:eastAsia="Times New Roman" w:cs="Times"/>
          <w:color w:val="000000"/>
          <w:lang w:eastAsia="en-GB"/>
        </w:rPr>
        <w:t xml:space="preserve"> Act establishes </w:t>
      </w:r>
      <w:r>
        <w:rPr>
          <w:rFonts w:eastAsia="Times New Roman" w:cs="Times"/>
          <w:color w:val="000000"/>
          <w:lang w:eastAsia="en-GB"/>
        </w:rPr>
        <w:t>an</w:t>
      </w:r>
      <w:r w:rsidRPr="00614A1E">
        <w:rPr>
          <w:rFonts w:eastAsia="Times New Roman" w:cs="Times"/>
          <w:color w:val="000000"/>
          <w:lang w:eastAsia="en-GB"/>
        </w:rPr>
        <w:t xml:space="preserve"> </w:t>
      </w:r>
      <w:r w:rsidR="00614A1E" w:rsidRPr="00614A1E">
        <w:rPr>
          <w:rFonts w:eastAsia="Times New Roman" w:cs="Times"/>
          <w:color w:val="000000"/>
          <w:lang w:eastAsia="en-GB"/>
        </w:rPr>
        <w:t>Authority to ensure that products meet adequate safety requirements before they can be distributed in New Zealand. The Authority approves products and grants licences to importers, researchers, manufacturers, wholesalers and retailers.</w:t>
      </w:r>
      <w:r w:rsidR="00F64BCC">
        <w:rPr>
          <w:rFonts w:eastAsia="Times New Roman" w:cs="Times"/>
          <w:color w:val="000000"/>
          <w:lang w:eastAsia="en-GB"/>
        </w:rPr>
        <w:t xml:space="preserve"> </w:t>
      </w:r>
      <w:r w:rsidR="00614A1E" w:rsidRPr="00614A1E">
        <w:rPr>
          <w:rFonts w:eastAsia="Times New Roman" w:cs="Times"/>
          <w:color w:val="000000"/>
          <w:lang w:eastAsia="en-GB"/>
        </w:rPr>
        <w:t>In the establishment phase of the regime, between July 2013 and November 2014, a number of importers, manufacturers, wholesalers and retailers were granted interim licences. Forty seven products which were already available on the local market 3 months prior to commencement of the Act were given interim</w:t>
      </w:r>
      <w:r w:rsidR="00614A1E" w:rsidRPr="00614A1E">
        <w:rPr>
          <w:rFonts w:cs="Arial"/>
        </w:rPr>
        <w:t xml:space="preserve"> approval. </w:t>
      </w:r>
    </w:p>
    <w:p w:rsidR="00614A1E" w:rsidRPr="00614A1E" w:rsidRDefault="00614A1E" w:rsidP="00F64BCC">
      <w:pPr>
        <w:spacing w:before="240" w:after="0"/>
        <w:contextualSpacing/>
        <w:rPr>
          <w:rFonts w:cs="Arial"/>
        </w:rPr>
      </w:pPr>
    </w:p>
    <w:p w:rsidR="00614A1E" w:rsidRPr="00614A1E" w:rsidRDefault="00614A1E" w:rsidP="00511996">
      <w:pPr>
        <w:spacing w:before="240" w:after="0" w:line="240" w:lineRule="auto"/>
        <w:contextualSpacing/>
        <w:rPr>
          <w:rFonts w:eastAsia="Calibri" w:cs="Arial"/>
        </w:rPr>
      </w:pPr>
      <w:r w:rsidRPr="00614A1E">
        <w:rPr>
          <w:rFonts w:eastAsia="Calibri" w:cs="Arial"/>
        </w:rPr>
        <w:t xml:space="preserve">Of the 47 products given interim approval in the establishment phase of the Act, eleven products were subsequently removed from sale, on safety grounds following reports of severe adverse effects received by the National Poisons Centre. </w:t>
      </w:r>
    </w:p>
    <w:p w:rsidR="00614A1E" w:rsidRPr="00614A1E" w:rsidRDefault="00614A1E" w:rsidP="00614A1E">
      <w:pPr>
        <w:spacing w:before="240" w:after="0"/>
        <w:ind w:left="924"/>
        <w:contextualSpacing/>
        <w:rPr>
          <w:rFonts w:eastAsia="Calibri" w:cs="Arial"/>
        </w:rPr>
      </w:pPr>
    </w:p>
    <w:p w:rsidR="00614A1E" w:rsidRPr="00614A1E" w:rsidRDefault="00614A1E" w:rsidP="00511996">
      <w:pPr>
        <w:spacing w:before="240" w:after="0" w:line="240" w:lineRule="auto"/>
        <w:contextualSpacing/>
        <w:rPr>
          <w:rFonts w:eastAsia="Calibri" w:cs="Arial"/>
        </w:rPr>
      </w:pPr>
      <w:r w:rsidRPr="00614A1E">
        <w:rPr>
          <w:rFonts w:eastAsia="Calibri" w:cs="Arial"/>
        </w:rPr>
        <w:t xml:space="preserve">These reports included case histories of users who had suffered collapse, vomiting, rapid heart rate, low blood pressure requiring resuscitation and reports of severe withdrawal effects of anxiety, nausea and vomiting when attempting to stop use of this substance. These product withdrawals occurred prior to 8 May 2014 when all approvals were revoked with amendment to the Act. </w:t>
      </w:r>
    </w:p>
    <w:p w:rsidR="00614A1E" w:rsidRPr="00614A1E" w:rsidRDefault="00614A1E" w:rsidP="00614A1E">
      <w:pPr>
        <w:spacing w:before="240" w:after="0"/>
        <w:ind w:left="924"/>
        <w:contextualSpacing/>
        <w:rPr>
          <w:rFonts w:eastAsia="Calibri" w:cs="Arial"/>
        </w:rPr>
      </w:pPr>
    </w:p>
    <w:p w:rsidR="00614A1E" w:rsidRPr="00614A1E" w:rsidRDefault="00220D01" w:rsidP="00511996">
      <w:pPr>
        <w:spacing w:before="240" w:after="0" w:line="240" w:lineRule="auto"/>
        <w:contextualSpacing/>
        <w:rPr>
          <w:rFonts w:eastAsia="Times New Roman" w:cs="Times"/>
          <w:color w:val="000000"/>
          <w:lang w:eastAsia="en-GB"/>
        </w:rPr>
      </w:pPr>
      <w:r>
        <w:rPr>
          <w:rFonts w:eastAsia="Times New Roman" w:cs="Times"/>
          <w:color w:val="000000"/>
          <w:lang w:eastAsia="en-GB"/>
        </w:rPr>
        <w:t>T</w:t>
      </w:r>
      <w:r w:rsidR="00614A1E" w:rsidRPr="00614A1E">
        <w:rPr>
          <w:rFonts w:eastAsia="Times New Roman" w:cs="Times"/>
          <w:color w:val="000000"/>
          <w:lang w:eastAsia="en-GB"/>
        </w:rPr>
        <w:t>he Psychoactive Substances Amendment Act 2014 (the Amendment Act) revoked all interim product approvals as well as interim wholesale and retail licences, resulting in a recall of all products. The Amendment Act also introduced a restriction on using trials that involve animal testing to support a product approval application.</w:t>
      </w:r>
    </w:p>
    <w:p w:rsidR="00614A1E" w:rsidRPr="00614A1E" w:rsidRDefault="00614A1E" w:rsidP="00614A1E">
      <w:pPr>
        <w:spacing w:before="240" w:after="0"/>
        <w:ind w:left="924"/>
        <w:contextualSpacing/>
        <w:rPr>
          <w:rFonts w:eastAsia="Times New Roman" w:cs="Times"/>
          <w:color w:val="000000"/>
          <w:lang w:eastAsia="en-GB"/>
        </w:rPr>
      </w:pPr>
    </w:p>
    <w:p w:rsidR="0009143A" w:rsidRPr="00BC6010" w:rsidRDefault="00614A1E" w:rsidP="00BC6010">
      <w:pPr>
        <w:spacing w:before="240" w:after="0" w:line="240" w:lineRule="auto"/>
        <w:contextualSpacing/>
        <w:rPr>
          <w:rFonts w:eastAsia="Times New Roman" w:cs="Times"/>
          <w:color w:val="000000"/>
          <w:lang w:eastAsia="en-GB"/>
        </w:rPr>
      </w:pPr>
      <w:r w:rsidRPr="00614A1E">
        <w:rPr>
          <w:rFonts w:eastAsia="Times New Roman" w:cs="Times"/>
          <w:color w:val="000000"/>
          <w:lang w:eastAsia="en-GB"/>
        </w:rPr>
        <w:t>On 3 November 2014 the Psychoactive Substances Regulations 2014 came into force. This allows for product approval applications and licence applications to import, research, manufacture, and sell unapproved psychoactive substances to be made to the Authority. To date, no psychoactive substance or product has been approved by the Authority.</w:t>
      </w:r>
    </w:p>
    <w:p w:rsidR="0009143A" w:rsidRPr="0009143A" w:rsidRDefault="00220D01" w:rsidP="00BC6010">
      <w:pPr>
        <w:pStyle w:val="Heading3"/>
      </w:pPr>
      <w:bookmarkStart w:id="40" w:name="_Toc509487317"/>
      <w:r>
        <w:t xml:space="preserve">Previous </w:t>
      </w:r>
      <w:r w:rsidR="0009143A" w:rsidRPr="0009143A">
        <w:t>Temporary Class Drug Notices</w:t>
      </w:r>
      <w:bookmarkEnd w:id="40"/>
    </w:p>
    <w:p w:rsidR="007E3004" w:rsidRPr="0009143A" w:rsidRDefault="007E3004" w:rsidP="007E3004">
      <w:pPr>
        <w:spacing w:before="240" w:after="0" w:line="240" w:lineRule="auto"/>
        <w:contextualSpacing/>
        <w:rPr>
          <w:rFonts w:eastAsia="Calibri" w:cs="Arial"/>
        </w:rPr>
      </w:pPr>
      <w:r w:rsidRPr="0009143A">
        <w:rPr>
          <w:rFonts w:eastAsia="Calibri" w:cs="Arial"/>
        </w:rPr>
        <w:t>UR-144 was controlled under a Temporary Class Drug Notice:</w:t>
      </w:r>
    </w:p>
    <w:p w:rsidR="007E3004" w:rsidRPr="007E3004" w:rsidRDefault="007E3004" w:rsidP="007E3004">
      <w:pPr>
        <w:pStyle w:val="ListParagraph"/>
        <w:numPr>
          <w:ilvl w:val="0"/>
          <w:numId w:val="44"/>
        </w:numPr>
        <w:spacing w:before="240" w:after="0" w:line="240" w:lineRule="auto"/>
        <w:rPr>
          <w:rFonts w:eastAsia="Calibri" w:cs="Arial"/>
        </w:rPr>
      </w:pPr>
      <w:r w:rsidRPr="007E3004">
        <w:rPr>
          <w:rFonts w:eastAsia="Calibri" w:cs="Arial"/>
        </w:rPr>
        <w:t>effective 6 April 2012, New Zealand Gazette, 29 March 2012, 37: 1105</w:t>
      </w:r>
    </w:p>
    <w:p w:rsidR="007E3004" w:rsidRPr="007E3004" w:rsidRDefault="007E3004" w:rsidP="007E3004">
      <w:pPr>
        <w:pStyle w:val="ListParagraph"/>
        <w:numPr>
          <w:ilvl w:val="0"/>
          <w:numId w:val="44"/>
        </w:numPr>
        <w:spacing w:before="240" w:after="0" w:line="240" w:lineRule="auto"/>
        <w:rPr>
          <w:rFonts w:eastAsia="Calibri" w:cs="Arial"/>
        </w:rPr>
      </w:pPr>
      <w:r w:rsidRPr="007E3004">
        <w:rPr>
          <w:rFonts w:eastAsia="Calibri" w:cs="Arial"/>
        </w:rPr>
        <w:t>renewed 7 April 2013, New Zealand Gazette, 4 April 2013, 39: 1187.</w:t>
      </w:r>
    </w:p>
    <w:p w:rsidR="007E3004" w:rsidRPr="007E3004" w:rsidRDefault="007E3004" w:rsidP="007E3004">
      <w:pPr>
        <w:spacing w:before="240" w:after="0" w:line="240" w:lineRule="auto"/>
        <w:contextualSpacing/>
        <w:rPr>
          <w:rFonts w:eastAsia="Calibri" w:cs="Arial"/>
        </w:rPr>
      </w:pPr>
      <w:r w:rsidRPr="007E3004">
        <w:rPr>
          <w:rFonts w:eastAsia="Calibri" w:cs="Arial"/>
        </w:rPr>
        <w:t xml:space="preserve">5F-AKB-48 </w:t>
      </w:r>
      <w:r w:rsidR="00130DB1">
        <w:rPr>
          <w:rFonts w:eastAsia="Calibri" w:cs="Arial"/>
        </w:rPr>
        <w:t>(</w:t>
      </w:r>
      <w:r w:rsidRPr="007E3004">
        <w:rPr>
          <w:rFonts w:eastAsia="Calibri" w:cs="Arial"/>
        </w:rPr>
        <w:t>or APINACA 5-fluoropentyl analog or 5F-APINACA</w:t>
      </w:r>
      <w:r w:rsidR="00130DB1">
        <w:rPr>
          <w:rFonts w:eastAsia="Calibri" w:cs="Arial"/>
        </w:rPr>
        <w:t>) was</w:t>
      </w:r>
      <w:r w:rsidRPr="007E3004">
        <w:rPr>
          <w:rFonts w:eastAsia="Calibri" w:cs="Arial"/>
        </w:rPr>
        <w:t xml:space="preserve"> controlled under a Temporary Class Drug Notice:</w:t>
      </w:r>
    </w:p>
    <w:p w:rsidR="007E3004" w:rsidRPr="007E3004" w:rsidRDefault="007E3004" w:rsidP="007E3004">
      <w:pPr>
        <w:pStyle w:val="ListParagraph"/>
        <w:numPr>
          <w:ilvl w:val="0"/>
          <w:numId w:val="45"/>
        </w:numPr>
        <w:spacing w:before="240" w:after="0" w:line="240" w:lineRule="auto"/>
        <w:rPr>
          <w:rFonts w:eastAsia="Calibri" w:cs="Arial"/>
        </w:rPr>
      </w:pPr>
      <w:r w:rsidRPr="007E3004">
        <w:rPr>
          <w:rFonts w:eastAsia="Calibri" w:cs="Arial"/>
        </w:rPr>
        <w:t>effective 9 May 2013, New Zealand Gazette, 2 May 2013, 48:1456</w:t>
      </w:r>
    </w:p>
    <w:p w:rsidR="00BC6010" w:rsidRPr="0009143A" w:rsidRDefault="00BC6010" w:rsidP="00BC6010">
      <w:pPr>
        <w:spacing w:before="240" w:after="0" w:line="240" w:lineRule="auto"/>
        <w:contextualSpacing/>
        <w:rPr>
          <w:rFonts w:eastAsia="Calibri" w:cs="Arial"/>
        </w:rPr>
      </w:pPr>
      <w:r w:rsidRPr="0009143A">
        <w:rPr>
          <w:rFonts w:eastAsia="Calibri" w:cs="Arial"/>
        </w:rPr>
        <w:t>XLR-11 was controlled under a Temporary Class Drug Notice:</w:t>
      </w:r>
    </w:p>
    <w:p w:rsidR="00BC6010" w:rsidRPr="007E3004" w:rsidRDefault="00BC6010" w:rsidP="00BC6010">
      <w:pPr>
        <w:pStyle w:val="ListParagraph"/>
        <w:numPr>
          <w:ilvl w:val="0"/>
          <w:numId w:val="47"/>
        </w:numPr>
        <w:spacing w:before="240" w:after="0" w:line="240" w:lineRule="auto"/>
        <w:rPr>
          <w:rFonts w:eastAsia="Calibri" w:cs="Arial"/>
        </w:rPr>
      </w:pPr>
      <w:r w:rsidRPr="007E3004">
        <w:rPr>
          <w:rFonts w:eastAsia="Calibri" w:cs="Arial"/>
        </w:rPr>
        <w:t>effective 13 July 2012, New Zealand Gazette, 5 July 2012, 79:2160</w:t>
      </w:r>
    </w:p>
    <w:p w:rsidR="00BC6010" w:rsidRPr="007E3004" w:rsidRDefault="00BC6010" w:rsidP="00BC6010">
      <w:pPr>
        <w:pStyle w:val="ListParagraph"/>
        <w:numPr>
          <w:ilvl w:val="0"/>
          <w:numId w:val="47"/>
        </w:numPr>
        <w:spacing w:before="240" w:after="0" w:line="240" w:lineRule="auto"/>
        <w:rPr>
          <w:rFonts w:eastAsia="Calibri" w:cs="Arial"/>
        </w:rPr>
      </w:pPr>
      <w:r w:rsidRPr="007E3004">
        <w:rPr>
          <w:rFonts w:eastAsia="Calibri" w:cs="Arial"/>
        </w:rPr>
        <w:t xml:space="preserve">renewed 14 July 2013, New Zealand Gazette, 11 July 2013, 88:2354. </w:t>
      </w:r>
    </w:p>
    <w:p w:rsidR="007E3004" w:rsidRPr="007E3004" w:rsidRDefault="007E3004" w:rsidP="007E3004">
      <w:pPr>
        <w:spacing w:before="240" w:after="0" w:line="240" w:lineRule="auto"/>
        <w:contextualSpacing/>
        <w:rPr>
          <w:rFonts w:eastAsia="Calibri" w:cs="Arial"/>
        </w:rPr>
      </w:pPr>
    </w:p>
    <w:p w:rsidR="007E3004" w:rsidRPr="007E3004" w:rsidRDefault="007E3004" w:rsidP="007E3004">
      <w:pPr>
        <w:spacing w:before="240" w:after="0" w:line="240" w:lineRule="auto"/>
        <w:contextualSpacing/>
        <w:rPr>
          <w:rFonts w:eastAsia="Calibri" w:cs="Arial"/>
        </w:rPr>
      </w:pPr>
      <w:r w:rsidRPr="007E3004">
        <w:rPr>
          <w:rFonts w:eastAsia="Calibri" w:cs="Arial"/>
        </w:rPr>
        <w:t>JWH-018</w:t>
      </w:r>
      <w:r w:rsidR="00130DB1">
        <w:rPr>
          <w:rFonts w:eastAsia="Calibri" w:cs="Arial"/>
        </w:rPr>
        <w:t xml:space="preserve"> was </w:t>
      </w:r>
      <w:r w:rsidRPr="007E3004">
        <w:rPr>
          <w:rFonts w:eastAsia="Calibri" w:cs="Arial"/>
        </w:rPr>
        <w:t>controlled under a Temporary Class Drug Notice:</w:t>
      </w:r>
    </w:p>
    <w:p w:rsidR="007E3004" w:rsidRPr="007E3004" w:rsidRDefault="007E3004" w:rsidP="007E3004">
      <w:pPr>
        <w:pStyle w:val="ListParagraph"/>
        <w:numPr>
          <w:ilvl w:val="0"/>
          <w:numId w:val="45"/>
        </w:numPr>
        <w:spacing w:before="240" w:after="0" w:line="240" w:lineRule="auto"/>
        <w:rPr>
          <w:rFonts w:eastAsia="Calibri" w:cs="Arial"/>
        </w:rPr>
      </w:pPr>
      <w:r w:rsidRPr="007E3004">
        <w:rPr>
          <w:rFonts w:eastAsia="Calibri" w:cs="Arial"/>
        </w:rPr>
        <w:t>effective 16 August 2011, New Zealand Gazette, 9 August 2011, 122: 3365</w:t>
      </w:r>
    </w:p>
    <w:p w:rsidR="007E3004" w:rsidRPr="007E3004" w:rsidRDefault="007E3004" w:rsidP="007E3004">
      <w:pPr>
        <w:pStyle w:val="ListParagraph"/>
        <w:numPr>
          <w:ilvl w:val="0"/>
          <w:numId w:val="45"/>
        </w:numPr>
        <w:spacing w:before="240" w:after="0" w:line="240" w:lineRule="auto"/>
        <w:rPr>
          <w:rFonts w:eastAsia="Calibri" w:cs="Arial"/>
        </w:rPr>
      </w:pPr>
      <w:r w:rsidRPr="007E3004">
        <w:rPr>
          <w:rFonts w:eastAsia="Calibri" w:cs="Arial"/>
        </w:rPr>
        <w:t>renewed 17 August 2012, New Zealand Gazette, 9 August 2012, 94: 2589.</w:t>
      </w:r>
    </w:p>
    <w:p w:rsidR="007E3004" w:rsidRPr="007E3004" w:rsidRDefault="007E3004" w:rsidP="007E3004">
      <w:pPr>
        <w:spacing w:before="240" w:after="0" w:line="240" w:lineRule="auto"/>
        <w:contextualSpacing/>
        <w:rPr>
          <w:rFonts w:eastAsia="Calibri" w:cs="Arial"/>
        </w:rPr>
      </w:pPr>
    </w:p>
    <w:p w:rsidR="007E3004" w:rsidRPr="007E3004" w:rsidRDefault="007E3004" w:rsidP="007E3004">
      <w:pPr>
        <w:spacing w:before="240" w:after="0" w:line="240" w:lineRule="auto"/>
        <w:contextualSpacing/>
        <w:rPr>
          <w:rFonts w:eastAsia="Calibri" w:cs="Arial"/>
        </w:rPr>
      </w:pPr>
      <w:r w:rsidRPr="007E3004">
        <w:rPr>
          <w:rFonts w:eastAsia="Calibri" w:cs="Arial"/>
        </w:rPr>
        <w:t>AM-2201 was controlled under a Temporary Class Drug Notice:</w:t>
      </w:r>
    </w:p>
    <w:p w:rsidR="007E3004" w:rsidRPr="007E3004" w:rsidRDefault="007E3004" w:rsidP="007E3004">
      <w:pPr>
        <w:pStyle w:val="ListParagraph"/>
        <w:numPr>
          <w:ilvl w:val="0"/>
          <w:numId w:val="46"/>
        </w:numPr>
        <w:spacing w:before="240" w:after="0" w:line="240" w:lineRule="auto"/>
        <w:rPr>
          <w:rFonts w:eastAsia="Calibri" w:cs="Arial"/>
        </w:rPr>
      </w:pPr>
      <w:r w:rsidRPr="007E3004">
        <w:rPr>
          <w:rFonts w:eastAsia="Calibri" w:cs="Arial"/>
        </w:rPr>
        <w:t>effective 16 August 2011, New Zealand Gazette, 9 August 2011, 122: 3365</w:t>
      </w:r>
    </w:p>
    <w:p w:rsidR="0009143A" w:rsidRPr="00BC6010" w:rsidRDefault="007E3004" w:rsidP="00BC6010">
      <w:pPr>
        <w:pStyle w:val="ListParagraph"/>
        <w:numPr>
          <w:ilvl w:val="0"/>
          <w:numId w:val="46"/>
        </w:numPr>
        <w:spacing w:before="240" w:after="0" w:line="240" w:lineRule="auto"/>
        <w:rPr>
          <w:rFonts w:eastAsia="Calibri" w:cs="Arial"/>
        </w:rPr>
      </w:pPr>
      <w:r w:rsidRPr="007E3004">
        <w:rPr>
          <w:rFonts w:eastAsia="Calibri" w:cs="Arial"/>
        </w:rPr>
        <w:t>renewed 17 August 2012, New Zealand Gazette, 9 August 2012, 94: 2589.</w:t>
      </w:r>
    </w:p>
    <w:p w:rsidR="00614A1E" w:rsidRPr="00BC6010" w:rsidRDefault="007E3004" w:rsidP="00BC6010">
      <w:pPr>
        <w:spacing w:before="240" w:line="240" w:lineRule="auto"/>
        <w:rPr>
          <w:rFonts w:eastAsia="Calibri" w:cs="Arial"/>
        </w:rPr>
      </w:pPr>
      <w:r w:rsidRPr="007E3004">
        <w:rPr>
          <w:rFonts w:eastAsia="Calibri" w:cs="Arial"/>
        </w:rPr>
        <w:t xml:space="preserve">The Temporary Class Drug Notices for </w:t>
      </w:r>
      <w:r>
        <w:rPr>
          <w:rFonts w:eastAsia="Calibri" w:cs="Arial"/>
        </w:rPr>
        <w:t>the above substances</w:t>
      </w:r>
      <w:r w:rsidRPr="007E3004">
        <w:rPr>
          <w:rFonts w:eastAsia="Calibri" w:cs="Arial"/>
        </w:rPr>
        <w:t xml:space="preserve"> were repealed on 18 July 2013, by section 110(1) of the Act (2013 No 53). The</w:t>
      </w:r>
      <w:r>
        <w:rPr>
          <w:rFonts w:eastAsia="Calibri" w:cs="Arial"/>
        </w:rPr>
        <w:t>se</w:t>
      </w:r>
      <w:r w:rsidRPr="007E3004">
        <w:rPr>
          <w:rFonts w:eastAsia="Calibri" w:cs="Arial"/>
        </w:rPr>
        <w:t xml:space="preserve"> synthetic cannabinoids were not given interim approval upon commencement of the Act.</w:t>
      </w:r>
    </w:p>
    <w:p w:rsidR="007E3004" w:rsidRPr="007E3004" w:rsidRDefault="007E3004" w:rsidP="00BC6010">
      <w:pPr>
        <w:pStyle w:val="Heading3"/>
        <w:rPr>
          <w:lang w:eastAsia="en-GB"/>
        </w:rPr>
      </w:pPr>
      <w:bookmarkStart w:id="41" w:name="_Toc509487318"/>
      <w:r w:rsidRPr="007E3004">
        <w:rPr>
          <w:lang w:eastAsia="en-GB"/>
        </w:rPr>
        <w:t>Interim Approval</w:t>
      </w:r>
      <w:r>
        <w:rPr>
          <w:lang w:eastAsia="en-GB"/>
        </w:rPr>
        <w:t>s</w:t>
      </w:r>
      <w:bookmarkEnd w:id="41"/>
    </w:p>
    <w:p w:rsidR="00130DB1" w:rsidRDefault="00130DB1" w:rsidP="007E3004">
      <w:pPr>
        <w:spacing w:before="240" w:after="0" w:line="240" w:lineRule="auto"/>
        <w:contextualSpacing/>
        <w:rPr>
          <w:rFonts w:eastAsia="Times New Roman" w:cs="Times"/>
          <w:color w:val="000000"/>
          <w:lang w:eastAsia="en-GB"/>
        </w:rPr>
      </w:pPr>
      <w:r>
        <w:rPr>
          <w:rFonts w:eastAsia="Times New Roman" w:cs="Times"/>
          <w:color w:val="000000"/>
          <w:lang w:eastAsia="en-GB"/>
        </w:rPr>
        <w:t>Forty-seven</w:t>
      </w:r>
      <w:r w:rsidR="0009143A" w:rsidRPr="007E3004">
        <w:rPr>
          <w:rFonts w:eastAsia="Times New Roman" w:cs="Times"/>
          <w:color w:val="000000"/>
          <w:lang w:eastAsia="en-GB"/>
        </w:rPr>
        <w:t xml:space="preserve"> products</w:t>
      </w:r>
      <w:r>
        <w:rPr>
          <w:rFonts w:eastAsia="Times New Roman" w:cs="Times"/>
          <w:color w:val="000000"/>
          <w:lang w:eastAsia="en-GB"/>
        </w:rPr>
        <w:t xml:space="preserve"> were</w:t>
      </w:r>
      <w:r w:rsidR="0009143A" w:rsidRPr="007E3004">
        <w:rPr>
          <w:rFonts w:eastAsia="Times New Roman" w:cs="Times"/>
          <w:color w:val="000000"/>
          <w:lang w:eastAsia="en-GB"/>
        </w:rPr>
        <w:t xml:space="preserve"> given interim approval in the establishme</w:t>
      </w:r>
      <w:r w:rsidR="00BC6010">
        <w:rPr>
          <w:rFonts w:eastAsia="Times New Roman" w:cs="Times"/>
          <w:color w:val="000000"/>
          <w:lang w:eastAsia="en-GB"/>
        </w:rPr>
        <w:t>nt phase of the Psychoactive Substances Act</w:t>
      </w:r>
      <w:r>
        <w:rPr>
          <w:rFonts w:eastAsia="Times New Roman" w:cs="Times"/>
          <w:color w:val="000000"/>
          <w:lang w:eastAsia="en-GB"/>
        </w:rPr>
        <w:t>.</w:t>
      </w:r>
    </w:p>
    <w:p w:rsidR="00130DB1" w:rsidRDefault="00130DB1" w:rsidP="007E3004">
      <w:pPr>
        <w:spacing w:before="240" w:after="0" w:line="240" w:lineRule="auto"/>
        <w:contextualSpacing/>
        <w:rPr>
          <w:rFonts w:eastAsia="Times New Roman" w:cs="Times"/>
          <w:color w:val="000000"/>
          <w:lang w:eastAsia="en-GB"/>
        </w:rPr>
      </w:pPr>
    </w:p>
    <w:p w:rsidR="0009143A" w:rsidRPr="007E3004" w:rsidRDefault="00130DB1" w:rsidP="007E3004">
      <w:pPr>
        <w:spacing w:before="240" w:after="0" w:line="240" w:lineRule="auto"/>
        <w:contextualSpacing/>
        <w:rPr>
          <w:rFonts w:eastAsia="Times New Roman" w:cs="Times"/>
          <w:color w:val="000000"/>
          <w:lang w:eastAsia="en-GB"/>
        </w:rPr>
      </w:pPr>
      <w:r>
        <w:rPr>
          <w:rFonts w:eastAsia="Times New Roman" w:cs="Times"/>
          <w:color w:val="000000"/>
          <w:lang w:eastAsia="en-GB"/>
        </w:rPr>
        <w:t>E</w:t>
      </w:r>
      <w:r w:rsidR="0009143A" w:rsidRPr="007E3004">
        <w:rPr>
          <w:rFonts w:eastAsia="Times New Roman" w:cs="Times"/>
          <w:color w:val="000000"/>
          <w:lang w:eastAsia="en-GB"/>
        </w:rPr>
        <w:t>ight</w:t>
      </w:r>
      <w:r>
        <w:rPr>
          <w:rFonts w:eastAsia="Times New Roman" w:cs="Times"/>
          <w:color w:val="000000"/>
          <w:lang w:eastAsia="en-GB"/>
        </w:rPr>
        <w:t xml:space="preserve"> of these 47</w:t>
      </w:r>
      <w:r w:rsidR="0009143A" w:rsidRPr="007E3004">
        <w:rPr>
          <w:rFonts w:eastAsia="Times New Roman" w:cs="Times"/>
          <w:color w:val="000000"/>
          <w:lang w:eastAsia="en-GB"/>
        </w:rPr>
        <w:t xml:space="preserve"> products contained 5F-PB-22. One of the 11 products with interim approval that was subsequently removed from sale on safety grounds following reports of severe adverse effects contained 5F-PB-22. </w:t>
      </w:r>
    </w:p>
    <w:p w:rsidR="0009143A" w:rsidRPr="007E3004" w:rsidRDefault="0009143A" w:rsidP="00BC6010">
      <w:pPr>
        <w:spacing w:before="240" w:after="0"/>
        <w:contextualSpacing/>
        <w:rPr>
          <w:rFonts w:eastAsia="Times New Roman" w:cs="Times"/>
          <w:color w:val="000000"/>
          <w:lang w:eastAsia="en-GB"/>
        </w:rPr>
      </w:pPr>
    </w:p>
    <w:p w:rsidR="0009143A" w:rsidRPr="007E3004" w:rsidRDefault="0009143A" w:rsidP="007E3004">
      <w:pPr>
        <w:spacing w:before="240" w:after="0" w:line="240" w:lineRule="auto"/>
        <w:contextualSpacing/>
        <w:rPr>
          <w:rFonts w:cs="Arial"/>
        </w:rPr>
      </w:pPr>
      <w:r w:rsidRPr="007E3004">
        <w:rPr>
          <w:rFonts w:cs="Arial"/>
        </w:rPr>
        <w:t>The table below lists those products containing 5F-PB-22 and the date when the respective product approval was revoked.</w:t>
      </w:r>
    </w:p>
    <w:p w:rsidR="0009143A" w:rsidRPr="0009143A" w:rsidRDefault="0009143A" w:rsidP="0009143A">
      <w:pPr>
        <w:spacing w:before="240" w:after="0"/>
        <w:ind w:left="924"/>
        <w:contextualSpacing/>
        <w:rPr>
          <w:rFonts w:cs="Arial"/>
          <w:sz w:val="22"/>
        </w:rPr>
      </w:pPr>
    </w:p>
    <w:tbl>
      <w:tblPr>
        <w:tblW w:w="0" w:type="auto"/>
        <w:jc w:val="center"/>
        <w:tblLook w:val="0000" w:firstRow="0" w:lastRow="0" w:firstColumn="0" w:lastColumn="0" w:noHBand="0" w:noVBand="0"/>
      </w:tblPr>
      <w:tblGrid>
        <w:gridCol w:w="1980"/>
        <w:gridCol w:w="2362"/>
        <w:gridCol w:w="2379"/>
        <w:gridCol w:w="1266"/>
      </w:tblGrid>
      <w:tr w:rsidR="0009143A" w:rsidRPr="0009143A" w:rsidTr="001C6C3F">
        <w:trPr>
          <w:trHeight w:val="287"/>
          <w:tblHeader/>
          <w:jc w:val="center"/>
        </w:trPr>
        <w:tc>
          <w:tcPr>
            <w:tcW w:w="1980" w:type="dxa"/>
            <w:shd w:val="clear" w:color="auto" w:fill="D9D9D9" w:themeFill="background1" w:themeFillShade="D9"/>
            <w:vAlign w:val="center"/>
          </w:tcPr>
          <w:p w:rsidR="0009143A" w:rsidRPr="0009143A" w:rsidRDefault="0009143A" w:rsidP="0009143A">
            <w:pPr>
              <w:autoSpaceDE w:val="0"/>
              <w:autoSpaceDN w:val="0"/>
              <w:adjustRightInd w:val="0"/>
              <w:spacing w:after="0"/>
              <w:rPr>
                <w:rFonts w:cs="Arial"/>
                <w:sz w:val="20"/>
                <w:szCs w:val="20"/>
              </w:rPr>
            </w:pPr>
            <w:r w:rsidRPr="0009143A">
              <w:rPr>
                <w:rFonts w:cs="Arial"/>
                <w:b/>
                <w:bCs/>
                <w:sz w:val="20"/>
                <w:szCs w:val="20"/>
              </w:rPr>
              <w:t xml:space="preserve">Application Number </w:t>
            </w:r>
          </w:p>
        </w:tc>
        <w:tc>
          <w:tcPr>
            <w:tcW w:w="0" w:type="auto"/>
            <w:shd w:val="clear" w:color="auto" w:fill="D9D9D9" w:themeFill="background1" w:themeFillShade="D9"/>
            <w:vAlign w:val="center"/>
          </w:tcPr>
          <w:p w:rsidR="0009143A" w:rsidRPr="0009143A" w:rsidRDefault="0009143A" w:rsidP="0009143A">
            <w:pPr>
              <w:autoSpaceDE w:val="0"/>
              <w:autoSpaceDN w:val="0"/>
              <w:adjustRightInd w:val="0"/>
              <w:spacing w:after="0"/>
              <w:rPr>
                <w:rFonts w:cs="Arial"/>
                <w:sz w:val="20"/>
                <w:szCs w:val="20"/>
              </w:rPr>
            </w:pPr>
            <w:r w:rsidRPr="0009143A">
              <w:rPr>
                <w:rFonts w:cs="Arial"/>
                <w:b/>
                <w:bCs/>
                <w:sz w:val="20"/>
                <w:szCs w:val="20"/>
              </w:rPr>
              <w:t xml:space="preserve">Product Name </w:t>
            </w:r>
          </w:p>
        </w:tc>
        <w:tc>
          <w:tcPr>
            <w:tcW w:w="2379" w:type="dxa"/>
            <w:shd w:val="clear" w:color="auto" w:fill="D9D9D9" w:themeFill="background1" w:themeFillShade="D9"/>
            <w:vAlign w:val="center"/>
          </w:tcPr>
          <w:p w:rsidR="0009143A" w:rsidRPr="0009143A" w:rsidRDefault="0009143A" w:rsidP="0009143A">
            <w:pPr>
              <w:autoSpaceDE w:val="0"/>
              <w:autoSpaceDN w:val="0"/>
              <w:adjustRightInd w:val="0"/>
              <w:spacing w:after="0"/>
              <w:rPr>
                <w:rFonts w:cs="Arial"/>
                <w:sz w:val="20"/>
                <w:szCs w:val="20"/>
              </w:rPr>
            </w:pPr>
            <w:r w:rsidRPr="0009143A">
              <w:rPr>
                <w:rFonts w:cs="Arial"/>
                <w:b/>
                <w:bCs/>
                <w:sz w:val="20"/>
                <w:szCs w:val="20"/>
              </w:rPr>
              <w:t xml:space="preserve">Psychoactive </w:t>
            </w:r>
            <w:r w:rsidRPr="0009143A">
              <w:rPr>
                <w:rFonts w:cs="Arial"/>
                <w:b/>
                <w:bCs/>
                <w:sz w:val="20"/>
                <w:szCs w:val="20"/>
              </w:rPr>
              <w:br/>
              <w:t xml:space="preserve">substance* </w:t>
            </w:r>
          </w:p>
        </w:tc>
        <w:tc>
          <w:tcPr>
            <w:tcW w:w="1266" w:type="dxa"/>
            <w:shd w:val="clear" w:color="auto" w:fill="D9D9D9" w:themeFill="background1" w:themeFillShade="D9"/>
            <w:vAlign w:val="center"/>
          </w:tcPr>
          <w:p w:rsidR="0009143A" w:rsidRPr="0009143A" w:rsidRDefault="0009143A" w:rsidP="0009143A">
            <w:pPr>
              <w:autoSpaceDE w:val="0"/>
              <w:autoSpaceDN w:val="0"/>
              <w:adjustRightInd w:val="0"/>
              <w:spacing w:after="0"/>
              <w:rPr>
                <w:rFonts w:cs="Arial"/>
                <w:b/>
                <w:bCs/>
                <w:sz w:val="20"/>
                <w:szCs w:val="20"/>
              </w:rPr>
            </w:pPr>
            <w:r w:rsidRPr="0009143A">
              <w:rPr>
                <w:rFonts w:cs="Arial"/>
                <w:b/>
                <w:bCs/>
                <w:sz w:val="20"/>
                <w:szCs w:val="20"/>
              </w:rPr>
              <w:t>Approval revoked</w:t>
            </w:r>
          </w:p>
          <w:p w:rsidR="0009143A" w:rsidRPr="0009143A" w:rsidRDefault="0009143A" w:rsidP="0009143A">
            <w:pPr>
              <w:autoSpaceDE w:val="0"/>
              <w:autoSpaceDN w:val="0"/>
              <w:adjustRightInd w:val="0"/>
              <w:spacing w:after="0"/>
              <w:rPr>
                <w:rFonts w:cs="Arial"/>
                <w:b/>
                <w:bCs/>
                <w:sz w:val="20"/>
                <w:szCs w:val="20"/>
              </w:rPr>
            </w:pPr>
            <w:r w:rsidRPr="0009143A">
              <w:rPr>
                <w:rFonts w:cs="Arial"/>
                <w:b/>
                <w:bCs/>
                <w:sz w:val="20"/>
                <w:szCs w:val="20"/>
              </w:rPr>
              <w:t>2014</w:t>
            </w:r>
          </w:p>
        </w:tc>
      </w:tr>
      <w:tr w:rsidR="0009143A" w:rsidRPr="0009143A" w:rsidTr="001C6C3F">
        <w:trPr>
          <w:trHeight w:val="93"/>
          <w:jc w:val="center"/>
        </w:trPr>
        <w:tc>
          <w:tcPr>
            <w:tcW w:w="1980" w:type="dxa"/>
            <w:vAlign w:val="center"/>
          </w:tcPr>
          <w:p w:rsidR="0009143A" w:rsidRPr="0009143A" w:rsidRDefault="0009143A" w:rsidP="0009143A">
            <w:pPr>
              <w:autoSpaceDE w:val="0"/>
              <w:autoSpaceDN w:val="0"/>
              <w:adjustRightInd w:val="0"/>
              <w:spacing w:after="0"/>
              <w:rPr>
                <w:rFonts w:cs="Arial"/>
                <w:sz w:val="20"/>
                <w:szCs w:val="20"/>
              </w:rPr>
            </w:pPr>
            <w:r w:rsidRPr="0009143A">
              <w:rPr>
                <w:rFonts w:cs="Arial"/>
                <w:sz w:val="20"/>
                <w:szCs w:val="20"/>
              </w:rPr>
              <w:t xml:space="preserve">P0024 </w:t>
            </w:r>
          </w:p>
        </w:tc>
        <w:tc>
          <w:tcPr>
            <w:tcW w:w="0" w:type="auto"/>
            <w:vAlign w:val="center"/>
          </w:tcPr>
          <w:p w:rsidR="0009143A" w:rsidRPr="0009143A" w:rsidRDefault="0009143A" w:rsidP="0009143A">
            <w:pPr>
              <w:autoSpaceDE w:val="0"/>
              <w:autoSpaceDN w:val="0"/>
              <w:adjustRightInd w:val="0"/>
              <w:spacing w:after="0"/>
              <w:rPr>
                <w:rFonts w:cs="Arial"/>
                <w:sz w:val="20"/>
                <w:szCs w:val="20"/>
              </w:rPr>
            </w:pPr>
            <w:r w:rsidRPr="0009143A">
              <w:rPr>
                <w:rFonts w:cs="Arial"/>
                <w:sz w:val="20"/>
                <w:szCs w:val="20"/>
              </w:rPr>
              <w:t xml:space="preserve">Illusion Connoisseur </w:t>
            </w:r>
          </w:p>
        </w:tc>
        <w:tc>
          <w:tcPr>
            <w:tcW w:w="2379" w:type="dxa"/>
            <w:vAlign w:val="center"/>
          </w:tcPr>
          <w:p w:rsidR="0009143A" w:rsidRPr="0009143A" w:rsidRDefault="0009143A" w:rsidP="0009143A">
            <w:pPr>
              <w:autoSpaceDE w:val="0"/>
              <w:autoSpaceDN w:val="0"/>
              <w:adjustRightInd w:val="0"/>
              <w:spacing w:after="0"/>
              <w:rPr>
                <w:rFonts w:cs="Arial"/>
                <w:sz w:val="20"/>
                <w:szCs w:val="20"/>
              </w:rPr>
            </w:pPr>
            <w:r w:rsidRPr="0009143A">
              <w:rPr>
                <w:rFonts w:cs="Arial"/>
                <w:sz w:val="20"/>
                <w:szCs w:val="20"/>
              </w:rPr>
              <w:t xml:space="preserve">PB22-5F </w:t>
            </w:r>
          </w:p>
        </w:tc>
        <w:tc>
          <w:tcPr>
            <w:tcW w:w="1266" w:type="dxa"/>
            <w:vAlign w:val="center"/>
          </w:tcPr>
          <w:p w:rsidR="0009143A" w:rsidRPr="0009143A" w:rsidRDefault="0009143A" w:rsidP="0009143A">
            <w:pPr>
              <w:autoSpaceDE w:val="0"/>
              <w:autoSpaceDN w:val="0"/>
              <w:adjustRightInd w:val="0"/>
              <w:spacing w:after="0"/>
              <w:rPr>
                <w:rFonts w:cs="Arial"/>
                <w:sz w:val="20"/>
                <w:szCs w:val="20"/>
              </w:rPr>
            </w:pPr>
            <w:r w:rsidRPr="0009143A">
              <w:rPr>
                <w:rFonts w:cs="Arial"/>
                <w:sz w:val="20"/>
                <w:szCs w:val="20"/>
              </w:rPr>
              <w:t xml:space="preserve">8 May </w:t>
            </w:r>
          </w:p>
        </w:tc>
      </w:tr>
      <w:tr w:rsidR="0009143A" w:rsidRPr="0009143A" w:rsidTr="001C6C3F">
        <w:trPr>
          <w:trHeight w:val="93"/>
          <w:jc w:val="center"/>
        </w:trPr>
        <w:tc>
          <w:tcPr>
            <w:tcW w:w="1980" w:type="dxa"/>
            <w:vAlign w:val="center"/>
          </w:tcPr>
          <w:p w:rsidR="0009143A" w:rsidRPr="0009143A" w:rsidRDefault="0009143A" w:rsidP="0009143A">
            <w:pPr>
              <w:autoSpaceDE w:val="0"/>
              <w:autoSpaceDN w:val="0"/>
              <w:adjustRightInd w:val="0"/>
              <w:spacing w:after="0"/>
              <w:rPr>
                <w:rFonts w:cs="Arial"/>
                <w:sz w:val="20"/>
                <w:szCs w:val="20"/>
              </w:rPr>
            </w:pPr>
            <w:r w:rsidRPr="0009143A">
              <w:rPr>
                <w:rFonts w:cs="Arial"/>
                <w:sz w:val="20"/>
                <w:szCs w:val="20"/>
              </w:rPr>
              <w:t xml:space="preserve">P0025 </w:t>
            </w:r>
          </w:p>
        </w:tc>
        <w:tc>
          <w:tcPr>
            <w:tcW w:w="0" w:type="auto"/>
            <w:vAlign w:val="center"/>
          </w:tcPr>
          <w:p w:rsidR="0009143A" w:rsidRPr="0009143A" w:rsidRDefault="0009143A" w:rsidP="0009143A">
            <w:pPr>
              <w:autoSpaceDE w:val="0"/>
              <w:autoSpaceDN w:val="0"/>
              <w:adjustRightInd w:val="0"/>
              <w:spacing w:after="0"/>
              <w:rPr>
                <w:rFonts w:cs="Arial"/>
                <w:sz w:val="20"/>
                <w:szCs w:val="20"/>
              </w:rPr>
            </w:pPr>
            <w:r w:rsidRPr="0009143A">
              <w:rPr>
                <w:rFonts w:cs="Arial"/>
                <w:sz w:val="20"/>
                <w:szCs w:val="20"/>
              </w:rPr>
              <w:t xml:space="preserve">Illusion Massif </w:t>
            </w:r>
          </w:p>
        </w:tc>
        <w:tc>
          <w:tcPr>
            <w:tcW w:w="2379" w:type="dxa"/>
            <w:vAlign w:val="center"/>
          </w:tcPr>
          <w:p w:rsidR="0009143A" w:rsidRPr="0009143A" w:rsidRDefault="0009143A" w:rsidP="0009143A">
            <w:pPr>
              <w:autoSpaceDE w:val="0"/>
              <w:autoSpaceDN w:val="0"/>
              <w:adjustRightInd w:val="0"/>
              <w:spacing w:after="0"/>
              <w:rPr>
                <w:rFonts w:cs="Arial"/>
                <w:sz w:val="20"/>
                <w:szCs w:val="20"/>
              </w:rPr>
            </w:pPr>
            <w:r w:rsidRPr="0009143A">
              <w:rPr>
                <w:rFonts w:cs="Arial"/>
                <w:sz w:val="20"/>
                <w:szCs w:val="20"/>
              </w:rPr>
              <w:t xml:space="preserve">PB22-5F </w:t>
            </w:r>
          </w:p>
        </w:tc>
        <w:tc>
          <w:tcPr>
            <w:tcW w:w="1266" w:type="dxa"/>
            <w:vAlign w:val="center"/>
          </w:tcPr>
          <w:p w:rsidR="0009143A" w:rsidRPr="0009143A" w:rsidRDefault="0009143A" w:rsidP="0009143A">
            <w:pPr>
              <w:autoSpaceDE w:val="0"/>
              <w:autoSpaceDN w:val="0"/>
              <w:adjustRightInd w:val="0"/>
              <w:spacing w:after="0"/>
              <w:rPr>
                <w:rFonts w:cs="Arial"/>
                <w:sz w:val="20"/>
                <w:szCs w:val="20"/>
              </w:rPr>
            </w:pPr>
            <w:r w:rsidRPr="0009143A">
              <w:rPr>
                <w:rFonts w:cs="Arial"/>
                <w:sz w:val="20"/>
                <w:szCs w:val="20"/>
              </w:rPr>
              <w:t xml:space="preserve">8 May </w:t>
            </w:r>
          </w:p>
        </w:tc>
      </w:tr>
      <w:tr w:rsidR="0009143A" w:rsidRPr="0009143A" w:rsidTr="001C6C3F">
        <w:trPr>
          <w:trHeight w:val="93"/>
          <w:jc w:val="center"/>
        </w:trPr>
        <w:tc>
          <w:tcPr>
            <w:tcW w:w="1980" w:type="dxa"/>
            <w:vAlign w:val="center"/>
          </w:tcPr>
          <w:p w:rsidR="0009143A" w:rsidRPr="0009143A" w:rsidRDefault="0009143A" w:rsidP="0009143A">
            <w:pPr>
              <w:autoSpaceDE w:val="0"/>
              <w:autoSpaceDN w:val="0"/>
              <w:adjustRightInd w:val="0"/>
              <w:spacing w:after="0"/>
              <w:rPr>
                <w:rFonts w:cs="Arial"/>
                <w:sz w:val="20"/>
                <w:szCs w:val="20"/>
              </w:rPr>
            </w:pPr>
            <w:r w:rsidRPr="0009143A">
              <w:rPr>
                <w:rFonts w:cs="Arial"/>
                <w:sz w:val="20"/>
                <w:szCs w:val="20"/>
              </w:rPr>
              <w:t xml:space="preserve">P0033 </w:t>
            </w:r>
          </w:p>
        </w:tc>
        <w:tc>
          <w:tcPr>
            <w:tcW w:w="0" w:type="auto"/>
            <w:vAlign w:val="center"/>
          </w:tcPr>
          <w:p w:rsidR="0009143A" w:rsidRPr="0009143A" w:rsidRDefault="0009143A" w:rsidP="0009143A">
            <w:pPr>
              <w:autoSpaceDE w:val="0"/>
              <w:autoSpaceDN w:val="0"/>
              <w:adjustRightInd w:val="0"/>
              <w:spacing w:after="0"/>
              <w:rPr>
                <w:rFonts w:cs="Arial"/>
                <w:sz w:val="20"/>
                <w:szCs w:val="20"/>
              </w:rPr>
            </w:pPr>
            <w:r w:rsidRPr="0009143A">
              <w:rPr>
                <w:rFonts w:cs="Arial"/>
                <w:sz w:val="20"/>
                <w:szCs w:val="20"/>
              </w:rPr>
              <w:t xml:space="preserve">DC-3 Purple </w:t>
            </w:r>
          </w:p>
        </w:tc>
        <w:tc>
          <w:tcPr>
            <w:tcW w:w="2379" w:type="dxa"/>
            <w:vAlign w:val="center"/>
          </w:tcPr>
          <w:p w:rsidR="0009143A" w:rsidRPr="0009143A" w:rsidRDefault="0009143A" w:rsidP="0009143A">
            <w:pPr>
              <w:autoSpaceDE w:val="0"/>
              <w:autoSpaceDN w:val="0"/>
              <w:adjustRightInd w:val="0"/>
              <w:spacing w:after="0"/>
              <w:rPr>
                <w:rFonts w:cs="Arial"/>
                <w:sz w:val="20"/>
                <w:szCs w:val="20"/>
              </w:rPr>
            </w:pPr>
            <w:r w:rsidRPr="0009143A">
              <w:rPr>
                <w:rFonts w:cs="Arial"/>
                <w:sz w:val="20"/>
                <w:szCs w:val="20"/>
              </w:rPr>
              <w:t xml:space="preserve">5F-PB-22 </w:t>
            </w:r>
          </w:p>
        </w:tc>
        <w:tc>
          <w:tcPr>
            <w:tcW w:w="1266" w:type="dxa"/>
            <w:vAlign w:val="center"/>
          </w:tcPr>
          <w:p w:rsidR="0009143A" w:rsidRPr="0009143A" w:rsidRDefault="0009143A" w:rsidP="0009143A">
            <w:pPr>
              <w:autoSpaceDE w:val="0"/>
              <w:autoSpaceDN w:val="0"/>
              <w:adjustRightInd w:val="0"/>
              <w:spacing w:after="0"/>
              <w:rPr>
                <w:rFonts w:cs="Arial"/>
                <w:sz w:val="20"/>
                <w:szCs w:val="20"/>
              </w:rPr>
            </w:pPr>
            <w:r w:rsidRPr="0009143A">
              <w:rPr>
                <w:rFonts w:cs="Arial"/>
                <w:sz w:val="20"/>
                <w:szCs w:val="20"/>
              </w:rPr>
              <w:t xml:space="preserve">8 May </w:t>
            </w:r>
          </w:p>
        </w:tc>
      </w:tr>
      <w:tr w:rsidR="0009143A" w:rsidRPr="0009143A" w:rsidTr="001C6C3F">
        <w:trPr>
          <w:trHeight w:val="93"/>
          <w:jc w:val="center"/>
        </w:trPr>
        <w:tc>
          <w:tcPr>
            <w:tcW w:w="1980" w:type="dxa"/>
            <w:vAlign w:val="center"/>
          </w:tcPr>
          <w:p w:rsidR="0009143A" w:rsidRPr="0009143A" w:rsidRDefault="0009143A" w:rsidP="0009143A">
            <w:pPr>
              <w:autoSpaceDE w:val="0"/>
              <w:autoSpaceDN w:val="0"/>
              <w:adjustRightInd w:val="0"/>
              <w:spacing w:after="0"/>
              <w:rPr>
                <w:rFonts w:cs="Arial"/>
                <w:sz w:val="20"/>
                <w:szCs w:val="20"/>
              </w:rPr>
            </w:pPr>
            <w:r w:rsidRPr="0009143A">
              <w:rPr>
                <w:rFonts w:cs="Arial"/>
                <w:sz w:val="20"/>
                <w:szCs w:val="20"/>
              </w:rPr>
              <w:t xml:space="preserve">P0034 </w:t>
            </w:r>
          </w:p>
        </w:tc>
        <w:tc>
          <w:tcPr>
            <w:tcW w:w="0" w:type="auto"/>
            <w:vAlign w:val="center"/>
          </w:tcPr>
          <w:p w:rsidR="0009143A" w:rsidRPr="0009143A" w:rsidRDefault="0009143A" w:rsidP="0009143A">
            <w:pPr>
              <w:autoSpaceDE w:val="0"/>
              <w:autoSpaceDN w:val="0"/>
              <w:adjustRightInd w:val="0"/>
              <w:spacing w:after="0"/>
              <w:rPr>
                <w:rFonts w:cs="Arial"/>
                <w:sz w:val="20"/>
                <w:szCs w:val="20"/>
              </w:rPr>
            </w:pPr>
            <w:r w:rsidRPr="0009143A">
              <w:rPr>
                <w:rFonts w:cs="Arial"/>
                <w:sz w:val="20"/>
                <w:szCs w:val="20"/>
              </w:rPr>
              <w:t xml:space="preserve">Puff Southern Lights </w:t>
            </w:r>
          </w:p>
        </w:tc>
        <w:tc>
          <w:tcPr>
            <w:tcW w:w="2379" w:type="dxa"/>
            <w:vAlign w:val="center"/>
          </w:tcPr>
          <w:p w:rsidR="0009143A" w:rsidRPr="0009143A" w:rsidRDefault="0009143A" w:rsidP="0009143A">
            <w:pPr>
              <w:autoSpaceDE w:val="0"/>
              <w:autoSpaceDN w:val="0"/>
              <w:adjustRightInd w:val="0"/>
              <w:spacing w:after="0"/>
              <w:rPr>
                <w:rFonts w:cs="Arial"/>
                <w:sz w:val="20"/>
                <w:szCs w:val="20"/>
              </w:rPr>
            </w:pPr>
            <w:r w:rsidRPr="0009143A">
              <w:rPr>
                <w:rFonts w:cs="Arial"/>
                <w:sz w:val="20"/>
                <w:szCs w:val="20"/>
              </w:rPr>
              <w:t xml:space="preserve">PB22-5F </w:t>
            </w:r>
          </w:p>
        </w:tc>
        <w:tc>
          <w:tcPr>
            <w:tcW w:w="1266" w:type="dxa"/>
            <w:vAlign w:val="center"/>
          </w:tcPr>
          <w:p w:rsidR="0009143A" w:rsidRPr="0009143A" w:rsidRDefault="0009143A" w:rsidP="0009143A">
            <w:pPr>
              <w:autoSpaceDE w:val="0"/>
              <w:autoSpaceDN w:val="0"/>
              <w:adjustRightInd w:val="0"/>
              <w:spacing w:after="0"/>
              <w:rPr>
                <w:rFonts w:cs="Arial"/>
                <w:sz w:val="20"/>
                <w:szCs w:val="20"/>
              </w:rPr>
            </w:pPr>
            <w:r w:rsidRPr="0009143A">
              <w:rPr>
                <w:rFonts w:cs="Arial"/>
                <w:sz w:val="20"/>
                <w:szCs w:val="20"/>
              </w:rPr>
              <w:t xml:space="preserve">8 May </w:t>
            </w:r>
          </w:p>
        </w:tc>
      </w:tr>
      <w:tr w:rsidR="0009143A" w:rsidRPr="0009143A" w:rsidTr="001C6C3F">
        <w:trPr>
          <w:trHeight w:val="93"/>
          <w:jc w:val="center"/>
        </w:trPr>
        <w:tc>
          <w:tcPr>
            <w:tcW w:w="1980" w:type="dxa"/>
            <w:vAlign w:val="center"/>
          </w:tcPr>
          <w:p w:rsidR="0009143A" w:rsidRPr="0009143A" w:rsidRDefault="0009143A" w:rsidP="0009143A">
            <w:pPr>
              <w:autoSpaceDE w:val="0"/>
              <w:autoSpaceDN w:val="0"/>
              <w:adjustRightInd w:val="0"/>
              <w:spacing w:after="0"/>
              <w:rPr>
                <w:rFonts w:cs="Arial"/>
                <w:sz w:val="20"/>
                <w:szCs w:val="20"/>
              </w:rPr>
            </w:pPr>
            <w:r w:rsidRPr="0009143A">
              <w:rPr>
                <w:rFonts w:cs="Arial"/>
                <w:sz w:val="20"/>
                <w:szCs w:val="20"/>
              </w:rPr>
              <w:t xml:space="preserve">P0041 </w:t>
            </w:r>
          </w:p>
        </w:tc>
        <w:tc>
          <w:tcPr>
            <w:tcW w:w="0" w:type="auto"/>
            <w:vAlign w:val="center"/>
          </w:tcPr>
          <w:p w:rsidR="0009143A" w:rsidRPr="0009143A" w:rsidRDefault="0009143A" w:rsidP="0009143A">
            <w:pPr>
              <w:autoSpaceDE w:val="0"/>
              <w:autoSpaceDN w:val="0"/>
              <w:adjustRightInd w:val="0"/>
              <w:spacing w:after="0"/>
              <w:rPr>
                <w:rFonts w:cs="Arial"/>
                <w:sz w:val="20"/>
                <w:szCs w:val="20"/>
              </w:rPr>
            </w:pPr>
            <w:r w:rsidRPr="0009143A">
              <w:rPr>
                <w:rFonts w:cs="Arial"/>
                <w:sz w:val="20"/>
                <w:szCs w:val="20"/>
              </w:rPr>
              <w:t xml:space="preserve">Tai High Purple Passion </w:t>
            </w:r>
          </w:p>
        </w:tc>
        <w:tc>
          <w:tcPr>
            <w:tcW w:w="2379" w:type="dxa"/>
            <w:vAlign w:val="center"/>
          </w:tcPr>
          <w:p w:rsidR="0009143A" w:rsidRPr="0009143A" w:rsidRDefault="0009143A" w:rsidP="0009143A">
            <w:pPr>
              <w:autoSpaceDE w:val="0"/>
              <w:autoSpaceDN w:val="0"/>
              <w:adjustRightInd w:val="0"/>
              <w:spacing w:after="0"/>
              <w:rPr>
                <w:rFonts w:cs="Arial"/>
                <w:sz w:val="20"/>
                <w:szCs w:val="20"/>
              </w:rPr>
            </w:pPr>
            <w:r w:rsidRPr="0009143A">
              <w:rPr>
                <w:rFonts w:cs="Arial"/>
                <w:sz w:val="20"/>
                <w:szCs w:val="20"/>
              </w:rPr>
              <w:t xml:space="preserve">PB22-5F </w:t>
            </w:r>
          </w:p>
        </w:tc>
        <w:tc>
          <w:tcPr>
            <w:tcW w:w="1266" w:type="dxa"/>
            <w:vAlign w:val="center"/>
          </w:tcPr>
          <w:p w:rsidR="0009143A" w:rsidRPr="0009143A" w:rsidRDefault="0009143A" w:rsidP="0009143A">
            <w:pPr>
              <w:autoSpaceDE w:val="0"/>
              <w:autoSpaceDN w:val="0"/>
              <w:adjustRightInd w:val="0"/>
              <w:spacing w:after="0"/>
              <w:rPr>
                <w:rFonts w:cs="Arial"/>
                <w:sz w:val="20"/>
                <w:szCs w:val="20"/>
              </w:rPr>
            </w:pPr>
            <w:r w:rsidRPr="0009143A">
              <w:rPr>
                <w:rFonts w:cs="Arial"/>
                <w:sz w:val="20"/>
                <w:szCs w:val="20"/>
              </w:rPr>
              <w:t xml:space="preserve">8 May </w:t>
            </w:r>
          </w:p>
        </w:tc>
      </w:tr>
      <w:tr w:rsidR="0009143A" w:rsidRPr="0009143A" w:rsidTr="001C6C3F">
        <w:trPr>
          <w:trHeight w:val="93"/>
          <w:jc w:val="center"/>
        </w:trPr>
        <w:tc>
          <w:tcPr>
            <w:tcW w:w="1980" w:type="dxa"/>
            <w:vAlign w:val="center"/>
          </w:tcPr>
          <w:p w:rsidR="0009143A" w:rsidRPr="0009143A" w:rsidRDefault="0009143A" w:rsidP="0009143A">
            <w:pPr>
              <w:autoSpaceDE w:val="0"/>
              <w:autoSpaceDN w:val="0"/>
              <w:adjustRightInd w:val="0"/>
              <w:spacing w:after="0"/>
              <w:rPr>
                <w:rFonts w:cs="Arial"/>
                <w:sz w:val="20"/>
                <w:szCs w:val="20"/>
              </w:rPr>
            </w:pPr>
            <w:r w:rsidRPr="0009143A">
              <w:rPr>
                <w:rFonts w:cs="Arial"/>
                <w:sz w:val="20"/>
                <w:szCs w:val="20"/>
              </w:rPr>
              <w:t xml:space="preserve">P0047 </w:t>
            </w:r>
          </w:p>
        </w:tc>
        <w:tc>
          <w:tcPr>
            <w:tcW w:w="0" w:type="auto"/>
            <w:vAlign w:val="center"/>
          </w:tcPr>
          <w:p w:rsidR="0009143A" w:rsidRPr="0009143A" w:rsidRDefault="0009143A" w:rsidP="0009143A">
            <w:pPr>
              <w:autoSpaceDE w:val="0"/>
              <w:autoSpaceDN w:val="0"/>
              <w:adjustRightInd w:val="0"/>
              <w:spacing w:after="0"/>
              <w:rPr>
                <w:rFonts w:cs="Arial"/>
                <w:sz w:val="20"/>
                <w:szCs w:val="20"/>
              </w:rPr>
            </w:pPr>
            <w:r w:rsidRPr="0009143A">
              <w:rPr>
                <w:rFonts w:cs="Arial"/>
                <w:sz w:val="20"/>
                <w:szCs w:val="20"/>
              </w:rPr>
              <w:t xml:space="preserve">WTF </w:t>
            </w:r>
          </w:p>
        </w:tc>
        <w:tc>
          <w:tcPr>
            <w:tcW w:w="2379" w:type="dxa"/>
            <w:vAlign w:val="center"/>
          </w:tcPr>
          <w:p w:rsidR="0009143A" w:rsidRPr="0009143A" w:rsidRDefault="0009143A" w:rsidP="0009143A">
            <w:pPr>
              <w:autoSpaceDE w:val="0"/>
              <w:autoSpaceDN w:val="0"/>
              <w:adjustRightInd w:val="0"/>
              <w:spacing w:after="0"/>
              <w:rPr>
                <w:rFonts w:cs="Arial"/>
                <w:sz w:val="20"/>
                <w:szCs w:val="20"/>
              </w:rPr>
            </w:pPr>
            <w:r w:rsidRPr="0009143A">
              <w:rPr>
                <w:rFonts w:cs="Arial"/>
                <w:sz w:val="20"/>
                <w:szCs w:val="20"/>
              </w:rPr>
              <w:t xml:space="preserve">PB22-5F </w:t>
            </w:r>
          </w:p>
        </w:tc>
        <w:tc>
          <w:tcPr>
            <w:tcW w:w="1266" w:type="dxa"/>
            <w:vAlign w:val="center"/>
          </w:tcPr>
          <w:p w:rsidR="0009143A" w:rsidRPr="0009143A" w:rsidRDefault="0009143A" w:rsidP="0009143A">
            <w:pPr>
              <w:autoSpaceDE w:val="0"/>
              <w:autoSpaceDN w:val="0"/>
              <w:adjustRightInd w:val="0"/>
              <w:spacing w:after="0"/>
              <w:rPr>
                <w:rFonts w:cs="Arial"/>
                <w:sz w:val="20"/>
                <w:szCs w:val="20"/>
              </w:rPr>
            </w:pPr>
            <w:r w:rsidRPr="0009143A">
              <w:rPr>
                <w:rFonts w:cs="Arial"/>
                <w:sz w:val="20"/>
                <w:szCs w:val="20"/>
              </w:rPr>
              <w:t xml:space="preserve">1 May </w:t>
            </w:r>
          </w:p>
        </w:tc>
      </w:tr>
      <w:tr w:rsidR="0009143A" w:rsidRPr="0009143A" w:rsidTr="001C6C3F">
        <w:trPr>
          <w:trHeight w:val="93"/>
          <w:jc w:val="center"/>
        </w:trPr>
        <w:tc>
          <w:tcPr>
            <w:tcW w:w="1980" w:type="dxa"/>
            <w:vAlign w:val="center"/>
          </w:tcPr>
          <w:p w:rsidR="0009143A" w:rsidRPr="0009143A" w:rsidRDefault="0009143A" w:rsidP="0009143A">
            <w:pPr>
              <w:autoSpaceDE w:val="0"/>
              <w:autoSpaceDN w:val="0"/>
              <w:adjustRightInd w:val="0"/>
              <w:spacing w:after="0"/>
              <w:rPr>
                <w:rFonts w:cs="Arial"/>
                <w:sz w:val="20"/>
                <w:szCs w:val="20"/>
              </w:rPr>
            </w:pPr>
            <w:r w:rsidRPr="0009143A">
              <w:rPr>
                <w:rFonts w:cs="Arial"/>
                <w:sz w:val="20"/>
                <w:szCs w:val="20"/>
              </w:rPr>
              <w:t xml:space="preserve">P0049 </w:t>
            </w:r>
          </w:p>
        </w:tc>
        <w:tc>
          <w:tcPr>
            <w:tcW w:w="0" w:type="auto"/>
            <w:vAlign w:val="center"/>
          </w:tcPr>
          <w:p w:rsidR="0009143A" w:rsidRPr="0009143A" w:rsidRDefault="0009143A" w:rsidP="0009143A">
            <w:pPr>
              <w:autoSpaceDE w:val="0"/>
              <w:autoSpaceDN w:val="0"/>
              <w:adjustRightInd w:val="0"/>
              <w:spacing w:after="0"/>
              <w:rPr>
                <w:rFonts w:cs="Arial"/>
                <w:sz w:val="20"/>
                <w:szCs w:val="20"/>
              </w:rPr>
            </w:pPr>
            <w:r w:rsidRPr="0009143A">
              <w:rPr>
                <w:rFonts w:cs="Arial"/>
                <w:sz w:val="20"/>
                <w:szCs w:val="20"/>
              </w:rPr>
              <w:t xml:space="preserve">Mind Trip </w:t>
            </w:r>
          </w:p>
        </w:tc>
        <w:tc>
          <w:tcPr>
            <w:tcW w:w="2379" w:type="dxa"/>
            <w:vAlign w:val="center"/>
          </w:tcPr>
          <w:p w:rsidR="0009143A" w:rsidRPr="0009143A" w:rsidRDefault="0009143A" w:rsidP="0009143A">
            <w:pPr>
              <w:autoSpaceDE w:val="0"/>
              <w:autoSpaceDN w:val="0"/>
              <w:adjustRightInd w:val="0"/>
              <w:spacing w:after="0"/>
              <w:rPr>
                <w:rFonts w:cs="Arial"/>
                <w:sz w:val="20"/>
                <w:szCs w:val="20"/>
              </w:rPr>
            </w:pPr>
            <w:r w:rsidRPr="0009143A">
              <w:rPr>
                <w:rFonts w:cs="Arial"/>
                <w:sz w:val="20"/>
                <w:szCs w:val="20"/>
              </w:rPr>
              <w:t xml:space="preserve">PB-22, 5F-PB-22 </w:t>
            </w:r>
          </w:p>
        </w:tc>
        <w:tc>
          <w:tcPr>
            <w:tcW w:w="1266" w:type="dxa"/>
            <w:vAlign w:val="center"/>
          </w:tcPr>
          <w:p w:rsidR="0009143A" w:rsidRPr="0009143A" w:rsidRDefault="0009143A" w:rsidP="0009143A">
            <w:pPr>
              <w:autoSpaceDE w:val="0"/>
              <w:autoSpaceDN w:val="0"/>
              <w:adjustRightInd w:val="0"/>
              <w:spacing w:after="0"/>
              <w:rPr>
                <w:rFonts w:cs="Arial"/>
                <w:sz w:val="20"/>
                <w:szCs w:val="20"/>
              </w:rPr>
            </w:pPr>
            <w:r w:rsidRPr="0009143A">
              <w:rPr>
                <w:rFonts w:cs="Arial"/>
                <w:sz w:val="20"/>
                <w:szCs w:val="20"/>
              </w:rPr>
              <w:t xml:space="preserve">8 May </w:t>
            </w:r>
          </w:p>
        </w:tc>
      </w:tr>
      <w:tr w:rsidR="0009143A" w:rsidRPr="0009143A" w:rsidTr="001C6C3F">
        <w:trPr>
          <w:trHeight w:val="93"/>
          <w:jc w:val="center"/>
        </w:trPr>
        <w:tc>
          <w:tcPr>
            <w:tcW w:w="1980" w:type="dxa"/>
            <w:vAlign w:val="center"/>
          </w:tcPr>
          <w:p w:rsidR="0009143A" w:rsidRPr="0009143A" w:rsidRDefault="0009143A" w:rsidP="0009143A">
            <w:pPr>
              <w:autoSpaceDE w:val="0"/>
              <w:autoSpaceDN w:val="0"/>
              <w:adjustRightInd w:val="0"/>
              <w:spacing w:after="0"/>
              <w:rPr>
                <w:rFonts w:cs="Arial"/>
                <w:sz w:val="20"/>
                <w:szCs w:val="20"/>
              </w:rPr>
            </w:pPr>
            <w:r w:rsidRPr="0009143A">
              <w:rPr>
                <w:rFonts w:cs="Arial"/>
                <w:sz w:val="20"/>
                <w:szCs w:val="20"/>
              </w:rPr>
              <w:t xml:space="preserve">P0050 </w:t>
            </w:r>
          </w:p>
        </w:tc>
        <w:tc>
          <w:tcPr>
            <w:tcW w:w="0" w:type="auto"/>
            <w:vAlign w:val="center"/>
          </w:tcPr>
          <w:p w:rsidR="0009143A" w:rsidRPr="0009143A" w:rsidRDefault="0009143A" w:rsidP="0009143A">
            <w:pPr>
              <w:autoSpaceDE w:val="0"/>
              <w:autoSpaceDN w:val="0"/>
              <w:adjustRightInd w:val="0"/>
              <w:spacing w:after="0"/>
              <w:rPr>
                <w:rFonts w:cs="Arial"/>
                <w:sz w:val="20"/>
                <w:szCs w:val="20"/>
              </w:rPr>
            </w:pPr>
            <w:r w:rsidRPr="0009143A">
              <w:rPr>
                <w:rFonts w:cs="Arial"/>
                <w:sz w:val="20"/>
                <w:szCs w:val="20"/>
              </w:rPr>
              <w:t xml:space="preserve">Kush Pink </w:t>
            </w:r>
          </w:p>
        </w:tc>
        <w:tc>
          <w:tcPr>
            <w:tcW w:w="2379" w:type="dxa"/>
            <w:vAlign w:val="center"/>
          </w:tcPr>
          <w:p w:rsidR="0009143A" w:rsidRPr="0009143A" w:rsidRDefault="0009143A" w:rsidP="0009143A">
            <w:pPr>
              <w:autoSpaceDE w:val="0"/>
              <w:autoSpaceDN w:val="0"/>
              <w:adjustRightInd w:val="0"/>
              <w:spacing w:after="0"/>
              <w:rPr>
                <w:rFonts w:cs="Arial"/>
                <w:sz w:val="20"/>
                <w:szCs w:val="20"/>
              </w:rPr>
            </w:pPr>
            <w:r w:rsidRPr="0009143A">
              <w:rPr>
                <w:rFonts w:cs="Arial"/>
                <w:sz w:val="20"/>
                <w:szCs w:val="20"/>
              </w:rPr>
              <w:t xml:space="preserve">Pb 22, pb 22-5f </w:t>
            </w:r>
          </w:p>
        </w:tc>
        <w:tc>
          <w:tcPr>
            <w:tcW w:w="1266" w:type="dxa"/>
            <w:vAlign w:val="center"/>
          </w:tcPr>
          <w:p w:rsidR="0009143A" w:rsidRPr="0009143A" w:rsidRDefault="0009143A" w:rsidP="0009143A">
            <w:pPr>
              <w:autoSpaceDE w:val="0"/>
              <w:autoSpaceDN w:val="0"/>
              <w:adjustRightInd w:val="0"/>
              <w:spacing w:after="0"/>
              <w:rPr>
                <w:rFonts w:cs="Arial"/>
                <w:sz w:val="20"/>
                <w:szCs w:val="20"/>
              </w:rPr>
            </w:pPr>
            <w:r w:rsidRPr="0009143A">
              <w:rPr>
                <w:rFonts w:cs="Arial"/>
                <w:sz w:val="20"/>
                <w:szCs w:val="20"/>
              </w:rPr>
              <w:t xml:space="preserve">8 May </w:t>
            </w:r>
          </w:p>
        </w:tc>
      </w:tr>
    </w:tbl>
    <w:p w:rsidR="0009143A" w:rsidRDefault="0009143A" w:rsidP="0009143A">
      <w:pPr>
        <w:spacing w:before="240" w:after="0" w:line="240" w:lineRule="auto"/>
        <w:contextualSpacing/>
        <w:rPr>
          <w:rFonts w:eastAsia="Calibri" w:cs="Arial"/>
        </w:rPr>
      </w:pPr>
    </w:p>
    <w:p w:rsidR="003C68E8" w:rsidRPr="0009143A" w:rsidRDefault="0009143A" w:rsidP="0009143A">
      <w:pPr>
        <w:spacing w:before="240" w:after="0" w:line="240" w:lineRule="auto"/>
        <w:contextualSpacing/>
        <w:rPr>
          <w:rFonts w:eastAsia="Calibri" w:cs="Arial"/>
        </w:rPr>
      </w:pPr>
      <w:r w:rsidRPr="0009143A">
        <w:rPr>
          <w:rFonts w:eastAsia="Calibri" w:cs="Arial"/>
        </w:rPr>
        <w:t xml:space="preserve">Of the products given interim approval in the establishment phase of the </w:t>
      </w:r>
      <w:r w:rsidR="00BC6010">
        <w:rPr>
          <w:rFonts w:eastAsia="Calibri" w:cs="Arial"/>
        </w:rPr>
        <w:t xml:space="preserve">Psychoactive Substances </w:t>
      </w:r>
      <w:r w:rsidRPr="0009143A">
        <w:rPr>
          <w:rFonts w:eastAsia="Calibri" w:cs="Arial"/>
        </w:rPr>
        <w:t xml:space="preserve">Act, nine products contained AB-FUBINACA. </w:t>
      </w:r>
      <w:r w:rsidR="00BC6010">
        <w:rPr>
          <w:rFonts w:eastAsia="Calibri" w:cs="Arial"/>
        </w:rPr>
        <w:t>Four of the 11</w:t>
      </w:r>
      <w:r w:rsidRPr="0009143A">
        <w:rPr>
          <w:rFonts w:eastAsia="Calibri" w:cs="Arial"/>
        </w:rPr>
        <w:t xml:space="preserve"> products with interim approval</w:t>
      </w:r>
      <w:r w:rsidR="00BC6010">
        <w:rPr>
          <w:rFonts w:eastAsia="Calibri" w:cs="Arial"/>
        </w:rPr>
        <w:t xml:space="preserve"> that</w:t>
      </w:r>
      <w:r w:rsidRPr="0009143A">
        <w:rPr>
          <w:rFonts w:eastAsia="Calibri" w:cs="Arial"/>
        </w:rPr>
        <w:t xml:space="preserve"> were subsequently removed from sale on safety grounds contained AB-FUBINACA. </w:t>
      </w:r>
    </w:p>
    <w:p w:rsidR="0009143A" w:rsidRPr="0009143A" w:rsidRDefault="0009143A" w:rsidP="0009143A">
      <w:pPr>
        <w:spacing w:before="240" w:after="0"/>
        <w:ind w:left="924"/>
        <w:contextualSpacing/>
        <w:rPr>
          <w:rFonts w:eastAsia="Calibri" w:cs="Arial"/>
        </w:rPr>
      </w:pPr>
    </w:p>
    <w:p w:rsidR="0009143A" w:rsidRDefault="0009143A" w:rsidP="00BC6010">
      <w:pPr>
        <w:spacing w:before="240" w:after="0" w:line="240" w:lineRule="auto"/>
        <w:contextualSpacing/>
        <w:rPr>
          <w:rFonts w:eastAsia="Calibri" w:cs="Arial"/>
        </w:rPr>
      </w:pPr>
      <w:r w:rsidRPr="0009143A">
        <w:rPr>
          <w:rFonts w:eastAsia="Calibri" w:cs="Arial"/>
        </w:rPr>
        <w:t xml:space="preserve">Adverse effects reported for products containing AB-FUBINACA included two cases of hospitalisation (one occurring after the individual suffered multiple seizures), and two medically significant events. </w:t>
      </w:r>
    </w:p>
    <w:p w:rsidR="006A2F41" w:rsidRPr="0009143A" w:rsidRDefault="006A2F41" w:rsidP="00BC6010">
      <w:pPr>
        <w:spacing w:before="240" w:after="0" w:line="240" w:lineRule="auto"/>
        <w:contextualSpacing/>
        <w:rPr>
          <w:rFonts w:eastAsia="Calibri" w:cs="Arial"/>
        </w:rPr>
      </w:pPr>
    </w:p>
    <w:p w:rsidR="0009143A" w:rsidRPr="0009143A" w:rsidRDefault="0009143A" w:rsidP="0009143A">
      <w:pPr>
        <w:spacing w:before="240" w:after="0" w:line="240" w:lineRule="auto"/>
        <w:contextualSpacing/>
        <w:rPr>
          <w:rFonts w:eastAsia="Calibri" w:cs="Arial"/>
        </w:rPr>
      </w:pPr>
      <w:r w:rsidRPr="0009143A">
        <w:rPr>
          <w:rFonts w:eastAsia="Calibri" w:cs="Arial"/>
        </w:rPr>
        <w:t>The table below lists those products containing AB-FUBINACA and the date when the respective product approval was revoked.</w:t>
      </w:r>
    </w:p>
    <w:p w:rsidR="0009143A" w:rsidRDefault="0009143A" w:rsidP="0009143A">
      <w:pPr>
        <w:spacing w:before="240" w:after="0"/>
        <w:ind w:left="924"/>
        <w:contextualSpacing/>
        <w:rPr>
          <w:rFonts w:eastAsia="Calibri" w:cs="Arial"/>
        </w:rPr>
      </w:pPr>
    </w:p>
    <w:p w:rsidR="001C6C3F" w:rsidRDefault="001C6C3F" w:rsidP="0009143A">
      <w:pPr>
        <w:spacing w:before="240" w:after="0"/>
        <w:ind w:left="924"/>
        <w:contextualSpacing/>
        <w:rPr>
          <w:rFonts w:eastAsia="Calibri" w:cs="Arial"/>
        </w:rPr>
      </w:pPr>
    </w:p>
    <w:p w:rsidR="001C6C3F" w:rsidRDefault="001C6C3F" w:rsidP="0009143A">
      <w:pPr>
        <w:spacing w:before="240" w:after="0"/>
        <w:ind w:left="924"/>
        <w:contextualSpacing/>
        <w:rPr>
          <w:rFonts w:eastAsia="Calibri" w:cs="Arial"/>
        </w:rPr>
      </w:pPr>
    </w:p>
    <w:p w:rsidR="001C6C3F" w:rsidRPr="0009143A" w:rsidRDefault="001C6C3F" w:rsidP="0009143A">
      <w:pPr>
        <w:spacing w:before="240" w:after="0"/>
        <w:ind w:left="924"/>
        <w:contextualSpacing/>
        <w:rPr>
          <w:rFonts w:eastAsia="Calibri" w:cs="Arial"/>
        </w:rPr>
      </w:pPr>
    </w:p>
    <w:tbl>
      <w:tblPr>
        <w:tblW w:w="4469" w:type="pct"/>
        <w:jc w:val="center"/>
        <w:tblLook w:val="0000" w:firstRow="0" w:lastRow="0" w:firstColumn="0" w:lastColumn="0" w:noHBand="0" w:noVBand="0"/>
      </w:tblPr>
      <w:tblGrid>
        <w:gridCol w:w="1668"/>
        <w:gridCol w:w="4424"/>
        <w:gridCol w:w="1975"/>
      </w:tblGrid>
      <w:tr w:rsidR="0009143A" w:rsidRPr="0009143A" w:rsidTr="001C6C3F">
        <w:trPr>
          <w:trHeight w:val="287"/>
          <w:tblHeader/>
          <w:jc w:val="center"/>
        </w:trPr>
        <w:tc>
          <w:tcPr>
            <w:tcW w:w="1034" w:type="pct"/>
            <w:shd w:val="clear" w:color="auto" w:fill="D9D9D9" w:themeFill="background1" w:themeFillShade="D9"/>
            <w:vAlign w:val="center"/>
          </w:tcPr>
          <w:p w:rsidR="0009143A" w:rsidRPr="0009143A" w:rsidRDefault="0009143A" w:rsidP="0009143A">
            <w:pPr>
              <w:autoSpaceDE w:val="0"/>
              <w:autoSpaceDN w:val="0"/>
              <w:adjustRightInd w:val="0"/>
              <w:spacing w:after="0"/>
              <w:rPr>
                <w:rFonts w:cs="Arial"/>
                <w:sz w:val="20"/>
                <w:szCs w:val="20"/>
              </w:rPr>
            </w:pPr>
            <w:r w:rsidRPr="0009143A">
              <w:rPr>
                <w:rFonts w:cs="Arial"/>
                <w:b/>
                <w:bCs/>
                <w:sz w:val="20"/>
                <w:szCs w:val="20"/>
              </w:rPr>
              <w:t xml:space="preserve">Application Number </w:t>
            </w:r>
          </w:p>
        </w:tc>
        <w:tc>
          <w:tcPr>
            <w:tcW w:w="2742" w:type="pct"/>
            <w:shd w:val="clear" w:color="auto" w:fill="D9D9D9" w:themeFill="background1" w:themeFillShade="D9"/>
            <w:vAlign w:val="center"/>
          </w:tcPr>
          <w:p w:rsidR="0009143A" w:rsidRPr="0009143A" w:rsidRDefault="0009143A" w:rsidP="0009143A">
            <w:pPr>
              <w:autoSpaceDE w:val="0"/>
              <w:autoSpaceDN w:val="0"/>
              <w:adjustRightInd w:val="0"/>
              <w:spacing w:after="0"/>
              <w:rPr>
                <w:rFonts w:cs="Arial"/>
                <w:sz w:val="20"/>
                <w:szCs w:val="20"/>
              </w:rPr>
            </w:pPr>
            <w:r w:rsidRPr="0009143A">
              <w:rPr>
                <w:rFonts w:cs="Arial"/>
                <w:b/>
                <w:bCs/>
                <w:sz w:val="20"/>
                <w:szCs w:val="20"/>
              </w:rPr>
              <w:t xml:space="preserve">Product Name </w:t>
            </w:r>
          </w:p>
        </w:tc>
        <w:tc>
          <w:tcPr>
            <w:tcW w:w="1224" w:type="pct"/>
            <w:shd w:val="clear" w:color="auto" w:fill="D9D9D9" w:themeFill="background1" w:themeFillShade="D9"/>
            <w:vAlign w:val="center"/>
          </w:tcPr>
          <w:p w:rsidR="0009143A" w:rsidRPr="0009143A" w:rsidRDefault="0009143A" w:rsidP="0009143A">
            <w:pPr>
              <w:autoSpaceDE w:val="0"/>
              <w:autoSpaceDN w:val="0"/>
              <w:adjustRightInd w:val="0"/>
              <w:spacing w:after="0"/>
              <w:rPr>
                <w:rFonts w:cs="Arial"/>
                <w:b/>
                <w:bCs/>
                <w:sz w:val="20"/>
                <w:szCs w:val="20"/>
              </w:rPr>
            </w:pPr>
            <w:r w:rsidRPr="0009143A">
              <w:rPr>
                <w:rFonts w:cs="Arial"/>
                <w:b/>
                <w:bCs/>
                <w:sz w:val="20"/>
                <w:szCs w:val="20"/>
              </w:rPr>
              <w:t>Approval revoked</w:t>
            </w:r>
          </w:p>
          <w:p w:rsidR="0009143A" w:rsidRPr="0009143A" w:rsidRDefault="0009143A" w:rsidP="0009143A">
            <w:pPr>
              <w:autoSpaceDE w:val="0"/>
              <w:autoSpaceDN w:val="0"/>
              <w:adjustRightInd w:val="0"/>
              <w:spacing w:after="0"/>
              <w:rPr>
                <w:rFonts w:cs="Arial"/>
                <w:b/>
                <w:bCs/>
                <w:sz w:val="20"/>
                <w:szCs w:val="20"/>
              </w:rPr>
            </w:pPr>
            <w:r w:rsidRPr="0009143A">
              <w:rPr>
                <w:rFonts w:cs="Arial"/>
                <w:b/>
                <w:bCs/>
                <w:sz w:val="20"/>
                <w:szCs w:val="20"/>
              </w:rPr>
              <w:t>2014</w:t>
            </w:r>
          </w:p>
        </w:tc>
      </w:tr>
      <w:tr w:rsidR="0009143A" w:rsidRPr="0009143A" w:rsidTr="001C6C3F">
        <w:trPr>
          <w:trHeight w:val="93"/>
          <w:jc w:val="center"/>
        </w:trPr>
        <w:tc>
          <w:tcPr>
            <w:tcW w:w="1034" w:type="pct"/>
            <w:vAlign w:val="center"/>
          </w:tcPr>
          <w:p w:rsidR="0009143A" w:rsidRPr="0009143A" w:rsidRDefault="0009143A" w:rsidP="0009143A">
            <w:pPr>
              <w:autoSpaceDE w:val="0"/>
              <w:autoSpaceDN w:val="0"/>
              <w:adjustRightInd w:val="0"/>
              <w:spacing w:after="0"/>
              <w:rPr>
                <w:rFonts w:cs="Arial"/>
                <w:sz w:val="20"/>
                <w:szCs w:val="20"/>
              </w:rPr>
            </w:pPr>
            <w:r w:rsidRPr="0009143A">
              <w:rPr>
                <w:rFonts w:cs="Arial"/>
                <w:sz w:val="20"/>
                <w:szCs w:val="20"/>
              </w:rPr>
              <w:t xml:space="preserve">P0005 </w:t>
            </w:r>
          </w:p>
        </w:tc>
        <w:tc>
          <w:tcPr>
            <w:tcW w:w="2742" w:type="pct"/>
            <w:vAlign w:val="center"/>
          </w:tcPr>
          <w:p w:rsidR="0009143A" w:rsidRPr="0009143A" w:rsidRDefault="0009143A" w:rsidP="0009143A">
            <w:pPr>
              <w:autoSpaceDE w:val="0"/>
              <w:autoSpaceDN w:val="0"/>
              <w:adjustRightInd w:val="0"/>
              <w:spacing w:after="0"/>
              <w:rPr>
                <w:rFonts w:cs="Arial"/>
                <w:sz w:val="20"/>
                <w:szCs w:val="20"/>
              </w:rPr>
            </w:pPr>
            <w:r w:rsidRPr="0009143A">
              <w:rPr>
                <w:rFonts w:cs="Arial"/>
                <w:sz w:val="20"/>
                <w:szCs w:val="20"/>
              </w:rPr>
              <w:t xml:space="preserve">Apocalypse </w:t>
            </w:r>
          </w:p>
        </w:tc>
        <w:tc>
          <w:tcPr>
            <w:tcW w:w="1224" w:type="pct"/>
            <w:vAlign w:val="center"/>
          </w:tcPr>
          <w:p w:rsidR="0009143A" w:rsidRPr="0009143A" w:rsidRDefault="0009143A" w:rsidP="0009143A">
            <w:pPr>
              <w:autoSpaceDE w:val="0"/>
              <w:autoSpaceDN w:val="0"/>
              <w:adjustRightInd w:val="0"/>
              <w:spacing w:after="0"/>
              <w:rPr>
                <w:rFonts w:cs="Arial"/>
                <w:sz w:val="20"/>
                <w:szCs w:val="20"/>
              </w:rPr>
            </w:pPr>
            <w:r w:rsidRPr="0009143A">
              <w:rPr>
                <w:rFonts w:cs="Arial"/>
                <w:sz w:val="20"/>
                <w:szCs w:val="20"/>
              </w:rPr>
              <w:t xml:space="preserve">1 May </w:t>
            </w:r>
          </w:p>
        </w:tc>
      </w:tr>
      <w:tr w:rsidR="0009143A" w:rsidRPr="0009143A" w:rsidTr="001C6C3F">
        <w:trPr>
          <w:trHeight w:val="93"/>
          <w:jc w:val="center"/>
        </w:trPr>
        <w:tc>
          <w:tcPr>
            <w:tcW w:w="1034" w:type="pct"/>
            <w:vAlign w:val="center"/>
          </w:tcPr>
          <w:p w:rsidR="0009143A" w:rsidRPr="0009143A" w:rsidRDefault="0009143A" w:rsidP="0009143A">
            <w:pPr>
              <w:autoSpaceDE w:val="0"/>
              <w:autoSpaceDN w:val="0"/>
              <w:adjustRightInd w:val="0"/>
              <w:spacing w:after="0"/>
              <w:rPr>
                <w:rFonts w:cs="Arial"/>
                <w:sz w:val="20"/>
                <w:szCs w:val="20"/>
              </w:rPr>
            </w:pPr>
            <w:r w:rsidRPr="0009143A">
              <w:rPr>
                <w:rFonts w:cs="Arial"/>
                <w:sz w:val="20"/>
                <w:szCs w:val="20"/>
              </w:rPr>
              <w:t xml:space="preserve">P0006 </w:t>
            </w:r>
          </w:p>
        </w:tc>
        <w:tc>
          <w:tcPr>
            <w:tcW w:w="2742" w:type="pct"/>
            <w:vAlign w:val="center"/>
          </w:tcPr>
          <w:p w:rsidR="0009143A" w:rsidRPr="0009143A" w:rsidRDefault="0009143A" w:rsidP="0009143A">
            <w:pPr>
              <w:autoSpaceDE w:val="0"/>
              <w:autoSpaceDN w:val="0"/>
              <w:adjustRightInd w:val="0"/>
              <w:spacing w:after="0"/>
              <w:rPr>
                <w:rFonts w:cs="Arial"/>
                <w:sz w:val="20"/>
                <w:szCs w:val="20"/>
              </w:rPr>
            </w:pPr>
            <w:r w:rsidRPr="0009143A">
              <w:rPr>
                <w:rFonts w:cs="Arial"/>
                <w:sz w:val="20"/>
                <w:szCs w:val="20"/>
              </w:rPr>
              <w:t xml:space="preserve">Outbreak </w:t>
            </w:r>
          </w:p>
        </w:tc>
        <w:tc>
          <w:tcPr>
            <w:tcW w:w="1224" w:type="pct"/>
            <w:vAlign w:val="center"/>
          </w:tcPr>
          <w:p w:rsidR="0009143A" w:rsidRPr="0009143A" w:rsidRDefault="0009143A" w:rsidP="0009143A">
            <w:pPr>
              <w:autoSpaceDE w:val="0"/>
              <w:autoSpaceDN w:val="0"/>
              <w:adjustRightInd w:val="0"/>
              <w:spacing w:after="0"/>
              <w:rPr>
                <w:rFonts w:cs="Arial"/>
                <w:sz w:val="20"/>
                <w:szCs w:val="20"/>
              </w:rPr>
            </w:pPr>
            <w:r w:rsidRPr="0009143A">
              <w:rPr>
                <w:rFonts w:cs="Arial"/>
                <w:sz w:val="20"/>
                <w:szCs w:val="20"/>
              </w:rPr>
              <w:t xml:space="preserve">1 May </w:t>
            </w:r>
          </w:p>
        </w:tc>
      </w:tr>
      <w:tr w:rsidR="0009143A" w:rsidRPr="0009143A" w:rsidTr="001C6C3F">
        <w:trPr>
          <w:trHeight w:val="93"/>
          <w:jc w:val="center"/>
        </w:trPr>
        <w:tc>
          <w:tcPr>
            <w:tcW w:w="1034" w:type="pct"/>
            <w:vAlign w:val="center"/>
          </w:tcPr>
          <w:p w:rsidR="0009143A" w:rsidRPr="0009143A" w:rsidRDefault="0009143A" w:rsidP="0009143A">
            <w:pPr>
              <w:autoSpaceDE w:val="0"/>
              <w:autoSpaceDN w:val="0"/>
              <w:adjustRightInd w:val="0"/>
              <w:spacing w:after="0"/>
              <w:rPr>
                <w:rFonts w:cs="Arial"/>
                <w:sz w:val="20"/>
                <w:szCs w:val="20"/>
              </w:rPr>
            </w:pPr>
            <w:r w:rsidRPr="0009143A">
              <w:rPr>
                <w:rFonts w:cs="Arial"/>
                <w:sz w:val="20"/>
                <w:szCs w:val="20"/>
              </w:rPr>
              <w:t xml:space="preserve">P0026 </w:t>
            </w:r>
          </w:p>
        </w:tc>
        <w:tc>
          <w:tcPr>
            <w:tcW w:w="2742" w:type="pct"/>
            <w:vAlign w:val="center"/>
          </w:tcPr>
          <w:p w:rsidR="0009143A" w:rsidRPr="0009143A" w:rsidRDefault="0009143A" w:rsidP="0009143A">
            <w:pPr>
              <w:autoSpaceDE w:val="0"/>
              <w:autoSpaceDN w:val="0"/>
              <w:adjustRightInd w:val="0"/>
              <w:spacing w:after="0"/>
              <w:rPr>
                <w:rFonts w:cs="Arial"/>
                <w:sz w:val="20"/>
                <w:szCs w:val="20"/>
              </w:rPr>
            </w:pPr>
            <w:r w:rsidRPr="0009143A">
              <w:rPr>
                <w:rFonts w:cs="Arial"/>
                <w:sz w:val="20"/>
                <w:szCs w:val="20"/>
              </w:rPr>
              <w:t xml:space="preserve">Illusion Peak </w:t>
            </w:r>
          </w:p>
        </w:tc>
        <w:tc>
          <w:tcPr>
            <w:tcW w:w="1224" w:type="pct"/>
            <w:vAlign w:val="center"/>
          </w:tcPr>
          <w:p w:rsidR="0009143A" w:rsidRPr="0009143A" w:rsidRDefault="0009143A" w:rsidP="0009143A">
            <w:pPr>
              <w:autoSpaceDE w:val="0"/>
              <w:autoSpaceDN w:val="0"/>
              <w:adjustRightInd w:val="0"/>
              <w:spacing w:after="0"/>
              <w:rPr>
                <w:rFonts w:cs="Arial"/>
                <w:sz w:val="20"/>
                <w:szCs w:val="20"/>
              </w:rPr>
            </w:pPr>
            <w:r w:rsidRPr="0009143A">
              <w:rPr>
                <w:rFonts w:cs="Arial"/>
                <w:sz w:val="20"/>
                <w:szCs w:val="20"/>
              </w:rPr>
              <w:t xml:space="preserve">8 May </w:t>
            </w:r>
          </w:p>
        </w:tc>
      </w:tr>
      <w:tr w:rsidR="0009143A" w:rsidRPr="0009143A" w:rsidTr="001C6C3F">
        <w:trPr>
          <w:trHeight w:val="93"/>
          <w:jc w:val="center"/>
        </w:trPr>
        <w:tc>
          <w:tcPr>
            <w:tcW w:w="1034" w:type="pct"/>
            <w:vAlign w:val="center"/>
          </w:tcPr>
          <w:p w:rsidR="0009143A" w:rsidRPr="0009143A" w:rsidRDefault="0009143A" w:rsidP="0009143A">
            <w:pPr>
              <w:autoSpaceDE w:val="0"/>
              <w:autoSpaceDN w:val="0"/>
              <w:adjustRightInd w:val="0"/>
              <w:spacing w:after="0"/>
              <w:rPr>
                <w:rFonts w:cs="Arial"/>
                <w:sz w:val="20"/>
                <w:szCs w:val="20"/>
              </w:rPr>
            </w:pPr>
            <w:r w:rsidRPr="0009143A">
              <w:rPr>
                <w:rFonts w:cs="Arial"/>
                <w:sz w:val="20"/>
                <w:szCs w:val="20"/>
              </w:rPr>
              <w:t xml:space="preserve">P0028 </w:t>
            </w:r>
          </w:p>
        </w:tc>
        <w:tc>
          <w:tcPr>
            <w:tcW w:w="2742" w:type="pct"/>
            <w:vAlign w:val="center"/>
          </w:tcPr>
          <w:p w:rsidR="0009143A" w:rsidRPr="0009143A" w:rsidRDefault="0009143A" w:rsidP="0009143A">
            <w:pPr>
              <w:autoSpaceDE w:val="0"/>
              <w:autoSpaceDN w:val="0"/>
              <w:adjustRightInd w:val="0"/>
              <w:spacing w:after="0"/>
              <w:rPr>
                <w:rFonts w:cs="Arial"/>
                <w:sz w:val="20"/>
                <w:szCs w:val="20"/>
              </w:rPr>
            </w:pPr>
            <w:r w:rsidRPr="0009143A">
              <w:rPr>
                <w:rFonts w:cs="Arial"/>
                <w:sz w:val="20"/>
                <w:szCs w:val="20"/>
              </w:rPr>
              <w:t xml:space="preserve">Amsterdam Havana Special </w:t>
            </w:r>
          </w:p>
        </w:tc>
        <w:tc>
          <w:tcPr>
            <w:tcW w:w="1224" w:type="pct"/>
            <w:vAlign w:val="center"/>
          </w:tcPr>
          <w:p w:rsidR="0009143A" w:rsidRPr="0009143A" w:rsidRDefault="0009143A" w:rsidP="0009143A">
            <w:pPr>
              <w:autoSpaceDE w:val="0"/>
              <w:autoSpaceDN w:val="0"/>
              <w:adjustRightInd w:val="0"/>
              <w:spacing w:after="0"/>
              <w:rPr>
                <w:rFonts w:cs="Arial"/>
                <w:sz w:val="20"/>
                <w:szCs w:val="20"/>
              </w:rPr>
            </w:pPr>
            <w:r w:rsidRPr="0009143A">
              <w:rPr>
                <w:rFonts w:cs="Arial"/>
                <w:sz w:val="20"/>
                <w:szCs w:val="20"/>
              </w:rPr>
              <w:t xml:space="preserve">8 May </w:t>
            </w:r>
          </w:p>
        </w:tc>
      </w:tr>
      <w:tr w:rsidR="0009143A" w:rsidRPr="0009143A" w:rsidTr="001C6C3F">
        <w:trPr>
          <w:trHeight w:val="93"/>
          <w:jc w:val="center"/>
        </w:trPr>
        <w:tc>
          <w:tcPr>
            <w:tcW w:w="1034" w:type="pct"/>
            <w:vAlign w:val="center"/>
          </w:tcPr>
          <w:p w:rsidR="0009143A" w:rsidRPr="0009143A" w:rsidRDefault="0009143A" w:rsidP="0009143A">
            <w:pPr>
              <w:autoSpaceDE w:val="0"/>
              <w:autoSpaceDN w:val="0"/>
              <w:adjustRightInd w:val="0"/>
              <w:spacing w:after="0"/>
              <w:rPr>
                <w:rFonts w:cs="Arial"/>
                <w:sz w:val="20"/>
                <w:szCs w:val="20"/>
              </w:rPr>
            </w:pPr>
            <w:r w:rsidRPr="0009143A">
              <w:rPr>
                <w:rFonts w:cs="Arial"/>
                <w:sz w:val="20"/>
                <w:szCs w:val="20"/>
              </w:rPr>
              <w:t xml:space="preserve">P0031 </w:t>
            </w:r>
          </w:p>
        </w:tc>
        <w:tc>
          <w:tcPr>
            <w:tcW w:w="2742" w:type="pct"/>
            <w:vAlign w:val="center"/>
          </w:tcPr>
          <w:p w:rsidR="0009143A" w:rsidRPr="0009143A" w:rsidRDefault="0009143A" w:rsidP="0009143A">
            <w:pPr>
              <w:autoSpaceDE w:val="0"/>
              <w:autoSpaceDN w:val="0"/>
              <w:adjustRightInd w:val="0"/>
              <w:spacing w:after="0"/>
              <w:rPr>
                <w:rFonts w:cs="Arial"/>
                <w:sz w:val="20"/>
                <w:szCs w:val="20"/>
              </w:rPr>
            </w:pPr>
            <w:r w:rsidRPr="0009143A">
              <w:rPr>
                <w:rFonts w:cs="Arial"/>
                <w:sz w:val="20"/>
                <w:szCs w:val="20"/>
              </w:rPr>
              <w:t>Blueberry Crush</w:t>
            </w:r>
          </w:p>
        </w:tc>
        <w:tc>
          <w:tcPr>
            <w:tcW w:w="1224" w:type="pct"/>
            <w:vAlign w:val="center"/>
          </w:tcPr>
          <w:p w:rsidR="0009143A" w:rsidRPr="0009143A" w:rsidRDefault="0009143A" w:rsidP="0009143A">
            <w:pPr>
              <w:autoSpaceDE w:val="0"/>
              <w:autoSpaceDN w:val="0"/>
              <w:adjustRightInd w:val="0"/>
              <w:spacing w:after="0"/>
              <w:rPr>
                <w:rFonts w:cs="Arial"/>
                <w:sz w:val="20"/>
                <w:szCs w:val="20"/>
              </w:rPr>
            </w:pPr>
            <w:r w:rsidRPr="0009143A">
              <w:rPr>
                <w:rFonts w:cs="Arial"/>
                <w:sz w:val="20"/>
                <w:szCs w:val="20"/>
              </w:rPr>
              <w:t xml:space="preserve">1 May </w:t>
            </w:r>
          </w:p>
        </w:tc>
      </w:tr>
      <w:tr w:rsidR="0009143A" w:rsidRPr="0009143A" w:rsidTr="001C6C3F">
        <w:trPr>
          <w:trHeight w:val="93"/>
          <w:jc w:val="center"/>
        </w:trPr>
        <w:tc>
          <w:tcPr>
            <w:tcW w:w="1034" w:type="pct"/>
            <w:vAlign w:val="center"/>
          </w:tcPr>
          <w:p w:rsidR="0009143A" w:rsidRPr="0009143A" w:rsidRDefault="0009143A" w:rsidP="0009143A">
            <w:pPr>
              <w:autoSpaceDE w:val="0"/>
              <w:autoSpaceDN w:val="0"/>
              <w:adjustRightInd w:val="0"/>
              <w:spacing w:after="0"/>
              <w:rPr>
                <w:rFonts w:cs="Arial"/>
                <w:sz w:val="20"/>
                <w:szCs w:val="20"/>
              </w:rPr>
            </w:pPr>
            <w:r w:rsidRPr="0009143A">
              <w:rPr>
                <w:rFonts w:cs="Arial"/>
                <w:sz w:val="20"/>
                <w:szCs w:val="20"/>
              </w:rPr>
              <w:t xml:space="preserve">P0044 </w:t>
            </w:r>
          </w:p>
        </w:tc>
        <w:tc>
          <w:tcPr>
            <w:tcW w:w="2742" w:type="pct"/>
            <w:vAlign w:val="center"/>
          </w:tcPr>
          <w:p w:rsidR="0009143A" w:rsidRPr="0009143A" w:rsidRDefault="0009143A" w:rsidP="0009143A">
            <w:pPr>
              <w:autoSpaceDE w:val="0"/>
              <w:autoSpaceDN w:val="0"/>
              <w:adjustRightInd w:val="0"/>
              <w:spacing w:after="0"/>
              <w:rPr>
                <w:rFonts w:cs="Arial"/>
                <w:sz w:val="20"/>
                <w:szCs w:val="20"/>
              </w:rPr>
            </w:pPr>
            <w:r w:rsidRPr="0009143A">
              <w:rPr>
                <w:rFonts w:cs="Arial"/>
                <w:sz w:val="20"/>
                <w:szCs w:val="20"/>
              </w:rPr>
              <w:t xml:space="preserve">Tai High Bubble Berry </w:t>
            </w:r>
          </w:p>
        </w:tc>
        <w:tc>
          <w:tcPr>
            <w:tcW w:w="1224" w:type="pct"/>
            <w:vAlign w:val="center"/>
          </w:tcPr>
          <w:p w:rsidR="0009143A" w:rsidRPr="0009143A" w:rsidRDefault="0009143A" w:rsidP="0009143A">
            <w:pPr>
              <w:autoSpaceDE w:val="0"/>
              <w:autoSpaceDN w:val="0"/>
              <w:adjustRightInd w:val="0"/>
              <w:spacing w:after="0"/>
              <w:rPr>
                <w:rFonts w:cs="Arial"/>
                <w:sz w:val="20"/>
                <w:szCs w:val="20"/>
              </w:rPr>
            </w:pPr>
            <w:r w:rsidRPr="0009143A">
              <w:rPr>
                <w:rFonts w:cs="Arial"/>
                <w:sz w:val="20"/>
                <w:szCs w:val="20"/>
              </w:rPr>
              <w:t xml:space="preserve">8 May </w:t>
            </w:r>
          </w:p>
        </w:tc>
      </w:tr>
      <w:tr w:rsidR="0009143A" w:rsidRPr="0009143A" w:rsidTr="001C6C3F">
        <w:trPr>
          <w:trHeight w:val="93"/>
          <w:jc w:val="center"/>
        </w:trPr>
        <w:tc>
          <w:tcPr>
            <w:tcW w:w="1034" w:type="pct"/>
            <w:vAlign w:val="center"/>
          </w:tcPr>
          <w:p w:rsidR="0009143A" w:rsidRPr="0009143A" w:rsidRDefault="0009143A" w:rsidP="0009143A">
            <w:pPr>
              <w:autoSpaceDE w:val="0"/>
              <w:autoSpaceDN w:val="0"/>
              <w:adjustRightInd w:val="0"/>
              <w:spacing w:after="0"/>
              <w:rPr>
                <w:rFonts w:cs="Arial"/>
                <w:sz w:val="20"/>
                <w:szCs w:val="20"/>
              </w:rPr>
            </w:pPr>
            <w:r w:rsidRPr="0009143A">
              <w:rPr>
                <w:rFonts w:cs="Arial"/>
                <w:sz w:val="20"/>
                <w:szCs w:val="20"/>
              </w:rPr>
              <w:t xml:space="preserve">P0046 </w:t>
            </w:r>
          </w:p>
        </w:tc>
        <w:tc>
          <w:tcPr>
            <w:tcW w:w="2742" w:type="pct"/>
            <w:vAlign w:val="center"/>
          </w:tcPr>
          <w:p w:rsidR="0009143A" w:rsidRPr="0009143A" w:rsidRDefault="0009143A" w:rsidP="0009143A">
            <w:pPr>
              <w:autoSpaceDE w:val="0"/>
              <w:autoSpaceDN w:val="0"/>
              <w:adjustRightInd w:val="0"/>
              <w:spacing w:after="0"/>
              <w:rPr>
                <w:rFonts w:cs="Arial"/>
                <w:sz w:val="20"/>
                <w:szCs w:val="20"/>
              </w:rPr>
            </w:pPr>
            <w:r w:rsidRPr="0009143A">
              <w:rPr>
                <w:rFonts w:cs="Arial"/>
                <w:sz w:val="20"/>
                <w:szCs w:val="20"/>
              </w:rPr>
              <w:t xml:space="preserve">Master Kush </w:t>
            </w:r>
          </w:p>
        </w:tc>
        <w:tc>
          <w:tcPr>
            <w:tcW w:w="1224" w:type="pct"/>
            <w:vAlign w:val="center"/>
          </w:tcPr>
          <w:p w:rsidR="0009143A" w:rsidRPr="0009143A" w:rsidRDefault="0009143A" w:rsidP="0009143A">
            <w:pPr>
              <w:autoSpaceDE w:val="0"/>
              <w:autoSpaceDN w:val="0"/>
              <w:adjustRightInd w:val="0"/>
              <w:spacing w:after="0"/>
              <w:rPr>
                <w:rFonts w:cs="Arial"/>
                <w:sz w:val="20"/>
                <w:szCs w:val="20"/>
              </w:rPr>
            </w:pPr>
            <w:r w:rsidRPr="0009143A">
              <w:rPr>
                <w:rFonts w:cs="Arial"/>
                <w:sz w:val="20"/>
                <w:szCs w:val="20"/>
              </w:rPr>
              <w:t xml:space="preserve">8 May </w:t>
            </w:r>
          </w:p>
        </w:tc>
      </w:tr>
      <w:tr w:rsidR="0009143A" w:rsidRPr="0009143A" w:rsidTr="001C6C3F">
        <w:trPr>
          <w:trHeight w:val="93"/>
          <w:jc w:val="center"/>
        </w:trPr>
        <w:tc>
          <w:tcPr>
            <w:tcW w:w="1034" w:type="pct"/>
            <w:vAlign w:val="center"/>
          </w:tcPr>
          <w:p w:rsidR="0009143A" w:rsidRPr="0009143A" w:rsidRDefault="0009143A" w:rsidP="0009143A">
            <w:pPr>
              <w:autoSpaceDE w:val="0"/>
              <w:autoSpaceDN w:val="0"/>
              <w:adjustRightInd w:val="0"/>
              <w:spacing w:after="0"/>
              <w:rPr>
                <w:rFonts w:cs="Arial"/>
                <w:sz w:val="20"/>
                <w:szCs w:val="20"/>
              </w:rPr>
            </w:pPr>
            <w:r w:rsidRPr="0009143A">
              <w:rPr>
                <w:rFonts w:cs="Arial"/>
                <w:sz w:val="20"/>
                <w:szCs w:val="20"/>
              </w:rPr>
              <w:t xml:space="preserve">P0051 </w:t>
            </w:r>
          </w:p>
        </w:tc>
        <w:tc>
          <w:tcPr>
            <w:tcW w:w="2742" w:type="pct"/>
            <w:vAlign w:val="center"/>
          </w:tcPr>
          <w:p w:rsidR="0009143A" w:rsidRPr="0009143A" w:rsidRDefault="0009143A" w:rsidP="0009143A">
            <w:pPr>
              <w:autoSpaceDE w:val="0"/>
              <w:autoSpaceDN w:val="0"/>
              <w:adjustRightInd w:val="0"/>
              <w:spacing w:after="0"/>
              <w:rPr>
                <w:rFonts w:cs="Arial"/>
                <w:sz w:val="20"/>
                <w:szCs w:val="20"/>
              </w:rPr>
            </w:pPr>
            <w:r w:rsidRPr="0009143A">
              <w:rPr>
                <w:rFonts w:cs="Arial"/>
                <w:sz w:val="20"/>
                <w:szCs w:val="20"/>
              </w:rPr>
              <w:t xml:space="preserve">Lemon Grass </w:t>
            </w:r>
          </w:p>
        </w:tc>
        <w:tc>
          <w:tcPr>
            <w:tcW w:w="1224" w:type="pct"/>
            <w:vAlign w:val="center"/>
          </w:tcPr>
          <w:p w:rsidR="0009143A" w:rsidRPr="0009143A" w:rsidRDefault="0009143A" w:rsidP="0009143A">
            <w:pPr>
              <w:autoSpaceDE w:val="0"/>
              <w:autoSpaceDN w:val="0"/>
              <w:adjustRightInd w:val="0"/>
              <w:spacing w:after="0"/>
              <w:rPr>
                <w:rFonts w:cs="Arial"/>
                <w:sz w:val="20"/>
                <w:szCs w:val="20"/>
              </w:rPr>
            </w:pPr>
            <w:r w:rsidRPr="0009143A">
              <w:rPr>
                <w:rFonts w:cs="Arial"/>
                <w:sz w:val="20"/>
                <w:szCs w:val="20"/>
              </w:rPr>
              <w:t xml:space="preserve">1 May </w:t>
            </w:r>
          </w:p>
        </w:tc>
      </w:tr>
      <w:tr w:rsidR="0009143A" w:rsidRPr="0009143A" w:rsidTr="001C6C3F">
        <w:trPr>
          <w:trHeight w:val="93"/>
          <w:jc w:val="center"/>
        </w:trPr>
        <w:tc>
          <w:tcPr>
            <w:tcW w:w="1034" w:type="pct"/>
            <w:vAlign w:val="center"/>
          </w:tcPr>
          <w:p w:rsidR="0009143A" w:rsidRPr="0009143A" w:rsidRDefault="0009143A" w:rsidP="0009143A">
            <w:pPr>
              <w:autoSpaceDE w:val="0"/>
              <w:autoSpaceDN w:val="0"/>
              <w:adjustRightInd w:val="0"/>
              <w:spacing w:after="0"/>
              <w:rPr>
                <w:rFonts w:cs="Arial"/>
                <w:sz w:val="20"/>
                <w:szCs w:val="20"/>
              </w:rPr>
            </w:pPr>
            <w:r w:rsidRPr="0009143A">
              <w:rPr>
                <w:rFonts w:cs="Arial"/>
                <w:sz w:val="20"/>
                <w:szCs w:val="20"/>
              </w:rPr>
              <w:t xml:space="preserve">P0052 </w:t>
            </w:r>
          </w:p>
        </w:tc>
        <w:tc>
          <w:tcPr>
            <w:tcW w:w="2742" w:type="pct"/>
            <w:vAlign w:val="center"/>
          </w:tcPr>
          <w:p w:rsidR="0009143A" w:rsidRPr="0009143A" w:rsidRDefault="0009143A" w:rsidP="0009143A">
            <w:pPr>
              <w:autoSpaceDE w:val="0"/>
              <w:autoSpaceDN w:val="0"/>
              <w:adjustRightInd w:val="0"/>
              <w:spacing w:after="0"/>
              <w:rPr>
                <w:rFonts w:cs="Arial"/>
                <w:sz w:val="20"/>
                <w:szCs w:val="20"/>
              </w:rPr>
            </w:pPr>
            <w:r w:rsidRPr="0009143A">
              <w:rPr>
                <w:rFonts w:cs="Arial"/>
                <w:sz w:val="20"/>
                <w:szCs w:val="20"/>
              </w:rPr>
              <w:t xml:space="preserve">Choco Haze </w:t>
            </w:r>
          </w:p>
        </w:tc>
        <w:tc>
          <w:tcPr>
            <w:tcW w:w="1224" w:type="pct"/>
            <w:vAlign w:val="center"/>
          </w:tcPr>
          <w:p w:rsidR="0009143A" w:rsidRPr="0009143A" w:rsidRDefault="0009143A" w:rsidP="0009143A">
            <w:pPr>
              <w:autoSpaceDE w:val="0"/>
              <w:autoSpaceDN w:val="0"/>
              <w:adjustRightInd w:val="0"/>
              <w:spacing w:after="0"/>
              <w:rPr>
                <w:rFonts w:cs="Arial"/>
                <w:sz w:val="20"/>
                <w:szCs w:val="20"/>
              </w:rPr>
            </w:pPr>
            <w:r w:rsidRPr="0009143A">
              <w:rPr>
                <w:rFonts w:cs="Arial"/>
                <w:sz w:val="20"/>
                <w:szCs w:val="20"/>
              </w:rPr>
              <w:t xml:space="preserve">8 May </w:t>
            </w:r>
          </w:p>
        </w:tc>
      </w:tr>
    </w:tbl>
    <w:p w:rsidR="00BC6010" w:rsidRPr="00BC6010" w:rsidRDefault="00BC6010" w:rsidP="00225B17">
      <w:pPr>
        <w:pStyle w:val="Heading3"/>
      </w:pPr>
      <w:bookmarkStart w:id="42" w:name="_Toc509487319"/>
      <w:r w:rsidRPr="00BC6010">
        <w:t>Neither Temporary Class Drug Notices nor Interim Approvals</w:t>
      </w:r>
      <w:bookmarkEnd w:id="42"/>
    </w:p>
    <w:p w:rsidR="00BC6010" w:rsidRDefault="00BC6010" w:rsidP="00BC6010">
      <w:pPr>
        <w:spacing w:before="240" w:after="0"/>
        <w:jc w:val="both"/>
        <w:rPr>
          <w:rFonts w:eastAsia="Calibri" w:cs="Arial"/>
        </w:rPr>
      </w:pPr>
      <w:r>
        <w:rPr>
          <w:rFonts w:eastAsia="Calibri" w:cs="Arial"/>
        </w:rPr>
        <w:t>A</w:t>
      </w:r>
      <w:r w:rsidRPr="00614A1E">
        <w:rPr>
          <w:rFonts w:eastAsia="Calibri" w:cs="Arial"/>
        </w:rPr>
        <w:t>s 5F-ADB is a relatively new substance</w:t>
      </w:r>
      <w:r>
        <w:rPr>
          <w:rFonts w:eastAsia="Calibri" w:cs="Arial"/>
        </w:rPr>
        <w:t xml:space="preserve"> in New Zealand</w:t>
      </w:r>
      <w:r w:rsidRPr="00614A1E">
        <w:rPr>
          <w:rFonts w:eastAsia="Calibri" w:cs="Arial"/>
        </w:rPr>
        <w:t>, no Temporary Class Drug Notices or interim product approvals were issued</w:t>
      </w:r>
      <w:r w:rsidR="00CA41F0">
        <w:rPr>
          <w:rFonts w:eastAsia="Calibri" w:cs="Arial"/>
        </w:rPr>
        <w:t>.</w:t>
      </w:r>
    </w:p>
    <w:p w:rsidR="00BC6010" w:rsidRDefault="00BC6010" w:rsidP="00BC6010">
      <w:pPr>
        <w:spacing w:before="240" w:after="0" w:line="240" w:lineRule="auto"/>
        <w:contextualSpacing/>
        <w:rPr>
          <w:rFonts w:eastAsia="Calibri" w:cs="Arial"/>
        </w:rPr>
      </w:pPr>
    </w:p>
    <w:p w:rsidR="00BC6010" w:rsidRDefault="00BC6010" w:rsidP="00BC6010">
      <w:pPr>
        <w:spacing w:before="240" w:after="0" w:line="240" w:lineRule="auto"/>
        <w:contextualSpacing/>
        <w:rPr>
          <w:rFonts w:eastAsia="Calibri" w:cs="Arial"/>
        </w:rPr>
      </w:pPr>
      <w:r w:rsidRPr="0077346D">
        <w:rPr>
          <w:rFonts w:eastAsia="Calibri" w:cs="Arial"/>
        </w:rPr>
        <w:t>As MDMB-CHMICA</w:t>
      </w:r>
      <w:r w:rsidR="00130DB1">
        <w:rPr>
          <w:rFonts w:eastAsia="Calibri" w:cs="Arial"/>
        </w:rPr>
        <w:t xml:space="preserve"> and</w:t>
      </w:r>
      <w:r w:rsidRPr="0077346D">
        <w:rPr>
          <w:rFonts w:eastAsia="Calibri" w:cs="Arial"/>
        </w:rPr>
        <w:t xml:space="preserve"> </w:t>
      </w:r>
      <w:r w:rsidR="00130DB1" w:rsidRPr="0077346D">
        <w:rPr>
          <w:rFonts w:eastAsia="Calibri" w:cs="Arial"/>
        </w:rPr>
        <w:t xml:space="preserve">AMB-FUBINACA </w:t>
      </w:r>
      <w:r w:rsidRPr="0077346D">
        <w:rPr>
          <w:rFonts w:eastAsia="Calibri" w:cs="Arial"/>
        </w:rPr>
        <w:t>w</w:t>
      </w:r>
      <w:r w:rsidR="00130DB1">
        <w:rPr>
          <w:rFonts w:eastAsia="Calibri" w:cs="Arial"/>
        </w:rPr>
        <w:t>ere</w:t>
      </w:r>
      <w:r w:rsidRPr="0077346D">
        <w:rPr>
          <w:rFonts w:eastAsia="Calibri" w:cs="Arial"/>
        </w:rPr>
        <w:t xml:space="preserve"> first detected in 2014, </w:t>
      </w:r>
      <w:r w:rsidR="00130DB1">
        <w:rPr>
          <w:rFonts w:eastAsia="Calibri" w:cs="Arial"/>
        </w:rPr>
        <w:t>they have not been the subject of</w:t>
      </w:r>
      <w:r w:rsidRPr="0077346D">
        <w:rPr>
          <w:rFonts w:eastAsia="Calibri" w:cs="Arial"/>
        </w:rPr>
        <w:t xml:space="preserve"> Temporary Class Drug Notice</w:t>
      </w:r>
      <w:r w:rsidR="00130DB1">
        <w:rPr>
          <w:rFonts w:eastAsia="Calibri" w:cs="Arial"/>
        </w:rPr>
        <w:t>s</w:t>
      </w:r>
      <w:r w:rsidRPr="0077346D">
        <w:rPr>
          <w:rFonts w:eastAsia="Calibri" w:cs="Arial"/>
        </w:rPr>
        <w:t xml:space="preserve"> or interim product approval</w:t>
      </w:r>
      <w:r w:rsidR="00130DB1">
        <w:rPr>
          <w:rFonts w:eastAsia="Calibri" w:cs="Arial"/>
        </w:rPr>
        <w:t>s</w:t>
      </w:r>
      <w:r w:rsidRPr="0077346D">
        <w:rPr>
          <w:rFonts w:eastAsia="Calibri" w:cs="Arial"/>
        </w:rPr>
        <w:t xml:space="preserve"> issued under the </w:t>
      </w:r>
      <w:r>
        <w:rPr>
          <w:rFonts w:eastAsia="Calibri" w:cs="Arial"/>
        </w:rPr>
        <w:t xml:space="preserve">Psychoactive Substances </w:t>
      </w:r>
      <w:r w:rsidRPr="0077346D">
        <w:rPr>
          <w:rFonts w:eastAsia="Calibri" w:cs="Arial"/>
        </w:rPr>
        <w:t>Act.</w:t>
      </w:r>
    </w:p>
    <w:p w:rsidR="00225B17" w:rsidRDefault="001C6C3F" w:rsidP="00225B17">
      <w:pPr>
        <w:pStyle w:val="Heading3"/>
      </w:pPr>
      <w:bookmarkStart w:id="43" w:name="_Toc509487320"/>
      <w:r>
        <w:t xml:space="preserve">Table 5: </w:t>
      </w:r>
      <w:r w:rsidR="00225B17">
        <w:t>Summary</w:t>
      </w:r>
      <w:r>
        <w:t xml:space="preserve"> of historical classification in New Zealand</w:t>
      </w:r>
      <w:bookmarkEnd w:id="43"/>
    </w:p>
    <w:tbl>
      <w:tblPr>
        <w:tblStyle w:val="TableGrid"/>
        <w:tblW w:w="0" w:type="auto"/>
        <w:tblLayout w:type="fixed"/>
        <w:tblLook w:val="04A0" w:firstRow="1" w:lastRow="0" w:firstColumn="1" w:lastColumn="0" w:noHBand="0" w:noVBand="1"/>
      </w:tblPr>
      <w:tblGrid>
        <w:gridCol w:w="2405"/>
        <w:gridCol w:w="6095"/>
      </w:tblGrid>
      <w:tr w:rsidR="00225B17" w:rsidRPr="00B52D6B" w:rsidTr="00130DB1">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25B17" w:rsidRPr="00B52D6B" w:rsidRDefault="00225B17" w:rsidP="00F57639">
            <w:pPr>
              <w:rPr>
                <w:b/>
              </w:rPr>
            </w:pPr>
            <w:r w:rsidRPr="00B52D6B">
              <w:rPr>
                <w:b/>
              </w:rPr>
              <w:t>Substance</w:t>
            </w:r>
          </w:p>
        </w:tc>
        <w:tc>
          <w:tcPr>
            <w:tcW w:w="6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25B17" w:rsidRPr="00B52D6B" w:rsidRDefault="00225B17" w:rsidP="00F57639">
            <w:pPr>
              <w:rPr>
                <w:b/>
              </w:rPr>
            </w:pPr>
            <w:r>
              <w:rPr>
                <w:b/>
              </w:rPr>
              <w:t>Historical classification in NZ</w:t>
            </w:r>
          </w:p>
        </w:tc>
      </w:tr>
      <w:tr w:rsidR="00225B17" w:rsidTr="00D245D1">
        <w:tc>
          <w:tcPr>
            <w:tcW w:w="2405" w:type="dxa"/>
            <w:shd w:val="clear" w:color="auto" w:fill="auto"/>
            <w:hideMark/>
          </w:tcPr>
          <w:p w:rsidR="00225B17" w:rsidRPr="001A69F4" w:rsidRDefault="00225B17" w:rsidP="00F57639">
            <w:r w:rsidRPr="001A69F4">
              <w:t xml:space="preserve">5F-ADB </w:t>
            </w:r>
          </w:p>
        </w:tc>
        <w:tc>
          <w:tcPr>
            <w:tcW w:w="6095" w:type="dxa"/>
            <w:shd w:val="clear" w:color="auto" w:fill="auto"/>
            <w:hideMark/>
          </w:tcPr>
          <w:p w:rsidR="00225B17" w:rsidRDefault="00225B17" w:rsidP="00F57639">
            <w:r w:rsidRPr="00225B17">
              <w:t>Neither Temporary Class Drug Notices nor Interim Approval</w:t>
            </w:r>
          </w:p>
        </w:tc>
      </w:tr>
      <w:tr w:rsidR="00225B17" w:rsidTr="00D245D1">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225B17" w:rsidRPr="001A69F4" w:rsidRDefault="00225B17" w:rsidP="00F57639">
            <w:r w:rsidRPr="001A69F4">
              <w:t>UR-144</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225B17" w:rsidRDefault="00225B17" w:rsidP="00F57639">
            <w:r w:rsidRPr="00225B17">
              <w:t>Temporary Class Drug Notice</w:t>
            </w:r>
          </w:p>
        </w:tc>
      </w:tr>
      <w:tr w:rsidR="00225B17" w:rsidTr="00D245D1">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225B17" w:rsidRPr="001A69F4" w:rsidRDefault="00225B17" w:rsidP="00F57639">
            <w:r w:rsidRPr="001A69F4">
              <w:t>5F-PB-22</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225B17" w:rsidRDefault="00225B17" w:rsidP="00F57639">
            <w:r>
              <w:t>Interim Approval</w:t>
            </w:r>
          </w:p>
        </w:tc>
      </w:tr>
      <w:tr w:rsidR="00225B17" w:rsidTr="00D245D1">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225B17" w:rsidRPr="001A69F4" w:rsidRDefault="00225B17" w:rsidP="00F57639">
            <w:r w:rsidRPr="001A69F4">
              <w:t>MDMB-CHMICA</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225B17" w:rsidRDefault="00225B17" w:rsidP="00F57639">
            <w:r w:rsidRPr="00225B17">
              <w:t>Neither Temporary Class Drug Notices nor Interim Approval</w:t>
            </w:r>
          </w:p>
        </w:tc>
      </w:tr>
      <w:tr w:rsidR="00225B17" w:rsidTr="00D245D1">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225B17" w:rsidRPr="00B52D6B" w:rsidRDefault="00225B17" w:rsidP="00F57639">
            <w:r w:rsidRPr="00B52D6B">
              <w:t>5F-AKB-48</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225B17" w:rsidRDefault="00225B17" w:rsidP="00F57639">
            <w:r w:rsidRPr="00225B17">
              <w:t>Temporary Class Drug Notice</w:t>
            </w:r>
          </w:p>
        </w:tc>
      </w:tr>
      <w:tr w:rsidR="00225B17" w:rsidTr="00D245D1">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225B17" w:rsidRPr="001A69F4" w:rsidRDefault="00225B17" w:rsidP="00F57639">
            <w:r w:rsidRPr="001A69F4">
              <w:t>XLR-11</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225B17" w:rsidRDefault="00225B17" w:rsidP="00F57639">
            <w:r w:rsidRPr="00225B17">
              <w:t>Temporary Class Drug Notice</w:t>
            </w:r>
          </w:p>
        </w:tc>
      </w:tr>
      <w:tr w:rsidR="00225B17" w:rsidTr="00D245D1">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225B17" w:rsidRPr="001A69F4" w:rsidRDefault="00225B17" w:rsidP="00F57639">
            <w:r w:rsidRPr="001A69F4">
              <w:t>JWH-018</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225B17" w:rsidRDefault="00225B17" w:rsidP="00F57639">
            <w:r w:rsidRPr="00225B17">
              <w:t>Temporary Class Drug Notice</w:t>
            </w:r>
          </w:p>
        </w:tc>
      </w:tr>
      <w:tr w:rsidR="00225B17" w:rsidTr="00D245D1">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225B17" w:rsidRPr="001A69F4" w:rsidRDefault="00225B17" w:rsidP="00F57639">
            <w:r w:rsidRPr="001A69F4">
              <w:t>AM-2201</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225B17" w:rsidRDefault="00225B17" w:rsidP="00F57639">
            <w:r w:rsidRPr="00225B17">
              <w:t>Temporary Class Drug Notice</w:t>
            </w:r>
          </w:p>
        </w:tc>
      </w:tr>
      <w:tr w:rsidR="00225B17" w:rsidTr="00D245D1">
        <w:tc>
          <w:tcPr>
            <w:tcW w:w="2405" w:type="dxa"/>
            <w:shd w:val="clear" w:color="auto" w:fill="auto"/>
            <w:hideMark/>
          </w:tcPr>
          <w:p w:rsidR="00225B17" w:rsidRPr="001A69F4" w:rsidRDefault="00225B17" w:rsidP="00F57639">
            <w:r w:rsidRPr="001A69F4">
              <w:t>AMB-FUBINACA</w:t>
            </w:r>
          </w:p>
        </w:tc>
        <w:tc>
          <w:tcPr>
            <w:tcW w:w="6095" w:type="dxa"/>
            <w:shd w:val="clear" w:color="auto" w:fill="auto"/>
            <w:hideMark/>
          </w:tcPr>
          <w:p w:rsidR="00225B17" w:rsidRDefault="00225B17" w:rsidP="00F57639">
            <w:r w:rsidRPr="00225B17">
              <w:t>Neither Temporary Class Drug Notices nor Interim Approval</w:t>
            </w:r>
          </w:p>
        </w:tc>
      </w:tr>
      <w:tr w:rsidR="00225B17" w:rsidTr="00D245D1">
        <w:tc>
          <w:tcPr>
            <w:tcW w:w="2405" w:type="dxa"/>
            <w:shd w:val="clear" w:color="auto" w:fill="auto"/>
            <w:hideMark/>
          </w:tcPr>
          <w:p w:rsidR="00225B17" w:rsidRPr="001A69F4" w:rsidRDefault="00225B17" w:rsidP="00F57639">
            <w:r w:rsidRPr="001A69F4">
              <w:t>AB-FUBINACA</w:t>
            </w:r>
          </w:p>
        </w:tc>
        <w:tc>
          <w:tcPr>
            <w:tcW w:w="6095" w:type="dxa"/>
            <w:shd w:val="clear" w:color="auto" w:fill="auto"/>
            <w:hideMark/>
          </w:tcPr>
          <w:p w:rsidR="00225B17" w:rsidRDefault="00225B17" w:rsidP="00F57639">
            <w:r>
              <w:t xml:space="preserve">Interim Approval </w:t>
            </w:r>
          </w:p>
        </w:tc>
      </w:tr>
    </w:tbl>
    <w:p w:rsidR="00225B17" w:rsidRDefault="00225B17" w:rsidP="0020096A"/>
    <w:p w:rsidR="0020096A" w:rsidRDefault="0020096A" w:rsidP="0020096A">
      <w:pPr>
        <w:pStyle w:val="Heading2"/>
      </w:pPr>
      <w:bookmarkStart w:id="44" w:name="_Toc509487321"/>
      <w:r>
        <w:t xml:space="preserve">5.3 </w:t>
      </w:r>
      <w:r>
        <w:tab/>
        <w:t>Anticipated future trends</w:t>
      </w:r>
      <w:bookmarkEnd w:id="44"/>
    </w:p>
    <w:p w:rsidR="0029004F" w:rsidRDefault="005E1463" w:rsidP="001A69F4">
      <w:r>
        <w:t xml:space="preserve">Synthetic cannabinoid use in New Zealand is expected to continue and the numbers of people using synthetic cannabinoids may rise. Synthetic cannabinoids are particularly appealing to vulnerable populations as they are cheap to buy and can have very strong effects, this is unlikely to change in the future. The addictive nature of synthetic cannabinoids makes it very hard for some users to quit using “synthetic cannabis” without a medical intervention. </w:t>
      </w:r>
      <w:r w:rsidR="00F57639">
        <w:t xml:space="preserve">Information currently available on the synthetic cannabinoids (including anecdotal information) indicates that synthetic cannabinoids are more harmful than the Class C1 controlled drug cannabis. </w:t>
      </w:r>
    </w:p>
    <w:p w:rsidR="009427CF" w:rsidRDefault="009427CF" w:rsidP="009427CF">
      <w:pPr>
        <w:pStyle w:val="Heading1"/>
        <w:spacing w:before="0" w:after="120" w:line="240" w:lineRule="auto"/>
        <w:jc w:val="center"/>
      </w:pPr>
      <w:bookmarkStart w:id="45" w:name="_Toc509487322"/>
      <w:r>
        <w:t>6.0 CLASSIFICATION OPTIONS</w:t>
      </w:r>
      <w:bookmarkEnd w:id="45"/>
    </w:p>
    <w:p w:rsidR="00F57639" w:rsidRDefault="00F57639" w:rsidP="00D245D1">
      <w:pPr>
        <w:rPr>
          <w:b/>
        </w:rPr>
      </w:pPr>
      <w:r w:rsidRPr="00F57639">
        <w:t xml:space="preserve">Note that, although </w:t>
      </w:r>
      <w:r>
        <w:t>the synthetic cannabinoids are being considered together, if the Committee considers that they have different risks of harm, different scheduling recommendations can be applied to each substance considered.</w:t>
      </w:r>
      <w:r w:rsidR="00D245D1">
        <w:t xml:space="preserve"> The same applies for recommending a presumption of supply, different levels can be set if the Committee considers this appropriate. See </w:t>
      </w:r>
      <w:r w:rsidR="00D245D1" w:rsidRPr="00D245D1">
        <w:rPr>
          <w:b/>
        </w:rPr>
        <w:t>Section 5</w:t>
      </w:r>
      <w:r w:rsidR="00D245D1">
        <w:t xml:space="preserve"> of this report for discussion and options </w:t>
      </w:r>
      <w:r w:rsidR="00130DB1">
        <w:t xml:space="preserve">proposed </w:t>
      </w:r>
      <w:r w:rsidR="00D245D1">
        <w:t xml:space="preserve">for the presumption of supply. </w:t>
      </w:r>
    </w:p>
    <w:p w:rsidR="001C6C3F" w:rsidRDefault="001C6C3F" w:rsidP="009427CF">
      <w:pPr>
        <w:spacing w:after="120" w:line="240" w:lineRule="auto"/>
        <w:rPr>
          <w:b/>
        </w:rPr>
      </w:pPr>
    </w:p>
    <w:p w:rsidR="00F57639" w:rsidRDefault="00F57639" w:rsidP="009427CF">
      <w:pPr>
        <w:spacing w:after="120" w:line="240" w:lineRule="auto"/>
        <w:rPr>
          <w:b/>
        </w:rPr>
      </w:pPr>
      <w:r>
        <w:rPr>
          <w:b/>
        </w:rPr>
        <w:t>Option 1: Status Quo – the synthetic cannabinoids continue to be controlled under the Psychoactive Substances Act 2013</w:t>
      </w:r>
    </w:p>
    <w:p w:rsidR="00E77567" w:rsidRDefault="00EE5844" w:rsidP="009427CF">
      <w:pPr>
        <w:spacing w:after="120" w:line="240" w:lineRule="auto"/>
      </w:pPr>
      <w:r>
        <w:t xml:space="preserve">If </w:t>
      </w:r>
      <w:r w:rsidR="00E77567">
        <w:t>synthetic cannabinoids remain</w:t>
      </w:r>
      <w:r w:rsidR="00E77567" w:rsidRPr="00E77567">
        <w:t xml:space="preserve"> unscheduled under </w:t>
      </w:r>
      <w:r w:rsidR="00E77567">
        <w:t>the Misuse of Drugs Act 1975 they can still</w:t>
      </w:r>
      <w:r w:rsidR="00E77567" w:rsidRPr="00E77567">
        <w:t xml:space="preserve"> be captured under the Psychoactive Substance Act 2013 when used for the primary purpose of inducing a psychoactive effect. </w:t>
      </w:r>
      <w:r w:rsidR="00E77567">
        <w:t>Penalties for the</w:t>
      </w:r>
      <w:r>
        <w:t xml:space="preserve"> misuse</w:t>
      </w:r>
      <w:r w:rsidR="00E77567">
        <w:t xml:space="preserve"> of synthetic cannabinoids</w:t>
      </w:r>
      <w:r>
        <w:t xml:space="preserve"> </w:t>
      </w:r>
      <w:r w:rsidR="00E77567">
        <w:t xml:space="preserve">(listed in the table below) </w:t>
      </w:r>
      <w:r>
        <w:t xml:space="preserve">will be controlled in line with substances that have a low risk of harm. </w:t>
      </w:r>
    </w:p>
    <w:p w:rsidR="00F57639" w:rsidRPr="00EE5844" w:rsidRDefault="00EE5844" w:rsidP="009427CF">
      <w:pPr>
        <w:spacing w:after="120" w:line="240" w:lineRule="auto"/>
      </w:pPr>
      <w:r>
        <w:t>Control under the Psyc</w:t>
      </w:r>
      <w:r w:rsidR="00D74A6E">
        <w:t xml:space="preserve">hoactive Substances Act will </w:t>
      </w:r>
      <w:r>
        <w:t xml:space="preserve">mean that New Zealand will continue not complying with their obligations under the United Nations Conventions on Psychotropic Substances 1971. </w:t>
      </w:r>
    </w:p>
    <w:p w:rsidR="009427CF" w:rsidRPr="00235359" w:rsidRDefault="009427CF" w:rsidP="009427CF">
      <w:pPr>
        <w:spacing w:after="120" w:line="240" w:lineRule="auto"/>
        <w:rPr>
          <w:b/>
        </w:rPr>
      </w:pPr>
      <w:r w:rsidRPr="00235359">
        <w:rPr>
          <w:b/>
        </w:rPr>
        <w:t xml:space="preserve">Option </w:t>
      </w:r>
      <w:r w:rsidR="00F57639">
        <w:rPr>
          <w:b/>
        </w:rPr>
        <w:t>2</w:t>
      </w:r>
      <w:r w:rsidRPr="00235359">
        <w:rPr>
          <w:b/>
        </w:rPr>
        <w:t xml:space="preserve">: </w:t>
      </w:r>
      <w:r w:rsidR="00F57639">
        <w:rPr>
          <w:b/>
        </w:rPr>
        <w:t>Scheduled as Class A controlled drugs under the Misuse of Drugs Act 1975</w:t>
      </w:r>
    </w:p>
    <w:p w:rsidR="009427CF" w:rsidRDefault="00E77567" w:rsidP="009427CF">
      <w:pPr>
        <w:spacing w:after="120" w:line="240" w:lineRule="auto"/>
      </w:pPr>
      <w:r>
        <w:t xml:space="preserve">If the Committee considers that the synthetic cannabinoids have a very high risk of harm, in line with substances such as methamphetamine and cocaine, they can recommend scheduling them in Schedule 1 as Class A controlled drugs. </w:t>
      </w:r>
    </w:p>
    <w:p w:rsidR="00E77567" w:rsidRDefault="00E77567" w:rsidP="009427CF">
      <w:pPr>
        <w:spacing w:after="120" w:line="240" w:lineRule="auto"/>
      </w:pPr>
      <w:r>
        <w:t>Control under Schedule 1 of the Misuse of Drugs Act 1975 will allow New Zealand to comply</w:t>
      </w:r>
      <w:r w:rsidRPr="00E77567">
        <w:t xml:space="preserve"> with their obligations under the United Nations Conventions on Psychotropic Substances 1971.</w:t>
      </w:r>
    </w:p>
    <w:p w:rsidR="00F57639" w:rsidRDefault="00F57639" w:rsidP="009427CF">
      <w:pPr>
        <w:spacing w:after="120" w:line="240" w:lineRule="auto"/>
        <w:rPr>
          <w:b/>
        </w:rPr>
      </w:pPr>
      <w:r>
        <w:rPr>
          <w:b/>
        </w:rPr>
        <w:t>Option 3: Scheduled as Class B controlled d</w:t>
      </w:r>
      <w:r w:rsidR="009427CF" w:rsidRPr="00235359">
        <w:rPr>
          <w:b/>
        </w:rPr>
        <w:t>rug</w:t>
      </w:r>
      <w:r>
        <w:rPr>
          <w:b/>
        </w:rPr>
        <w:t>s</w:t>
      </w:r>
      <w:r w:rsidR="009427CF" w:rsidRPr="00235359">
        <w:rPr>
          <w:b/>
        </w:rPr>
        <w:t xml:space="preserve"> under </w:t>
      </w:r>
      <w:r>
        <w:rPr>
          <w:b/>
        </w:rPr>
        <w:t>the Misuse of Drugs Act 1975</w:t>
      </w:r>
    </w:p>
    <w:p w:rsidR="00E77567" w:rsidRDefault="00E77567" w:rsidP="00E77567">
      <w:pPr>
        <w:spacing w:after="120" w:line="240" w:lineRule="auto"/>
      </w:pPr>
      <w:r>
        <w:t xml:space="preserve">If the Committee considers that the synthetic cannabinoids have a high risk of harm they can recommend scheduling them in Schedule 2 as Class B controlled drugs. </w:t>
      </w:r>
      <w:r w:rsidR="003B60C6">
        <w:t xml:space="preserve">Schedule 2 has three parts, substances such as MDMA and </w:t>
      </w:r>
      <w:r w:rsidR="00FD35C5">
        <w:t xml:space="preserve">THC </w:t>
      </w:r>
      <w:r w:rsidR="003B60C6">
        <w:t xml:space="preserve">are listed in Part 1, substances such as pseudoephedrine and pyrovalerone are listed in Part 2 and substances such as oxycodone, pethidine and thebaine are listed in Part 3. For a </w:t>
      </w:r>
      <w:r w:rsidR="00130DB1">
        <w:t xml:space="preserve">full </w:t>
      </w:r>
      <w:r w:rsidR="003B60C6">
        <w:t xml:space="preserve">breakdown </w:t>
      </w:r>
      <w:r w:rsidR="00D74A6E">
        <w:t>of the</w:t>
      </w:r>
      <w:r w:rsidR="003B60C6">
        <w:t xml:space="preserve"> differences in control between these parts of Schedule 2, please see the EACD Guidelines. </w:t>
      </w:r>
    </w:p>
    <w:p w:rsidR="00F57639" w:rsidRPr="00E77567" w:rsidRDefault="00E77567" w:rsidP="009427CF">
      <w:pPr>
        <w:spacing w:after="120" w:line="240" w:lineRule="auto"/>
      </w:pPr>
      <w:r>
        <w:t xml:space="preserve">Control under Schedule </w:t>
      </w:r>
      <w:r w:rsidR="003B60C6">
        <w:t>2</w:t>
      </w:r>
      <w:r>
        <w:t xml:space="preserve"> of the Misuse of Drugs Act 1975 will allow New Zealand to comply</w:t>
      </w:r>
      <w:r w:rsidRPr="00E77567">
        <w:t xml:space="preserve"> with their obligations under the United Nations Conventions on Psychotropic Substances 1971.</w:t>
      </w:r>
    </w:p>
    <w:p w:rsidR="009427CF" w:rsidRPr="00235359" w:rsidRDefault="00F57639" w:rsidP="009427CF">
      <w:pPr>
        <w:spacing w:after="120" w:line="240" w:lineRule="auto"/>
        <w:rPr>
          <w:b/>
        </w:rPr>
      </w:pPr>
      <w:r>
        <w:rPr>
          <w:b/>
        </w:rPr>
        <w:t>Option 4: Scheduled as Class C controlled drugs under the Misuse of Drugs Act 1975</w:t>
      </w:r>
      <w:r w:rsidR="009427CF" w:rsidRPr="00235359">
        <w:rPr>
          <w:b/>
        </w:rPr>
        <w:t xml:space="preserve"> </w:t>
      </w:r>
    </w:p>
    <w:p w:rsidR="00D245D1" w:rsidRDefault="00D74A6E" w:rsidP="00D74A6E">
      <w:r>
        <w:t xml:space="preserve">If the Committee considers that the synthetic cannabinoids have a moderate risk of harm they can recommend scheduling them in Schedule 3 as Class C controlled drugs. </w:t>
      </w:r>
    </w:p>
    <w:p w:rsidR="00D245D1" w:rsidRDefault="00D74A6E" w:rsidP="00D245D1">
      <w:pPr>
        <w:spacing w:after="0"/>
      </w:pPr>
      <w:r>
        <w:t>Schedule 3 has seven parts</w:t>
      </w:r>
      <w:r w:rsidR="00D245D1">
        <w:t>:</w:t>
      </w:r>
    </w:p>
    <w:p w:rsidR="00D245D1" w:rsidRDefault="00D74A6E" w:rsidP="00D245D1">
      <w:pPr>
        <w:pStyle w:val="ListParagraph"/>
        <w:numPr>
          <w:ilvl w:val="0"/>
          <w:numId w:val="48"/>
        </w:numPr>
      </w:pPr>
      <w:r>
        <w:t>substances such as cannabis, coca leaf and BZP</w:t>
      </w:r>
      <w:r w:rsidR="00D245D1">
        <w:t xml:space="preserve"> are listed in Part 1</w:t>
      </w:r>
    </w:p>
    <w:p w:rsidR="00D245D1" w:rsidRDefault="00D74A6E" w:rsidP="00D245D1">
      <w:pPr>
        <w:pStyle w:val="ListParagraph"/>
        <w:numPr>
          <w:ilvl w:val="0"/>
          <w:numId w:val="48"/>
        </w:numPr>
      </w:pPr>
      <w:r>
        <w:t>codeine, dihydrocodeine and proxyphene are listed in Part 2 with some e</w:t>
      </w:r>
      <w:r w:rsidR="00D245D1">
        <w:t>xceptions</w:t>
      </w:r>
    </w:p>
    <w:p w:rsidR="00D245D1" w:rsidRDefault="00D74A6E" w:rsidP="00D245D1">
      <w:pPr>
        <w:pStyle w:val="ListParagraph"/>
        <w:numPr>
          <w:ilvl w:val="0"/>
          <w:numId w:val="48"/>
        </w:numPr>
      </w:pPr>
      <w:r>
        <w:t xml:space="preserve">substances such as nicocodine, ethylmorphine </w:t>
      </w:r>
      <w:r w:rsidR="00130DB1">
        <w:t>and propiram are listed in Part </w:t>
      </w:r>
      <w:r>
        <w:t>3</w:t>
      </w:r>
    </w:p>
    <w:p w:rsidR="00D245D1" w:rsidRDefault="00D74A6E" w:rsidP="00D245D1">
      <w:pPr>
        <w:pStyle w:val="ListParagraph"/>
        <w:numPr>
          <w:ilvl w:val="0"/>
          <w:numId w:val="48"/>
        </w:numPr>
      </w:pPr>
      <w:r>
        <w:t>substances such as ketamine and derivatives of barbituric acid are l</w:t>
      </w:r>
      <w:r w:rsidR="00D245D1">
        <w:t>isted in Part 4</w:t>
      </w:r>
    </w:p>
    <w:p w:rsidR="00D245D1" w:rsidRDefault="00D74A6E" w:rsidP="00D245D1">
      <w:pPr>
        <w:pStyle w:val="ListParagraph"/>
        <w:numPr>
          <w:ilvl w:val="0"/>
          <w:numId w:val="48"/>
        </w:numPr>
      </w:pPr>
      <w:r>
        <w:t xml:space="preserve">benzodiazepines and </w:t>
      </w:r>
      <w:r w:rsidR="00D245D1">
        <w:t>lefetamine are listed in Part 5</w:t>
      </w:r>
    </w:p>
    <w:p w:rsidR="00D245D1" w:rsidRDefault="00D74A6E" w:rsidP="00D245D1">
      <w:pPr>
        <w:pStyle w:val="ListParagraph"/>
        <w:numPr>
          <w:ilvl w:val="0"/>
          <w:numId w:val="48"/>
        </w:numPr>
      </w:pPr>
      <w:r>
        <w:t>preparations of various controlled</w:t>
      </w:r>
      <w:r w:rsidR="00D245D1">
        <w:t xml:space="preserve"> drugs are listed in Part 6</w:t>
      </w:r>
    </w:p>
    <w:p w:rsidR="00D245D1" w:rsidRDefault="00D74A6E" w:rsidP="00D245D1">
      <w:pPr>
        <w:pStyle w:val="ListParagraph"/>
        <w:numPr>
          <w:ilvl w:val="0"/>
          <w:numId w:val="48"/>
        </w:numPr>
        <w:spacing w:after="0"/>
      </w:pPr>
      <w:r>
        <w:t xml:space="preserve">examples of controlled drug analogues are listed in Part 7. </w:t>
      </w:r>
    </w:p>
    <w:p w:rsidR="00D74A6E" w:rsidRDefault="00D74A6E" w:rsidP="00D245D1">
      <w:r>
        <w:t xml:space="preserve">For a </w:t>
      </w:r>
      <w:r w:rsidR="00130DB1">
        <w:t xml:space="preserve">full </w:t>
      </w:r>
      <w:r>
        <w:t xml:space="preserve">breakdown of the differences in control between these parts of Schedule 3, please see the EACD Guidelines. </w:t>
      </w:r>
    </w:p>
    <w:p w:rsidR="00EE5844" w:rsidRDefault="00D74A6E" w:rsidP="009427CF">
      <w:r>
        <w:t xml:space="preserve">Control under Schedule 3 of the Misuse of Drugs Act 1975 will </w:t>
      </w:r>
      <w:r w:rsidRPr="00D74A6E">
        <w:t>mean that New Zealand will continue not complying with their obligations under the United Nations Conventions on Psychotropic Substances 1971.</w:t>
      </w:r>
    </w:p>
    <w:p w:rsidR="00EE5844" w:rsidRPr="001C6C3F" w:rsidRDefault="001C6C3F" w:rsidP="001C6C3F">
      <w:pPr>
        <w:pStyle w:val="Heading3"/>
      </w:pPr>
      <w:bookmarkStart w:id="46" w:name="_Toc509487323"/>
      <w:r w:rsidRPr="001C6C3F">
        <w:rPr>
          <w:rStyle w:val="Emphasis"/>
          <w:b/>
          <w:bCs/>
        </w:rPr>
        <w:t xml:space="preserve">Table 6: </w:t>
      </w:r>
      <w:r w:rsidR="00EE5844" w:rsidRPr="001C6C3F">
        <w:rPr>
          <w:rStyle w:val="Emphasis"/>
          <w:b/>
          <w:bCs/>
        </w:rPr>
        <w:t>Comparison of Penalties</w:t>
      </w:r>
      <w:bookmarkEnd w:id="46"/>
      <w:r w:rsidR="00EE5844" w:rsidRPr="001C6C3F">
        <w:rPr>
          <w:rStyle w:val="Emphasis"/>
          <w:b/>
          <w:bCs/>
        </w:rPr>
        <w:t xml:space="preserve"> </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842"/>
        <w:gridCol w:w="1790"/>
        <w:gridCol w:w="1896"/>
        <w:gridCol w:w="1984"/>
      </w:tblGrid>
      <w:tr w:rsidR="00130DB1" w:rsidRPr="00130DB1" w:rsidTr="00130DB1">
        <w:tc>
          <w:tcPr>
            <w:tcW w:w="1702" w:type="dxa"/>
            <w:shd w:val="clear" w:color="auto" w:fill="D9D9D9" w:themeFill="background1" w:themeFillShade="D9"/>
          </w:tcPr>
          <w:p w:rsidR="00EE5844" w:rsidRPr="00130DB1" w:rsidRDefault="00EE5844" w:rsidP="00D245D1">
            <w:pPr>
              <w:spacing w:before="40" w:after="40"/>
              <w:jc w:val="center"/>
              <w:rPr>
                <w:rFonts w:eastAsia="Arial"/>
                <w:b/>
                <w:lang w:val="en-US"/>
              </w:rPr>
            </w:pPr>
          </w:p>
        </w:tc>
        <w:tc>
          <w:tcPr>
            <w:tcW w:w="1842" w:type="dxa"/>
            <w:shd w:val="clear" w:color="auto" w:fill="D9D9D9" w:themeFill="background1" w:themeFillShade="D9"/>
          </w:tcPr>
          <w:p w:rsidR="00EE5844" w:rsidRPr="00130DB1" w:rsidRDefault="00EE5844" w:rsidP="00D245D1">
            <w:pPr>
              <w:pStyle w:val="BodyText"/>
              <w:spacing w:before="40" w:after="40"/>
              <w:ind w:left="175"/>
              <w:jc w:val="center"/>
              <w:rPr>
                <w:b/>
                <w:sz w:val="20"/>
                <w:szCs w:val="20"/>
              </w:rPr>
            </w:pPr>
            <w:r w:rsidRPr="00130DB1">
              <w:rPr>
                <w:b/>
                <w:sz w:val="20"/>
                <w:szCs w:val="20"/>
              </w:rPr>
              <w:t>Schedule 1</w:t>
            </w:r>
            <w:r w:rsidRPr="00130DB1">
              <w:rPr>
                <w:b/>
                <w:sz w:val="20"/>
                <w:szCs w:val="20"/>
              </w:rPr>
              <w:br/>
              <w:t>Class A Drugs</w:t>
            </w:r>
          </w:p>
        </w:tc>
        <w:tc>
          <w:tcPr>
            <w:tcW w:w="1790" w:type="dxa"/>
            <w:shd w:val="clear" w:color="auto" w:fill="D9D9D9" w:themeFill="background1" w:themeFillShade="D9"/>
          </w:tcPr>
          <w:p w:rsidR="00EE5844" w:rsidRPr="00130DB1" w:rsidRDefault="00EE5844" w:rsidP="00D245D1">
            <w:pPr>
              <w:pStyle w:val="BodyText"/>
              <w:spacing w:before="40" w:after="40"/>
              <w:ind w:left="32"/>
              <w:jc w:val="center"/>
              <w:rPr>
                <w:b/>
                <w:sz w:val="20"/>
                <w:szCs w:val="20"/>
              </w:rPr>
            </w:pPr>
            <w:r w:rsidRPr="00130DB1">
              <w:rPr>
                <w:b/>
                <w:sz w:val="20"/>
                <w:szCs w:val="20"/>
              </w:rPr>
              <w:t>Schedule 2</w:t>
            </w:r>
            <w:r w:rsidRPr="00130DB1">
              <w:rPr>
                <w:b/>
                <w:sz w:val="20"/>
                <w:szCs w:val="20"/>
              </w:rPr>
              <w:br/>
              <w:t>Class B Drugs</w:t>
            </w:r>
          </w:p>
        </w:tc>
        <w:tc>
          <w:tcPr>
            <w:tcW w:w="1896" w:type="dxa"/>
            <w:shd w:val="clear" w:color="auto" w:fill="D9D9D9" w:themeFill="background1" w:themeFillShade="D9"/>
          </w:tcPr>
          <w:p w:rsidR="00EE5844" w:rsidRPr="00130DB1" w:rsidRDefault="00EE5844" w:rsidP="00D245D1">
            <w:pPr>
              <w:pStyle w:val="BodyText"/>
              <w:tabs>
                <w:tab w:val="left" w:pos="3751"/>
              </w:tabs>
              <w:spacing w:before="40" w:after="40"/>
              <w:ind w:left="36"/>
              <w:jc w:val="center"/>
              <w:rPr>
                <w:b/>
                <w:sz w:val="20"/>
                <w:szCs w:val="20"/>
              </w:rPr>
            </w:pPr>
            <w:r w:rsidRPr="00130DB1">
              <w:rPr>
                <w:b/>
                <w:sz w:val="20"/>
                <w:szCs w:val="20"/>
              </w:rPr>
              <w:t>Schedule 3</w:t>
            </w:r>
            <w:r w:rsidRPr="00130DB1">
              <w:rPr>
                <w:b/>
                <w:sz w:val="20"/>
                <w:szCs w:val="20"/>
              </w:rPr>
              <w:br/>
              <w:t>Class C Drugs</w:t>
            </w:r>
          </w:p>
        </w:tc>
        <w:tc>
          <w:tcPr>
            <w:tcW w:w="1984" w:type="dxa"/>
            <w:shd w:val="clear" w:color="auto" w:fill="D9D9D9" w:themeFill="background1" w:themeFillShade="D9"/>
          </w:tcPr>
          <w:p w:rsidR="00EE5844" w:rsidRPr="00130DB1" w:rsidRDefault="00EE5844" w:rsidP="00D245D1">
            <w:pPr>
              <w:pStyle w:val="BodyText"/>
              <w:tabs>
                <w:tab w:val="left" w:pos="3751"/>
              </w:tabs>
              <w:spacing w:before="40" w:after="40"/>
              <w:ind w:left="36"/>
              <w:jc w:val="center"/>
              <w:rPr>
                <w:b/>
                <w:sz w:val="20"/>
                <w:szCs w:val="20"/>
              </w:rPr>
            </w:pPr>
            <w:r w:rsidRPr="00130DB1">
              <w:rPr>
                <w:b/>
                <w:sz w:val="20"/>
                <w:szCs w:val="20"/>
              </w:rPr>
              <w:t xml:space="preserve">Psychoactive Substances Act </w:t>
            </w:r>
          </w:p>
        </w:tc>
      </w:tr>
      <w:tr w:rsidR="00130DB1" w:rsidRPr="00130DB1" w:rsidTr="00130DB1">
        <w:tc>
          <w:tcPr>
            <w:tcW w:w="1702" w:type="dxa"/>
            <w:shd w:val="clear" w:color="auto" w:fill="D9D9D9" w:themeFill="background1" w:themeFillShade="D9"/>
          </w:tcPr>
          <w:p w:rsidR="00EE5844" w:rsidRPr="00130DB1" w:rsidRDefault="00EE5844" w:rsidP="00D245D1">
            <w:pPr>
              <w:spacing w:before="40" w:after="40"/>
              <w:jc w:val="center"/>
              <w:rPr>
                <w:rFonts w:eastAsia="Arial"/>
                <w:b/>
                <w:lang w:val="en-US"/>
              </w:rPr>
            </w:pPr>
            <w:r w:rsidRPr="00130DB1">
              <w:rPr>
                <w:b/>
                <w:sz w:val="20"/>
                <w:szCs w:val="20"/>
              </w:rPr>
              <w:t>Importation, manufacture, or supply</w:t>
            </w:r>
          </w:p>
        </w:tc>
        <w:tc>
          <w:tcPr>
            <w:tcW w:w="1842" w:type="dxa"/>
            <w:shd w:val="clear" w:color="auto" w:fill="auto"/>
          </w:tcPr>
          <w:p w:rsidR="00EE5844" w:rsidRPr="00130DB1" w:rsidRDefault="00EE5844" w:rsidP="00D245D1">
            <w:pPr>
              <w:spacing w:before="40" w:after="40"/>
              <w:jc w:val="center"/>
              <w:rPr>
                <w:rFonts w:eastAsia="Arial"/>
                <w:lang w:val="en-US"/>
              </w:rPr>
            </w:pPr>
            <w:r w:rsidRPr="00130DB1">
              <w:rPr>
                <w:sz w:val="20"/>
                <w:szCs w:val="20"/>
              </w:rPr>
              <w:t>Life imprisonment (subject to presumption of supply)</w:t>
            </w:r>
          </w:p>
        </w:tc>
        <w:tc>
          <w:tcPr>
            <w:tcW w:w="1790" w:type="dxa"/>
            <w:shd w:val="clear" w:color="auto" w:fill="auto"/>
          </w:tcPr>
          <w:p w:rsidR="00EE5844" w:rsidRPr="00130DB1" w:rsidRDefault="00EE5844" w:rsidP="00D245D1">
            <w:pPr>
              <w:spacing w:before="40" w:after="40"/>
              <w:jc w:val="center"/>
              <w:rPr>
                <w:rFonts w:eastAsia="Arial"/>
                <w:lang w:val="en-US"/>
              </w:rPr>
            </w:pPr>
            <w:r w:rsidRPr="00130DB1">
              <w:rPr>
                <w:sz w:val="20"/>
                <w:szCs w:val="20"/>
              </w:rPr>
              <w:t>Up to 14 years imprisonment (subject to presumption of supply)</w:t>
            </w:r>
          </w:p>
        </w:tc>
        <w:tc>
          <w:tcPr>
            <w:tcW w:w="1896" w:type="dxa"/>
            <w:shd w:val="clear" w:color="auto" w:fill="auto"/>
          </w:tcPr>
          <w:p w:rsidR="00EE5844" w:rsidRPr="00130DB1" w:rsidRDefault="00EE5844" w:rsidP="00D245D1">
            <w:pPr>
              <w:spacing w:before="40" w:after="40"/>
              <w:jc w:val="center"/>
              <w:rPr>
                <w:rFonts w:eastAsia="Arial"/>
                <w:lang w:val="en-US"/>
              </w:rPr>
            </w:pPr>
            <w:r w:rsidRPr="00130DB1">
              <w:rPr>
                <w:sz w:val="20"/>
                <w:szCs w:val="20"/>
              </w:rPr>
              <w:t>Up to 8 years imprisonment</w:t>
            </w:r>
          </w:p>
        </w:tc>
        <w:tc>
          <w:tcPr>
            <w:tcW w:w="1984" w:type="dxa"/>
            <w:shd w:val="clear" w:color="auto" w:fill="auto"/>
          </w:tcPr>
          <w:p w:rsidR="00EE5844" w:rsidRPr="00130DB1" w:rsidRDefault="002D0E13" w:rsidP="00D245D1">
            <w:pPr>
              <w:spacing w:before="40" w:after="40"/>
              <w:jc w:val="center"/>
              <w:rPr>
                <w:sz w:val="20"/>
                <w:szCs w:val="20"/>
              </w:rPr>
            </w:pPr>
            <w:r w:rsidRPr="00130DB1">
              <w:rPr>
                <w:sz w:val="20"/>
                <w:szCs w:val="20"/>
              </w:rPr>
              <w:t>Up to 2 years imprisonment (for individuals) or a fine not exceeding $500,00 (for a body corporate)</w:t>
            </w:r>
          </w:p>
          <w:p w:rsidR="002D0E13" w:rsidRPr="00130DB1" w:rsidRDefault="002D0E13" w:rsidP="00D245D1">
            <w:pPr>
              <w:spacing w:before="40" w:after="40"/>
              <w:jc w:val="center"/>
              <w:rPr>
                <w:sz w:val="20"/>
                <w:szCs w:val="20"/>
              </w:rPr>
            </w:pPr>
          </w:p>
        </w:tc>
      </w:tr>
      <w:tr w:rsidR="00130DB1" w:rsidRPr="00130DB1" w:rsidTr="00130DB1">
        <w:tc>
          <w:tcPr>
            <w:tcW w:w="1702" w:type="dxa"/>
            <w:shd w:val="clear" w:color="auto" w:fill="D9D9D9" w:themeFill="background1" w:themeFillShade="D9"/>
          </w:tcPr>
          <w:p w:rsidR="00EE5844" w:rsidRPr="00130DB1" w:rsidRDefault="00EE5844" w:rsidP="00D245D1">
            <w:pPr>
              <w:spacing w:before="40" w:after="40"/>
              <w:jc w:val="center"/>
              <w:rPr>
                <w:rFonts w:eastAsia="Arial"/>
                <w:b/>
                <w:lang w:val="en-US"/>
              </w:rPr>
            </w:pPr>
            <w:r w:rsidRPr="00130DB1">
              <w:rPr>
                <w:b/>
                <w:sz w:val="20"/>
                <w:szCs w:val="20"/>
              </w:rPr>
              <w:t>Conspiracy to commit an offence</w:t>
            </w:r>
          </w:p>
        </w:tc>
        <w:tc>
          <w:tcPr>
            <w:tcW w:w="1842" w:type="dxa"/>
            <w:shd w:val="clear" w:color="auto" w:fill="auto"/>
          </w:tcPr>
          <w:p w:rsidR="00EE5844" w:rsidRPr="00130DB1" w:rsidRDefault="00EE5844" w:rsidP="00D245D1">
            <w:pPr>
              <w:spacing w:before="40" w:after="40"/>
              <w:jc w:val="center"/>
              <w:rPr>
                <w:rFonts w:eastAsia="Arial"/>
                <w:lang w:val="en-US"/>
              </w:rPr>
            </w:pPr>
            <w:r w:rsidRPr="00130DB1">
              <w:rPr>
                <w:sz w:val="20"/>
                <w:szCs w:val="20"/>
              </w:rPr>
              <w:t>Up to 14 Years imprisonment</w:t>
            </w:r>
          </w:p>
        </w:tc>
        <w:tc>
          <w:tcPr>
            <w:tcW w:w="1790" w:type="dxa"/>
            <w:shd w:val="clear" w:color="auto" w:fill="auto"/>
          </w:tcPr>
          <w:p w:rsidR="00EE5844" w:rsidRPr="00130DB1" w:rsidRDefault="00EE5844" w:rsidP="00D245D1">
            <w:pPr>
              <w:spacing w:before="40" w:after="40"/>
              <w:jc w:val="center"/>
              <w:rPr>
                <w:rFonts w:eastAsia="Arial"/>
                <w:lang w:val="en-US"/>
              </w:rPr>
            </w:pPr>
            <w:r w:rsidRPr="00130DB1">
              <w:rPr>
                <w:sz w:val="20"/>
                <w:szCs w:val="20"/>
              </w:rPr>
              <w:t>Up to 10 years imprisonment</w:t>
            </w:r>
          </w:p>
        </w:tc>
        <w:tc>
          <w:tcPr>
            <w:tcW w:w="1896" w:type="dxa"/>
            <w:shd w:val="clear" w:color="auto" w:fill="auto"/>
          </w:tcPr>
          <w:p w:rsidR="00EE5844" w:rsidRPr="00130DB1" w:rsidRDefault="00EE5844" w:rsidP="00D245D1">
            <w:pPr>
              <w:spacing w:before="40" w:after="40"/>
              <w:jc w:val="center"/>
              <w:rPr>
                <w:rFonts w:eastAsia="Arial"/>
                <w:lang w:val="en-US"/>
              </w:rPr>
            </w:pPr>
            <w:r w:rsidRPr="00130DB1">
              <w:rPr>
                <w:sz w:val="20"/>
                <w:szCs w:val="20"/>
              </w:rPr>
              <w:t>Up to 7 years imprisonment</w:t>
            </w:r>
          </w:p>
        </w:tc>
        <w:tc>
          <w:tcPr>
            <w:tcW w:w="1984" w:type="dxa"/>
            <w:shd w:val="clear" w:color="auto" w:fill="auto"/>
          </w:tcPr>
          <w:p w:rsidR="00EE5844" w:rsidRPr="00130DB1" w:rsidRDefault="00E77567" w:rsidP="00E77567">
            <w:pPr>
              <w:spacing w:before="40" w:after="40"/>
              <w:jc w:val="center"/>
              <w:rPr>
                <w:sz w:val="20"/>
                <w:szCs w:val="20"/>
              </w:rPr>
            </w:pPr>
            <w:r w:rsidRPr="00130DB1">
              <w:rPr>
                <w:sz w:val="20"/>
                <w:szCs w:val="20"/>
              </w:rPr>
              <w:t>N/A</w:t>
            </w:r>
          </w:p>
        </w:tc>
      </w:tr>
      <w:tr w:rsidR="00130DB1" w:rsidRPr="00130DB1" w:rsidTr="00130DB1">
        <w:tc>
          <w:tcPr>
            <w:tcW w:w="1702" w:type="dxa"/>
            <w:shd w:val="clear" w:color="auto" w:fill="D9D9D9" w:themeFill="background1" w:themeFillShade="D9"/>
          </w:tcPr>
          <w:p w:rsidR="00EE5844" w:rsidRPr="00130DB1" w:rsidRDefault="00EE5844" w:rsidP="00D245D1">
            <w:pPr>
              <w:spacing w:before="40" w:after="40"/>
              <w:jc w:val="center"/>
              <w:rPr>
                <w:b/>
                <w:sz w:val="20"/>
                <w:szCs w:val="20"/>
              </w:rPr>
            </w:pPr>
          </w:p>
          <w:p w:rsidR="00EE5844" w:rsidRPr="00130DB1" w:rsidRDefault="00EE5844" w:rsidP="00D245D1">
            <w:pPr>
              <w:spacing w:before="40" w:after="40"/>
              <w:jc w:val="center"/>
              <w:rPr>
                <w:rFonts w:eastAsia="Arial"/>
                <w:b/>
                <w:lang w:val="en-US"/>
              </w:rPr>
            </w:pPr>
            <w:r w:rsidRPr="00130DB1">
              <w:rPr>
                <w:b/>
                <w:sz w:val="20"/>
                <w:szCs w:val="20"/>
              </w:rPr>
              <w:t>Possession</w:t>
            </w:r>
          </w:p>
        </w:tc>
        <w:tc>
          <w:tcPr>
            <w:tcW w:w="1842" w:type="dxa"/>
            <w:shd w:val="clear" w:color="auto" w:fill="auto"/>
          </w:tcPr>
          <w:p w:rsidR="00EE5844" w:rsidRPr="00130DB1" w:rsidRDefault="00EE5844" w:rsidP="00D245D1">
            <w:pPr>
              <w:spacing w:before="40" w:after="40"/>
              <w:jc w:val="center"/>
              <w:rPr>
                <w:rFonts w:eastAsia="Arial"/>
                <w:lang w:val="en-US"/>
              </w:rPr>
            </w:pPr>
            <w:r w:rsidRPr="00130DB1">
              <w:rPr>
                <w:sz w:val="20"/>
                <w:szCs w:val="20"/>
              </w:rPr>
              <w:t>Up to 6 months imprisonment or $1,000 fine or both</w:t>
            </w:r>
          </w:p>
        </w:tc>
        <w:tc>
          <w:tcPr>
            <w:tcW w:w="1790" w:type="dxa"/>
            <w:shd w:val="clear" w:color="auto" w:fill="auto"/>
          </w:tcPr>
          <w:p w:rsidR="00EE5844" w:rsidRPr="00130DB1" w:rsidRDefault="00EE5844" w:rsidP="00D245D1">
            <w:pPr>
              <w:spacing w:before="40" w:after="40"/>
              <w:jc w:val="center"/>
              <w:rPr>
                <w:rFonts w:eastAsia="Arial"/>
                <w:lang w:val="en-US"/>
              </w:rPr>
            </w:pPr>
            <w:r w:rsidRPr="00130DB1">
              <w:rPr>
                <w:sz w:val="20"/>
                <w:szCs w:val="20"/>
              </w:rPr>
              <w:t>Up to 3 months imprisonment or $500 fine or both</w:t>
            </w:r>
          </w:p>
        </w:tc>
        <w:tc>
          <w:tcPr>
            <w:tcW w:w="1896" w:type="dxa"/>
            <w:shd w:val="clear" w:color="auto" w:fill="auto"/>
          </w:tcPr>
          <w:p w:rsidR="00EE5844" w:rsidRPr="00130DB1" w:rsidRDefault="00EE5844" w:rsidP="00D245D1">
            <w:pPr>
              <w:spacing w:before="40" w:after="40"/>
              <w:jc w:val="center"/>
              <w:rPr>
                <w:rFonts w:eastAsia="Arial"/>
                <w:lang w:val="en-US"/>
              </w:rPr>
            </w:pPr>
            <w:r w:rsidRPr="00130DB1">
              <w:rPr>
                <w:sz w:val="20"/>
                <w:szCs w:val="20"/>
              </w:rPr>
              <w:t>Up to 3 months imprisonment or $500 fine or both</w:t>
            </w:r>
          </w:p>
        </w:tc>
        <w:tc>
          <w:tcPr>
            <w:tcW w:w="1984" w:type="dxa"/>
            <w:shd w:val="clear" w:color="auto" w:fill="auto"/>
          </w:tcPr>
          <w:p w:rsidR="00EE5844" w:rsidRPr="00130DB1" w:rsidRDefault="00E77567" w:rsidP="00E77567">
            <w:pPr>
              <w:spacing w:before="40" w:after="40"/>
              <w:jc w:val="center"/>
              <w:rPr>
                <w:sz w:val="20"/>
                <w:szCs w:val="20"/>
              </w:rPr>
            </w:pPr>
            <w:r w:rsidRPr="00130DB1">
              <w:rPr>
                <w:sz w:val="20"/>
                <w:szCs w:val="20"/>
              </w:rPr>
              <w:t>A fine not exceeding $500</w:t>
            </w:r>
          </w:p>
        </w:tc>
      </w:tr>
    </w:tbl>
    <w:p w:rsidR="00EE5844" w:rsidRDefault="00EE5844" w:rsidP="009427CF"/>
    <w:p w:rsidR="009427CF" w:rsidRDefault="009427CF" w:rsidP="009427CF">
      <w:pPr>
        <w:pStyle w:val="Heading1"/>
        <w:spacing w:before="0" w:after="120" w:line="240" w:lineRule="auto"/>
        <w:jc w:val="center"/>
      </w:pPr>
      <w:bookmarkStart w:id="47" w:name="_Toc509487324"/>
      <w:r>
        <w:t xml:space="preserve">7.0 </w:t>
      </w:r>
      <w:r w:rsidRPr="003C291D">
        <w:t>F</w:t>
      </w:r>
      <w:r>
        <w:t>UTURE ACTIONS</w:t>
      </w:r>
      <w:bookmarkEnd w:id="47"/>
    </w:p>
    <w:p w:rsidR="00FA7BC0" w:rsidRDefault="009427CF" w:rsidP="009427CF">
      <w:pPr>
        <w:spacing w:after="120" w:line="240" w:lineRule="auto"/>
      </w:pPr>
      <w:r>
        <w:t xml:space="preserve">If the </w:t>
      </w:r>
      <w:r w:rsidR="00FA7BC0">
        <w:t>recommendation</w:t>
      </w:r>
      <w:r>
        <w:t xml:space="preserve"> is to schedule </w:t>
      </w:r>
      <w:r w:rsidR="00AE6B11">
        <w:t>the synthetic cannabinoids</w:t>
      </w:r>
      <w:r>
        <w:t xml:space="preserve"> under the Misuse of Drugs Act, a letter to the Minister </w:t>
      </w:r>
      <w:r w:rsidR="00FA7BC0">
        <w:t xml:space="preserve">of Health </w:t>
      </w:r>
      <w:r>
        <w:t>from the Chair informing him</w:t>
      </w:r>
      <w:r w:rsidR="00FA7BC0">
        <w:t xml:space="preserve"> of the Committee’s recommendation</w:t>
      </w:r>
      <w:r>
        <w:t xml:space="preserve"> will be nee</w:t>
      </w:r>
      <w:r w:rsidR="00F57639">
        <w:t>ded. The Secretariat will present the letter to the Minister of Health along with advice from the Ministry of Health on the scheduling recommendation. If the Minister agrees to the Committee’s recommendation, a Cabinet paper will be prepared for Cabinet to agree to action the Committee</w:t>
      </w:r>
      <w:r w:rsidR="00FA7BC0">
        <w:t>’s</w:t>
      </w:r>
      <w:r w:rsidR="00F57639">
        <w:t xml:space="preserve"> recommendation</w:t>
      </w:r>
      <w:r>
        <w:t xml:space="preserve">. </w:t>
      </w:r>
      <w:r w:rsidR="00F57639">
        <w:t>The Secretariat may also consult with stakeholders on the Committee’s recommendation prior to progressing their recommendation</w:t>
      </w:r>
      <w:r w:rsidR="00FA7BC0">
        <w:t xml:space="preserve"> to Cabinet. </w:t>
      </w:r>
    </w:p>
    <w:p w:rsidR="0011108D" w:rsidRDefault="009427CF" w:rsidP="00FA7BC0">
      <w:pPr>
        <w:spacing w:after="120" w:line="240" w:lineRule="auto"/>
      </w:pPr>
      <w:r>
        <w:t xml:space="preserve">If the decision is to keep the status quo, no action will be required. </w:t>
      </w:r>
    </w:p>
    <w:p w:rsidR="001C6C3F" w:rsidRDefault="001C6C3F" w:rsidP="003C291D">
      <w:pPr>
        <w:pStyle w:val="Heading1"/>
        <w:spacing w:before="120" w:after="120" w:line="240" w:lineRule="auto"/>
        <w:jc w:val="center"/>
      </w:pPr>
    </w:p>
    <w:p w:rsidR="00707288" w:rsidRDefault="002437B7" w:rsidP="003C291D">
      <w:pPr>
        <w:pStyle w:val="Heading1"/>
        <w:spacing w:before="120" w:after="120" w:line="240" w:lineRule="auto"/>
        <w:jc w:val="center"/>
      </w:pPr>
      <w:bookmarkStart w:id="48" w:name="_Toc509487325"/>
      <w:r>
        <w:t>8</w:t>
      </w:r>
      <w:r w:rsidR="003C291D">
        <w:t xml:space="preserve">.0 </w:t>
      </w:r>
      <w:r w:rsidR="007B594D" w:rsidRPr="00115A82">
        <w:t>REFERENCES</w:t>
      </w:r>
      <w:bookmarkEnd w:id="48"/>
    </w:p>
    <w:p w:rsidR="0011108D" w:rsidRDefault="00C8157D">
      <w:pPr>
        <w:ind w:left="360"/>
      </w:pPr>
      <w:r w:rsidRPr="00C8157D">
        <w:t xml:space="preserve">Adams AJ, Banister SD, Irizarry L, Trecki J, Schwartz M, Gerona R. 2017. “Zombie” Outbreak Caused by the Synthetic Cannabinoid AMB-FUBINACA in New York. The New England Journal of Medicine 376: 235-242. URL: </w:t>
      </w:r>
      <w:hyperlink r:id="rId8" w:history="1">
        <w:r w:rsidRPr="00C8157D">
          <w:rPr>
            <w:rStyle w:val="Hyperlink"/>
            <w:color w:val="auto"/>
          </w:rPr>
          <w:t>http://www.nejm.org/doi/full/10.1056/NEJMoa1610300</w:t>
        </w:r>
      </w:hyperlink>
      <w:r w:rsidRPr="00C8157D">
        <w:t xml:space="preserve"> (accessed 26 February 2018). </w:t>
      </w:r>
    </w:p>
    <w:p w:rsidR="00493703" w:rsidRDefault="00493703" w:rsidP="00197434">
      <w:pPr>
        <w:ind w:left="360"/>
      </w:pPr>
      <w:r>
        <w:t xml:space="preserve">Banister SD, </w:t>
      </w:r>
      <w:r w:rsidR="00197434">
        <w:t xml:space="preserve">Stuart J, Kevin RC, Edington A, Longworth M, Wilkinson SM, Beinat C, Buchanan AS, Hibbs DE, Glass M, Connor M, McGregor IS, Kassiou M. 2015a. Effects of Bioisosteric Fluorine in Synthetic Cannabinoid Designer Drugs JWH-018, AM-2201, UR-144, XLR-11, PB-22, 5F-PB-22, APICA, and STS-135. ACS Chemical Neuroscience 6(8): 1445-1458. </w:t>
      </w:r>
    </w:p>
    <w:p w:rsidR="00197434" w:rsidRDefault="00197434" w:rsidP="00F5737A">
      <w:pPr>
        <w:ind w:left="360"/>
      </w:pPr>
      <w:r>
        <w:t xml:space="preserve">Banister SD, Moir M, Stuart J, Kevin RC, Wood KE, Longworth M, Wilkinson SM, Beinat C, Buchanan AS, Glass M, Connor M, McGregor IS, Kassiou M. </w:t>
      </w:r>
      <w:r w:rsidR="00F5737A">
        <w:t xml:space="preserve">2015b. Pharmacology of Indole and Indazole Synthetic Cannabinoid Designer Drugs AB-FUBINACA, ADB-FUBINACA, AB-PINACA, ADBPINACA, 5F-AB-PINACA, 5F-ADB-PINACA, ADBICA, and 5F-ADBICA. ACS Chemical Neuroscience 6(9): 1546-1559. </w:t>
      </w:r>
    </w:p>
    <w:p w:rsidR="00D245D1" w:rsidRDefault="00D245D1">
      <w:pPr>
        <w:ind w:left="360"/>
      </w:pPr>
      <w:r>
        <w:t>Banister SD, Longworth M, Kevin R, Sachdev S</w:t>
      </w:r>
      <w:r w:rsidR="00613F71">
        <w:t xml:space="preserve">, Santiago M, Stuart J, Mack JBC, Glass M, McGregor IS, Connor M, Kassiou M. 2016. </w:t>
      </w:r>
      <w:r w:rsidR="00613F71" w:rsidRPr="00613F71">
        <w:t>Pharmacology of Valinate and tert-Leucinate Synthetic Cannabinoids 5F-AMBICA, 5F-AMB, 5F-ADB, AMB-FUBINACA, MDMB-FUBINACA, MDMB-CHMICA, and Their Analogues</w:t>
      </w:r>
      <w:r w:rsidR="00613F71">
        <w:t xml:space="preserve">. ACS Chemical Neuroscience 7(9): 1241-1254. </w:t>
      </w:r>
    </w:p>
    <w:p w:rsidR="005576FC" w:rsidRDefault="00857D0A" w:rsidP="005576FC">
      <w:pPr>
        <w:ind w:left="360"/>
      </w:pPr>
      <w:r>
        <w:t xml:space="preserve">ESR (The Institute of Environmental Science and Research). 2017. Report: Why are synthetic cannabinoids have such a dramatic impact in 2017? Received December 2017. </w:t>
      </w:r>
    </w:p>
    <w:p w:rsidR="00655D77" w:rsidRPr="00C8157D" w:rsidRDefault="00655D77" w:rsidP="00655D77">
      <w:pPr>
        <w:ind w:left="360"/>
      </w:pPr>
    </w:p>
    <w:sectPr w:rsidR="00655D77" w:rsidRPr="00C8157D" w:rsidSect="006D6279">
      <w:footerReference w:type="default" r:id="rId9"/>
      <w:headerReference w:type="first" r:id="rId10"/>
      <w:footerReference w:type="first" r:id="rId11"/>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AC6" w:rsidRDefault="00904AC6" w:rsidP="006D6279">
      <w:pPr>
        <w:spacing w:after="0" w:line="240" w:lineRule="auto"/>
      </w:pPr>
      <w:r>
        <w:separator/>
      </w:r>
    </w:p>
  </w:endnote>
  <w:endnote w:type="continuationSeparator" w:id="0">
    <w:p w:rsidR="00904AC6" w:rsidRDefault="00904AC6" w:rsidP="006D6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JBBDE+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7516694"/>
      <w:docPartObj>
        <w:docPartGallery w:val="Page Numbers (Bottom of Page)"/>
        <w:docPartUnique/>
      </w:docPartObj>
    </w:sdtPr>
    <w:sdtEndPr>
      <w:rPr>
        <w:color w:val="808080" w:themeColor="background1" w:themeShade="80"/>
        <w:spacing w:val="60"/>
      </w:rPr>
    </w:sdtEndPr>
    <w:sdtContent>
      <w:p w:rsidR="00493A53" w:rsidRDefault="00493A5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80079" w:rsidRPr="00B80079">
          <w:rPr>
            <w:b/>
            <w:bCs/>
            <w:noProof/>
          </w:rPr>
          <w:t>21</w:t>
        </w:r>
        <w:r>
          <w:rPr>
            <w:b/>
            <w:bCs/>
            <w:noProof/>
          </w:rPr>
          <w:fldChar w:fldCharType="end"/>
        </w:r>
        <w:r>
          <w:rPr>
            <w:b/>
            <w:bCs/>
          </w:rPr>
          <w:t xml:space="preserve"> | </w:t>
        </w:r>
        <w:r>
          <w:rPr>
            <w:color w:val="808080" w:themeColor="background1" w:themeShade="80"/>
            <w:spacing w:val="60"/>
          </w:rPr>
          <w:t>Page</w:t>
        </w:r>
      </w:p>
    </w:sdtContent>
  </w:sdt>
  <w:p w:rsidR="00493A53" w:rsidRDefault="00493A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A53" w:rsidRDefault="00493A53">
    <w:pPr>
      <w:pStyle w:val="Footer"/>
    </w:pPr>
  </w:p>
  <w:p w:rsidR="00493A53" w:rsidRDefault="00493A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AC6" w:rsidRDefault="00904AC6" w:rsidP="006D6279">
      <w:pPr>
        <w:spacing w:after="0" w:line="240" w:lineRule="auto"/>
      </w:pPr>
      <w:r>
        <w:separator/>
      </w:r>
    </w:p>
  </w:footnote>
  <w:footnote w:type="continuationSeparator" w:id="0">
    <w:p w:rsidR="00904AC6" w:rsidRDefault="00904AC6" w:rsidP="006D6279">
      <w:pPr>
        <w:spacing w:after="0" w:line="240" w:lineRule="auto"/>
      </w:pPr>
      <w:r>
        <w:continuationSeparator/>
      </w:r>
    </w:p>
  </w:footnote>
  <w:footnote w:id="1">
    <w:p w:rsidR="00493A53" w:rsidRDefault="00493A53">
      <w:pPr>
        <w:pStyle w:val="FootnoteText"/>
      </w:pPr>
      <w:r>
        <w:rPr>
          <w:rStyle w:val="FootnoteReference"/>
        </w:rPr>
        <w:footnoteRef/>
      </w:r>
      <w:r w:rsidRPr="00F851AE">
        <w:t xml:space="preserve"> </w:t>
      </w:r>
      <w:r>
        <w:t>‘</w:t>
      </w:r>
      <w:r w:rsidRPr="00F851AE">
        <w:t xml:space="preserve">Baby found in synthetic cannabis ‘zombie’ house. </w:t>
      </w:r>
      <w:r w:rsidRPr="00F851AE">
        <w:rPr>
          <w:i/>
        </w:rPr>
        <w:t>Stuff</w:t>
      </w:r>
      <w:r>
        <w:t>,</w:t>
      </w:r>
      <w:r w:rsidRPr="00F851AE">
        <w:t xml:space="preserve"> 13 February 2018</w:t>
      </w:r>
      <w:r>
        <w:t xml:space="preserve">. </w:t>
      </w:r>
      <w:r w:rsidRPr="00F851AE">
        <w:t>URL: https://www.stuff.co.nz/national/crime/101356756/baby-found-in-synthetic-cannabis-zombie-house (accessed 26 February 2018).</w:t>
      </w:r>
    </w:p>
  </w:footnote>
  <w:footnote w:id="2">
    <w:p w:rsidR="00493A53" w:rsidRDefault="00493A53">
      <w:pPr>
        <w:pStyle w:val="FootnoteText"/>
      </w:pPr>
      <w:r>
        <w:rPr>
          <w:rStyle w:val="FootnoteReference"/>
        </w:rPr>
        <w:footnoteRef/>
      </w:r>
      <w:r>
        <w:t xml:space="preserve"> ‘</w:t>
      </w:r>
      <w:r w:rsidRPr="00613F71">
        <w:t>Crown: Baby died in hot car while grandmother and parents smoked synthetic cannabis</w:t>
      </w:r>
      <w:r>
        <w:t>’</w:t>
      </w:r>
      <w:r w:rsidRPr="00613F71">
        <w:t xml:space="preserve">. </w:t>
      </w:r>
      <w:r w:rsidRPr="00613F71">
        <w:rPr>
          <w:i/>
        </w:rPr>
        <w:t>NZ Herald</w:t>
      </w:r>
      <w:r>
        <w:t>,</w:t>
      </w:r>
      <w:r w:rsidRPr="00613F71">
        <w:t xml:space="preserve"> 16 May 2017</w:t>
      </w:r>
      <w:r>
        <w:t xml:space="preserve">. </w:t>
      </w:r>
      <w:r w:rsidRPr="00613F71">
        <w:t>URL: http://www.nzherald.co.nz/nz/news/article.cfm?c_id=1&amp;objectid=11857065 (accessed 26 February 2018).</w:t>
      </w:r>
    </w:p>
  </w:footnote>
  <w:footnote w:id="3">
    <w:p w:rsidR="00493A53" w:rsidRDefault="00493A53">
      <w:pPr>
        <w:pStyle w:val="FootnoteText"/>
      </w:pPr>
      <w:r>
        <w:rPr>
          <w:rStyle w:val="FootnoteReference"/>
        </w:rPr>
        <w:footnoteRef/>
      </w:r>
      <w:r>
        <w:t xml:space="preserve"> ‘</w:t>
      </w:r>
      <w:r w:rsidRPr="00613F71">
        <w:t>Synthetic drugs and a hot car: The 'bad dream' life and death of baby Isaiah Neil</w:t>
      </w:r>
      <w:r>
        <w:t>’</w:t>
      </w:r>
      <w:r w:rsidRPr="00613F71">
        <w:t xml:space="preserve">. </w:t>
      </w:r>
      <w:r w:rsidRPr="00613F71">
        <w:rPr>
          <w:i/>
        </w:rPr>
        <w:t>NZ Herald</w:t>
      </w:r>
      <w:r>
        <w:t>,</w:t>
      </w:r>
      <w:r w:rsidRPr="00613F71">
        <w:t xml:space="preserve"> 23 September 2017</w:t>
      </w:r>
      <w:r>
        <w:t xml:space="preserve">. </w:t>
      </w:r>
      <w:r w:rsidRPr="00613F71">
        <w:t>URL: http://www.nzherald.co.nz/nz/news/article.cfm?c_id=1&amp;objectid=11924913 (accessed 26 February 2018).</w:t>
      </w:r>
    </w:p>
  </w:footnote>
  <w:footnote w:id="4">
    <w:p w:rsidR="00493A53" w:rsidRDefault="00493A53">
      <w:pPr>
        <w:pStyle w:val="FootnoteText"/>
      </w:pPr>
      <w:r>
        <w:rPr>
          <w:rStyle w:val="FootnoteReference"/>
        </w:rPr>
        <w:footnoteRef/>
      </w:r>
      <w:r>
        <w:t xml:space="preserve"> ‘</w:t>
      </w:r>
      <w:r w:rsidRPr="00613F71">
        <w:t>'Remarkable recovery' for three Porirua children who ingested synthetic cannabis</w:t>
      </w:r>
      <w:r>
        <w:t>’</w:t>
      </w:r>
      <w:r w:rsidRPr="00613F71">
        <w:t xml:space="preserve">. </w:t>
      </w:r>
      <w:r w:rsidRPr="00613F71">
        <w:rPr>
          <w:i/>
        </w:rPr>
        <w:t>NZ Herald</w:t>
      </w:r>
      <w:r>
        <w:t>,</w:t>
      </w:r>
      <w:r w:rsidRPr="00613F71">
        <w:t xml:space="preserve"> 31 October 2017. URL: http://www.nzherald.co.nz/nz/news/article.cfm?c_id=1&amp;objectid=11939078 (accessed 26 February 2018).</w:t>
      </w:r>
    </w:p>
  </w:footnote>
  <w:footnote w:id="5">
    <w:p w:rsidR="00493A53" w:rsidRDefault="00493A53">
      <w:pPr>
        <w:pStyle w:val="FootnoteText"/>
      </w:pPr>
      <w:r>
        <w:rPr>
          <w:rStyle w:val="FootnoteReference"/>
        </w:rPr>
        <w:footnoteRef/>
      </w:r>
      <w:r>
        <w:t xml:space="preserve"> ‘</w:t>
      </w:r>
      <w:r w:rsidRPr="00F851AE">
        <w:t>Synthetic cannabis 'worse than meth' according to addiction specialist</w:t>
      </w:r>
      <w:r>
        <w:t>’</w:t>
      </w:r>
      <w:r w:rsidRPr="00F851AE">
        <w:t xml:space="preserve">. </w:t>
      </w:r>
      <w:r w:rsidRPr="00F851AE">
        <w:rPr>
          <w:i/>
        </w:rPr>
        <w:t>NZ Herald</w:t>
      </w:r>
      <w:r>
        <w:t xml:space="preserve"> 27 July 2017. </w:t>
      </w:r>
      <w:r w:rsidRPr="00F851AE">
        <w:t>URL: http://www.nzherald.co.nz/nz/news/article.cfm?c_id=1&amp;objectid=11895520 (accessed 27 February 2018).</w:t>
      </w:r>
    </w:p>
  </w:footnote>
  <w:footnote w:id="6">
    <w:p w:rsidR="00493A53" w:rsidRDefault="00493A53">
      <w:pPr>
        <w:pStyle w:val="FootnoteText"/>
      </w:pPr>
      <w:r>
        <w:rPr>
          <w:rStyle w:val="FootnoteReference"/>
        </w:rPr>
        <w:footnoteRef/>
      </w:r>
      <w:r w:rsidRPr="00F851AE">
        <w:t xml:space="preserve"> </w:t>
      </w:r>
      <w:r>
        <w:t>‘</w:t>
      </w:r>
      <w:r w:rsidRPr="00F851AE">
        <w:t>Synthetic cannabis - a fatal addiction. The short life and tragic death of Calum Jones</w:t>
      </w:r>
      <w:r>
        <w:t>’</w:t>
      </w:r>
      <w:r w:rsidRPr="00F851AE">
        <w:t xml:space="preserve">. </w:t>
      </w:r>
      <w:r w:rsidRPr="00F851AE">
        <w:rPr>
          <w:i/>
        </w:rPr>
        <w:t>NZ Herald</w:t>
      </w:r>
      <w:r w:rsidRPr="00F851AE">
        <w:t>.</w:t>
      </w:r>
      <w:r>
        <w:t xml:space="preserve">15 September 2017. </w:t>
      </w:r>
      <w:r w:rsidRPr="00F851AE">
        <w:t>URL: http://www.nzherald.co.nz/nz/news/article.cfm?c_id=1&amp;objectid=11921922 (accessed 27 February 2018).</w:t>
      </w:r>
    </w:p>
  </w:footnote>
  <w:footnote w:id="7">
    <w:p w:rsidR="00493A53" w:rsidRDefault="00493A53">
      <w:pPr>
        <w:pStyle w:val="FootnoteText"/>
      </w:pPr>
      <w:r>
        <w:rPr>
          <w:rStyle w:val="FootnoteReference"/>
        </w:rPr>
        <w:footnoteRef/>
      </w:r>
      <w:r>
        <w:t xml:space="preserve"> EC</w:t>
      </w:r>
      <w:r w:rsidRPr="00EF419B">
        <w:rPr>
          <w:vertAlign w:val="subscript"/>
        </w:rPr>
        <w:t>50</w:t>
      </w:r>
      <w:r>
        <w:t xml:space="preserve"> is </w:t>
      </w:r>
      <w:r w:rsidRPr="00EF419B">
        <w:t xml:space="preserve">the concentration of a drug that gives </w:t>
      </w:r>
      <w:r>
        <w:t xml:space="preserve">a </w:t>
      </w:r>
      <w:r w:rsidRPr="00EF419B">
        <w:t>response</w:t>
      </w:r>
      <w:r>
        <w:t xml:space="preserve"> halfway between the base line and maximum. EC</w:t>
      </w:r>
      <w:r w:rsidRPr="00EF419B">
        <w:rPr>
          <w:vertAlign w:val="subscript"/>
        </w:rPr>
        <w:t>50</w:t>
      </w:r>
      <w:r>
        <w:t xml:space="preserve"> is measured in nanomolar units, abbreviated as nM.</w:t>
      </w:r>
    </w:p>
  </w:footnote>
  <w:footnote w:id="8">
    <w:p w:rsidR="00493A53" w:rsidRDefault="00493A53">
      <w:pPr>
        <w:pStyle w:val="FootnoteText"/>
      </w:pPr>
      <w:r>
        <w:rPr>
          <w:rStyle w:val="FootnoteReference"/>
        </w:rPr>
        <w:footnoteRef/>
      </w:r>
      <w:r>
        <w:t xml:space="preserve"> Banister et al 2015a</w:t>
      </w:r>
    </w:p>
  </w:footnote>
  <w:footnote w:id="9">
    <w:p w:rsidR="00493A53" w:rsidRDefault="00493A53" w:rsidP="0016781F">
      <w:pPr>
        <w:pStyle w:val="FootnoteText"/>
      </w:pPr>
      <w:r>
        <w:rPr>
          <w:rStyle w:val="FootnoteReference"/>
        </w:rPr>
        <w:footnoteRef/>
      </w:r>
      <w:r>
        <w:t xml:space="preserve"> Banister et al 2015b</w:t>
      </w:r>
    </w:p>
  </w:footnote>
  <w:footnote w:id="10">
    <w:p w:rsidR="00493A53" w:rsidRDefault="00493A53" w:rsidP="0016781F">
      <w:pPr>
        <w:pStyle w:val="FootnoteText"/>
      </w:pPr>
      <w:r>
        <w:rPr>
          <w:rStyle w:val="FootnoteReference"/>
        </w:rPr>
        <w:footnoteRef/>
      </w:r>
      <w:r>
        <w:t xml:space="preserve"> Banister et al 2016</w:t>
      </w:r>
    </w:p>
  </w:footnote>
  <w:footnote w:id="11">
    <w:p w:rsidR="00493A53" w:rsidRDefault="00493A53" w:rsidP="0016781F">
      <w:pPr>
        <w:pStyle w:val="FootnoteText"/>
      </w:pPr>
      <w:r>
        <w:rPr>
          <w:rStyle w:val="FootnoteReference"/>
        </w:rPr>
        <w:footnoteRef/>
      </w:r>
      <w:r>
        <w:t xml:space="preserve"> Figures taken from WHO ECDD reports appended to this report – these figures are anecdotal and unverified. Figures for the dosage of AMB-FUBINACA and AB-FUBINACA are taken from the Reddit Research Chemicals and Tripsit websites respectively – these figures are also anecdotal and unverified.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A53" w:rsidRDefault="00493A53">
    <w:pPr>
      <w:pStyle w:val="Header"/>
    </w:pPr>
    <w:r>
      <w:rPr>
        <w:noProof/>
        <w:lang w:eastAsia="en-NZ"/>
      </w:rPr>
      <w:drawing>
        <wp:inline distT="0" distB="0" distL="0" distR="0" wp14:anchorId="32C379D6" wp14:editId="1025E501">
          <wp:extent cx="5731510" cy="373705"/>
          <wp:effectExtent l="0" t="0" r="254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373705"/>
                  </a:xfrm>
                  <a:prstGeom prst="rect">
                    <a:avLst/>
                  </a:prstGeom>
                  <a:noFill/>
                  <a:ln>
                    <a:noFill/>
                  </a:ln>
                </pic:spPr>
              </pic:pic>
            </a:graphicData>
          </a:graphic>
        </wp:inline>
      </w:drawing>
    </w:r>
  </w:p>
  <w:p w:rsidR="00493A53" w:rsidRDefault="00493A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83946"/>
    <w:multiLevelType w:val="multilevel"/>
    <w:tmpl w:val="C8249F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7E92381"/>
    <w:multiLevelType w:val="hybridMultilevel"/>
    <w:tmpl w:val="80CC98AA"/>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2">
    <w:nsid w:val="09D54ED1"/>
    <w:multiLevelType w:val="hybridMultilevel"/>
    <w:tmpl w:val="E572ED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A5D514A"/>
    <w:multiLevelType w:val="multilevel"/>
    <w:tmpl w:val="B3B81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09577A"/>
    <w:multiLevelType w:val="hybridMultilevel"/>
    <w:tmpl w:val="3BD6F3D4"/>
    <w:lvl w:ilvl="0" w:tplc="092C3EEE">
      <w:numFmt w:val="bullet"/>
      <w:lvlText w:val="•"/>
      <w:lvlJc w:val="left"/>
      <w:pPr>
        <w:ind w:left="1080" w:hanging="720"/>
      </w:pPr>
      <w:rPr>
        <w:rFonts w:ascii="Arial" w:eastAsiaTheme="minorHAns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0C536E0B"/>
    <w:multiLevelType w:val="hybridMultilevel"/>
    <w:tmpl w:val="B45CDB86"/>
    <w:lvl w:ilvl="0" w:tplc="092C3EEE">
      <w:numFmt w:val="bullet"/>
      <w:lvlText w:val="•"/>
      <w:lvlJc w:val="left"/>
      <w:pPr>
        <w:ind w:left="1080" w:hanging="72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0DAC2F1A"/>
    <w:multiLevelType w:val="hybridMultilevel"/>
    <w:tmpl w:val="2BF8403C"/>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0FCC2BFC"/>
    <w:multiLevelType w:val="hybridMultilevel"/>
    <w:tmpl w:val="AB3A570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14B21B9D"/>
    <w:multiLevelType w:val="multilevel"/>
    <w:tmpl w:val="F31C19A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9131219"/>
    <w:multiLevelType w:val="hybridMultilevel"/>
    <w:tmpl w:val="DFB4B1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1C732392"/>
    <w:multiLevelType w:val="hybridMultilevel"/>
    <w:tmpl w:val="BE6CCA6C"/>
    <w:lvl w:ilvl="0" w:tplc="7CB6BD44">
      <w:start w:val="1"/>
      <w:numFmt w:val="decimal"/>
      <w:lvlText w:val="%1"/>
      <w:lvlJc w:val="left"/>
      <w:pPr>
        <w:ind w:left="924" w:hanging="564"/>
      </w:pPr>
      <w:rPr>
        <w:rFonts w:eastAsiaTheme="minorHAnsi" w:cs="Arial" w:hint="default"/>
        <w:b w:val="0"/>
        <w:color w:val="auto"/>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1D9C12E7"/>
    <w:multiLevelType w:val="hybridMultilevel"/>
    <w:tmpl w:val="3D9857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1E5E2D80"/>
    <w:multiLevelType w:val="hybridMultilevel"/>
    <w:tmpl w:val="61100150"/>
    <w:lvl w:ilvl="0" w:tplc="092C3EEE">
      <w:numFmt w:val="bullet"/>
      <w:lvlText w:val="•"/>
      <w:lvlJc w:val="left"/>
      <w:pPr>
        <w:ind w:left="1080" w:hanging="72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21631385"/>
    <w:multiLevelType w:val="hybridMultilevel"/>
    <w:tmpl w:val="14B6F3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22316276"/>
    <w:multiLevelType w:val="hybridMultilevel"/>
    <w:tmpl w:val="6F14AB42"/>
    <w:lvl w:ilvl="0" w:tplc="092C3EEE">
      <w:numFmt w:val="bullet"/>
      <w:lvlText w:val="•"/>
      <w:lvlJc w:val="left"/>
      <w:pPr>
        <w:ind w:left="1080" w:hanging="72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240D4BFD"/>
    <w:multiLevelType w:val="hybridMultilevel"/>
    <w:tmpl w:val="BF5A78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25A735F4"/>
    <w:multiLevelType w:val="hybridMultilevel"/>
    <w:tmpl w:val="1C2E5A90"/>
    <w:lvl w:ilvl="0" w:tplc="092C3EEE">
      <w:numFmt w:val="bullet"/>
      <w:lvlText w:val="•"/>
      <w:lvlJc w:val="left"/>
      <w:pPr>
        <w:ind w:left="1080" w:hanging="72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25EF6909"/>
    <w:multiLevelType w:val="hybridMultilevel"/>
    <w:tmpl w:val="B4F809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28405E90"/>
    <w:multiLevelType w:val="multilevel"/>
    <w:tmpl w:val="E86CF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8894E6C"/>
    <w:multiLevelType w:val="hybridMultilevel"/>
    <w:tmpl w:val="F280BBC4"/>
    <w:lvl w:ilvl="0" w:tplc="01765E8E">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nsid w:val="29236DDF"/>
    <w:multiLevelType w:val="hybridMultilevel"/>
    <w:tmpl w:val="8F7608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29334E5B"/>
    <w:multiLevelType w:val="hybridMultilevel"/>
    <w:tmpl w:val="BAB4FE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2A595994"/>
    <w:multiLevelType w:val="hybridMultilevel"/>
    <w:tmpl w:val="77F45F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2E17668D"/>
    <w:multiLevelType w:val="hybridMultilevel"/>
    <w:tmpl w:val="07046E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33E35A73"/>
    <w:multiLevelType w:val="hybridMultilevel"/>
    <w:tmpl w:val="39D05DFE"/>
    <w:lvl w:ilvl="0" w:tplc="6CC8C55E">
      <w:start w:val="24"/>
      <w:numFmt w:val="decimal"/>
      <w:lvlText w:val="%1"/>
      <w:lvlJc w:val="left"/>
      <w:pPr>
        <w:ind w:left="924" w:hanging="564"/>
      </w:pPr>
      <w:rPr>
        <w:rFonts w:eastAsiaTheme="minorHAnsi" w:cs="Arial" w:hint="default"/>
        <w:b w:val="0"/>
        <w:color w:val="auto"/>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nsid w:val="358B42BD"/>
    <w:multiLevelType w:val="hybridMultilevel"/>
    <w:tmpl w:val="3E98DBAC"/>
    <w:lvl w:ilvl="0" w:tplc="092C3EEE">
      <w:numFmt w:val="bullet"/>
      <w:lvlText w:val="•"/>
      <w:lvlJc w:val="left"/>
      <w:pPr>
        <w:ind w:left="1080" w:hanging="72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3BA621ED"/>
    <w:multiLevelType w:val="hybridMultilevel"/>
    <w:tmpl w:val="976C77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3D91307E"/>
    <w:multiLevelType w:val="hybridMultilevel"/>
    <w:tmpl w:val="418CE678"/>
    <w:lvl w:ilvl="0" w:tplc="092C3EEE">
      <w:numFmt w:val="bullet"/>
      <w:lvlText w:val="•"/>
      <w:lvlJc w:val="left"/>
      <w:pPr>
        <w:ind w:left="1080" w:hanging="72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3DD549AA"/>
    <w:multiLevelType w:val="multilevel"/>
    <w:tmpl w:val="8E1441C2"/>
    <w:lvl w:ilvl="0">
      <w:start w:val="1"/>
      <w:numFmt w:val="decimal"/>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nsid w:val="3DF8228A"/>
    <w:multiLevelType w:val="hybridMultilevel"/>
    <w:tmpl w:val="AE906FCC"/>
    <w:lvl w:ilvl="0" w:tplc="03B6D8BC">
      <w:start w:val="24"/>
      <w:numFmt w:val="decimal"/>
      <w:lvlText w:val="%1"/>
      <w:lvlJc w:val="left"/>
      <w:pPr>
        <w:ind w:left="924" w:hanging="564"/>
      </w:pPr>
      <w:rPr>
        <w:rFonts w:eastAsiaTheme="minorHAnsi" w:cs="Arial" w:hint="default"/>
        <w:b w:val="0"/>
        <w:color w:val="auto"/>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nsid w:val="3FD75A86"/>
    <w:multiLevelType w:val="hybridMultilevel"/>
    <w:tmpl w:val="4B206D3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nsid w:val="421B48E4"/>
    <w:multiLevelType w:val="hybridMultilevel"/>
    <w:tmpl w:val="1CB4A0AC"/>
    <w:lvl w:ilvl="0" w:tplc="092C3EEE">
      <w:numFmt w:val="bullet"/>
      <w:lvlText w:val="•"/>
      <w:lvlJc w:val="left"/>
      <w:pPr>
        <w:ind w:left="1080" w:hanging="72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43C069FB"/>
    <w:multiLevelType w:val="hybridMultilevel"/>
    <w:tmpl w:val="0E8ED3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49AE69DA"/>
    <w:multiLevelType w:val="hybridMultilevel"/>
    <w:tmpl w:val="4B206D3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nsid w:val="4DE92AC8"/>
    <w:multiLevelType w:val="hybridMultilevel"/>
    <w:tmpl w:val="4B206D30"/>
    <w:lvl w:ilvl="0" w:tplc="1409000F">
      <w:start w:val="1"/>
      <w:numFmt w:val="decimal"/>
      <w:lvlText w:val="%1."/>
      <w:lvlJc w:val="left"/>
      <w:pPr>
        <w:ind w:left="927" w:hanging="360"/>
      </w:p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35">
    <w:nsid w:val="4EE72C40"/>
    <w:multiLevelType w:val="hybridMultilevel"/>
    <w:tmpl w:val="C1FEE1A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nsid w:val="535F3C78"/>
    <w:multiLevelType w:val="hybridMultilevel"/>
    <w:tmpl w:val="F71EE6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nsid w:val="576A34C2"/>
    <w:multiLevelType w:val="hybridMultilevel"/>
    <w:tmpl w:val="AB3A570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nsid w:val="5A7808D8"/>
    <w:multiLevelType w:val="hybridMultilevel"/>
    <w:tmpl w:val="09FC7F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nsid w:val="5BA46A62"/>
    <w:multiLevelType w:val="hybridMultilevel"/>
    <w:tmpl w:val="25325442"/>
    <w:lvl w:ilvl="0" w:tplc="14090001">
      <w:start w:val="1"/>
      <w:numFmt w:val="bullet"/>
      <w:lvlText w:val=""/>
      <w:lvlJc w:val="left"/>
      <w:pPr>
        <w:ind w:left="1644" w:hanging="360"/>
      </w:pPr>
      <w:rPr>
        <w:rFonts w:ascii="Symbol" w:hAnsi="Symbol" w:hint="default"/>
      </w:rPr>
    </w:lvl>
    <w:lvl w:ilvl="1" w:tplc="14090003" w:tentative="1">
      <w:start w:val="1"/>
      <w:numFmt w:val="bullet"/>
      <w:lvlText w:val="o"/>
      <w:lvlJc w:val="left"/>
      <w:pPr>
        <w:ind w:left="2364" w:hanging="360"/>
      </w:pPr>
      <w:rPr>
        <w:rFonts w:ascii="Courier New" w:hAnsi="Courier New" w:cs="Courier New" w:hint="default"/>
      </w:rPr>
    </w:lvl>
    <w:lvl w:ilvl="2" w:tplc="14090005" w:tentative="1">
      <w:start w:val="1"/>
      <w:numFmt w:val="bullet"/>
      <w:lvlText w:val=""/>
      <w:lvlJc w:val="left"/>
      <w:pPr>
        <w:ind w:left="3084" w:hanging="360"/>
      </w:pPr>
      <w:rPr>
        <w:rFonts w:ascii="Wingdings" w:hAnsi="Wingdings" w:hint="default"/>
      </w:rPr>
    </w:lvl>
    <w:lvl w:ilvl="3" w:tplc="14090001" w:tentative="1">
      <w:start w:val="1"/>
      <w:numFmt w:val="bullet"/>
      <w:lvlText w:val=""/>
      <w:lvlJc w:val="left"/>
      <w:pPr>
        <w:ind w:left="3804" w:hanging="360"/>
      </w:pPr>
      <w:rPr>
        <w:rFonts w:ascii="Symbol" w:hAnsi="Symbol" w:hint="default"/>
      </w:rPr>
    </w:lvl>
    <w:lvl w:ilvl="4" w:tplc="14090003" w:tentative="1">
      <w:start w:val="1"/>
      <w:numFmt w:val="bullet"/>
      <w:lvlText w:val="o"/>
      <w:lvlJc w:val="left"/>
      <w:pPr>
        <w:ind w:left="4524" w:hanging="360"/>
      </w:pPr>
      <w:rPr>
        <w:rFonts w:ascii="Courier New" w:hAnsi="Courier New" w:cs="Courier New" w:hint="default"/>
      </w:rPr>
    </w:lvl>
    <w:lvl w:ilvl="5" w:tplc="14090005" w:tentative="1">
      <w:start w:val="1"/>
      <w:numFmt w:val="bullet"/>
      <w:lvlText w:val=""/>
      <w:lvlJc w:val="left"/>
      <w:pPr>
        <w:ind w:left="5244" w:hanging="360"/>
      </w:pPr>
      <w:rPr>
        <w:rFonts w:ascii="Wingdings" w:hAnsi="Wingdings" w:hint="default"/>
      </w:rPr>
    </w:lvl>
    <w:lvl w:ilvl="6" w:tplc="14090001" w:tentative="1">
      <w:start w:val="1"/>
      <w:numFmt w:val="bullet"/>
      <w:lvlText w:val=""/>
      <w:lvlJc w:val="left"/>
      <w:pPr>
        <w:ind w:left="5964" w:hanging="360"/>
      </w:pPr>
      <w:rPr>
        <w:rFonts w:ascii="Symbol" w:hAnsi="Symbol" w:hint="default"/>
      </w:rPr>
    </w:lvl>
    <w:lvl w:ilvl="7" w:tplc="14090003" w:tentative="1">
      <w:start w:val="1"/>
      <w:numFmt w:val="bullet"/>
      <w:lvlText w:val="o"/>
      <w:lvlJc w:val="left"/>
      <w:pPr>
        <w:ind w:left="6684" w:hanging="360"/>
      </w:pPr>
      <w:rPr>
        <w:rFonts w:ascii="Courier New" w:hAnsi="Courier New" w:cs="Courier New" w:hint="default"/>
      </w:rPr>
    </w:lvl>
    <w:lvl w:ilvl="8" w:tplc="14090005" w:tentative="1">
      <w:start w:val="1"/>
      <w:numFmt w:val="bullet"/>
      <w:lvlText w:val=""/>
      <w:lvlJc w:val="left"/>
      <w:pPr>
        <w:ind w:left="7404" w:hanging="360"/>
      </w:pPr>
      <w:rPr>
        <w:rFonts w:ascii="Wingdings" w:hAnsi="Wingdings" w:hint="default"/>
      </w:rPr>
    </w:lvl>
  </w:abstractNum>
  <w:abstractNum w:abstractNumId="40">
    <w:nsid w:val="5CE50F28"/>
    <w:multiLevelType w:val="hybridMultilevel"/>
    <w:tmpl w:val="C4EADC2E"/>
    <w:lvl w:ilvl="0" w:tplc="818A1668">
      <w:start w:val="1"/>
      <w:numFmt w:val="decimal"/>
      <w:lvlText w:val="%1"/>
      <w:lvlJc w:val="left"/>
      <w:pPr>
        <w:ind w:left="924" w:hanging="564"/>
      </w:pPr>
      <w:rPr>
        <w:rFonts w:eastAsiaTheme="minorHAnsi" w:cs="Arial" w:hint="default"/>
        <w:b w:val="0"/>
        <w:color w:val="auto"/>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nsid w:val="60597C79"/>
    <w:multiLevelType w:val="hybridMultilevel"/>
    <w:tmpl w:val="2ACE7E9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nsid w:val="64876AC5"/>
    <w:multiLevelType w:val="hybridMultilevel"/>
    <w:tmpl w:val="8AEE31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nsid w:val="67340DCC"/>
    <w:multiLevelType w:val="hybridMultilevel"/>
    <w:tmpl w:val="FC862C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nsid w:val="684D1C66"/>
    <w:multiLevelType w:val="multilevel"/>
    <w:tmpl w:val="4EEE7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6D3A0E05"/>
    <w:multiLevelType w:val="hybridMultilevel"/>
    <w:tmpl w:val="11960CD4"/>
    <w:lvl w:ilvl="0" w:tplc="092C3EEE">
      <w:numFmt w:val="bullet"/>
      <w:lvlText w:val="•"/>
      <w:lvlJc w:val="left"/>
      <w:pPr>
        <w:ind w:left="1080" w:hanging="72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nsid w:val="6F0604EF"/>
    <w:multiLevelType w:val="hybridMultilevel"/>
    <w:tmpl w:val="D73EFB7E"/>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47">
    <w:nsid w:val="7163226B"/>
    <w:multiLevelType w:val="hybridMultilevel"/>
    <w:tmpl w:val="357C50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3"/>
  </w:num>
  <w:num w:numId="2">
    <w:abstractNumId w:val="17"/>
  </w:num>
  <w:num w:numId="3">
    <w:abstractNumId w:val="20"/>
  </w:num>
  <w:num w:numId="4">
    <w:abstractNumId w:val="18"/>
    <w:lvlOverride w:ilvl="1">
      <w:lvl w:ilvl="1">
        <w:numFmt w:val="bullet"/>
        <w:lvlText w:val=""/>
        <w:lvlJc w:val="left"/>
        <w:pPr>
          <w:tabs>
            <w:tab w:val="num" w:pos="1440"/>
          </w:tabs>
          <w:ind w:left="1440" w:hanging="360"/>
        </w:pPr>
        <w:rPr>
          <w:rFonts w:ascii="Symbol" w:hAnsi="Symbol" w:hint="default"/>
          <w:sz w:val="20"/>
        </w:rPr>
      </w:lvl>
    </w:lvlOverride>
  </w:num>
  <w:num w:numId="5">
    <w:abstractNumId w:val="33"/>
  </w:num>
  <w:num w:numId="6">
    <w:abstractNumId w:val="34"/>
  </w:num>
  <w:num w:numId="7">
    <w:abstractNumId w:val="30"/>
  </w:num>
  <w:num w:numId="8">
    <w:abstractNumId w:val="28"/>
  </w:num>
  <w:num w:numId="9">
    <w:abstractNumId w:val="21"/>
  </w:num>
  <w:num w:numId="10">
    <w:abstractNumId w:val="26"/>
  </w:num>
  <w:num w:numId="11">
    <w:abstractNumId w:val="9"/>
  </w:num>
  <w:num w:numId="12">
    <w:abstractNumId w:val="2"/>
  </w:num>
  <w:num w:numId="13">
    <w:abstractNumId w:val="23"/>
  </w:num>
  <w:num w:numId="14">
    <w:abstractNumId w:val="32"/>
  </w:num>
  <w:num w:numId="15">
    <w:abstractNumId w:val="3"/>
  </w:num>
  <w:num w:numId="16">
    <w:abstractNumId w:val="13"/>
  </w:num>
  <w:num w:numId="17">
    <w:abstractNumId w:val="44"/>
  </w:num>
  <w:num w:numId="18">
    <w:abstractNumId w:val="6"/>
  </w:num>
  <w:num w:numId="19">
    <w:abstractNumId w:val="22"/>
  </w:num>
  <w:num w:numId="20">
    <w:abstractNumId w:val="42"/>
  </w:num>
  <w:num w:numId="21">
    <w:abstractNumId w:val="14"/>
  </w:num>
  <w:num w:numId="22">
    <w:abstractNumId w:val="31"/>
  </w:num>
  <w:num w:numId="23">
    <w:abstractNumId w:val="27"/>
  </w:num>
  <w:num w:numId="24">
    <w:abstractNumId w:val="5"/>
  </w:num>
  <w:num w:numId="25">
    <w:abstractNumId w:val="25"/>
  </w:num>
  <w:num w:numId="26">
    <w:abstractNumId w:val="16"/>
  </w:num>
  <w:num w:numId="27">
    <w:abstractNumId w:val="45"/>
  </w:num>
  <w:num w:numId="28">
    <w:abstractNumId w:val="19"/>
  </w:num>
  <w:num w:numId="29">
    <w:abstractNumId w:val="12"/>
  </w:num>
  <w:num w:numId="30">
    <w:abstractNumId w:val="4"/>
  </w:num>
  <w:num w:numId="31">
    <w:abstractNumId w:val="41"/>
  </w:num>
  <w:num w:numId="32">
    <w:abstractNumId w:val="8"/>
  </w:num>
  <w:num w:numId="33">
    <w:abstractNumId w:val="0"/>
  </w:num>
  <w:num w:numId="34">
    <w:abstractNumId w:val="1"/>
  </w:num>
  <w:num w:numId="35">
    <w:abstractNumId w:val="35"/>
  </w:num>
  <w:num w:numId="36">
    <w:abstractNumId w:val="38"/>
  </w:num>
  <w:num w:numId="37">
    <w:abstractNumId w:val="37"/>
  </w:num>
  <w:num w:numId="38">
    <w:abstractNumId w:val="7"/>
  </w:num>
  <w:num w:numId="39">
    <w:abstractNumId w:val="24"/>
  </w:num>
  <w:num w:numId="40">
    <w:abstractNumId w:val="39"/>
  </w:num>
  <w:num w:numId="41">
    <w:abstractNumId w:val="29"/>
  </w:num>
  <w:num w:numId="42">
    <w:abstractNumId w:val="40"/>
  </w:num>
  <w:num w:numId="43">
    <w:abstractNumId w:val="10"/>
  </w:num>
  <w:num w:numId="44">
    <w:abstractNumId w:val="47"/>
  </w:num>
  <w:num w:numId="45">
    <w:abstractNumId w:val="11"/>
  </w:num>
  <w:num w:numId="46">
    <w:abstractNumId w:val="36"/>
  </w:num>
  <w:num w:numId="47">
    <w:abstractNumId w:val="15"/>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A85"/>
    <w:rsid w:val="00000FDF"/>
    <w:rsid w:val="000020FF"/>
    <w:rsid w:val="00006AA9"/>
    <w:rsid w:val="00006D47"/>
    <w:rsid w:val="00010945"/>
    <w:rsid w:val="0001267E"/>
    <w:rsid w:val="0001717C"/>
    <w:rsid w:val="00021D44"/>
    <w:rsid w:val="00024633"/>
    <w:rsid w:val="00034830"/>
    <w:rsid w:val="00041848"/>
    <w:rsid w:val="00044600"/>
    <w:rsid w:val="00046291"/>
    <w:rsid w:val="000510AE"/>
    <w:rsid w:val="000530AB"/>
    <w:rsid w:val="00054126"/>
    <w:rsid w:val="00061DFE"/>
    <w:rsid w:val="0007484D"/>
    <w:rsid w:val="0007572D"/>
    <w:rsid w:val="00085059"/>
    <w:rsid w:val="0009143A"/>
    <w:rsid w:val="000974FF"/>
    <w:rsid w:val="0009796D"/>
    <w:rsid w:val="00097C8F"/>
    <w:rsid w:val="000A0373"/>
    <w:rsid w:val="000B225F"/>
    <w:rsid w:val="000B4BD0"/>
    <w:rsid w:val="000B57E8"/>
    <w:rsid w:val="000B67A7"/>
    <w:rsid w:val="000B7B10"/>
    <w:rsid w:val="000C22C8"/>
    <w:rsid w:val="000C5D2F"/>
    <w:rsid w:val="000C7BCF"/>
    <w:rsid w:val="000D0FB1"/>
    <w:rsid w:val="000E3191"/>
    <w:rsid w:val="000E3325"/>
    <w:rsid w:val="000E5ACF"/>
    <w:rsid w:val="000F163A"/>
    <w:rsid w:val="001021A3"/>
    <w:rsid w:val="0011108D"/>
    <w:rsid w:val="001127E4"/>
    <w:rsid w:val="00115A82"/>
    <w:rsid w:val="00130DB1"/>
    <w:rsid w:val="0013721C"/>
    <w:rsid w:val="00140D6F"/>
    <w:rsid w:val="0014391C"/>
    <w:rsid w:val="00146E30"/>
    <w:rsid w:val="00147631"/>
    <w:rsid w:val="00150767"/>
    <w:rsid w:val="001520E1"/>
    <w:rsid w:val="00156F35"/>
    <w:rsid w:val="001570DD"/>
    <w:rsid w:val="0016781F"/>
    <w:rsid w:val="00167B73"/>
    <w:rsid w:val="001721F1"/>
    <w:rsid w:val="00172B40"/>
    <w:rsid w:val="00174227"/>
    <w:rsid w:val="001754C9"/>
    <w:rsid w:val="00176C22"/>
    <w:rsid w:val="00177965"/>
    <w:rsid w:val="00181E3E"/>
    <w:rsid w:val="001828E3"/>
    <w:rsid w:val="00184347"/>
    <w:rsid w:val="00184D89"/>
    <w:rsid w:val="00187EE7"/>
    <w:rsid w:val="00197434"/>
    <w:rsid w:val="001A21CB"/>
    <w:rsid w:val="001A2637"/>
    <w:rsid w:val="001A61BD"/>
    <w:rsid w:val="001A69F4"/>
    <w:rsid w:val="001B55E8"/>
    <w:rsid w:val="001B5D32"/>
    <w:rsid w:val="001B773E"/>
    <w:rsid w:val="001C2BF8"/>
    <w:rsid w:val="001C57D1"/>
    <w:rsid w:val="001C6C3F"/>
    <w:rsid w:val="001D08C6"/>
    <w:rsid w:val="001F1047"/>
    <w:rsid w:val="001F1F8F"/>
    <w:rsid w:val="001F26C6"/>
    <w:rsid w:val="001F5C0E"/>
    <w:rsid w:val="001F5C43"/>
    <w:rsid w:val="0020096A"/>
    <w:rsid w:val="00206A50"/>
    <w:rsid w:val="00220D01"/>
    <w:rsid w:val="00225B17"/>
    <w:rsid w:val="0023157A"/>
    <w:rsid w:val="00235359"/>
    <w:rsid w:val="00241C00"/>
    <w:rsid w:val="002437B7"/>
    <w:rsid w:val="00246561"/>
    <w:rsid w:val="00252EEC"/>
    <w:rsid w:val="00265DF3"/>
    <w:rsid w:val="002735C0"/>
    <w:rsid w:val="00281310"/>
    <w:rsid w:val="002818CE"/>
    <w:rsid w:val="00282B26"/>
    <w:rsid w:val="00285E50"/>
    <w:rsid w:val="002862FF"/>
    <w:rsid w:val="00287409"/>
    <w:rsid w:val="00287FE3"/>
    <w:rsid w:val="0029004F"/>
    <w:rsid w:val="00291A0C"/>
    <w:rsid w:val="00292B96"/>
    <w:rsid w:val="00296600"/>
    <w:rsid w:val="00297AEA"/>
    <w:rsid w:val="002A2A5F"/>
    <w:rsid w:val="002A4273"/>
    <w:rsid w:val="002B54EA"/>
    <w:rsid w:val="002C2577"/>
    <w:rsid w:val="002C55BC"/>
    <w:rsid w:val="002D0158"/>
    <w:rsid w:val="002D0E13"/>
    <w:rsid w:val="002D416F"/>
    <w:rsid w:val="002D57BE"/>
    <w:rsid w:val="002D5FB2"/>
    <w:rsid w:val="002D6CCA"/>
    <w:rsid w:val="002D7799"/>
    <w:rsid w:val="002E0FBC"/>
    <w:rsid w:val="002E3D24"/>
    <w:rsid w:val="002F2E78"/>
    <w:rsid w:val="002F46C6"/>
    <w:rsid w:val="002F711A"/>
    <w:rsid w:val="002F7319"/>
    <w:rsid w:val="00300798"/>
    <w:rsid w:val="0030173A"/>
    <w:rsid w:val="00310D52"/>
    <w:rsid w:val="00316013"/>
    <w:rsid w:val="00321C64"/>
    <w:rsid w:val="00324D50"/>
    <w:rsid w:val="00331C67"/>
    <w:rsid w:val="00331CF7"/>
    <w:rsid w:val="0034087C"/>
    <w:rsid w:val="00341745"/>
    <w:rsid w:val="003469C8"/>
    <w:rsid w:val="00347A6B"/>
    <w:rsid w:val="00354991"/>
    <w:rsid w:val="00364D88"/>
    <w:rsid w:val="00367DA7"/>
    <w:rsid w:val="003749DC"/>
    <w:rsid w:val="0038221E"/>
    <w:rsid w:val="003920DA"/>
    <w:rsid w:val="00392CBC"/>
    <w:rsid w:val="003A1BAB"/>
    <w:rsid w:val="003A410C"/>
    <w:rsid w:val="003A4327"/>
    <w:rsid w:val="003A738B"/>
    <w:rsid w:val="003B11E2"/>
    <w:rsid w:val="003B29DB"/>
    <w:rsid w:val="003B60C6"/>
    <w:rsid w:val="003B7363"/>
    <w:rsid w:val="003C1BD9"/>
    <w:rsid w:val="003C291D"/>
    <w:rsid w:val="003C3690"/>
    <w:rsid w:val="003C68E8"/>
    <w:rsid w:val="003D178F"/>
    <w:rsid w:val="003E13EB"/>
    <w:rsid w:val="003E1F4C"/>
    <w:rsid w:val="003E2FAB"/>
    <w:rsid w:val="003F05CB"/>
    <w:rsid w:val="003F7C70"/>
    <w:rsid w:val="004005B6"/>
    <w:rsid w:val="004012D9"/>
    <w:rsid w:val="00416B8D"/>
    <w:rsid w:val="00422E1C"/>
    <w:rsid w:val="00431B60"/>
    <w:rsid w:val="004329A8"/>
    <w:rsid w:val="0043666E"/>
    <w:rsid w:val="0044102A"/>
    <w:rsid w:val="00442D4C"/>
    <w:rsid w:val="004443E4"/>
    <w:rsid w:val="004451CB"/>
    <w:rsid w:val="0046050B"/>
    <w:rsid w:val="00460FDC"/>
    <w:rsid w:val="00463712"/>
    <w:rsid w:val="004643ED"/>
    <w:rsid w:val="004731AF"/>
    <w:rsid w:val="0047618A"/>
    <w:rsid w:val="00492A13"/>
    <w:rsid w:val="00493703"/>
    <w:rsid w:val="00493A53"/>
    <w:rsid w:val="0049470B"/>
    <w:rsid w:val="004A3983"/>
    <w:rsid w:val="004A4DBC"/>
    <w:rsid w:val="004B3C77"/>
    <w:rsid w:val="004C1B78"/>
    <w:rsid w:val="004C29D6"/>
    <w:rsid w:val="004C3AB2"/>
    <w:rsid w:val="004C4F77"/>
    <w:rsid w:val="004C6380"/>
    <w:rsid w:val="004C7A15"/>
    <w:rsid w:val="004D1F3D"/>
    <w:rsid w:val="004D4D71"/>
    <w:rsid w:val="004D51A9"/>
    <w:rsid w:val="004D64EC"/>
    <w:rsid w:val="004D67E7"/>
    <w:rsid w:val="004D7018"/>
    <w:rsid w:val="004E291C"/>
    <w:rsid w:val="004E4BD7"/>
    <w:rsid w:val="004F360A"/>
    <w:rsid w:val="004F3C5F"/>
    <w:rsid w:val="004F5319"/>
    <w:rsid w:val="004F57EF"/>
    <w:rsid w:val="00502C24"/>
    <w:rsid w:val="00507B62"/>
    <w:rsid w:val="00510266"/>
    <w:rsid w:val="00511026"/>
    <w:rsid w:val="00511996"/>
    <w:rsid w:val="00512D79"/>
    <w:rsid w:val="005231BD"/>
    <w:rsid w:val="00525706"/>
    <w:rsid w:val="0052750B"/>
    <w:rsid w:val="00530099"/>
    <w:rsid w:val="00543A87"/>
    <w:rsid w:val="00546B93"/>
    <w:rsid w:val="00550987"/>
    <w:rsid w:val="00554A81"/>
    <w:rsid w:val="005576FC"/>
    <w:rsid w:val="0056115C"/>
    <w:rsid w:val="00563018"/>
    <w:rsid w:val="0056400B"/>
    <w:rsid w:val="005642E7"/>
    <w:rsid w:val="00565392"/>
    <w:rsid w:val="00570BC1"/>
    <w:rsid w:val="00574FD1"/>
    <w:rsid w:val="00576EE1"/>
    <w:rsid w:val="00581B88"/>
    <w:rsid w:val="005846DF"/>
    <w:rsid w:val="0058700C"/>
    <w:rsid w:val="005914CF"/>
    <w:rsid w:val="005A112B"/>
    <w:rsid w:val="005A2D80"/>
    <w:rsid w:val="005B0599"/>
    <w:rsid w:val="005B33DE"/>
    <w:rsid w:val="005B3484"/>
    <w:rsid w:val="005B3715"/>
    <w:rsid w:val="005B598B"/>
    <w:rsid w:val="005B5E3E"/>
    <w:rsid w:val="005B6C33"/>
    <w:rsid w:val="005C4BDB"/>
    <w:rsid w:val="005D447B"/>
    <w:rsid w:val="005D4AFE"/>
    <w:rsid w:val="005E1463"/>
    <w:rsid w:val="005E45B0"/>
    <w:rsid w:val="005F0683"/>
    <w:rsid w:val="005F3335"/>
    <w:rsid w:val="005F394D"/>
    <w:rsid w:val="006016A8"/>
    <w:rsid w:val="00602065"/>
    <w:rsid w:val="0060361C"/>
    <w:rsid w:val="00604D3A"/>
    <w:rsid w:val="0060618F"/>
    <w:rsid w:val="00613F71"/>
    <w:rsid w:val="00614A1E"/>
    <w:rsid w:val="006227A3"/>
    <w:rsid w:val="00625F80"/>
    <w:rsid w:val="00636F7C"/>
    <w:rsid w:val="00640047"/>
    <w:rsid w:val="0064364E"/>
    <w:rsid w:val="00645F91"/>
    <w:rsid w:val="00651EAE"/>
    <w:rsid w:val="0065209F"/>
    <w:rsid w:val="00654FF3"/>
    <w:rsid w:val="00655D77"/>
    <w:rsid w:val="00660DCF"/>
    <w:rsid w:val="006622D4"/>
    <w:rsid w:val="006634E4"/>
    <w:rsid w:val="00671086"/>
    <w:rsid w:val="00676BF5"/>
    <w:rsid w:val="006805C4"/>
    <w:rsid w:val="00693D95"/>
    <w:rsid w:val="00695019"/>
    <w:rsid w:val="00695D2E"/>
    <w:rsid w:val="006A2F41"/>
    <w:rsid w:val="006B4123"/>
    <w:rsid w:val="006B5342"/>
    <w:rsid w:val="006C10AC"/>
    <w:rsid w:val="006D0797"/>
    <w:rsid w:val="006D3BE1"/>
    <w:rsid w:val="006D6279"/>
    <w:rsid w:val="006E1AD9"/>
    <w:rsid w:val="006E35A2"/>
    <w:rsid w:val="006E4FCA"/>
    <w:rsid w:val="006E59EE"/>
    <w:rsid w:val="006F2F74"/>
    <w:rsid w:val="006F49D1"/>
    <w:rsid w:val="006F57D0"/>
    <w:rsid w:val="006F72D4"/>
    <w:rsid w:val="006F7A98"/>
    <w:rsid w:val="006F7D69"/>
    <w:rsid w:val="007016E4"/>
    <w:rsid w:val="007047A2"/>
    <w:rsid w:val="007056A8"/>
    <w:rsid w:val="00705913"/>
    <w:rsid w:val="00707288"/>
    <w:rsid w:val="00710895"/>
    <w:rsid w:val="00711FA3"/>
    <w:rsid w:val="0071203B"/>
    <w:rsid w:val="00713A3E"/>
    <w:rsid w:val="00713C4F"/>
    <w:rsid w:val="00714557"/>
    <w:rsid w:val="00725A42"/>
    <w:rsid w:val="00743DD8"/>
    <w:rsid w:val="00746198"/>
    <w:rsid w:val="007464E7"/>
    <w:rsid w:val="00747FA8"/>
    <w:rsid w:val="00750086"/>
    <w:rsid w:val="007578A1"/>
    <w:rsid w:val="00763C4A"/>
    <w:rsid w:val="007642C4"/>
    <w:rsid w:val="00764A03"/>
    <w:rsid w:val="007732F9"/>
    <w:rsid w:val="0077346D"/>
    <w:rsid w:val="00773AB1"/>
    <w:rsid w:val="00780C8F"/>
    <w:rsid w:val="00785793"/>
    <w:rsid w:val="00790A66"/>
    <w:rsid w:val="00790E40"/>
    <w:rsid w:val="00791761"/>
    <w:rsid w:val="007929FC"/>
    <w:rsid w:val="0079312F"/>
    <w:rsid w:val="007A2870"/>
    <w:rsid w:val="007B01B6"/>
    <w:rsid w:val="007B3D7D"/>
    <w:rsid w:val="007B409F"/>
    <w:rsid w:val="007B594D"/>
    <w:rsid w:val="007B5C06"/>
    <w:rsid w:val="007B657A"/>
    <w:rsid w:val="007C3120"/>
    <w:rsid w:val="007C41D0"/>
    <w:rsid w:val="007C64DD"/>
    <w:rsid w:val="007D1593"/>
    <w:rsid w:val="007D4113"/>
    <w:rsid w:val="007D4A74"/>
    <w:rsid w:val="007D51F5"/>
    <w:rsid w:val="007E03F4"/>
    <w:rsid w:val="007E2CD5"/>
    <w:rsid w:val="007E2DED"/>
    <w:rsid w:val="007E3004"/>
    <w:rsid w:val="007E7084"/>
    <w:rsid w:val="007F2C43"/>
    <w:rsid w:val="00802A52"/>
    <w:rsid w:val="00802C31"/>
    <w:rsid w:val="00803094"/>
    <w:rsid w:val="00807E20"/>
    <w:rsid w:val="00810056"/>
    <w:rsid w:val="0081391B"/>
    <w:rsid w:val="00820E41"/>
    <w:rsid w:val="00823FA3"/>
    <w:rsid w:val="00825BE8"/>
    <w:rsid w:val="00826B49"/>
    <w:rsid w:val="008304F1"/>
    <w:rsid w:val="0083143C"/>
    <w:rsid w:val="0084217D"/>
    <w:rsid w:val="00857D0A"/>
    <w:rsid w:val="008627DD"/>
    <w:rsid w:val="00863DA5"/>
    <w:rsid w:val="00864A37"/>
    <w:rsid w:val="00866AC6"/>
    <w:rsid w:val="00867009"/>
    <w:rsid w:val="00867989"/>
    <w:rsid w:val="008704BC"/>
    <w:rsid w:val="00872DE7"/>
    <w:rsid w:val="00876EC3"/>
    <w:rsid w:val="008803B8"/>
    <w:rsid w:val="008824C4"/>
    <w:rsid w:val="00884DA5"/>
    <w:rsid w:val="00885491"/>
    <w:rsid w:val="008935C9"/>
    <w:rsid w:val="008968CB"/>
    <w:rsid w:val="00896EF8"/>
    <w:rsid w:val="008B0DC9"/>
    <w:rsid w:val="008B37CE"/>
    <w:rsid w:val="008C2BE0"/>
    <w:rsid w:val="008C30AA"/>
    <w:rsid w:val="008C6B37"/>
    <w:rsid w:val="008E3FA0"/>
    <w:rsid w:val="008E5E50"/>
    <w:rsid w:val="008F410D"/>
    <w:rsid w:val="008F4A7E"/>
    <w:rsid w:val="0090157C"/>
    <w:rsid w:val="00902834"/>
    <w:rsid w:val="00904AC6"/>
    <w:rsid w:val="00913535"/>
    <w:rsid w:val="009138C8"/>
    <w:rsid w:val="0091661C"/>
    <w:rsid w:val="00921EB9"/>
    <w:rsid w:val="009247C8"/>
    <w:rsid w:val="0092526C"/>
    <w:rsid w:val="00932B2B"/>
    <w:rsid w:val="00932CD1"/>
    <w:rsid w:val="00936B87"/>
    <w:rsid w:val="009376DE"/>
    <w:rsid w:val="00940B98"/>
    <w:rsid w:val="009416EE"/>
    <w:rsid w:val="009427CF"/>
    <w:rsid w:val="00942B5C"/>
    <w:rsid w:val="00952708"/>
    <w:rsid w:val="0095365A"/>
    <w:rsid w:val="00956925"/>
    <w:rsid w:val="00960753"/>
    <w:rsid w:val="0096795E"/>
    <w:rsid w:val="009736C4"/>
    <w:rsid w:val="00981AD1"/>
    <w:rsid w:val="009866FE"/>
    <w:rsid w:val="00986D4C"/>
    <w:rsid w:val="0099164C"/>
    <w:rsid w:val="0099289E"/>
    <w:rsid w:val="009A148D"/>
    <w:rsid w:val="009A3FBD"/>
    <w:rsid w:val="009A4485"/>
    <w:rsid w:val="009C2090"/>
    <w:rsid w:val="009C4362"/>
    <w:rsid w:val="009C58B1"/>
    <w:rsid w:val="009C7780"/>
    <w:rsid w:val="009D030F"/>
    <w:rsid w:val="009D16F6"/>
    <w:rsid w:val="009E4A34"/>
    <w:rsid w:val="009E52D0"/>
    <w:rsid w:val="009F6C99"/>
    <w:rsid w:val="00A02472"/>
    <w:rsid w:val="00A035AC"/>
    <w:rsid w:val="00A04028"/>
    <w:rsid w:val="00A04553"/>
    <w:rsid w:val="00A21508"/>
    <w:rsid w:val="00A25596"/>
    <w:rsid w:val="00A337D6"/>
    <w:rsid w:val="00A34892"/>
    <w:rsid w:val="00A36558"/>
    <w:rsid w:val="00A3704D"/>
    <w:rsid w:val="00A3713D"/>
    <w:rsid w:val="00A51E3B"/>
    <w:rsid w:val="00A60C1C"/>
    <w:rsid w:val="00A62417"/>
    <w:rsid w:val="00A633FE"/>
    <w:rsid w:val="00A7252C"/>
    <w:rsid w:val="00A76B18"/>
    <w:rsid w:val="00A77F35"/>
    <w:rsid w:val="00A814A4"/>
    <w:rsid w:val="00A856F3"/>
    <w:rsid w:val="00A930D1"/>
    <w:rsid w:val="00A944F3"/>
    <w:rsid w:val="00A94E6F"/>
    <w:rsid w:val="00AA2997"/>
    <w:rsid w:val="00AA2ABC"/>
    <w:rsid w:val="00AA3B22"/>
    <w:rsid w:val="00AA50F9"/>
    <w:rsid w:val="00AA7E28"/>
    <w:rsid w:val="00AB2CB0"/>
    <w:rsid w:val="00AC0888"/>
    <w:rsid w:val="00AC1611"/>
    <w:rsid w:val="00AC4C71"/>
    <w:rsid w:val="00AC4E50"/>
    <w:rsid w:val="00AC5AA7"/>
    <w:rsid w:val="00AC7C23"/>
    <w:rsid w:val="00AD5AAF"/>
    <w:rsid w:val="00AD7714"/>
    <w:rsid w:val="00AE0451"/>
    <w:rsid w:val="00AE4B61"/>
    <w:rsid w:val="00AE6B11"/>
    <w:rsid w:val="00AF3065"/>
    <w:rsid w:val="00AF4F24"/>
    <w:rsid w:val="00AF53E3"/>
    <w:rsid w:val="00B03824"/>
    <w:rsid w:val="00B03BD2"/>
    <w:rsid w:val="00B05695"/>
    <w:rsid w:val="00B14630"/>
    <w:rsid w:val="00B1680B"/>
    <w:rsid w:val="00B27256"/>
    <w:rsid w:val="00B31CA8"/>
    <w:rsid w:val="00B34C68"/>
    <w:rsid w:val="00B356A4"/>
    <w:rsid w:val="00B40142"/>
    <w:rsid w:val="00B43051"/>
    <w:rsid w:val="00B45895"/>
    <w:rsid w:val="00B520AF"/>
    <w:rsid w:val="00B52D6B"/>
    <w:rsid w:val="00B57082"/>
    <w:rsid w:val="00B614CC"/>
    <w:rsid w:val="00B640FC"/>
    <w:rsid w:val="00B67A2C"/>
    <w:rsid w:val="00B72C52"/>
    <w:rsid w:val="00B80079"/>
    <w:rsid w:val="00B83D80"/>
    <w:rsid w:val="00B87C22"/>
    <w:rsid w:val="00B906BE"/>
    <w:rsid w:val="00B9691F"/>
    <w:rsid w:val="00B97B24"/>
    <w:rsid w:val="00BA191A"/>
    <w:rsid w:val="00BA3A49"/>
    <w:rsid w:val="00BA59F3"/>
    <w:rsid w:val="00BB0074"/>
    <w:rsid w:val="00BB4BF5"/>
    <w:rsid w:val="00BB5102"/>
    <w:rsid w:val="00BB53A7"/>
    <w:rsid w:val="00BB668D"/>
    <w:rsid w:val="00BC0F56"/>
    <w:rsid w:val="00BC4327"/>
    <w:rsid w:val="00BC5054"/>
    <w:rsid w:val="00BC6010"/>
    <w:rsid w:val="00BC6B41"/>
    <w:rsid w:val="00BC7254"/>
    <w:rsid w:val="00BD13C0"/>
    <w:rsid w:val="00BD553F"/>
    <w:rsid w:val="00BE330B"/>
    <w:rsid w:val="00BE366D"/>
    <w:rsid w:val="00BE36E9"/>
    <w:rsid w:val="00BF50FD"/>
    <w:rsid w:val="00BF770E"/>
    <w:rsid w:val="00C0642E"/>
    <w:rsid w:val="00C10F06"/>
    <w:rsid w:val="00C11989"/>
    <w:rsid w:val="00C11F4D"/>
    <w:rsid w:val="00C12565"/>
    <w:rsid w:val="00C14C96"/>
    <w:rsid w:val="00C230D2"/>
    <w:rsid w:val="00C3007F"/>
    <w:rsid w:val="00C34590"/>
    <w:rsid w:val="00C347D1"/>
    <w:rsid w:val="00C34F3C"/>
    <w:rsid w:val="00C37E43"/>
    <w:rsid w:val="00C41C18"/>
    <w:rsid w:val="00C442ED"/>
    <w:rsid w:val="00C52F19"/>
    <w:rsid w:val="00C54117"/>
    <w:rsid w:val="00C660C8"/>
    <w:rsid w:val="00C70847"/>
    <w:rsid w:val="00C72A97"/>
    <w:rsid w:val="00C7601F"/>
    <w:rsid w:val="00C8157D"/>
    <w:rsid w:val="00C91E3C"/>
    <w:rsid w:val="00C92808"/>
    <w:rsid w:val="00C92FF6"/>
    <w:rsid w:val="00CA3933"/>
    <w:rsid w:val="00CA41F0"/>
    <w:rsid w:val="00CA60F5"/>
    <w:rsid w:val="00CB032C"/>
    <w:rsid w:val="00CB4162"/>
    <w:rsid w:val="00CB6D4E"/>
    <w:rsid w:val="00CC30F6"/>
    <w:rsid w:val="00CC6141"/>
    <w:rsid w:val="00CC740E"/>
    <w:rsid w:val="00CD314A"/>
    <w:rsid w:val="00CD4270"/>
    <w:rsid w:val="00CD4FA0"/>
    <w:rsid w:val="00CD67A5"/>
    <w:rsid w:val="00CE0CB8"/>
    <w:rsid w:val="00CE1190"/>
    <w:rsid w:val="00CE5920"/>
    <w:rsid w:val="00CF28B6"/>
    <w:rsid w:val="00CF2B97"/>
    <w:rsid w:val="00CF2E89"/>
    <w:rsid w:val="00CF575D"/>
    <w:rsid w:val="00CF6C39"/>
    <w:rsid w:val="00D132D0"/>
    <w:rsid w:val="00D13827"/>
    <w:rsid w:val="00D245D1"/>
    <w:rsid w:val="00D25CDC"/>
    <w:rsid w:val="00D306FB"/>
    <w:rsid w:val="00D31486"/>
    <w:rsid w:val="00D403C2"/>
    <w:rsid w:val="00D43E8D"/>
    <w:rsid w:val="00D44E25"/>
    <w:rsid w:val="00D53A43"/>
    <w:rsid w:val="00D57904"/>
    <w:rsid w:val="00D60A85"/>
    <w:rsid w:val="00D635E1"/>
    <w:rsid w:val="00D6618A"/>
    <w:rsid w:val="00D71806"/>
    <w:rsid w:val="00D74A6E"/>
    <w:rsid w:val="00D771DA"/>
    <w:rsid w:val="00D80766"/>
    <w:rsid w:val="00D80D09"/>
    <w:rsid w:val="00D80F11"/>
    <w:rsid w:val="00D86DBD"/>
    <w:rsid w:val="00D87CB5"/>
    <w:rsid w:val="00D912A8"/>
    <w:rsid w:val="00D92DA7"/>
    <w:rsid w:val="00DA012D"/>
    <w:rsid w:val="00DA1CF0"/>
    <w:rsid w:val="00DA3656"/>
    <w:rsid w:val="00DA3B83"/>
    <w:rsid w:val="00DA725F"/>
    <w:rsid w:val="00DB5EE1"/>
    <w:rsid w:val="00DC0614"/>
    <w:rsid w:val="00DC16D6"/>
    <w:rsid w:val="00DC17C7"/>
    <w:rsid w:val="00DC227E"/>
    <w:rsid w:val="00DC247D"/>
    <w:rsid w:val="00DC3159"/>
    <w:rsid w:val="00DC3389"/>
    <w:rsid w:val="00DC60C9"/>
    <w:rsid w:val="00DD0E97"/>
    <w:rsid w:val="00DD69A8"/>
    <w:rsid w:val="00DE2D4B"/>
    <w:rsid w:val="00DE41F2"/>
    <w:rsid w:val="00DF2F65"/>
    <w:rsid w:val="00DF4C55"/>
    <w:rsid w:val="00E0101D"/>
    <w:rsid w:val="00E02AF2"/>
    <w:rsid w:val="00E069C5"/>
    <w:rsid w:val="00E06C23"/>
    <w:rsid w:val="00E131FA"/>
    <w:rsid w:val="00E176EB"/>
    <w:rsid w:val="00E17BB2"/>
    <w:rsid w:val="00E24578"/>
    <w:rsid w:val="00E42A44"/>
    <w:rsid w:val="00E435C6"/>
    <w:rsid w:val="00E46313"/>
    <w:rsid w:val="00E46BCA"/>
    <w:rsid w:val="00E471F0"/>
    <w:rsid w:val="00E47F01"/>
    <w:rsid w:val="00E51983"/>
    <w:rsid w:val="00E53D1C"/>
    <w:rsid w:val="00E543C8"/>
    <w:rsid w:val="00E54B4D"/>
    <w:rsid w:val="00E6310B"/>
    <w:rsid w:val="00E66E1A"/>
    <w:rsid w:val="00E7197B"/>
    <w:rsid w:val="00E77567"/>
    <w:rsid w:val="00E86DFF"/>
    <w:rsid w:val="00EA0B33"/>
    <w:rsid w:val="00EA5952"/>
    <w:rsid w:val="00EA5DC3"/>
    <w:rsid w:val="00EA77E2"/>
    <w:rsid w:val="00EC3112"/>
    <w:rsid w:val="00EC4E7F"/>
    <w:rsid w:val="00EC5511"/>
    <w:rsid w:val="00EC5D9B"/>
    <w:rsid w:val="00EC717C"/>
    <w:rsid w:val="00ED4F86"/>
    <w:rsid w:val="00ED670A"/>
    <w:rsid w:val="00EE017B"/>
    <w:rsid w:val="00EE12A7"/>
    <w:rsid w:val="00EE5844"/>
    <w:rsid w:val="00EF0090"/>
    <w:rsid w:val="00EF1485"/>
    <w:rsid w:val="00EF419B"/>
    <w:rsid w:val="00EF53AF"/>
    <w:rsid w:val="00F0373D"/>
    <w:rsid w:val="00F06B8C"/>
    <w:rsid w:val="00F16524"/>
    <w:rsid w:val="00F252A0"/>
    <w:rsid w:val="00F374B3"/>
    <w:rsid w:val="00F454A9"/>
    <w:rsid w:val="00F46BF4"/>
    <w:rsid w:val="00F51DAA"/>
    <w:rsid w:val="00F51E40"/>
    <w:rsid w:val="00F53FD9"/>
    <w:rsid w:val="00F54937"/>
    <w:rsid w:val="00F5737A"/>
    <w:rsid w:val="00F57639"/>
    <w:rsid w:val="00F62BB2"/>
    <w:rsid w:val="00F64BCC"/>
    <w:rsid w:val="00F6676E"/>
    <w:rsid w:val="00F6749D"/>
    <w:rsid w:val="00F72D27"/>
    <w:rsid w:val="00F739EA"/>
    <w:rsid w:val="00F74498"/>
    <w:rsid w:val="00F81CE1"/>
    <w:rsid w:val="00F835FD"/>
    <w:rsid w:val="00F851AE"/>
    <w:rsid w:val="00F871E0"/>
    <w:rsid w:val="00F9195E"/>
    <w:rsid w:val="00F9491F"/>
    <w:rsid w:val="00F96FCC"/>
    <w:rsid w:val="00FA1913"/>
    <w:rsid w:val="00FA3345"/>
    <w:rsid w:val="00FA388C"/>
    <w:rsid w:val="00FA4B74"/>
    <w:rsid w:val="00FA7BC0"/>
    <w:rsid w:val="00FC127D"/>
    <w:rsid w:val="00FC702B"/>
    <w:rsid w:val="00FD35C5"/>
    <w:rsid w:val="00FD4990"/>
    <w:rsid w:val="00FD6DAA"/>
    <w:rsid w:val="00FD7716"/>
    <w:rsid w:val="00FE1FA4"/>
    <w:rsid w:val="00FE365B"/>
    <w:rsid w:val="00FF49C3"/>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D4E7704-93ED-479C-B04B-30992D9F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421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E4FCA"/>
    <w:pPr>
      <w:keepNext/>
      <w:keepLines/>
      <w:spacing w:before="100" w:beforeAutospacing="1" w:after="100" w:afterAutospacing="1"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C7B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9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913"/>
    <w:rPr>
      <w:rFonts w:ascii="Tahoma" w:hAnsi="Tahoma" w:cs="Tahoma"/>
      <w:sz w:val="16"/>
      <w:szCs w:val="16"/>
    </w:rPr>
  </w:style>
  <w:style w:type="character" w:styleId="Emphasis">
    <w:name w:val="Emphasis"/>
    <w:basedOn w:val="DefaultParagraphFont"/>
    <w:qFormat/>
    <w:rsid w:val="00936B87"/>
    <w:rPr>
      <w:b/>
      <w:bCs/>
      <w:i w:val="0"/>
      <w:iCs w:val="0"/>
    </w:rPr>
  </w:style>
  <w:style w:type="character" w:customStyle="1" w:styleId="st1">
    <w:name w:val="st1"/>
    <w:basedOn w:val="DefaultParagraphFont"/>
    <w:rsid w:val="00936B87"/>
  </w:style>
  <w:style w:type="character" w:styleId="CommentReference">
    <w:name w:val="annotation reference"/>
    <w:basedOn w:val="DefaultParagraphFont"/>
    <w:uiPriority w:val="99"/>
    <w:semiHidden/>
    <w:unhideWhenUsed/>
    <w:rsid w:val="00BA191A"/>
    <w:rPr>
      <w:sz w:val="16"/>
      <w:szCs w:val="16"/>
    </w:rPr>
  </w:style>
  <w:style w:type="paragraph" w:styleId="CommentText">
    <w:name w:val="annotation text"/>
    <w:basedOn w:val="Normal"/>
    <w:link w:val="CommentTextChar"/>
    <w:uiPriority w:val="99"/>
    <w:semiHidden/>
    <w:unhideWhenUsed/>
    <w:rsid w:val="00BA191A"/>
    <w:pPr>
      <w:spacing w:line="240" w:lineRule="auto"/>
    </w:pPr>
    <w:rPr>
      <w:sz w:val="20"/>
      <w:szCs w:val="20"/>
    </w:rPr>
  </w:style>
  <w:style w:type="character" w:customStyle="1" w:styleId="CommentTextChar">
    <w:name w:val="Comment Text Char"/>
    <w:basedOn w:val="DefaultParagraphFont"/>
    <w:link w:val="CommentText"/>
    <w:uiPriority w:val="99"/>
    <w:semiHidden/>
    <w:rsid w:val="00BA191A"/>
    <w:rPr>
      <w:sz w:val="20"/>
      <w:szCs w:val="20"/>
    </w:rPr>
  </w:style>
  <w:style w:type="paragraph" w:styleId="CommentSubject">
    <w:name w:val="annotation subject"/>
    <w:basedOn w:val="CommentText"/>
    <w:next w:val="CommentText"/>
    <w:link w:val="CommentSubjectChar"/>
    <w:uiPriority w:val="99"/>
    <w:semiHidden/>
    <w:unhideWhenUsed/>
    <w:rsid w:val="00BA191A"/>
    <w:rPr>
      <w:b/>
      <w:bCs/>
    </w:rPr>
  </w:style>
  <w:style w:type="character" w:customStyle="1" w:styleId="CommentSubjectChar">
    <w:name w:val="Comment Subject Char"/>
    <w:basedOn w:val="CommentTextChar"/>
    <w:link w:val="CommentSubject"/>
    <w:uiPriority w:val="99"/>
    <w:semiHidden/>
    <w:rsid w:val="00BA191A"/>
    <w:rPr>
      <w:b/>
      <w:bCs/>
      <w:sz w:val="20"/>
      <w:szCs w:val="20"/>
    </w:rPr>
  </w:style>
  <w:style w:type="paragraph" w:styleId="Header">
    <w:name w:val="header"/>
    <w:basedOn w:val="Normal"/>
    <w:link w:val="HeaderChar"/>
    <w:uiPriority w:val="99"/>
    <w:unhideWhenUsed/>
    <w:rsid w:val="006D6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279"/>
  </w:style>
  <w:style w:type="paragraph" w:styleId="Footer">
    <w:name w:val="footer"/>
    <w:basedOn w:val="Normal"/>
    <w:link w:val="FooterChar"/>
    <w:uiPriority w:val="99"/>
    <w:unhideWhenUsed/>
    <w:rsid w:val="006D62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279"/>
  </w:style>
  <w:style w:type="character" w:customStyle="1" w:styleId="Heading1Char">
    <w:name w:val="Heading 1 Char"/>
    <w:basedOn w:val="DefaultParagraphFont"/>
    <w:link w:val="Heading1"/>
    <w:uiPriority w:val="9"/>
    <w:rsid w:val="008421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E4FCA"/>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4C29D6"/>
    <w:pPr>
      <w:outlineLvl w:val="9"/>
    </w:pPr>
    <w:rPr>
      <w:lang w:val="en-US" w:eastAsia="ja-JP"/>
    </w:rPr>
  </w:style>
  <w:style w:type="paragraph" w:styleId="TOC1">
    <w:name w:val="toc 1"/>
    <w:basedOn w:val="Normal"/>
    <w:next w:val="Normal"/>
    <w:autoRedefine/>
    <w:uiPriority w:val="39"/>
    <w:unhideWhenUsed/>
    <w:rsid w:val="004C29D6"/>
    <w:pPr>
      <w:spacing w:after="100"/>
    </w:pPr>
  </w:style>
  <w:style w:type="paragraph" w:styleId="TOC2">
    <w:name w:val="toc 2"/>
    <w:basedOn w:val="Normal"/>
    <w:next w:val="Normal"/>
    <w:autoRedefine/>
    <w:uiPriority w:val="39"/>
    <w:unhideWhenUsed/>
    <w:rsid w:val="004C29D6"/>
    <w:pPr>
      <w:spacing w:after="100"/>
      <w:ind w:left="240"/>
    </w:pPr>
  </w:style>
  <w:style w:type="character" w:styleId="Hyperlink">
    <w:name w:val="Hyperlink"/>
    <w:basedOn w:val="DefaultParagraphFont"/>
    <w:uiPriority w:val="99"/>
    <w:unhideWhenUsed/>
    <w:rsid w:val="004C29D6"/>
    <w:rPr>
      <w:color w:val="0000FF" w:themeColor="hyperlink"/>
      <w:u w:val="single"/>
    </w:rPr>
  </w:style>
  <w:style w:type="paragraph" w:styleId="ListParagraph">
    <w:name w:val="List Paragraph"/>
    <w:basedOn w:val="Normal"/>
    <w:uiPriority w:val="34"/>
    <w:qFormat/>
    <w:rsid w:val="00BD13C0"/>
    <w:pPr>
      <w:ind w:left="720"/>
      <w:contextualSpacing/>
    </w:pPr>
  </w:style>
  <w:style w:type="character" w:customStyle="1" w:styleId="label">
    <w:name w:val="label"/>
    <w:basedOn w:val="DefaultParagraphFont"/>
    <w:rsid w:val="00C54117"/>
  </w:style>
  <w:style w:type="character" w:customStyle="1" w:styleId="spc1">
    <w:name w:val="spc1"/>
    <w:basedOn w:val="DefaultParagraphFont"/>
    <w:rsid w:val="00C54117"/>
    <w:rPr>
      <w:strike w:val="0"/>
      <w:dstrike w:val="0"/>
      <w:u w:val="none"/>
      <w:effect w:val="none"/>
    </w:rPr>
  </w:style>
  <w:style w:type="paragraph" w:customStyle="1" w:styleId="labelled4">
    <w:name w:val="labelled4"/>
    <w:basedOn w:val="Normal"/>
    <w:rsid w:val="00C54117"/>
    <w:pPr>
      <w:spacing w:after="0" w:line="288" w:lineRule="atLeast"/>
      <w:ind w:right="240"/>
    </w:pPr>
    <w:rPr>
      <w:rFonts w:ascii="Times New Roman" w:eastAsia="Times New Roman" w:hAnsi="Times New Roman" w:cs="Times New Roman"/>
      <w:color w:val="000000"/>
      <w:szCs w:val="24"/>
      <w:lang w:eastAsia="en-NZ"/>
    </w:rPr>
  </w:style>
  <w:style w:type="character" w:customStyle="1" w:styleId="Heading3Char">
    <w:name w:val="Heading 3 Char"/>
    <w:basedOn w:val="DefaultParagraphFont"/>
    <w:link w:val="Heading3"/>
    <w:uiPriority w:val="9"/>
    <w:rsid w:val="000C7BCF"/>
    <w:rPr>
      <w:rFonts w:asciiTheme="majorHAnsi" w:eastAsiaTheme="majorEastAsia" w:hAnsiTheme="majorHAnsi" w:cstheme="majorBidi"/>
      <w:b/>
      <w:bCs/>
      <w:color w:val="4F81BD" w:themeColor="accent1"/>
    </w:rPr>
  </w:style>
  <w:style w:type="table" w:styleId="TableGrid">
    <w:name w:val="Table Grid"/>
    <w:basedOn w:val="TableNormal"/>
    <w:uiPriority w:val="59"/>
    <w:rsid w:val="000C7B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F57D0"/>
  </w:style>
  <w:style w:type="character" w:styleId="FollowedHyperlink">
    <w:name w:val="FollowedHyperlink"/>
    <w:basedOn w:val="DefaultParagraphFont"/>
    <w:uiPriority w:val="99"/>
    <w:semiHidden/>
    <w:unhideWhenUsed/>
    <w:rsid w:val="003C291D"/>
    <w:rPr>
      <w:color w:val="800080" w:themeColor="followedHyperlink"/>
      <w:u w:val="single"/>
    </w:rPr>
  </w:style>
  <w:style w:type="character" w:customStyle="1" w:styleId="citation">
    <w:name w:val="citation"/>
    <w:basedOn w:val="DefaultParagraphFont"/>
    <w:rsid w:val="003C291D"/>
  </w:style>
  <w:style w:type="paragraph" w:styleId="FootnoteText">
    <w:name w:val="footnote text"/>
    <w:basedOn w:val="Normal"/>
    <w:link w:val="FootnoteTextChar"/>
    <w:uiPriority w:val="99"/>
    <w:semiHidden/>
    <w:unhideWhenUsed/>
    <w:rsid w:val="004D4D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4D71"/>
    <w:rPr>
      <w:sz w:val="20"/>
      <w:szCs w:val="20"/>
    </w:rPr>
  </w:style>
  <w:style w:type="character" w:styleId="FootnoteReference">
    <w:name w:val="footnote reference"/>
    <w:basedOn w:val="DefaultParagraphFont"/>
    <w:uiPriority w:val="99"/>
    <w:semiHidden/>
    <w:unhideWhenUsed/>
    <w:rsid w:val="004D4D71"/>
    <w:rPr>
      <w:vertAlign w:val="superscript"/>
    </w:rPr>
  </w:style>
  <w:style w:type="character" w:customStyle="1" w:styleId="highlight2">
    <w:name w:val="highlight2"/>
    <w:basedOn w:val="DefaultParagraphFont"/>
    <w:rsid w:val="0011108D"/>
  </w:style>
  <w:style w:type="paragraph" w:styleId="TOC3">
    <w:name w:val="toc 3"/>
    <w:basedOn w:val="Normal"/>
    <w:next w:val="Normal"/>
    <w:autoRedefine/>
    <w:uiPriority w:val="39"/>
    <w:unhideWhenUsed/>
    <w:rsid w:val="00D403C2"/>
    <w:pPr>
      <w:spacing w:after="100"/>
      <w:ind w:left="480"/>
    </w:pPr>
  </w:style>
  <w:style w:type="paragraph" w:customStyle="1" w:styleId="Normal3">
    <w:name w:val="Normal+3"/>
    <w:basedOn w:val="Normal"/>
    <w:next w:val="Normal"/>
    <w:uiPriority w:val="99"/>
    <w:rsid w:val="00C92808"/>
    <w:pPr>
      <w:autoSpaceDE w:val="0"/>
      <w:autoSpaceDN w:val="0"/>
      <w:adjustRightInd w:val="0"/>
      <w:spacing w:after="0" w:line="240" w:lineRule="auto"/>
    </w:pPr>
    <w:rPr>
      <w:rFonts w:ascii="BJBBDE+Verdana" w:hAnsi="BJBBDE+Verdana"/>
      <w:szCs w:val="24"/>
    </w:rPr>
  </w:style>
  <w:style w:type="paragraph" w:styleId="EndnoteText">
    <w:name w:val="endnote text"/>
    <w:basedOn w:val="Normal"/>
    <w:link w:val="EndnoteTextChar"/>
    <w:uiPriority w:val="99"/>
    <w:semiHidden/>
    <w:unhideWhenUsed/>
    <w:rsid w:val="00F374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374B3"/>
    <w:rPr>
      <w:sz w:val="20"/>
      <w:szCs w:val="20"/>
    </w:rPr>
  </w:style>
  <w:style w:type="character" w:styleId="EndnoteReference">
    <w:name w:val="endnote reference"/>
    <w:basedOn w:val="DefaultParagraphFont"/>
    <w:uiPriority w:val="99"/>
    <w:semiHidden/>
    <w:unhideWhenUsed/>
    <w:rsid w:val="00F374B3"/>
    <w:rPr>
      <w:vertAlign w:val="superscript"/>
    </w:rPr>
  </w:style>
  <w:style w:type="paragraph" w:customStyle="1" w:styleId="CharChar3CharCharCharChar">
    <w:name w:val="Char Char3 Char Char Char Char"/>
    <w:basedOn w:val="Normal"/>
    <w:rsid w:val="00EE5844"/>
    <w:pPr>
      <w:spacing w:after="160" w:line="240" w:lineRule="exact"/>
      <w:ind w:left="567"/>
    </w:pPr>
    <w:rPr>
      <w:rFonts w:eastAsia="Times New Roman" w:cs="Times New Roman"/>
      <w:sz w:val="20"/>
      <w:szCs w:val="20"/>
      <w:lang w:val="en-US"/>
    </w:rPr>
  </w:style>
  <w:style w:type="paragraph" w:styleId="BodyText">
    <w:name w:val="Body Text"/>
    <w:basedOn w:val="Normal"/>
    <w:link w:val="BodyTextChar"/>
    <w:uiPriority w:val="1"/>
    <w:qFormat/>
    <w:rsid w:val="00EE5844"/>
    <w:pPr>
      <w:widowControl w:val="0"/>
      <w:spacing w:after="0" w:line="300" w:lineRule="atLeast"/>
      <w:ind w:left="2128"/>
    </w:pPr>
    <w:rPr>
      <w:rFonts w:eastAsia="Arial" w:cs="Times New Roman"/>
      <w:szCs w:val="24"/>
      <w:lang w:val="en-US"/>
    </w:rPr>
  </w:style>
  <w:style w:type="character" w:customStyle="1" w:styleId="BodyTextChar">
    <w:name w:val="Body Text Char"/>
    <w:basedOn w:val="DefaultParagraphFont"/>
    <w:link w:val="BodyText"/>
    <w:uiPriority w:val="1"/>
    <w:rsid w:val="00EE5844"/>
    <w:rPr>
      <w:rFonts w:eastAsia="Arial" w:cs="Times New Roman"/>
      <w:szCs w:val="24"/>
      <w:lang w:val="en-US"/>
    </w:rPr>
  </w:style>
  <w:style w:type="paragraph" w:styleId="Revision">
    <w:name w:val="Revision"/>
    <w:hidden/>
    <w:uiPriority w:val="99"/>
    <w:semiHidden/>
    <w:rsid w:val="000A03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93543">
      <w:bodyDiv w:val="1"/>
      <w:marLeft w:val="0"/>
      <w:marRight w:val="0"/>
      <w:marTop w:val="0"/>
      <w:marBottom w:val="0"/>
      <w:divBdr>
        <w:top w:val="none" w:sz="0" w:space="0" w:color="auto"/>
        <w:left w:val="none" w:sz="0" w:space="0" w:color="auto"/>
        <w:bottom w:val="none" w:sz="0" w:space="0" w:color="auto"/>
        <w:right w:val="none" w:sz="0" w:space="0" w:color="auto"/>
      </w:divBdr>
    </w:div>
    <w:div w:id="336805804">
      <w:bodyDiv w:val="1"/>
      <w:marLeft w:val="0"/>
      <w:marRight w:val="0"/>
      <w:marTop w:val="0"/>
      <w:marBottom w:val="0"/>
      <w:divBdr>
        <w:top w:val="none" w:sz="0" w:space="0" w:color="auto"/>
        <w:left w:val="none" w:sz="0" w:space="0" w:color="auto"/>
        <w:bottom w:val="none" w:sz="0" w:space="0" w:color="auto"/>
        <w:right w:val="none" w:sz="0" w:space="0" w:color="auto"/>
      </w:divBdr>
      <w:divsChild>
        <w:div w:id="851146821">
          <w:marLeft w:val="0"/>
          <w:marRight w:val="0"/>
          <w:marTop w:val="0"/>
          <w:marBottom w:val="0"/>
          <w:divBdr>
            <w:top w:val="single" w:sz="6" w:space="0" w:color="000000"/>
            <w:left w:val="single" w:sz="2" w:space="0" w:color="FFFFFF"/>
            <w:bottom w:val="single" w:sz="2" w:space="0" w:color="FFFFFF"/>
            <w:right w:val="single" w:sz="2" w:space="0" w:color="FFFFFF"/>
          </w:divBdr>
          <w:divsChild>
            <w:div w:id="117721892">
              <w:marLeft w:val="0"/>
              <w:marRight w:val="0"/>
              <w:marTop w:val="0"/>
              <w:marBottom w:val="0"/>
              <w:divBdr>
                <w:top w:val="none" w:sz="0" w:space="0" w:color="auto"/>
                <w:left w:val="single" w:sz="6" w:space="0" w:color="AAAA99"/>
                <w:bottom w:val="none" w:sz="0" w:space="0" w:color="auto"/>
                <w:right w:val="none" w:sz="0" w:space="0" w:color="auto"/>
              </w:divBdr>
              <w:divsChild>
                <w:div w:id="425007823">
                  <w:marLeft w:val="0"/>
                  <w:marRight w:val="0"/>
                  <w:marTop w:val="0"/>
                  <w:marBottom w:val="0"/>
                  <w:divBdr>
                    <w:top w:val="single" w:sz="2" w:space="0" w:color="FFC0CB"/>
                    <w:left w:val="single" w:sz="2" w:space="20" w:color="FFC0CB"/>
                    <w:bottom w:val="single" w:sz="2" w:space="28" w:color="FFC0CB"/>
                    <w:right w:val="single" w:sz="2" w:space="20" w:color="FFC0CB"/>
                  </w:divBdr>
                  <w:divsChild>
                    <w:div w:id="552159081">
                      <w:marLeft w:val="0"/>
                      <w:marRight w:val="0"/>
                      <w:marTop w:val="0"/>
                      <w:marBottom w:val="0"/>
                      <w:divBdr>
                        <w:top w:val="single" w:sz="2" w:space="0" w:color="000000"/>
                        <w:left w:val="none" w:sz="0" w:space="0" w:color="auto"/>
                        <w:bottom w:val="none" w:sz="0" w:space="0" w:color="auto"/>
                        <w:right w:val="none" w:sz="0" w:space="0" w:color="auto"/>
                      </w:divBdr>
                      <w:divsChild>
                        <w:div w:id="1686444428">
                          <w:marLeft w:val="0"/>
                          <w:marRight w:val="0"/>
                          <w:marTop w:val="0"/>
                          <w:marBottom w:val="0"/>
                          <w:divBdr>
                            <w:top w:val="none" w:sz="0" w:space="0" w:color="auto"/>
                            <w:left w:val="none" w:sz="0" w:space="0" w:color="auto"/>
                            <w:bottom w:val="none" w:sz="0" w:space="0" w:color="auto"/>
                            <w:right w:val="none" w:sz="0" w:space="0" w:color="auto"/>
                          </w:divBdr>
                          <w:divsChild>
                            <w:div w:id="331879341">
                              <w:marLeft w:val="0"/>
                              <w:marRight w:val="0"/>
                              <w:marTop w:val="0"/>
                              <w:marBottom w:val="0"/>
                              <w:divBdr>
                                <w:top w:val="none" w:sz="0" w:space="0" w:color="auto"/>
                                <w:left w:val="none" w:sz="0" w:space="0" w:color="auto"/>
                                <w:bottom w:val="none" w:sz="0" w:space="0" w:color="auto"/>
                                <w:right w:val="none" w:sz="0" w:space="0" w:color="auto"/>
                              </w:divBdr>
                            </w:div>
                            <w:div w:id="1851262733">
                              <w:marLeft w:val="0"/>
                              <w:marRight w:val="0"/>
                              <w:marTop w:val="0"/>
                              <w:marBottom w:val="0"/>
                              <w:divBdr>
                                <w:top w:val="none" w:sz="0" w:space="0" w:color="auto"/>
                                <w:left w:val="none" w:sz="0" w:space="0" w:color="auto"/>
                                <w:bottom w:val="none" w:sz="0" w:space="0" w:color="auto"/>
                                <w:right w:val="none" w:sz="0" w:space="0" w:color="auto"/>
                              </w:divBdr>
                            </w:div>
                            <w:div w:id="369572948">
                              <w:marLeft w:val="0"/>
                              <w:marRight w:val="0"/>
                              <w:marTop w:val="0"/>
                              <w:marBottom w:val="0"/>
                              <w:divBdr>
                                <w:top w:val="none" w:sz="0" w:space="0" w:color="auto"/>
                                <w:left w:val="none" w:sz="0" w:space="0" w:color="auto"/>
                                <w:bottom w:val="none" w:sz="0" w:space="0" w:color="auto"/>
                                <w:right w:val="none" w:sz="0" w:space="0" w:color="auto"/>
                              </w:divBdr>
                            </w:div>
                            <w:div w:id="208393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599137">
      <w:bodyDiv w:val="1"/>
      <w:marLeft w:val="0"/>
      <w:marRight w:val="0"/>
      <w:marTop w:val="0"/>
      <w:marBottom w:val="0"/>
      <w:divBdr>
        <w:top w:val="none" w:sz="0" w:space="0" w:color="auto"/>
        <w:left w:val="none" w:sz="0" w:space="0" w:color="auto"/>
        <w:bottom w:val="none" w:sz="0" w:space="0" w:color="auto"/>
        <w:right w:val="none" w:sz="0" w:space="0" w:color="auto"/>
      </w:divBdr>
      <w:divsChild>
        <w:div w:id="793256846">
          <w:marLeft w:val="0"/>
          <w:marRight w:val="0"/>
          <w:marTop w:val="0"/>
          <w:marBottom w:val="0"/>
          <w:divBdr>
            <w:top w:val="none" w:sz="0" w:space="0" w:color="auto"/>
            <w:left w:val="none" w:sz="0" w:space="0" w:color="auto"/>
            <w:bottom w:val="none" w:sz="0" w:space="0" w:color="auto"/>
            <w:right w:val="none" w:sz="0" w:space="0" w:color="auto"/>
          </w:divBdr>
        </w:div>
        <w:div w:id="51387644">
          <w:marLeft w:val="0"/>
          <w:marRight w:val="0"/>
          <w:marTop w:val="0"/>
          <w:marBottom w:val="0"/>
          <w:divBdr>
            <w:top w:val="none" w:sz="0" w:space="0" w:color="auto"/>
            <w:left w:val="none" w:sz="0" w:space="0" w:color="auto"/>
            <w:bottom w:val="none" w:sz="0" w:space="0" w:color="auto"/>
            <w:right w:val="none" w:sz="0" w:space="0" w:color="auto"/>
          </w:divBdr>
        </w:div>
        <w:div w:id="119497441">
          <w:marLeft w:val="0"/>
          <w:marRight w:val="0"/>
          <w:marTop w:val="0"/>
          <w:marBottom w:val="0"/>
          <w:divBdr>
            <w:top w:val="none" w:sz="0" w:space="0" w:color="auto"/>
            <w:left w:val="none" w:sz="0" w:space="0" w:color="auto"/>
            <w:bottom w:val="none" w:sz="0" w:space="0" w:color="auto"/>
            <w:right w:val="none" w:sz="0" w:space="0" w:color="auto"/>
          </w:divBdr>
        </w:div>
        <w:div w:id="17631327">
          <w:marLeft w:val="0"/>
          <w:marRight w:val="0"/>
          <w:marTop w:val="0"/>
          <w:marBottom w:val="0"/>
          <w:divBdr>
            <w:top w:val="none" w:sz="0" w:space="0" w:color="auto"/>
            <w:left w:val="none" w:sz="0" w:space="0" w:color="auto"/>
            <w:bottom w:val="none" w:sz="0" w:space="0" w:color="auto"/>
            <w:right w:val="none" w:sz="0" w:space="0" w:color="auto"/>
          </w:divBdr>
        </w:div>
        <w:div w:id="531309029">
          <w:marLeft w:val="0"/>
          <w:marRight w:val="0"/>
          <w:marTop w:val="0"/>
          <w:marBottom w:val="0"/>
          <w:divBdr>
            <w:top w:val="none" w:sz="0" w:space="0" w:color="auto"/>
            <w:left w:val="none" w:sz="0" w:space="0" w:color="auto"/>
            <w:bottom w:val="none" w:sz="0" w:space="0" w:color="auto"/>
            <w:right w:val="none" w:sz="0" w:space="0" w:color="auto"/>
          </w:divBdr>
        </w:div>
        <w:div w:id="1879774022">
          <w:marLeft w:val="0"/>
          <w:marRight w:val="0"/>
          <w:marTop w:val="0"/>
          <w:marBottom w:val="0"/>
          <w:divBdr>
            <w:top w:val="none" w:sz="0" w:space="0" w:color="auto"/>
            <w:left w:val="none" w:sz="0" w:space="0" w:color="auto"/>
            <w:bottom w:val="none" w:sz="0" w:space="0" w:color="auto"/>
            <w:right w:val="none" w:sz="0" w:space="0" w:color="auto"/>
          </w:divBdr>
        </w:div>
        <w:div w:id="1689915432">
          <w:marLeft w:val="0"/>
          <w:marRight w:val="0"/>
          <w:marTop w:val="0"/>
          <w:marBottom w:val="0"/>
          <w:divBdr>
            <w:top w:val="none" w:sz="0" w:space="0" w:color="auto"/>
            <w:left w:val="none" w:sz="0" w:space="0" w:color="auto"/>
            <w:bottom w:val="none" w:sz="0" w:space="0" w:color="auto"/>
            <w:right w:val="none" w:sz="0" w:space="0" w:color="auto"/>
          </w:divBdr>
        </w:div>
        <w:div w:id="1614481310">
          <w:marLeft w:val="0"/>
          <w:marRight w:val="0"/>
          <w:marTop w:val="0"/>
          <w:marBottom w:val="0"/>
          <w:divBdr>
            <w:top w:val="none" w:sz="0" w:space="0" w:color="auto"/>
            <w:left w:val="none" w:sz="0" w:space="0" w:color="auto"/>
            <w:bottom w:val="none" w:sz="0" w:space="0" w:color="auto"/>
            <w:right w:val="none" w:sz="0" w:space="0" w:color="auto"/>
          </w:divBdr>
        </w:div>
        <w:div w:id="1242448666">
          <w:marLeft w:val="0"/>
          <w:marRight w:val="0"/>
          <w:marTop w:val="0"/>
          <w:marBottom w:val="0"/>
          <w:divBdr>
            <w:top w:val="none" w:sz="0" w:space="0" w:color="auto"/>
            <w:left w:val="none" w:sz="0" w:space="0" w:color="auto"/>
            <w:bottom w:val="none" w:sz="0" w:space="0" w:color="auto"/>
            <w:right w:val="none" w:sz="0" w:space="0" w:color="auto"/>
          </w:divBdr>
        </w:div>
        <w:div w:id="1376925254">
          <w:marLeft w:val="0"/>
          <w:marRight w:val="0"/>
          <w:marTop w:val="0"/>
          <w:marBottom w:val="0"/>
          <w:divBdr>
            <w:top w:val="none" w:sz="0" w:space="0" w:color="auto"/>
            <w:left w:val="none" w:sz="0" w:space="0" w:color="auto"/>
            <w:bottom w:val="none" w:sz="0" w:space="0" w:color="auto"/>
            <w:right w:val="none" w:sz="0" w:space="0" w:color="auto"/>
          </w:divBdr>
        </w:div>
        <w:div w:id="682248587">
          <w:marLeft w:val="0"/>
          <w:marRight w:val="0"/>
          <w:marTop w:val="0"/>
          <w:marBottom w:val="0"/>
          <w:divBdr>
            <w:top w:val="none" w:sz="0" w:space="0" w:color="auto"/>
            <w:left w:val="none" w:sz="0" w:space="0" w:color="auto"/>
            <w:bottom w:val="none" w:sz="0" w:space="0" w:color="auto"/>
            <w:right w:val="none" w:sz="0" w:space="0" w:color="auto"/>
          </w:divBdr>
        </w:div>
        <w:div w:id="2081173234">
          <w:marLeft w:val="0"/>
          <w:marRight w:val="0"/>
          <w:marTop w:val="0"/>
          <w:marBottom w:val="0"/>
          <w:divBdr>
            <w:top w:val="none" w:sz="0" w:space="0" w:color="auto"/>
            <w:left w:val="none" w:sz="0" w:space="0" w:color="auto"/>
            <w:bottom w:val="none" w:sz="0" w:space="0" w:color="auto"/>
            <w:right w:val="none" w:sz="0" w:space="0" w:color="auto"/>
          </w:divBdr>
        </w:div>
        <w:div w:id="44958164">
          <w:marLeft w:val="0"/>
          <w:marRight w:val="0"/>
          <w:marTop w:val="0"/>
          <w:marBottom w:val="0"/>
          <w:divBdr>
            <w:top w:val="none" w:sz="0" w:space="0" w:color="auto"/>
            <w:left w:val="none" w:sz="0" w:space="0" w:color="auto"/>
            <w:bottom w:val="none" w:sz="0" w:space="0" w:color="auto"/>
            <w:right w:val="none" w:sz="0" w:space="0" w:color="auto"/>
          </w:divBdr>
        </w:div>
        <w:div w:id="925844028">
          <w:marLeft w:val="0"/>
          <w:marRight w:val="0"/>
          <w:marTop w:val="0"/>
          <w:marBottom w:val="0"/>
          <w:divBdr>
            <w:top w:val="none" w:sz="0" w:space="0" w:color="auto"/>
            <w:left w:val="none" w:sz="0" w:space="0" w:color="auto"/>
            <w:bottom w:val="none" w:sz="0" w:space="0" w:color="auto"/>
            <w:right w:val="none" w:sz="0" w:space="0" w:color="auto"/>
          </w:divBdr>
        </w:div>
        <w:div w:id="517038265">
          <w:marLeft w:val="0"/>
          <w:marRight w:val="0"/>
          <w:marTop w:val="0"/>
          <w:marBottom w:val="0"/>
          <w:divBdr>
            <w:top w:val="none" w:sz="0" w:space="0" w:color="auto"/>
            <w:left w:val="none" w:sz="0" w:space="0" w:color="auto"/>
            <w:bottom w:val="none" w:sz="0" w:space="0" w:color="auto"/>
            <w:right w:val="none" w:sz="0" w:space="0" w:color="auto"/>
          </w:divBdr>
        </w:div>
        <w:div w:id="825122544">
          <w:marLeft w:val="0"/>
          <w:marRight w:val="0"/>
          <w:marTop w:val="0"/>
          <w:marBottom w:val="0"/>
          <w:divBdr>
            <w:top w:val="none" w:sz="0" w:space="0" w:color="auto"/>
            <w:left w:val="none" w:sz="0" w:space="0" w:color="auto"/>
            <w:bottom w:val="none" w:sz="0" w:space="0" w:color="auto"/>
            <w:right w:val="none" w:sz="0" w:space="0" w:color="auto"/>
          </w:divBdr>
        </w:div>
        <w:div w:id="946349948">
          <w:marLeft w:val="0"/>
          <w:marRight w:val="0"/>
          <w:marTop w:val="0"/>
          <w:marBottom w:val="0"/>
          <w:divBdr>
            <w:top w:val="none" w:sz="0" w:space="0" w:color="auto"/>
            <w:left w:val="none" w:sz="0" w:space="0" w:color="auto"/>
            <w:bottom w:val="none" w:sz="0" w:space="0" w:color="auto"/>
            <w:right w:val="none" w:sz="0" w:space="0" w:color="auto"/>
          </w:divBdr>
        </w:div>
        <w:div w:id="1458179377">
          <w:marLeft w:val="0"/>
          <w:marRight w:val="0"/>
          <w:marTop w:val="0"/>
          <w:marBottom w:val="0"/>
          <w:divBdr>
            <w:top w:val="none" w:sz="0" w:space="0" w:color="auto"/>
            <w:left w:val="none" w:sz="0" w:space="0" w:color="auto"/>
            <w:bottom w:val="none" w:sz="0" w:space="0" w:color="auto"/>
            <w:right w:val="none" w:sz="0" w:space="0" w:color="auto"/>
          </w:divBdr>
        </w:div>
        <w:div w:id="219748527">
          <w:marLeft w:val="0"/>
          <w:marRight w:val="0"/>
          <w:marTop w:val="0"/>
          <w:marBottom w:val="0"/>
          <w:divBdr>
            <w:top w:val="none" w:sz="0" w:space="0" w:color="auto"/>
            <w:left w:val="none" w:sz="0" w:space="0" w:color="auto"/>
            <w:bottom w:val="none" w:sz="0" w:space="0" w:color="auto"/>
            <w:right w:val="none" w:sz="0" w:space="0" w:color="auto"/>
          </w:divBdr>
        </w:div>
        <w:div w:id="2036999648">
          <w:marLeft w:val="0"/>
          <w:marRight w:val="0"/>
          <w:marTop w:val="0"/>
          <w:marBottom w:val="0"/>
          <w:divBdr>
            <w:top w:val="none" w:sz="0" w:space="0" w:color="auto"/>
            <w:left w:val="none" w:sz="0" w:space="0" w:color="auto"/>
            <w:bottom w:val="none" w:sz="0" w:space="0" w:color="auto"/>
            <w:right w:val="none" w:sz="0" w:space="0" w:color="auto"/>
          </w:divBdr>
        </w:div>
        <w:div w:id="412628059">
          <w:marLeft w:val="0"/>
          <w:marRight w:val="0"/>
          <w:marTop w:val="0"/>
          <w:marBottom w:val="0"/>
          <w:divBdr>
            <w:top w:val="none" w:sz="0" w:space="0" w:color="auto"/>
            <w:left w:val="none" w:sz="0" w:space="0" w:color="auto"/>
            <w:bottom w:val="none" w:sz="0" w:space="0" w:color="auto"/>
            <w:right w:val="none" w:sz="0" w:space="0" w:color="auto"/>
          </w:divBdr>
        </w:div>
        <w:div w:id="730225877">
          <w:marLeft w:val="0"/>
          <w:marRight w:val="0"/>
          <w:marTop w:val="0"/>
          <w:marBottom w:val="0"/>
          <w:divBdr>
            <w:top w:val="none" w:sz="0" w:space="0" w:color="auto"/>
            <w:left w:val="none" w:sz="0" w:space="0" w:color="auto"/>
            <w:bottom w:val="none" w:sz="0" w:space="0" w:color="auto"/>
            <w:right w:val="none" w:sz="0" w:space="0" w:color="auto"/>
          </w:divBdr>
        </w:div>
        <w:div w:id="1810200791">
          <w:marLeft w:val="0"/>
          <w:marRight w:val="0"/>
          <w:marTop w:val="0"/>
          <w:marBottom w:val="0"/>
          <w:divBdr>
            <w:top w:val="none" w:sz="0" w:space="0" w:color="auto"/>
            <w:left w:val="none" w:sz="0" w:space="0" w:color="auto"/>
            <w:bottom w:val="none" w:sz="0" w:space="0" w:color="auto"/>
            <w:right w:val="none" w:sz="0" w:space="0" w:color="auto"/>
          </w:divBdr>
        </w:div>
        <w:div w:id="2056152230">
          <w:marLeft w:val="0"/>
          <w:marRight w:val="0"/>
          <w:marTop w:val="0"/>
          <w:marBottom w:val="0"/>
          <w:divBdr>
            <w:top w:val="none" w:sz="0" w:space="0" w:color="auto"/>
            <w:left w:val="none" w:sz="0" w:space="0" w:color="auto"/>
            <w:bottom w:val="none" w:sz="0" w:space="0" w:color="auto"/>
            <w:right w:val="none" w:sz="0" w:space="0" w:color="auto"/>
          </w:divBdr>
        </w:div>
        <w:div w:id="1704280802">
          <w:marLeft w:val="0"/>
          <w:marRight w:val="0"/>
          <w:marTop w:val="0"/>
          <w:marBottom w:val="0"/>
          <w:divBdr>
            <w:top w:val="none" w:sz="0" w:space="0" w:color="auto"/>
            <w:left w:val="none" w:sz="0" w:space="0" w:color="auto"/>
            <w:bottom w:val="none" w:sz="0" w:space="0" w:color="auto"/>
            <w:right w:val="none" w:sz="0" w:space="0" w:color="auto"/>
          </w:divBdr>
        </w:div>
        <w:div w:id="2020810509">
          <w:marLeft w:val="0"/>
          <w:marRight w:val="0"/>
          <w:marTop w:val="0"/>
          <w:marBottom w:val="0"/>
          <w:divBdr>
            <w:top w:val="none" w:sz="0" w:space="0" w:color="auto"/>
            <w:left w:val="none" w:sz="0" w:space="0" w:color="auto"/>
            <w:bottom w:val="none" w:sz="0" w:space="0" w:color="auto"/>
            <w:right w:val="none" w:sz="0" w:space="0" w:color="auto"/>
          </w:divBdr>
        </w:div>
        <w:div w:id="1190143820">
          <w:marLeft w:val="0"/>
          <w:marRight w:val="0"/>
          <w:marTop w:val="0"/>
          <w:marBottom w:val="0"/>
          <w:divBdr>
            <w:top w:val="none" w:sz="0" w:space="0" w:color="auto"/>
            <w:left w:val="none" w:sz="0" w:space="0" w:color="auto"/>
            <w:bottom w:val="none" w:sz="0" w:space="0" w:color="auto"/>
            <w:right w:val="none" w:sz="0" w:space="0" w:color="auto"/>
          </w:divBdr>
        </w:div>
        <w:div w:id="320427341">
          <w:marLeft w:val="0"/>
          <w:marRight w:val="0"/>
          <w:marTop w:val="0"/>
          <w:marBottom w:val="0"/>
          <w:divBdr>
            <w:top w:val="none" w:sz="0" w:space="0" w:color="auto"/>
            <w:left w:val="none" w:sz="0" w:space="0" w:color="auto"/>
            <w:bottom w:val="none" w:sz="0" w:space="0" w:color="auto"/>
            <w:right w:val="none" w:sz="0" w:space="0" w:color="auto"/>
          </w:divBdr>
        </w:div>
        <w:div w:id="296956919">
          <w:marLeft w:val="0"/>
          <w:marRight w:val="0"/>
          <w:marTop w:val="0"/>
          <w:marBottom w:val="0"/>
          <w:divBdr>
            <w:top w:val="none" w:sz="0" w:space="0" w:color="auto"/>
            <w:left w:val="none" w:sz="0" w:space="0" w:color="auto"/>
            <w:bottom w:val="none" w:sz="0" w:space="0" w:color="auto"/>
            <w:right w:val="none" w:sz="0" w:space="0" w:color="auto"/>
          </w:divBdr>
        </w:div>
        <w:div w:id="307711284">
          <w:marLeft w:val="0"/>
          <w:marRight w:val="0"/>
          <w:marTop w:val="0"/>
          <w:marBottom w:val="0"/>
          <w:divBdr>
            <w:top w:val="none" w:sz="0" w:space="0" w:color="auto"/>
            <w:left w:val="none" w:sz="0" w:space="0" w:color="auto"/>
            <w:bottom w:val="none" w:sz="0" w:space="0" w:color="auto"/>
            <w:right w:val="none" w:sz="0" w:space="0" w:color="auto"/>
          </w:divBdr>
        </w:div>
        <w:div w:id="1764761904">
          <w:marLeft w:val="0"/>
          <w:marRight w:val="0"/>
          <w:marTop w:val="0"/>
          <w:marBottom w:val="0"/>
          <w:divBdr>
            <w:top w:val="none" w:sz="0" w:space="0" w:color="auto"/>
            <w:left w:val="none" w:sz="0" w:space="0" w:color="auto"/>
            <w:bottom w:val="none" w:sz="0" w:space="0" w:color="auto"/>
            <w:right w:val="none" w:sz="0" w:space="0" w:color="auto"/>
          </w:divBdr>
        </w:div>
        <w:div w:id="1027681828">
          <w:marLeft w:val="0"/>
          <w:marRight w:val="0"/>
          <w:marTop w:val="0"/>
          <w:marBottom w:val="0"/>
          <w:divBdr>
            <w:top w:val="none" w:sz="0" w:space="0" w:color="auto"/>
            <w:left w:val="none" w:sz="0" w:space="0" w:color="auto"/>
            <w:bottom w:val="none" w:sz="0" w:space="0" w:color="auto"/>
            <w:right w:val="none" w:sz="0" w:space="0" w:color="auto"/>
          </w:divBdr>
        </w:div>
        <w:div w:id="701634890">
          <w:marLeft w:val="0"/>
          <w:marRight w:val="0"/>
          <w:marTop w:val="0"/>
          <w:marBottom w:val="0"/>
          <w:divBdr>
            <w:top w:val="none" w:sz="0" w:space="0" w:color="auto"/>
            <w:left w:val="none" w:sz="0" w:space="0" w:color="auto"/>
            <w:bottom w:val="none" w:sz="0" w:space="0" w:color="auto"/>
            <w:right w:val="none" w:sz="0" w:space="0" w:color="auto"/>
          </w:divBdr>
        </w:div>
        <w:div w:id="1023823171">
          <w:marLeft w:val="0"/>
          <w:marRight w:val="0"/>
          <w:marTop w:val="0"/>
          <w:marBottom w:val="0"/>
          <w:divBdr>
            <w:top w:val="none" w:sz="0" w:space="0" w:color="auto"/>
            <w:left w:val="none" w:sz="0" w:space="0" w:color="auto"/>
            <w:bottom w:val="none" w:sz="0" w:space="0" w:color="auto"/>
            <w:right w:val="none" w:sz="0" w:space="0" w:color="auto"/>
          </w:divBdr>
        </w:div>
        <w:div w:id="276184065">
          <w:marLeft w:val="0"/>
          <w:marRight w:val="0"/>
          <w:marTop w:val="0"/>
          <w:marBottom w:val="0"/>
          <w:divBdr>
            <w:top w:val="none" w:sz="0" w:space="0" w:color="auto"/>
            <w:left w:val="none" w:sz="0" w:space="0" w:color="auto"/>
            <w:bottom w:val="none" w:sz="0" w:space="0" w:color="auto"/>
            <w:right w:val="none" w:sz="0" w:space="0" w:color="auto"/>
          </w:divBdr>
        </w:div>
        <w:div w:id="2036926892">
          <w:marLeft w:val="0"/>
          <w:marRight w:val="0"/>
          <w:marTop w:val="0"/>
          <w:marBottom w:val="0"/>
          <w:divBdr>
            <w:top w:val="none" w:sz="0" w:space="0" w:color="auto"/>
            <w:left w:val="none" w:sz="0" w:space="0" w:color="auto"/>
            <w:bottom w:val="none" w:sz="0" w:space="0" w:color="auto"/>
            <w:right w:val="none" w:sz="0" w:space="0" w:color="auto"/>
          </w:divBdr>
        </w:div>
        <w:div w:id="594365104">
          <w:marLeft w:val="0"/>
          <w:marRight w:val="0"/>
          <w:marTop w:val="0"/>
          <w:marBottom w:val="0"/>
          <w:divBdr>
            <w:top w:val="none" w:sz="0" w:space="0" w:color="auto"/>
            <w:left w:val="none" w:sz="0" w:space="0" w:color="auto"/>
            <w:bottom w:val="none" w:sz="0" w:space="0" w:color="auto"/>
            <w:right w:val="none" w:sz="0" w:space="0" w:color="auto"/>
          </w:divBdr>
        </w:div>
        <w:div w:id="1514148271">
          <w:marLeft w:val="0"/>
          <w:marRight w:val="0"/>
          <w:marTop w:val="0"/>
          <w:marBottom w:val="0"/>
          <w:divBdr>
            <w:top w:val="none" w:sz="0" w:space="0" w:color="auto"/>
            <w:left w:val="none" w:sz="0" w:space="0" w:color="auto"/>
            <w:bottom w:val="none" w:sz="0" w:space="0" w:color="auto"/>
            <w:right w:val="none" w:sz="0" w:space="0" w:color="auto"/>
          </w:divBdr>
        </w:div>
        <w:div w:id="1688024706">
          <w:marLeft w:val="0"/>
          <w:marRight w:val="0"/>
          <w:marTop w:val="0"/>
          <w:marBottom w:val="0"/>
          <w:divBdr>
            <w:top w:val="none" w:sz="0" w:space="0" w:color="auto"/>
            <w:left w:val="none" w:sz="0" w:space="0" w:color="auto"/>
            <w:bottom w:val="none" w:sz="0" w:space="0" w:color="auto"/>
            <w:right w:val="none" w:sz="0" w:space="0" w:color="auto"/>
          </w:divBdr>
        </w:div>
        <w:div w:id="993920721">
          <w:marLeft w:val="0"/>
          <w:marRight w:val="0"/>
          <w:marTop w:val="0"/>
          <w:marBottom w:val="0"/>
          <w:divBdr>
            <w:top w:val="none" w:sz="0" w:space="0" w:color="auto"/>
            <w:left w:val="none" w:sz="0" w:space="0" w:color="auto"/>
            <w:bottom w:val="none" w:sz="0" w:space="0" w:color="auto"/>
            <w:right w:val="none" w:sz="0" w:space="0" w:color="auto"/>
          </w:divBdr>
        </w:div>
        <w:div w:id="2054841174">
          <w:marLeft w:val="0"/>
          <w:marRight w:val="0"/>
          <w:marTop w:val="0"/>
          <w:marBottom w:val="0"/>
          <w:divBdr>
            <w:top w:val="none" w:sz="0" w:space="0" w:color="auto"/>
            <w:left w:val="none" w:sz="0" w:space="0" w:color="auto"/>
            <w:bottom w:val="none" w:sz="0" w:space="0" w:color="auto"/>
            <w:right w:val="none" w:sz="0" w:space="0" w:color="auto"/>
          </w:divBdr>
        </w:div>
        <w:div w:id="1855730927">
          <w:marLeft w:val="0"/>
          <w:marRight w:val="0"/>
          <w:marTop w:val="0"/>
          <w:marBottom w:val="0"/>
          <w:divBdr>
            <w:top w:val="none" w:sz="0" w:space="0" w:color="auto"/>
            <w:left w:val="none" w:sz="0" w:space="0" w:color="auto"/>
            <w:bottom w:val="none" w:sz="0" w:space="0" w:color="auto"/>
            <w:right w:val="none" w:sz="0" w:space="0" w:color="auto"/>
          </w:divBdr>
        </w:div>
        <w:div w:id="1511867485">
          <w:marLeft w:val="0"/>
          <w:marRight w:val="0"/>
          <w:marTop w:val="0"/>
          <w:marBottom w:val="0"/>
          <w:divBdr>
            <w:top w:val="none" w:sz="0" w:space="0" w:color="auto"/>
            <w:left w:val="none" w:sz="0" w:space="0" w:color="auto"/>
            <w:bottom w:val="none" w:sz="0" w:space="0" w:color="auto"/>
            <w:right w:val="none" w:sz="0" w:space="0" w:color="auto"/>
          </w:divBdr>
        </w:div>
        <w:div w:id="1307977898">
          <w:marLeft w:val="0"/>
          <w:marRight w:val="0"/>
          <w:marTop w:val="0"/>
          <w:marBottom w:val="0"/>
          <w:divBdr>
            <w:top w:val="none" w:sz="0" w:space="0" w:color="auto"/>
            <w:left w:val="none" w:sz="0" w:space="0" w:color="auto"/>
            <w:bottom w:val="none" w:sz="0" w:space="0" w:color="auto"/>
            <w:right w:val="none" w:sz="0" w:space="0" w:color="auto"/>
          </w:divBdr>
        </w:div>
        <w:div w:id="369690386">
          <w:marLeft w:val="0"/>
          <w:marRight w:val="0"/>
          <w:marTop w:val="0"/>
          <w:marBottom w:val="0"/>
          <w:divBdr>
            <w:top w:val="none" w:sz="0" w:space="0" w:color="auto"/>
            <w:left w:val="none" w:sz="0" w:space="0" w:color="auto"/>
            <w:bottom w:val="none" w:sz="0" w:space="0" w:color="auto"/>
            <w:right w:val="none" w:sz="0" w:space="0" w:color="auto"/>
          </w:divBdr>
        </w:div>
        <w:div w:id="878278448">
          <w:marLeft w:val="0"/>
          <w:marRight w:val="0"/>
          <w:marTop w:val="0"/>
          <w:marBottom w:val="0"/>
          <w:divBdr>
            <w:top w:val="none" w:sz="0" w:space="0" w:color="auto"/>
            <w:left w:val="none" w:sz="0" w:space="0" w:color="auto"/>
            <w:bottom w:val="none" w:sz="0" w:space="0" w:color="auto"/>
            <w:right w:val="none" w:sz="0" w:space="0" w:color="auto"/>
          </w:divBdr>
        </w:div>
        <w:div w:id="207033362">
          <w:marLeft w:val="0"/>
          <w:marRight w:val="0"/>
          <w:marTop w:val="0"/>
          <w:marBottom w:val="0"/>
          <w:divBdr>
            <w:top w:val="none" w:sz="0" w:space="0" w:color="auto"/>
            <w:left w:val="none" w:sz="0" w:space="0" w:color="auto"/>
            <w:bottom w:val="none" w:sz="0" w:space="0" w:color="auto"/>
            <w:right w:val="none" w:sz="0" w:space="0" w:color="auto"/>
          </w:divBdr>
        </w:div>
        <w:div w:id="329528635">
          <w:marLeft w:val="0"/>
          <w:marRight w:val="0"/>
          <w:marTop w:val="0"/>
          <w:marBottom w:val="0"/>
          <w:divBdr>
            <w:top w:val="none" w:sz="0" w:space="0" w:color="auto"/>
            <w:left w:val="none" w:sz="0" w:space="0" w:color="auto"/>
            <w:bottom w:val="none" w:sz="0" w:space="0" w:color="auto"/>
            <w:right w:val="none" w:sz="0" w:space="0" w:color="auto"/>
          </w:divBdr>
        </w:div>
        <w:div w:id="972178606">
          <w:marLeft w:val="0"/>
          <w:marRight w:val="0"/>
          <w:marTop w:val="0"/>
          <w:marBottom w:val="0"/>
          <w:divBdr>
            <w:top w:val="none" w:sz="0" w:space="0" w:color="auto"/>
            <w:left w:val="none" w:sz="0" w:space="0" w:color="auto"/>
            <w:bottom w:val="none" w:sz="0" w:space="0" w:color="auto"/>
            <w:right w:val="none" w:sz="0" w:space="0" w:color="auto"/>
          </w:divBdr>
        </w:div>
        <w:div w:id="1970167671">
          <w:marLeft w:val="0"/>
          <w:marRight w:val="0"/>
          <w:marTop w:val="0"/>
          <w:marBottom w:val="0"/>
          <w:divBdr>
            <w:top w:val="none" w:sz="0" w:space="0" w:color="auto"/>
            <w:left w:val="none" w:sz="0" w:space="0" w:color="auto"/>
            <w:bottom w:val="none" w:sz="0" w:space="0" w:color="auto"/>
            <w:right w:val="none" w:sz="0" w:space="0" w:color="auto"/>
          </w:divBdr>
        </w:div>
        <w:div w:id="149638391">
          <w:marLeft w:val="0"/>
          <w:marRight w:val="0"/>
          <w:marTop w:val="0"/>
          <w:marBottom w:val="0"/>
          <w:divBdr>
            <w:top w:val="none" w:sz="0" w:space="0" w:color="auto"/>
            <w:left w:val="none" w:sz="0" w:space="0" w:color="auto"/>
            <w:bottom w:val="none" w:sz="0" w:space="0" w:color="auto"/>
            <w:right w:val="none" w:sz="0" w:space="0" w:color="auto"/>
          </w:divBdr>
        </w:div>
        <w:div w:id="819226741">
          <w:marLeft w:val="0"/>
          <w:marRight w:val="0"/>
          <w:marTop w:val="0"/>
          <w:marBottom w:val="0"/>
          <w:divBdr>
            <w:top w:val="none" w:sz="0" w:space="0" w:color="auto"/>
            <w:left w:val="none" w:sz="0" w:space="0" w:color="auto"/>
            <w:bottom w:val="none" w:sz="0" w:space="0" w:color="auto"/>
            <w:right w:val="none" w:sz="0" w:space="0" w:color="auto"/>
          </w:divBdr>
        </w:div>
        <w:div w:id="2030642047">
          <w:marLeft w:val="0"/>
          <w:marRight w:val="0"/>
          <w:marTop w:val="0"/>
          <w:marBottom w:val="0"/>
          <w:divBdr>
            <w:top w:val="none" w:sz="0" w:space="0" w:color="auto"/>
            <w:left w:val="none" w:sz="0" w:space="0" w:color="auto"/>
            <w:bottom w:val="none" w:sz="0" w:space="0" w:color="auto"/>
            <w:right w:val="none" w:sz="0" w:space="0" w:color="auto"/>
          </w:divBdr>
        </w:div>
        <w:div w:id="1085568623">
          <w:marLeft w:val="0"/>
          <w:marRight w:val="0"/>
          <w:marTop w:val="0"/>
          <w:marBottom w:val="0"/>
          <w:divBdr>
            <w:top w:val="none" w:sz="0" w:space="0" w:color="auto"/>
            <w:left w:val="none" w:sz="0" w:space="0" w:color="auto"/>
            <w:bottom w:val="none" w:sz="0" w:space="0" w:color="auto"/>
            <w:right w:val="none" w:sz="0" w:space="0" w:color="auto"/>
          </w:divBdr>
        </w:div>
        <w:div w:id="444429620">
          <w:marLeft w:val="0"/>
          <w:marRight w:val="0"/>
          <w:marTop w:val="0"/>
          <w:marBottom w:val="0"/>
          <w:divBdr>
            <w:top w:val="none" w:sz="0" w:space="0" w:color="auto"/>
            <w:left w:val="none" w:sz="0" w:space="0" w:color="auto"/>
            <w:bottom w:val="none" w:sz="0" w:space="0" w:color="auto"/>
            <w:right w:val="none" w:sz="0" w:space="0" w:color="auto"/>
          </w:divBdr>
        </w:div>
        <w:div w:id="2146003324">
          <w:marLeft w:val="0"/>
          <w:marRight w:val="0"/>
          <w:marTop w:val="0"/>
          <w:marBottom w:val="0"/>
          <w:divBdr>
            <w:top w:val="none" w:sz="0" w:space="0" w:color="auto"/>
            <w:left w:val="none" w:sz="0" w:space="0" w:color="auto"/>
            <w:bottom w:val="none" w:sz="0" w:space="0" w:color="auto"/>
            <w:right w:val="none" w:sz="0" w:space="0" w:color="auto"/>
          </w:divBdr>
        </w:div>
        <w:div w:id="1756433114">
          <w:marLeft w:val="0"/>
          <w:marRight w:val="0"/>
          <w:marTop w:val="0"/>
          <w:marBottom w:val="0"/>
          <w:divBdr>
            <w:top w:val="none" w:sz="0" w:space="0" w:color="auto"/>
            <w:left w:val="none" w:sz="0" w:space="0" w:color="auto"/>
            <w:bottom w:val="none" w:sz="0" w:space="0" w:color="auto"/>
            <w:right w:val="none" w:sz="0" w:space="0" w:color="auto"/>
          </w:divBdr>
        </w:div>
        <w:div w:id="1435631932">
          <w:marLeft w:val="0"/>
          <w:marRight w:val="0"/>
          <w:marTop w:val="0"/>
          <w:marBottom w:val="0"/>
          <w:divBdr>
            <w:top w:val="none" w:sz="0" w:space="0" w:color="auto"/>
            <w:left w:val="none" w:sz="0" w:space="0" w:color="auto"/>
            <w:bottom w:val="none" w:sz="0" w:space="0" w:color="auto"/>
            <w:right w:val="none" w:sz="0" w:space="0" w:color="auto"/>
          </w:divBdr>
        </w:div>
        <w:div w:id="1797069060">
          <w:marLeft w:val="0"/>
          <w:marRight w:val="0"/>
          <w:marTop w:val="0"/>
          <w:marBottom w:val="0"/>
          <w:divBdr>
            <w:top w:val="none" w:sz="0" w:space="0" w:color="auto"/>
            <w:left w:val="none" w:sz="0" w:space="0" w:color="auto"/>
            <w:bottom w:val="none" w:sz="0" w:space="0" w:color="auto"/>
            <w:right w:val="none" w:sz="0" w:space="0" w:color="auto"/>
          </w:divBdr>
        </w:div>
        <w:div w:id="1219825124">
          <w:marLeft w:val="0"/>
          <w:marRight w:val="0"/>
          <w:marTop w:val="0"/>
          <w:marBottom w:val="0"/>
          <w:divBdr>
            <w:top w:val="none" w:sz="0" w:space="0" w:color="auto"/>
            <w:left w:val="none" w:sz="0" w:space="0" w:color="auto"/>
            <w:bottom w:val="none" w:sz="0" w:space="0" w:color="auto"/>
            <w:right w:val="none" w:sz="0" w:space="0" w:color="auto"/>
          </w:divBdr>
        </w:div>
        <w:div w:id="1985357040">
          <w:marLeft w:val="0"/>
          <w:marRight w:val="0"/>
          <w:marTop w:val="0"/>
          <w:marBottom w:val="0"/>
          <w:divBdr>
            <w:top w:val="none" w:sz="0" w:space="0" w:color="auto"/>
            <w:left w:val="none" w:sz="0" w:space="0" w:color="auto"/>
            <w:bottom w:val="none" w:sz="0" w:space="0" w:color="auto"/>
            <w:right w:val="none" w:sz="0" w:space="0" w:color="auto"/>
          </w:divBdr>
        </w:div>
      </w:divsChild>
    </w:div>
    <w:div w:id="1298341195">
      <w:bodyDiv w:val="1"/>
      <w:marLeft w:val="0"/>
      <w:marRight w:val="0"/>
      <w:marTop w:val="0"/>
      <w:marBottom w:val="0"/>
      <w:divBdr>
        <w:top w:val="none" w:sz="0" w:space="0" w:color="auto"/>
        <w:left w:val="none" w:sz="0" w:space="0" w:color="auto"/>
        <w:bottom w:val="none" w:sz="0" w:space="0" w:color="auto"/>
        <w:right w:val="none" w:sz="0" w:space="0" w:color="auto"/>
      </w:divBdr>
      <w:divsChild>
        <w:div w:id="825366612">
          <w:marLeft w:val="0"/>
          <w:marRight w:val="0"/>
          <w:marTop w:val="0"/>
          <w:marBottom w:val="0"/>
          <w:divBdr>
            <w:top w:val="single" w:sz="6" w:space="0" w:color="000000"/>
            <w:left w:val="single" w:sz="2" w:space="0" w:color="FFFFFF"/>
            <w:bottom w:val="single" w:sz="2" w:space="0" w:color="FFFFFF"/>
            <w:right w:val="single" w:sz="2" w:space="0" w:color="FFFFFF"/>
          </w:divBdr>
          <w:divsChild>
            <w:div w:id="1569076045">
              <w:marLeft w:val="0"/>
              <w:marRight w:val="0"/>
              <w:marTop w:val="0"/>
              <w:marBottom w:val="0"/>
              <w:divBdr>
                <w:top w:val="none" w:sz="0" w:space="0" w:color="auto"/>
                <w:left w:val="single" w:sz="6" w:space="0" w:color="AAAA99"/>
                <w:bottom w:val="none" w:sz="0" w:space="0" w:color="auto"/>
                <w:right w:val="none" w:sz="0" w:space="0" w:color="auto"/>
              </w:divBdr>
              <w:divsChild>
                <w:div w:id="707219511">
                  <w:marLeft w:val="0"/>
                  <w:marRight w:val="0"/>
                  <w:marTop w:val="0"/>
                  <w:marBottom w:val="0"/>
                  <w:divBdr>
                    <w:top w:val="single" w:sz="2" w:space="0" w:color="FFC0CB"/>
                    <w:left w:val="single" w:sz="2" w:space="20" w:color="FFC0CB"/>
                    <w:bottom w:val="single" w:sz="2" w:space="28" w:color="FFC0CB"/>
                    <w:right w:val="single" w:sz="2" w:space="20" w:color="FFC0CB"/>
                  </w:divBdr>
                  <w:divsChild>
                    <w:div w:id="1702126183">
                      <w:marLeft w:val="0"/>
                      <w:marRight w:val="0"/>
                      <w:marTop w:val="0"/>
                      <w:marBottom w:val="0"/>
                      <w:divBdr>
                        <w:top w:val="single" w:sz="2" w:space="0" w:color="000000"/>
                        <w:left w:val="none" w:sz="0" w:space="0" w:color="auto"/>
                        <w:bottom w:val="none" w:sz="0" w:space="0" w:color="auto"/>
                        <w:right w:val="none" w:sz="0" w:space="0" w:color="auto"/>
                      </w:divBdr>
                      <w:divsChild>
                        <w:div w:id="875392654">
                          <w:marLeft w:val="0"/>
                          <w:marRight w:val="0"/>
                          <w:marTop w:val="0"/>
                          <w:marBottom w:val="0"/>
                          <w:divBdr>
                            <w:top w:val="none" w:sz="0" w:space="0" w:color="auto"/>
                            <w:left w:val="none" w:sz="0" w:space="0" w:color="auto"/>
                            <w:bottom w:val="none" w:sz="0" w:space="0" w:color="auto"/>
                            <w:right w:val="none" w:sz="0" w:space="0" w:color="auto"/>
                          </w:divBdr>
                          <w:divsChild>
                            <w:div w:id="1168206619">
                              <w:marLeft w:val="0"/>
                              <w:marRight w:val="0"/>
                              <w:marTop w:val="0"/>
                              <w:marBottom w:val="0"/>
                              <w:divBdr>
                                <w:top w:val="none" w:sz="0" w:space="0" w:color="auto"/>
                                <w:left w:val="none" w:sz="0" w:space="0" w:color="auto"/>
                                <w:bottom w:val="none" w:sz="0" w:space="0" w:color="auto"/>
                                <w:right w:val="none" w:sz="0" w:space="0" w:color="auto"/>
                              </w:divBdr>
                              <w:divsChild>
                                <w:div w:id="574172663">
                                  <w:marLeft w:val="0"/>
                                  <w:marRight w:val="0"/>
                                  <w:marTop w:val="0"/>
                                  <w:marBottom w:val="0"/>
                                  <w:divBdr>
                                    <w:top w:val="none" w:sz="0" w:space="0" w:color="auto"/>
                                    <w:left w:val="none" w:sz="0" w:space="0" w:color="auto"/>
                                    <w:bottom w:val="none" w:sz="0" w:space="0" w:color="auto"/>
                                    <w:right w:val="none" w:sz="0" w:space="0" w:color="auto"/>
                                  </w:divBdr>
                                </w:div>
                              </w:divsChild>
                            </w:div>
                            <w:div w:id="1717195721">
                              <w:marLeft w:val="0"/>
                              <w:marRight w:val="0"/>
                              <w:marTop w:val="0"/>
                              <w:marBottom w:val="0"/>
                              <w:divBdr>
                                <w:top w:val="none" w:sz="0" w:space="0" w:color="auto"/>
                                <w:left w:val="none" w:sz="0" w:space="0" w:color="auto"/>
                                <w:bottom w:val="none" w:sz="0" w:space="0" w:color="auto"/>
                                <w:right w:val="none" w:sz="0" w:space="0" w:color="auto"/>
                              </w:divBdr>
                              <w:divsChild>
                                <w:div w:id="59065352">
                                  <w:marLeft w:val="0"/>
                                  <w:marRight w:val="0"/>
                                  <w:marTop w:val="0"/>
                                  <w:marBottom w:val="0"/>
                                  <w:divBdr>
                                    <w:top w:val="none" w:sz="0" w:space="0" w:color="auto"/>
                                    <w:left w:val="none" w:sz="0" w:space="0" w:color="auto"/>
                                    <w:bottom w:val="none" w:sz="0" w:space="0" w:color="auto"/>
                                    <w:right w:val="none" w:sz="0" w:space="0" w:color="auto"/>
                                  </w:divBdr>
                                </w:div>
                              </w:divsChild>
                            </w:div>
                            <w:div w:id="1771849678">
                              <w:marLeft w:val="0"/>
                              <w:marRight w:val="0"/>
                              <w:marTop w:val="0"/>
                              <w:marBottom w:val="0"/>
                              <w:divBdr>
                                <w:top w:val="none" w:sz="0" w:space="0" w:color="auto"/>
                                <w:left w:val="none" w:sz="0" w:space="0" w:color="auto"/>
                                <w:bottom w:val="none" w:sz="0" w:space="0" w:color="auto"/>
                                <w:right w:val="none" w:sz="0" w:space="0" w:color="auto"/>
                              </w:divBdr>
                              <w:divsChild>
                                <w:div w:id="20412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432732">
      <w:bodyDiv w:val="1"/>
      <w:marLeft w:val="0"/>
      <w:marRight w:val="0"/>
      <w:marTop w:val="0"/>
      <w:marBottom w:val="0"/>
      <w:divBdr>
        <w:top w:val="none" w:sz="0" w:space="0" w:color="auto"/>
        <w:left w:val="none" w:sz="0" w:space="0" w:color="auto"/>
        <w:bottom w:val="none" w:sz="0" w:space="0" w:color="auto"/>
        <w:right w:val="none" w:sz="0" w:space="0" w:color="auto"/>
      </w:divBdr>
    </w:div>
    <w:div w:id="1504660414">
      <w:bodyDiv w:val="1"/>
      <w:marLeft w:val="0"/>
      <w:marRight w:val="0"/>
      <w:marTop w:val="0"/>
      <w:marBottom w:val="0"/>
      <w:divBdr>
        <w:top w:val="none" w:sz="0" w:space="0" w:color="auto"/>
        <w:left w:val="none" w:sz="0" w:space="0" w:color="auto"/>
        <w:bottom w:val="none" w:sz="0" w:space="0" w:color="auto"/>
        <w:right w:val="none" w:sz="0" w:space="0" w:color="auto"/>
      </w:divBdr>
      <w:divsChild>
        <w:div w:id="842865284">
          <w:marLeft w:val="0"/>
          <w:marRight w:val="0"/>
          <w:marTop w:val="0"/>
          <w:marBottom w:val="0"/>
          <w:divBdr>
            <w:top w:val="single" w:sz="6" w:space="0" w:color="000000"/>
            <w:left w:val="single" w:sz="2" w:space="0" w:color="FFFFFF"/>
            <w:bottom w:val="single" w:sz="2" w:space="0" w:color="FFFFFF"/>
            <w:right w:val="single" w:sz="2" w:space="0" w:color="FFFFFF"/>
          </w:divBdr>
          <w:divsChild>
            <w:div w:id="1965846457">
              <w:marLeft w:val="0"/>
              <w:marRight w:val="0"/>
              <w:marTop w:val="0"/>
              <w:marBottom w:val="0"/>
              <w:divBdr>
                <w:top w:val="none" w:sz="0" w:space="0" w:color="auto"/>
                <w:left w:val="single" w:sz="6" w:space="0" w:color="AAAA99"/>
                <w:bottom w:val="none" w:sz="0" w:space="0" w:color="auto"/>
                <w:right w:val="none" w:sz="0" w:space="0" w:color="auto"/>
              </w:divBdr>
              <w:divsChild>
                <w:div w:id="391319676">
                  <w:marLeft w:val="0"/>
                  <w:marRight w:val="0"/>
                  <w:marTop w:val="0"/>
                  <w:marBottom w:val="0"/>
                  <w:divBdr>
                    <w:top w:val="single" w:sz="2" w:space="0" w:color="FFC0CB"/>
                    <w:left w:val="single" w:sz="2" w:space="20" w:color="FFC0CB"/>
                    <w:bottom w:val="single" w:sz="2" w:space="28" w:color="FFC0CB"/>
                    <w:right w:val="single" w:sz="2" w:space="20" w:color="FFC0CB"/>
                  </w:divBdr>
                  <w:divsChild>
                    <w:div w:id="1828277461">
                      <w:marLeft w:val="0"/>
                      <w:marRight w:val="0"/>
                      <w:marTop w:val="0"/>
                      <w:marBottom w:val="0"/>
                      <w:divBdr>
                        <w:top w:val="single" w:sz="2" w:space="0" w:color="000000"/>
                        <w:left w:val="none" w:sz="0" w:space="0" w:color="auto"/>
                        <w:bottom w:val="none" w:sz="0" w:space="0" w:color="auto"/>
                        <w:right w:val="none" w:sz="0" w:space="0" w:color="auto"/>
                      </w:divBdr>
                      <w:divsChild>
                        <w:div w:id="539973280">
                          <w:marLeft w:val="0"/>
                          <w:marRight w:val="0"/>
                          <w:marTop w:val="0"/>
                          <w:marBottom w:val="0"/>
                          <w:divBdr>
                            <w:top w:val="none" w:sz="0" w:space="0" w:color="auto"/>
                            <w:left w:val="none" w:sz="0" w:space="0" w:color="auto"/>
                            <w:bottom w:val="none" w:sz="0" w:space="0" w:color="auto"/>
                            <w:right w:val="none" w:sz="0" w:space="0" w:color="auto"/>
                          </w:divBdr>
                          <w:divsChild>
                            <w:div w:id="1173497867">
                              <w:marLeft w:val="0"/>
                              <w:marRight w:val="0"/>
                              <w:marTop w:val="0"/>
                              <w:marBottom w:val="0"/>
                              <w:divBdr>
                                <w:top w:val="single" w:sz="12" w:space="3" w:color="445544"/>
                                <w:left w:val="single" w:sz="12" w:space="4" w:color="445544"/>
                                <w:bottom w:val="single" w:sz="2" w:space="0" w:color="445544"/>
                                <w:right w:val="single" w:sz="12" w:space="4" w:color="445544"/>
                              </w:divBdr>
                            </w:div>
                          </w:divsChild>
                        </w:div>
                      </w:divsChild>
                    </w:div>
                  </w:divsChild>
                </w:div>
              </w:divsChild>
            </w:div>
          </w:divsChild>
        </w:div>
      </w:divsChild>
    </w:div>
    <w:div w:id="1815565110">
      <w:bodyDiv w:val="1"/>
      <w:marLeft w:val="0"/>
      <w:marRight w:val="0"/>
      <w:marTop w:val="0"/>
      <w:marBottom w:val="0"/>
      <w:divBdr>
        <w:top w:val="none" w:sz="0" w:space="0" w:color="auto"/>
        <w:left w:val="none" w:sz="0" w:space="0" w:color="auto"/>
        <w:bottom w:val="none" w:sz="0" w:space="0" w:color="auto"/>
        <w:right w:val="none" w:sz="0" w:space="0" w:color="auto"/>
      </w:divBdr>
    </w:div>
    <w:div w:id="1905993256">
      <w:bodyDiv w:val="1"/>
      <w:marLeft w:val="0"/>
      <w:marRight w:val="0"/>
      <w:marTop w:val="0"/>
      <w:marBottom w:val="0"/>
      <w:divBdr>
        <w:top w:val="none" w:sz="0" w:space="0" w:color="auto"/>
        <w:left w:val="none" w:sz="0" w:space="0" w:color="auto"/>
        <w:bottom w:val="none" w:sz="0" w:space="0" w:color="auto"/>
        <w:right w:val="none" w:sz="0" w:space="0" w:color="auto"/>
      </w:divBdr>
    </w:div>
    <w:div w:id="198458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jm.org/doi/full/10.1056/NEJMoa161030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A756D-B8B9-44BF-B0F8-9FBD823FD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C0250072</Template>
  <TotalTime>0</TotalTime>
  <Pages>1</Pages>
  <Words>6912</Words>
  <Characters>39399</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46219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Cherish Low</cp:lastModifiedBy>
  <cp:revision>1</cp:revision>
  <cp:lastPrinted>2015-09-01T21:22:00Z</cp:lastPrinted>
  <dcterms:created xsi:type="dcterms:W3CDTF">2018-07-03T21:45:00Z</dcterms:created>
  <dcterms:modified xsi:type="dcterms:W3CDTF">2018-07-03T21:45:00Z</dcterms:modified>
</cp:coreProperties>
</file>