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3659" w14:textId="657FECC6" w:rsidR="00836E26" w:rsidRDefault="00836E26" w:rsidP="00836E26">
      <w:pPr>
        <w:keepNext/>
        <w:spacing w:before="480" w:after="0" w:line="240" w:lineRule="auto"/>
        <w:jc w:val="center"/>
        <w:outlineLvl w:val="1"/>
        <w:rPr>
          <w:rFonts w:ascii="Arial" w:eastAsia="Times New Roman" w:hAnsi="Arial"/>
          <w:b/>
          <w:bCs/>
          <w:i/>
          <w:iCs/>
          <w:color w:val="2E74B5" w:themeColor="accent5" w:themeShade="BF"/>
          <w:sz w:val="28"/>
          <w:szCs w:val="28"/>
          <w:lang w:eastAsia="en-GB"/>
        </w:rPr>
      </w:pPr>
      <w:bookmarkStart w:id="0" w:name="_GoBack"/>
      <w:bookmarkEnd w:id="0"/>
      <w:r>
        <w:rPr>
          <w:rFonts w:ascii="Arial" w:eastAsia="Times New Roman" w:hAnsi="Arial"/>
          <w:b/>
          <w:bCs/>
          <w:i/>
          <w:iCs/>
          <w:color w:val="2E74B5" w:themeColor="accent5" w:themeShade="BF"/>
          <w:sz w:val="28"/>
          <w:szCs w:val="28"/>
          <w:lang w:eastAsia="en-GB"/>
        </w:rPr>
        <w:t xml:space="preserve">Surgical Mesh Education and </w:t>
      </w:r>
      <w:r w:rsidR="006F27BA">
        <w:rPr>
          <w:rFonts w:ascii="Arial" w:eastAsia="Times New Roman" w:hAnsi="Arial"/>
          <w:b/>
          <w:bCs/>
          <w:i/>
          <w:iCs/>
          <w:color w:val="2E74B5" w:themeColor="accent5" w:themeShade="BF"/>
          <w:sz w:val="28"/>
          <w:szCs w:val="28"/>
          <w:lang w:eastAsia="en-GB"/>
        </w:rPr>
        <w:t xml:space="preserve">Harm </w:t>
      </w:r>
      <w:r>
        <w:rPr>
          <w:rFonts w:ascii="Arial" w:eastAsia="Times New Roman" w:hAnsi="Arial"/>
          <w:b/>
          <w:bCs/>
          <w:i/>
          <w:iCs/>
          <w:color w:val="2E74B5" w:themeColor="accent5" w:themeShade="BF"/>
          <w:sz w:val="28"/>
          <w:szCs w:val="28"/>
          <w:lang w:eastAsia="en-GB"/>
        </w:rPr>
        <w:t xml:space="preserve">Prevention Programme </w:t>
      </w:r>
    </w:p>
    <w:p w14:paraId="011F5FE0" w14:textId="686873BE" w:rsidR="00932278" w:rsidRPr="00DC30AD" w:rsidRDefault="00932278" w:rsidP="00932278">
      <w:pPr>
        <w:keepNext/>
        <w:spacing w:before="480" w:after="0" w:line="240" w:lineRule="auto"/>
        <w:outlineLvl w:val="1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932278">
        <w:rPr>
          <w:rFonts w:ascii="Arial" w:eastAsia="Times New Roman" w:hAnsi="Arial"/>
          <w:b/>
          <w:bCs/>
          <w:sz w:val="24"/>
          <w:szCs w:val="24"/>
          <w:lang w:eastAsia="en-GB"/>
        </w:rPr>
        <w:t>Introduction</w:t>
      </w:r>
    </w:p>
    <w:p w14:paraId="4A094DD6" w14:textId="36ED58E9" w:rsidR="00EB4905" w:rsidRPr="00C31E5B" w:rsidRDefault="00EB4905" w:rsidP="00EB4905">
      <w:pPr>
        <w:spacing w:before="120" w:after="120"/>
        <w:rPr>
          <w:rFonts w:ascii="Arial" w:hAnsi="Arial"/>
        </w:rPr>
      </w:pPr>
      <w:r w:rsidRPr="00C31E5B">
        <w:rPr>
          <w:rFonts w:ascii="Arial" w:hAnsi="Arial"/>
        </w:rPr>
        <w:t xml:space="preserve">The use of surgical mesh has been a matter of local and international concern for some years. </w:t>
      </w:r>
      <w:r>
        <w:rPr>
          <w:rFonts w:ascii="Arial" w:hAnsi="Arial"/>
        </w:rPr>
        <w:t>In response to this, t</w:t>
      </w:r>
      <w:r w:rsidRPr="00C31E5B">
        <w:rPr>
          <w:rFonts w:ascii="Arial" w:hAnsi="Arial"/>
        </w:rPr>
        <w:t xml:space="preserve">he Ministry of Health is leading a surgical mesh work programme </w:t>
      </w:r>
      <w:r w:rsidR="001338C0">
        <w:rPr>
          <w:rFonts w:ascii="Arial" w:hAnsi="Arial"/>
        </w:rPr>
        <w:t>that</w:t>
      </w:r>
      <w:r w:rsidRPr="00C31E5B">
        <w:rPr>
          <w:rFonts w:ascii="Arial" w:hAnsi="Arial"/>
        </w:rPr>
        <w:t xml:space="preserve"> aims to minimise the risk to patients and support those already harmed by mesh.</w:t>
      </w:r>
    </w:p>
    <w:p w14:paraId="1FDB2F9E" w14:textId="220B8502" w:rsidR="00FD30CB" w:rsidRPr="00A5221F" w:rsidRDefault="00EB4905" w:rsidP="00805314">
      <w:pPr>
        <w:rPr>
          <w:rFonts w:ascii="Arial" w:hAnsi="Arial" w:cstheme="minorBidi"/>
        </w:rPr>
      </w:pPr>
      <w:r>
        <w:rPr>
          <w:rFonts w:ascii="Arial" w:hAnsi="Arial"/>
        </w:rPr>
        <w:t xml:space="preserve">In December 2019 the Ministry released a report prepared by the Diana Unwin Chair of Restorative Justice at Victoria University, </w:t>
      </w:r>
      <w:r>
        <w:rPr>
          <w:rFonts w:ascii="Arial" w:hAnsi="Arial"/>
          <w:i/>
        </w:rPr>
        <w:t xml:space="preserve">Hearing and Responding to the Stories of Survivors of Surgical Mesh. </w:t>
      </w:r>
      <w:r w:rsidRPr="00C31E5B">
        <w:rPr>
          <w:rFonts w:ascii="Arial" w:hAnsi="Arial"/>
        </w:rPr>
        <w:t>Th</w:t>
      </w:r>
      <w:r>
        <w:rPr>
          <w:rFonts w:ascii="Arial" w:hAnsi="Arial"/>
        </w:rPr>
        <w:t xml:space="preserve">e </w:t>
      </w:r>
      <w:r w:rsidRPr="00C31E5B">
        <w:rPr>
          <w:rFonts w:ascii="Arial" w:hAnsi="Arial"/>
        </w:rPr>
        <w:t>report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summarised the themes that emerged from a restorative process to hear from New Zealand men and women affected by surgical mesh.</w:t>
      </w:r>
      <w:r w:rsidR="00836E26">
        <w:rPr>
          <w:rFonts w:ascii="Arial" w:hAnsi="Arial"/>
        </w:rPr>
        <w:t xml:space="preserve"> </w:t>
      </w:r>
      <w:r w:rsidR="006B664E" w:rsidRPr="00CA797B">
        <w:rPr>
          <w:rFonts w:ascii="Arial" w:hAnsi="Arial"/>
          <w:szCs w:val="22"/>
        </w:rPr>
        <w:t xml:space="preserve">It </w:t>
      </w:r>
      <w:r w:rsidR="006B664E">
        <w:rPr>
          <w:rFonts w:ascii="Arial" w:hAnsi="Arial"/>
        </w:rPr>
        <w:t>identified</w:t>
      </w:r>
      <w:r w:rsidR="009261D6">
        <w:rPr>
          <w:rFonts w:ascii="Arial" w:hAnsi="Arial"/>
        </w:rPr>
        <w:t xml:space="preserve"> the need for</w:t>
      </w:r>
      <w:r w:rsidR="001769F5">
        <w:rPr>
          <w:rFonts w:ascii="Arial" w:hAnsi="Arial"/>
        </w:rPr>
        <w:t xml:space="preserve"> an</w:t>
      </w:r>
      <w:r w:rsidR="00836E26">
        <w:rPr>
          <w:rFonts w:ascii="Arial" w:hAnsi="Arial"/>
        </w:rPr>
        <w:t xml:space="preserve"> </w:t>
      </w:r>
      <w:r w:rsidR="001769F5">
        <w:rPr>
          <w:rFonts w:ascii="Arial" w:hAnsi="Arial"/>
        </w:rPr>
        <w:t xml:space="preserve">interdisciplinary education programme to </w:t>
      </w:r>
      <w:r w:rsidR="008C1088">
        <w:rPr>
          <w:rFonts w:ascii="Arial" w:hAnsi="Arial"/>
        </w:rPr>
        <w:t>prevent future harm</w:t>
      </w:r>
      <w:r w:rsidR="00CB575E">
        <w:rPr>
          <w:rFonts w:ascii="Arial" w:hAnsi="Arial"/>
        </w:rPr>
        <w:t xml:space="preserve"> and reduce the severity of existing harm. </w:t>
      </w:r>
    </w:p>
    <w:p w14:paraId="2D242D64" w14:textId="2102444A" w:rsidR="007A2BA1" w:rsidRPr="007A2BA1" w:rsidRDefault="007A2BA1" w:rsidP="0017234E">
      <w:pPr>
        <w:spacing w:before="360" w:after="120"/>
        <w:jc w:val="both"/>
        <w:rPr>
          <w:rFonts w:ascii="Arial" w:hAnsi="Arial"/>
          <w:b/>
          <w:sz w:val="24"/>
          <w:szCs w:val="24"/>
        </w:rPr>
      </w:pPr>
      <w:r w:rsidRPr="007A2BA1">
        <w:rPr>
          <w:rFonts w:ascii="Arial" w:hAnsi="Arial"/>
          <w:b/>
          <w:sz w:val="24"/>
          <w:szCs w:val="24"/>
        </w:rPr>
        <w:t xml:space="preserve">Purpose of the </w:t>
      </w:r>
      <w:r w:rsidR="00836E26">
        <w:rPr>
          <w:rFonts w:ascii="Arial" w:hAnsi="Arial"/>
          <w:b/>
          <w:sz w:val="24"/>
          <w:szCs w:val="24"/>
        </w:rPr>
        <w:t>Steering Group</w:t>
      </w:r>
    </w:p>
    <w:p w14:paraId="2F59F658" w14:textId="32934746" w:rsidR="002B14DE" w:rsidRDefault="00BF36B1" w:rsidP="00D91AFB">
      <w:pPr>
        <w:spacing w:after="120"/>
        <w:jc w:val="both"/>
        <w:rPr>
          <w:rFonts w:ascii="Arial Mäori" w:hAnsi="Arial Mäori" w:cstheme="minorBidi"/>
          <w:color w:val="222222"/>
          <w:szCs w:val="22"/>
          <w:shd w:val="clear" w:color="auto" w:fill="FFFFFF"/>
        </w:rPr>
      </w:pPr>
      <w:r>
        <w:rPr>
          <w:rFonts w:ascii="Arial" w:hAnsi="Arial"/>
        </w:rPr>
        <w:t>T</w:t>
      </w:r>
      <w:r w:rsidRPr="00A5221F">
        <w:rPr>
          <w:rFonts w:ascii="Arial" w:hAnsi="Arial"/>
        </w:rPr>
        <w:t>h</w:t>
      </w:r>
      <w:r w:rsidR="008C5125">
        <w:rPr>
          <w:rFonts w:ascii="Arial" w:hAnsi="Arial"/>
        </w:rPr>
        <w:t xml:space="preserve">is </w:t>
      </w:r>
      <w:r w:rsidR="00B17DC1">
        <w:rPr>
          <w:rFonts w:ascii="Arial" w:hAnsi="Arial"/>
        </w:rPr>
        <w:t>group (the Group) has been convened by the</w:t>
      </w:r>
      <w:r w:rsidRPr="00A5221F">
        <w:rPr>
          <w:rFonts w:ascii="Arial" w:hAnsi="Arial"/>
        </w:rPr>
        <w:t xml:space="preserve"> Ministry of Health, supported by ACC,</w:t>
      </w:r>
      <w:r w:rsidR="001A30D5">
        <w:rPr>
          <w:rFonts w:ascii="Arial" w:hAnsi="Arial"/>
          <w:bCs/>
          <w:szCs w:val="22"/>
        </w:rPr>
        <w:t xml:space="preserve"> to</w:t>
      </w:r>
      <w:r w:rsidR="005D1303">
        <w:rPr>
          <w:rFonts w:ascii="Arial" w:hAnsi="Arial"/>
          <w:bCs/>
          <w:szCs w:val="22"/>
        </w:rPr>
        <w:t xml:space="preserve"> creat</w:t>
      </w:r>
      <w:r w:rsidR="001A30D5">
        <w:rPr>
          <w:rFonts w:ascii="Arial" w:hAnsi="Arial"/>
          <w:bCs/>
          <w:szCs w:val="22"/>
        </w:rPr>
        <w:t>e</w:t>
      </w:r>
      <w:r w:rsidR="005D1303">
        <w:rPr>
          <w:rFonts w:ascii="Arial" w:hAnsi="Arial"/>
          <w:bCs/>
          <w:szCs w:val="22"/>
        </w:rPr>
        <w:t xml:space="preserve"> and deliver a Surgical Mesh Education and </w:t>
      </w:r>
      <w:r w:rsidR="006F27BA">
        <w:rPr>
          <w:rFonts w:ascii="Arial" w:hAnsi="Arial"/>
          <w:bCs/>
          <w:szCs w:val="22"/>
        </w:rPr>
        <w:t xml:space="preserve">Harm </w:t>
      </w:r>
      <w:r w:rsidR="003166AF">
        <w:rPr>
          <w:rFonts w:ascii="Arial" w:hAnsi="Arial"/>
          <w:bCs/>
          <w:szCs w:val="22"/>
        </w:rPr>
        <w:t>P</w:t>
      </w:r>
      <w:r w:rsidR="005D1303">
        <w:rPr>
          <w:rFonts w:ascii="Arial" w:hAnsi="Arial"/>
          <w:bCs/>
          <w:szCs w:val="22"/>
        </w:rPr>
        <w:t xml:space="preserve">revention Programme </w:t>
      </w:r>
      <w:r w:rsidR="00544873">
        <w:rPr>
          <w:rFonts w:ascii="Arial" w:hAnsi="Arial"/>
          <w:bCs/>
          <w:szCs w:val="22"/>
        </w:rPr>
        <w:t>for</w:t>
      </w:r>
      <w:r w:rsidR="005D1303">
        <w:rPr>
          <w:rFonts w:ascii="Arial" w:hAnsi="Arial"/>
          <w:bCs/>
          <w:szCs w:val="22"/>
        </w:rPr>
        <w:t xml:space="preserve"> Aotearoa, New Zealand.</w:t>
      </w:r>
      <w:r w:rsidR="00EB4905">
        <w:rPr>
          <w:rFonts w:ascii="Arial" w:hAnsi="Arial"/>
          <w:bCs/>
          <w:szCs w:val="22"/>
        </w:rPr>
        <w:t xml:space="preserve"> </w:t>
      </w:r>
    </w:p>
    <w:p w14:paraId="4D99B922" w14:textId="7BBE5763" w:rsidR="0048569B" w:rsidRDefault="00D91AFB" w:rsidP="0048569B">
      <w:pPr>
        <w:spacing w:after="120"/>
        <w:jc w:val="both"/>
        <w:rPr>
          <w:rFonts w:ascii="Arial Mäori" w:hAnsi="Arial Mäori" w:cstheme="minorBidi"/>
          <w:color w:val="222222"/>
          <w:szCs w:val="22"/>
          <w:shd w:val="clear" w:color="auto" w:fill="FFFFFF"/>
        </w:rPr>
      </w:pPr>
      <w:r w:rsidRPr="00D91AFB">
        <w:rPr>
          <w:rFonts w:ascii="Arial Mäori" w:hAnsi="Arial Mäori" w:cstheme="minorBidi"/>
          <w:color w:val="222222"/>
          <w:szCs w:val="22"/>
          <w:shd w:val="clear" w:color="auto" w:fill="FFFFFF"/>
        </w:rPr>
        <w:t xml:space="preserve">In doing so the </w:t>
      </w:r>
      <w:r w:rsidR="005D1303">
        <w:rPr>
          <w:rFonts w:ascii="Arial Mäori" w:hAnsi="Arial Mäori" w:cstheme="minorBidi"/>
          <w:color w:val="222222"/>
          <w:szCs w:val="22"/>
          <w:shd w:val="clear" w:color="auto" w:fill="FFFFFF"/>
        </w:rPr>
        <w:t>Group</w:t>
      </w:r>
      <w:r w:rsidRPr="00D91AFB">
        <w:rPr>
          <w:rFonts w:ascii="Arial Mäori" w:hAnsi="Arial Mäori" w:cstheme="minorBidi"/>
          <w:color w:val="222222"/>
          <w:szCs w:val="22"/>
          <w:shd w:val="clear" w:color="auto" w:fill="FFFFFF"/>
        </w:rPr>
        <w:t xml:space="preserve"> will </w:t>
      </w:r>
      <w:r w:rsidR="0048569B" w:rsidRPr="0048569B">
        <w:rPr>
          <w:rFonts w:ascii="Arial Mäori" w:hAnsi="Arial Mäori" w:cstheme="minorBidi"/>
          <w:color w:val="222222"/>
          <w:szCs w:val="22"/>
          <w:shd w:val="clear" w:color="auto" w:fill="FFFFFF"/>
        </w:rPr>
        <w:t>have a people-centred approach and be guided by the Treaty of Waitangi, with a focus on delivering equitable health outcomes.</w:t>
      </w:r>
    </w:p>
    <w:p w14:paraId="60B635F4" w14:textId="2188EAFD" w:rsidR="00864ED1" w:rsidRDefault="00864ED1" w:rsidP="00864ED1">
      <w:pPr>
        <w:spacing w:after="120"/>
        <w:jc w:val="both"/>
        <w:rPr>
          <w:rFonts w:ascii="Arial Mäori" w:hAnsi="Arial Mäori" w:cstheme="minorBidi"/>
          <w:color w:val="222222"/>
          <w:szCs w:val="22"/>
          <w:shd w:val="clear" w:color="auto" w:fill="FFFFFF"/>
        </w:rPr>
      </w:pPr>
      <w:r w:rsidRPr="005D1303">
        <w:rPr>
          <w:rFonts w:ascii="Arial" w:hAnsi="Arial"/>
          <w:bCs/>
          <w:szCs w:val="22"/>
        </w:rPr>
        <w:t xml:space="preserve">The primary focus </w:t>
      </w:r>
      <w:r w:rsidR="00071014">
        <w:rPr>
          <w:rFonts w:ascii="Arial" w:hAnsi="Arial"/>
          <w:bCs/>
          <w:szCs w:val="22"/>
        </w:rPr>
        <w:t xml:space="preserve">at this stage </w:t>
      </w:r>
      <w:r w:rsidRPr="005D1303">
        <w:rPr>
          <w:rFonts w:ascii="Arial" w:hAnsi="Arial"/>
          <w:bCs/>
          <w:szCs w:val="22"/>
        </w:rPr>
        <w:t xml:space="preserve">is </w:t>
      </w:r>
      <w:r>
        <w:rPr>
          <w:rFonts w:ascii="Arial" w:hAnsi="Arial"/>
          <w:bCs/>
          <w:szCs w:val="22"/>
        </w:rPr>
        <w:t xml:space="preserve">on </w:t>
      </w:r>
      <w:r w:rsidRPr="005D1303">
        <w:rPr>
          <w:rFonts w:ascii="Arial" w:hAnsi="Arial"/>
          <w:bCs/>
          <w:szCs w:val="22"/>
        </w:rPr>
        <w:t xml:space="preserve">the </w:t>
      </w:r>
      <w:proofErr w:type="spellStart"/>
      <w:r w:rsidRPr="005D1303">
        <w:rPr>
          <w:rFonts w:ascii="Arial" w:hAnsi="Arial"/>
          <w:bCs/>
          <w:szCs w:val="22"/>
        </w:rPr>
        <w:t>urogynaecological</w:t>
      </w:r>
      <w:proofErr w:type="spellEnd"/>
      <w:r w:rsidRPr="005D1303">
        <w:rPr>
          <w:rFonts w:ascii="Arial" w:hAnsi="Arial"/>
          <w:bCs/>
          <w:szCs w:val="22"/>
        </w:rPr>
        <w:t xml:space="preserve"> use of mesh</w:t>
      </w:r>
      <w:r w:rsidR="00071014">
        <w:rPr>
          <w:rFonts w:ascii="Arial" w:hAnsi="Arial"/>
          <w:bCs/>
          <w:szCs w:val="22"/>
        </w:rPr>
        <w:t xml:space="preserve"> as this is the most urgent need</w:t>
      </w:r>
      <w:r w:rsidRPr="005D1303">
        <w:rPr>
          <w:rFonts w:ascii="Arial" w:hAnsi="Arial"/>
          <w:bCs/>
          <w:szCs w:val="22"/>
        </w:rPr>
        <w:t xml:space="preserve">, but </w:t>
      </w:r>
      <w:r>
        <w:rPr>
          <w:rFonts w:ascii="Arial" w:hAnsi="Arial"/>
          <w:bCs/>
          <w:szCs w:val="22"/>
        </w:rPr>
        <w:t xml:space="preserve">the material </w:t>
      </w:r>
      <w:r w:rsidR="00071014">
        <w:rPr>
          <w:rFonts w:ascii="Arial" w:hAnsi="Arial"/>
          <w:bCs/>
          <w:szCs w:val="22"/>
        </w:rPr>
        <w:t>and education program</w:t>
      </w:r>
      <w:r w:rsidR="00B4659B">
        <w:rPr>
          <w:rFonts w:ascii="Arial" w:hAnsi="Arial"/>
          <w:bCs/>
          <w:szCs w:val="22"/>
        </w:rPr>
        <w:t>me</w:t>
      </w:r>
      <w:r w:rsidR="00071014">
        <w:rPr>
          <w:rFonts w:ascii="Arial" w:hAnsi="Arial"/>
          <w:bCs/>
          <w:szCs w:val="22"/>
        </w:rPr>
        <w:t xml:space="preserve"> </w:t>
      </w:r>
      <w:r w:rsidR="00116A97">
        <w:rPr>
          <w:rFonts w:ascii="Arial" w:hAnsi="Arial"/>
          <w:bCs/>
          <w:szCs w:val="22"/>
        </w:rPr>
        <w:t xml:space="preserve">will </w:t>
      </w:r>
      <w:r w:rsidR="00116A97" w:rsidRPr="005D1303">
        <w:rPr>
          <w:rFonts w:ascii="Arial" w:hAnsi="Arial"/>
          <w:bCs/>
          <w:szCs w:val="22"/>
        </w:rPr>
        <w:t>also</w:t>
      </w:r>
      <w:r w:rsidRPr="005D1303">
        <w:rPr>
          <w:rFonts w:ascii="Arial" w:hAnsi="Arial"/>
          <w:bCs/>
          <w:szCs w:val="22"/>
        </w:rPr>
        <w:t xml:space="preserve"> apply to other uses, for example </w:t>
      </w:r>
      <w:r>
        <w:rPr>
          <w:rFonts w:ascii="Arial" w:hAnsi="Arial"/>
          <w:bCs/>
          <w:szCs w:val="22"/>
        </w:rPr>
        <w:t xml:space="preserve">mesh used in </w:t>
      </w:r>
      <w:r w:rsidRPr="005D1303">
        <w:rPr>
          <w:rFonts w:ascii="Arial" w:hAnsi="Arial"/>
          <w:bCs/>
          <w:szCs w:val="22"/>
        </w:rPr>
        <w:t>colorectal surgery or hernia repair</w:t>
      </w:r>
      <w:r>
        <w:rPr>
          <w:rFonts w:ascii="Arial" w:hAnsi="Arial"/>
          <w:bCs/>
          <w:szCs w:val="22"/>
        </w:rPr>
        <w:t>.</w:t>
      </w:r>
      <w:r>
        <w:rPr>
          <w:rFonts w:ascii="Arial Mäori" w:hAnsi="Arial Mäori" w:cstheme="minorBidi"/>
          <w:color w:val="222222"/>
          <w:szCs w:val="22"/>
          <w:shd w:val="clear" w:color="auto" w:fill="FFFFFF"/>
        </w:rPr>
        <w:t xml:space="preserve"> </w:t>
      </w:r>
      <w:r w:rsidR="00927E3C">
        <w:rPr>
          <w:rFonts w:ascii="Arial Mäori" w:hAnsi="Arial Mäori" w:cstheme="minorBidi"/>
          <w:color w:val="222222"/>
          <w:szCs w:val="22"/>
          <w:shd w:val="clear" w:color="auto" w:fill="FFFFFF"/>
        </w:rPr>
        <w:t xml:space="preserve"> </w:t>
      </w:r>
    </w:p>
    <w:p w14:paraId="3A0D9930" w14:textId="113280AB" w:rsidR="001338C0" w:rsidRPr="00D91AFB" w:rsidRDefault="001338C0" w:rsidP="00D91AFB">
      <w:pPr>
        <w:spacing w:after="120"/>
        <w:jc w:val="both"/>
        <w:rPr>
          <w:rFonts w:ascii="Arial" w:hAnsi="Arial"/>
          <w:bCs/>
          <w:szCs w:val="22"/>
        </w:rPr>
      </w:pPr>
      <w:r>
        <w:rPr>
          <w:rFonts w:ascii="Arial Mäori" w:hAnsi="Arial Mäori" w:cstheme="minorBidi"/>
          <w:color w:val="222222"/>
          <w:szCs w:val="22"/>
          <w:shd w:val="clear" w:color="auto" w:fill="FFFFFF"/>
        </w:rPr>
        <w:t xml:space="preserve">The work of this </w:t>
      </w:r>
      <w:r w:rsidR="00805314">
        <w:rPr>
          <w:rFonts w:ascii="Arial Mäori" w:hAnsi="Arial Mäori" w:cstheme="minorBidi"/>
          <w:color w:val="222222"/>
          <w:szCs w:val="22"/>
          <w:shd w:val="clear" w:color="auto" w:fill="FFFFFF"/>
        </w:rPr>
        <w:t>G</w:t>
      </w:r>
      <w:r>
        <w:rPr>
          <w:rFonts w:ascii="Arial Mäori" w:hAnsi="Arial Mäori" w:cstheme="minorBidi"/>
          <w:color w:val="222222"/>
          <w:szCs w:val="22"/>
          <w:shd w:val="clear" w:color="auto" w:fill="FFFFFF"/>
        </w:rPr>
        <w:t xml:space="preserve">roup will be tightly integrated with other key surgical mesh projects led by the Ministry, in particular: credentialing of surgeons and </w:t>
      </w:r>
      <w:r w:rsidR="00E973CA">
        <w:rPr>
          <w:rFonts w:ascii="Arial Mäori" w:hAnsi="Arial Mäori" w:cstheme="minorBidi"/>
          <w:color w:val="222222"/>
          <w:szCs w:val="22"/>
          <w:shd w:val="clear" w:color="auto" w:fill="FFFFFF"/>
        </w:rPr>
        <w:t>services</w:t>
      </w:r>
      <w:r w:rsidR="00D104F6">
        <w:rPr>
          <w:rFonts w:ascii="Arial Mäori" w:hAnsi="Arial Mäori" w:cstheme="minorBidi"/>
          <w:color w:val="222222"/>
          <w:szCs w:val="22"/>
          <w:shd w:val="clear" w:color="auto" w:fill="FFFFFF"/>
        </w:rPr>
        <w:t>,</w:t>
      </w:r>
      <w:r>
        <w:rPr>
          <w:rFonts w:ascii="Arial Mäori" w:hAnsi="Arial Mäori" w:cstheme="minorBidi"/>
          <w:color w:val="222222"/>
          <w:szCs w:val="22"/>
          <w:shd w:val="clear" w:color="auto" w:fill="FFFFFF"/>
        </w:rPr>
        <w:t xml:space="preserve"> and development of </w:t>
      </w:r>
      <w:r w:rsidR="00FD30CB">
        <w:rPr>
          <w:rFonts w:ascii="Arial Mäori" w:hAnsi="Arial Mäori" w:cstheme="minorBidi"/>
          <w:color w:val="222222"/>
          <w:szCs w:val="22"/>
          <w:shd w:val="clear" w:color="auto" w:fill="FFFFFF"/>
        </w:rPr>
        <w:t>specialist</w:t>
      </w:r>
      <w:r>
        <w:rPr>
          <w:rFonts w:ascii="Arial Mäori" w:hAnsi="Arial Mäori" w:cstheme="minorBidi"/>
          <w:color w:val="222222"/>
          <w:szCs w:val="22"/>
          <w:shd w:val="clear" w:color="auto" w:fill="FFFFFF"/>
        </w:rPr>
        <w:t xml:space="preserve"> multidisciplinary</w:t>
      </w:r>
      <w:r w:rsidR="00FD30CB">
        <w:rPr>
          <w:rFonts w:ascii="Arial Mäori" w:hAnsi="Arial Mäori" w:cstheme="minorBidi"/>
          <w:color w:val="222222"/>
          <w:szCs w:val="22"/>
          <w:shd w:val="clear" w:color="auto" w:fill="FFFFFF"/>
        </w:rPr>
        <w:t xml:space="preserve"> mesh services. </w:t>
      </w:r>
    </w:p>
    <w:p w14:paraId="4E5DE442" w14:textId="7E1C6C8C" w:rsidR="007A2BA1" w:rsidRDefault="007A2BA1" w:rsidP="0017234E">
      <w:pPr>
        <w:shd w:val="clear" w:color="auto" w:fill="FFFFFF"/>
        <w:spacing w:before="360" w:after="240" w:line="276" w:lineRule="atLeast"/>
        <w:outlineLvl w:val="1"/>
        <w:rPr>
          <w:rFonts w:ascii="Arial" w:eastAsia="Times New Roman" w:hAnsi="Arial"/>
          <w:b/>
          <w:bCs/>
          <w:sz w:val="24"/>
          <w:szCs w:val="24"/>
          <w:lang w:val="en" w:eastAsia="en-NZ"/>
        </w:rPr>
      </w:pPr>
      <w:r w:rsidRPr="007A2BA1">
        <w:rPr>
          <w:rFonts w:ascii="Arial" w:eastAsia="Times New Roman" w:hAnsi="Arial"/>
          <w:b/>
          <w:bCs/>
          <w:sz w:val="24"/>
          <w:szCs w:val="24"/>
          <w:lang w:val="en" w:eastAsia="en-NZ"/>
        </w:rPr>
        <w:t xml:space="preserve">Key functions and tasks </w:t>
      </w:r>
    </w:p>
    <w:p w14:paraId="030AA873" w14:textId="3157B96D" w:rsidR="007A2BA1" w:rsidRDefault="007A2BA1" w:rsidP="007A2BA1">
      <w:pPr>
        <w:shd w:val="clear" w:color="auto" w:fill="FFFFFF"/>
        <w:spacing w:before="240" w:after="240" w:line="276" w:lineRule="atLeast"/>
        <w:outlineLvl w:val="1"/>
        <w:rPr>
          <w:rFonts w:ascii="Arial" w:eastAsia="Times New Roman" w:hAnsi="Arial"/>
          <w:szCs w:val="22"/>
          <w:lang w:val="en" w:eastAsia="en-NZ"/>
        </w:rPr>
      </w:pPr>
      <w:r w:rsidRPr="007A2BA1">
        <w:rPr>
          <w:rFonts w:ascii="Arial" w:eastAsia="Times New Roman" w:hAnsi="Arial"/>
          <w:szCs w:val="22"/>
          <w:lang w:val="en" w:eastAsia="en-NZ"/>
        </w:rPr>
        <w:t xml:space="preserve">The </w:t>
      </w:r>
      <w:r w:rsidR="007F0205">
        <w:rPr>
          <w:rFonts w:ascii="Arial" w:eastAsia="Times New Roman" w:hAnsi="Arial"/>
          <w:szCs w:val="22"/>
          <w:lang w:val="en" w:eastAsia="en-NZ"/>
        </w:rPr>
        <w:t>Group</w:t>
      </w:r>
      <w:r w:rsidRPr="007A2BA1">
        <w:rPr>
          <w:rFonts w:ascii="Arial" w:eastAsia="Times New Roman" w:hAnsi="Arial"/>
          <w:szCs w:val="22"/>
          <w:lang w:val="en" w:eastAsia="en-NZ"/>
        </w:rPr>
        <w:t xml:space="preserve"> will have </w:t>
      </w:r>
      <w:r w:rsidR="00EE38CF">
        <w:rPr>
          <w:rFonts w:ascii="Arial" w:eastAsia="Times New Roman" w:hAnsi="Arial"/>
          <w:szCs w:val="22"/>
          <w:lang w:val="en" w:eastAsia="en-NZ"/>
        </w:rPr>
        <w:t xml:space="preserve">the following </w:t>
      </w:r>
      <w:r w:rsidRPr="007A2BA1">
        <w:rPr>
          <w:rFonts w:ascii="Arial" w:eastAsia="Times New Roman" w:hAnsi="Arial"/>
          <w:szCs w:val="22"/>
          <w:lang w:val="en" w:eastAsia="en-NZ"/>
        </w:rPr>
        <w:t>priorities:</w:t>
      </w:r>
    </w:p>
    <w:p w14:paraId="0FBA38FB" w14:textId="1D08B1B5" w:rsidR="00AD6AA1" w:rsidRPr="0019113A" w:rsidRDefault="00AD6AA1" w:rsidP="00AD6AA1">
      <w:pPr>
        <w:pStyle w:val="ListParagraph"/>
        <w:numPr>
          <w:ilvl w:val="0"/>
          <w:numId w:val="7"/>
        </w:numPr>
        <w:shd w:val="clear" w:color="auto" w:fill="FFFFFF"/>
        <w:spacing w:before="240" w:after="240" w:line="276" w:lineRule="atLeast"/>
        <w:outlineLvl w:val="1"/>
        <w:rPr>
          <w:rFonts w:ascii="Arial" w:eastAsia="Times New Roman" w:hAnsi="Arial"/>
          <w:szCs w:val="22"/>
          <w:lang w:val="en" w:eastAsia="en-NZ"/>
        </w:rPr>
      </w:pPr>
      <w:bookmarkStart w:id="1" w:name="_Hlk42586203"/>
      <w:r w:rsidRPr="0019113A">
        <w:rPr>
          <w:rFonts w:ascii="Arial" w:eastAsia="Times New Roman" w:hAnsi="Arial"/>
          <w:szCs w:val="22"/>
          <w:lang w:val="en" w:eastAsia="en-NZ"/>
        </w:rPr>
        <w:t>Co-design an education program</w:t>
      </w:r>
      <w:r w:rsidR="004F5E00">
        <w:rPr>
          <w:rFonts w:ascii="Arial" w:eastAsia="Times New Roman" w:hAnsi="Arial"/>
          <w:szCs w:val="22"/>
          <w:lang w:val="en" w:eastAsia="en-NZ"/>
        </w:rPr>
        <w:t>me</w:t>
      </w:r>
      <w:r w:rsidRPr="0019113A">
        <w:rPr>
          <w:rFonts w:ascii="Arial" w:eastAsia="Times New Roman" w:hAnsi="Arial"/>
          <w:szCs w:val="22"/>
          <w:lang w:val="en" w:eastAsia="en-NZ"/>
        </w:rPr>
        <w:t xml:space="preserve"> using a multi-disciplinary approach in partnership with </w:t>
      </w:r>
      <w:r>
        <w:rPr>
          <w:rFonts w:ascii="Arial" w:eastAsia="Times New Roman" w:hAnsi="Arial"/>
          <w:szCs w:val="22"/>
          <w:lang w:val="en" w:eastAsia="en-NZ"/>
        </w:rPr>
        <w:t>health professionals</w:t>
      </w:r>
      <w:r w:rsidR="00A01666">
        <w:rPr>
          <w:rFonts w:ascii="Arial" w:eastAsia="Times New Roman" w:hAnsi="Arial"/>
          <w:szCs w:val="22"/>
          <w:lang w:val="en" w:eastAsia="en-NZ"/>
        </w:rPr>
        <w:t xml:space="preserve"> in hospitals and community</w:t>
      </w:r>
      <w:r>
        <w:rPr>
          <w:rFonts w:ascii="Arial" w:eastAsia="Times New Roman" w:hAnsi="Arial"/>
          <w:szCs w:val="22"/>
          <w:lang w:val="en" w:eastAsia="en-NZ"/>
        </w:rPr>
        <w:t xml:space="preserve">, consumers, and </w:t>
      </w:r>
      <w:r w:rsidRPr="0019113A">
        <w:rPr>
          <w:rFonts w:ascii="Arial" w:eastAsia="Times New Roman" w:hAnsi="Arial"/>
          <w:szCs w:val="22"/>
          <w:lang w:val="en" w:eastAsia="en-NZ"/>
        </w:rPr>
        <w:t xml:space="preserve">all </w:t>
      </w:r>
      <w:r>
        <w:rPr>
          <w:rFonts w:ascii="Arial" w:eastAsia="Times New Roman" w:hAnsi="Arial"/>
          <w:szCs w:val="22"/>
          <w:lang w:val="en" w:eastAsia="en-NZ"/>
        </w:rPr>
        <w:t xml:space="preserve">relevant </w:t>
      </w:r>
      <w:r w:rsidRPr="0019113A">
        <w:rPr>
          <w:rFonts w:ascii="Arial" w:eastAsia="Times New Roman" w:hAnsi="Arial"/>
          <w:szCs w:val="22"/>
          <w:lang w:val="en" w:eastAsia="en-NZ"/>
        </w:rPr>
        <w:t xml:space="preserve">medical colleges. We will draw upon </w:t>
      </w:r>
      <w:r w:rsidR="00B53381" w:rsidRPr="0019113A">
        <w:rPr>
          <w:rFonts w:ascii="Arial" w:eastAsia="Times New Roman" w:hAnsi="Arial"/>
          <w:szCs w:val="22"/>
          <w:lang w:val="en" w:eastAsia="en-NZ"/>
        </w:rPr>
        <w:t xml:space="preserve">the </w:t>
      </w:r>
      <w:r w:rsidR="00B53381">
        <w:rPr>
          <w:rFonts w:ascii="Arial" w:eastAsia="Times New Roman" w:hAnsi="Arial"/>
          <w:szCs w:val="22"/>
          <w:lang w:val="en" w:eastAsia="en-NZ"/>
        </w:rPr>
        <w:t>experience</w:t>
      </w:r>
      <w:r w:rsidRPr="0019113A">
        <w:rPr>
          <w:rFonts w:ascii="Arial" w:eastAsia="Times New Roman" w:hAnsi="Arial"/>
          <w:szCs w:val="22"/>
          <w:lang w:val="en" w:eastAsia="en-NZ"/>
        </w:rPr>
        <w:t xml:space="preserve"> of both local and international </w:t>
      </w:r>
      <w:r>
        <w:rPr>
          <w:rFonts w:ascii="Arial" w:eastAsia="Times New Roman" w:hAnsi="Arial"/>
          <w:szCs w:val="22"/>
          <w:lang w:val="en" w:eastAsia="en-NZ"/>
        </w:rPr>
        <w:t>experts. T</w:t>
      </w:r>
      <w:r w:rsidRPr="0019113A">
        <w:rPr>
          <w:rFonts w:ascii="Arial" w:eastAsia="Times New Roman" w:hAnsi="Arial"/>
          <w:szCs w:val="22"/>
          <w:lang w:val="en" w:eastAsia="en-NZ"/>
        </w:rPr>
        <w:t xml:space="preserve">he main aim </w:t>
      </w:r>
      <w:r>
        <w:rPr>
          <w:rFonts w:ascii="Arial" w:eastAsia="Times New Roman" w:hAnsi="Arial"/>
          <w:szCs w:val="22"/>
          <w:lang w:val="en" w:eastAsia="en-NZ"/>
        </w:rPr>
        <w:t>is to</w:t>
      </w:r>
      <w:r w:rsidRPr="0019113A">
        <w:rPr>
          <w:rFonts w:ascii="Arial" w:eastAsia="Times New Roman" w:hAnsi="Arial"/>
          <w:szCs w:val="22"/>
          <w:lang w:val="en" w:eastAsia="en-NZ"/>
        </w:rPr>
        <w:t xml:space="preserve"> </w:t>
      </w:r>
      <w:r>
        <w:rPr>
          <w:rFonts w:ascii="Arial" w:eastAsia="Times New Roman" w:hAnsi="Arial"/>
          <w:szCs w:val="22"/>
          <w:lang w:val="en" w:eastAsia="en-NZ"/>
        </w:rPr>
        <w:t xml:space="preserve">prevent and </w:t>
      </w:r>
      <w:r w:rsidRPr="0019113A">
        <w:rPr>
          <w:rFonts w:ascii="Arial" w:eastAsia="Times New Roman" w:hAnsi="Arial"/>
          <w:szCs w:val="22"/>
          <w:lang w:val="en" w:eastAsia="en-NZ"/>
        </w:rPr>
        <w:t>reduc</w:t>
      </w:r>
      <w:r>
        <w:rPr>
          <w:rFonts w:ascii="Arial" w:eastAsia="Times New Roman" w:hAnsi="Arial"/>
          <w:szCs w:val="22"/>
          <w:lang w:val="en" w:eastAsia="en-NZ"/>
        </w:rPr>
        <w:t>e</w:t>
      </w:r>
      <w:r w:rsidRPr="0019113A">
        <w:rPr>
          <w:rFonts w:ascii="Arial" w:eastAsia="Times New Roman" w:hAnsi="Arial"/>
          <w:szCs w:val="22"/>
          <w:lang w:val="en" w:eastAsia="en-NZ"/>
        </w:rPr>
        <w:t xml:space="preserve"> the incidence and severity of harm</w:t>
      </w:r>
      <w:r>
        <w:rPr>
          <w:rFonts w:ascii="Arial" w:eastAsia="Times New Roman" w:hAnsi="Arial"/>
          <w:szCs w:val="22"/>
          <w:lang w:val="en" w:eastAsia="en-NZ"/>
        </w:rPr>
        <w:t>.</w:t>
      </w:r>
      <w:r w:rsidRPr="0019113A">
        <w:rPr>
          <w:rFonts w:ascii="Arial" w:eastAsia="Times New Roman" w:hAnsi="Arial"/>
          <w:szCs w:val="22"/>
          <w:lang w:val="en" w:eastAsia="en-NZ"/>
        </w:rPr>
        <w:t xml:space="preserve"> Three inter-related approaches will be adopted:</w:t>
      </w:r>
    </w:p>
    <w:p w14:paraId="4E21367B" w14:textId="77777777" w:rsidR="00AD6AA1" w:rsidRPr="00032B1F" w:rsidRDefault="00AD6AA1" w:rsidP="009E39E9">
      <w:pPr>
        <w:pStyle w:val="ListParagraph"/>
        <w:shd w:val="clear" w:color="auto" w:fill="FFFFFF"/>
        <w:spacing w:before="240" w:after="240" w:line="276" w:lineRule="atLeast"/>
        <w:outlineLvl w:val="1"/>
        <w:rPr>
          <w:rFonts w:ascii="Arial" w:eastAsia="Times New Roman" w:hAnsi="Arial"/>
          <w:szCs w:val="22"/>
          <w:lang w:val="en" w:eastAsia="en-NZ"/>
        </w:rPr>
      </w:pPr>
    </w:p>
    <w:p w14:paraId="13C47A2E" w14:textId="2E84D52A" w:rsidR="00CA115C" w:rsidRPr="00032B1F" w:rsidRDefault="00CA115C" w:rsidP="00CA115C">
      <w:pPr>
        <w:pStyle w:val="ListParagraph"/>
        <w:numPr>
          <w:ilvl w:val="0"/>
          <w:numId w:val="8"/>
        </w:numPr>
        <w:shd w:val="clear" w:color="auto" w:fill="FFFFFF"/>
        <w:spacing w:before="240" w:after="240" w:line="276" w:lineRule="atLeast"/>
        <w:outlineLvl w:val="1"/>
        <w:rPr>
          <w:rFonts w:ascii="Arial" w:eastAsia="Times New Roman" w:hAnsi="Arial"/>
          <w:szCs w:val="22"/>
          <w:lang w:val="en" w:eastAsia="en-NZ"/>
        </w:rPr>
      </w:pPr>
      <w:bookmarkStart w:id="2" w:name="_Hlk42587789"/>
      <w:bookmarkEnd w:id="1"/>
      <w:r w:rsidRPr="00032B1F">
        <w:rPr>
          <w:rFonts w:ascii="Arial" w:eastAsia="Times New Roman" w:hAnsi="Arial"/>
          <w:szCs w:val="22"/>
          <w:lang w:val="en" w:eastAsia="en-NZ"/>
        </w:rPr>
        <w:t>Pre-implantation –</w:t>
      </w:r>
      <w:r>
        <w:rPr>
          <w:rFonts w:ascii="Arial" w:eastAsia="Times New Roman" w:hAnsi="Arial"/>
          <w:szCs w:val="22"/>
          <w:lang w:val="en" w:eastAsia="en-NZ"/>
        </w:rPr>
        <w:t xml:space="preserve"> </w:t>
      </w:r>
      <w:r w:rsidRPr="00032B1F">
        <w:rPr>
          <w:rFonts w:ascii="Arial" w:eastAsia="Times New Roman" w:hAnsi="Arial"/>
          <w:szCs w:val="22"/>
          <w:lang w:val="en" w:eastAsia="en-NZ"/>
        </w:rPr>
        <w:t xml:space="preserve">covering </w:t>
      </w:r>
      <w:r>
        <w:rPr>
          <w:rFonts w:ascii="Arial" w:eastAsia="Times New Roman" w:hAnsi="Arial"/>
          <w:szCs w:val="22"/>
          <w:lang w:val="en" w:eastAsia="en-NZ"/>
        </w:rPr>
        <w:t xml:space="preserve">knowledge of; </w:t>
      </w:r>
      <w:r w:rsidRPr="00032B1F">
        <w:rPr>
          <w:rFonts w:ascii="Arial" w:eastAsia="Times New Roman" w:hAnsi="Arial"/>
          <w:szCs w:val="22"/>
          <w:lang w:val="en" w:eastAsia="en-NZ"/>
        </w:rPr>
        <w:t xml:space="preserve">patient </w:t>
      </w:r>
      <w:r>
        <w:rPr>
          <w:rFonts w:ascii="Arial" w:eastAsia="Times New Roman" w:hAnsi="Arial"/>
          <w:szCs w:val="22"/>
          <w:lang w:val="en" w:eastAsia="en-NZ"/>
        </w:rPr>
        <w:t xml:space="preserve">selection and diagnostic </w:t>
      </w:r>
      <w:r w:rsidRPr="00032B1F">
        <w:rPr>
          <w:rFonts w:ascii="Arial" w:eastAsia="Times New Roman" w:hAnsi="Arial"/>
          <w:szCs w:val="22"/>
          <w:lang w:val="en" w:eastAsia="en-NZ"/>
        </w:rPr>
        <w:t>assessmen</w:t>
      </w:r>
      <w:r>
        <w:rPr>
          <w:rFonts w:ascii="Arial" w:eastAsia="Times New Roman" w:hAnsi="Arial"/>
          <w:szCs w:val="22"/>
          <w:lang w:val="en" w:eastAsia="en-NZ"/>
        </w:rPr>
        <w:t>t</w:t>
      </w:r>
      <w:r w:rsidRPr="00032B1F">
        <w:rPr>
          <w:rFonts w:ascii="Arial" w:eastAsia="Times New Roman" w:hAnsi="Arial"/>
          <w:szCs w:val="22"/>
          <w:lang w:val="en" w:eastAsia="en-NZ"/>
        </w:rPr>
        <w:t xml:space="preserve">, </w:t>
      </w:r>
      <w:r w:rsidR="00CF6B8A">
        <w:rPr>
          <w:rFonts w:ascii="Arial" w:eastAsia="Times New Roman" w:hAnsi="Arial"/>
          <w:szCs w:val="22"/>
          <w:lang w:val="en" w:eastAsia="en-NZ"/>
        </w:rPr>
        <w:t>mechanical</w:t>
      </w:r>
      <w:r w:rsidR="00566584">
        <w:rPr>
          <w:rFonts w:ascii="Arial" w:eastAsia="Times New Roman" w:hAnsi="Arial"/>
          <w:szCs w:val="22"/>
          <w:lang w:val="en" w:eastAsia="en-NZ"/>
        </w:rPr>
        <w:t xml:space="preserve"> characteristics of specific mesh devices, </w:t>
      </w:r>
      <w:r w:rsidRPr="00032B1F">
        <w:rPr>
          <w:rFonts w:ascii="Arial" w:eastAsia="Times New Roman" w:hAnsi="Arial"/>
          <w:szCs w:val="22"/>
          <w:lang w:val="en" w:eastAsia="en-NZ"/>
        </w:rPr>
        <w:t xml:space="preserve">conservative treatments as </w:t>
      </w:r>
      <w:r>
        <w:rPr>
          <w:rFonts w:ascii="Arial" w:eastAsia="Times New Roman" w:hAnsi="Arial"/>
          <w:szCs w:val="22"/>
          <w:lang w:val="en" w:eastAsia="en-NZ"/>
        </w:rPr>
        <w:t xml:space="preserve">the first line of treatment and as an </w:t>
      </w:r>
      <w:r w:rsidRPr="00032B1F">
        <w:rPr>
          <w:rFonts w:ascii="Arial" w:eastAsia="Times New Roman" w:hAnsi="Arial"/>
          <w:szCs w:val="22"/>
          <w:lang w:val="en" w:eastAsia="en-NZ"/>
        </w:rPr>
        <w:t>alternative to surgical mesh, referral pathways, patient information including risks and benefits</w:t>
      </w:r>
      <w:r>
        <w:rPr>
          <w:rFonts w:ascii="Arial" w:eastAsia="Times New Roman" w:hAnsi="Arial"/>
          <w:szCs w:val="22"/>
          <w:lang w:val="en" w:eastAsia="en-NZ"/>
        </w:rPr>
        <w:t xml:space="preserve"> of both mesh and non-mesh procedures.</w:t>
      </w:r>
      <w:r w:rsidRPr="00032B1F">
        <w:rPr>
          <w:rFonts w:ascii="Arial" w:eastAsia="Times New Roman" w:hAnsi="Arial"/>
          <w:szCs w:val="22"/>
          <w:lang w:val="en" w:eastAsia="en-NZ"/>
        </w:rPr>
        <w:t xml:space="preserve"> </w:t>
      </w:r>
    </w:p>
    <w:bookmarkEnd w:id="2"/>
    <w:p w14:paraId="1CBC2ECB" w14:textId="5659B589" w:rsidR="000A209C" w:rsidRDefault="000A209C" w:rsidP="00032B1F">
      <w:pPr>
        <w:pStyle w:val="ListParagraph"/>
        <w:numPr>
          <w:ilvl w:val="0"/>
          <w:numId w:val="8"/>
        </w:numPr>
        <w:shd w:val="clear" w:color="auto" w:fill="FFFFFF"/>
        <w:spacing w:before="240" w:after="240" w:line="276" w:lineRule="atLeast"/>
        <w:outlineLvl w:val="1"/>
        <w:rPr>
          <w:rFonts w:ascii="Arial" w:eastAsia="Times New Roman" w:hAnsi="Arial"/>
          <w:szCs w:val="22"/>
          <w:lang w:val="en" w:eastAsia="en-NZ"/>
        </w:rPr>
      </w:pPr>
      <w:r w:rsidRPr="00032B1F">
        <w:rPr>
          <w:rFonts w:ascii="Arial" w:eastAsia="Times New Roman" w:hAnsi="Arial"/>
          <w:szCs w:val="22"/>
          <w:lang w:val="en" w:eastAsia="en-NZ"/>
        </w:rPr>
        <w:t xml:space="preserve">Post-implantation – signs and symptoms of potential complications, </w:t>
      </w:r>
      <w:r w:rsidR="00CA115C">
        <w:rPr>
          <w:rFonts w:ascii="Arial" w:eastAsia="Times New Roman" w:hAnsi="Arial"/>
          <w:szCs w:val="22"/>
          <w:lang w:val="en" w:eastAsia="en-NZ"/>
        </w:rPr>
        <w:t xml:space="preserve">managing intra-operative and post-operative complications, </w:t>
      </w:r>
      <w:r w:rsidR="00032B1F" w:rsidRPr="00032B1F">
        <w:rPr>
          <w:rFonts w:ascii="Arial" w:eastAsia="Times New Roman" w:hAnsi="Arial"/>
          <w:szCs w:val="22"/>
          <w:lang w:val="en" w:eastAsia="en-NZ"/>
        </w:rPr>
        <w:t xml:space="preserve">appropriate </w:t>
      </w:r>
      <w:r w:rsidR="00744E82">
        <w:rPr>
          <w:rFonts w:ascii="Arial" w:eastAsia="Times New Roman" w:hAnsi="Arial"/>
          <w:szCs w:val="22"/>
          <w:lang w:val="en" w:eastAsia="en-NZ"/>
        </w:rPr>
        <w:t xml:space="preserve">diagnostic </w:t>
      </w:r>
      <w:r w:rsidR="00032B1F" w:rsidRPr="00032B1F">
        <w:rPr>
          <w:rFonts w:ascii="Arial" w:eastAsia="Times New Roman" w:hAnsi="Arial"/>
          <w:szCs w:val="22"/>
          <w:lang w:val="en" w:eastAsia="en-NZ"/>
        </w:rPr>
        <w:t>investigations</w:t>
      </w:r>
      <w:r w:rsidR="00CA115C">
        <w:rPr>
          <w:rFonts w:ascii="Arial" w:eastAsia="Times New Roman" w:hAnsi="Arial"/>
          <w:szCs w:val="22"/>
          <w:lang w:val="en" w:eastAsia="en-NZ"/>
        </w:rPr>
        <w:t>,</w:t>
      </w:r>
      <w:r w:rsidR="00032B1F" w:rsidRPr="00032B1F">
        <w:rPr>
          <w:rFonts w:ascii="Arial" w:eastAsia="Times New Roman" w:hAnsi="Arial"/>
          <w:szCs w:val="22"/>
          <w:lang w:val="en" w:eastAsia="en-NZ"/>
        </w:rPr>
        <w:t xml:space="preserve"> referral for further assessment, </w:t>
      </w:r>
      <w:r w:rsidR="00413CE3">
        <w:rPr>
          <w:rFonts w:ascii="Arial" w:eastAsia="Times New Roman" w:hAnsi="Arial"/>
          <w:szCs w:val="22"/>
          <w:lang w:val="en" w:eastAsia="en-NZ"/>
        </w:rPr>
        <w:t xml:space="preserve">and </w:t>
      </w:r>
      <w:r w:rsidRPr="00032B1F">
        <w:rPr>
          <w:rFonts w:ascii="Arial" w:eastAsia="Times New Roman" w:hAnsi="Arial"/>
          <w:szCs w:val="22"/>
          <w:lang w:val="en" w:eastAsia="en-NZ"/>
        </w:rPr>
        <w:t>pain management advice</w:t>
      </w:r>
      <w:r w:rsidR="00032B1F" w:rsidRPr="00032B1F">
        <w:rPr>
          <w:rFonts w:ascii="Arial" w:eastAsia="Times New Roman" w:hAnsi="Arial"/>
          <w:szCs w:val="22"/>
          <w:lang w:val="en" w:eastAsia="en-NZ"/>
        </w:rPr>
        <w:t xml:space="preserve"> including </w:t>
      </w:r>
      <w:r w:rsidRPr="00032B1F">
        <w:rPr>
          <w:rFonts w:ascii="Arial" w:eastAsia="Times New Roman" w:hAnsi="Arial"/>
          <w:szCs w:val="22"/>
          <w:lang w:val="en" w:eastAsia="en-NZ"/>
        </w:rPr>
        <w:t xml:space="preserve">non-pharmacological pain management, </w:t>
      </w:r>
    </w:p>
    <w:p w14:paraId="7200C1CA" w14:textId="7B43C7A1" w:rsidR="00032B1F" w:rsidRPr="00FE5C25" w:rsidRDefault="00032B1F" w:rsidP="00FE5C25">
      <w:pPr>
        <w:pStyle w:val="ListParagraph"/>
        <w:numPr>
          <w:ilvl w:val="0"/>
          <w:numId w:val="8"/>
        </w:numPr>
        <w:shd w:val="clear" w:color="auto" w:fill="FFFFFF"/>
        <w:spacing w:before="240" w:after="240" w:line="276" w:lineRule="atLeast"/>
        <w:outlineLvl w:val="1"/>
        <w:rPr>
          <w:rFonts w:ascii="Arial" w:eastAsia="Times New Roman" w:hAnsi="Arial"/>
          <w:szCs w:val="22"/>
          <w:lang w:val="en" w:eastAsia="en-NZ"/>
        </w:rPr>
      </w:pPr>
      <w:proofErr w:type="spellStart"/>
      <w:r>
        <w:rPr>
          <w:rFonts w:ascii="Arial" w:eastAsia="Times New Roman" w:hAnsi="Arial"/>
          <w:szCs w:val="22"/>
          <w:lang w:val="en" w:eastAsia="en-NZ"/>
        </w:rPr>
        <w:t>Explantation</w:t>
      </w:r>
      <w:proofErr w:type="spellEnd"/>
      <w:r>
        <w:rPr>
          <w:rFonts w:ascii="Arial" w:eastAsia="Times New Roman" w:hAnsi="Arial"/>
          <w:szCs w:val="22"/>
          <w:lang w:val="en" w:eastAsia="en-NZ"/>
        </w:rPr>
        <w:t xml:space="preserve"> – </w:t>
      </w:r>
      <w:r w:rsidR="00CA115C">
        <w:rPr>
          <w:rFonts w:ascii="Arial" w:eastAsia="Times New Roman" w:hAnsi="Arial"/>
          <w:szCs w:val="22"/>
          <w:lang w:val="en" w:eastAsia="en-NZ"/>
        </w:rPr>
        <w:t xml:space="preserve">mesh excision, including complex </w:t>
      </w:r>
      <w:r>
        <w:rPr>
          <w:rFonts w:ascii="Arial" w:eastAsia="Times New Roman" w:hAnsi="Arial"/>
          <w:szCs w:val="22"/>
          <w:lang w:val="en" w:eastAsia="en-NZ"/>
        </w:rPr>
        <w:t xml:space="preserve">removal, patient selection and follow-up care. </w:t>
      </w:r>
    </w:p>
    <w:p w14:paraId="3A53C40F" w14:textId="6AFD8D26" w:rsidR="000A209C" w:rsidRDefault="00032B1F" w:rsidP="00032B1F">
      <w:pPr>
        <w:pStyle w:val="ListParagraph"/>
        <w:numPr>
          <w:ilvl w:val="0"/>
          <w:numId w:val="7"/>
        </w:numPr>
        <w:shd w:val="clear" w:color="auto" w:fill="FFFFFF"/>
        <w:spacing w:before="240" w:after="240" w:line="276" w:lineRule="atLeast"/>
        <w:outlineLvl w:val="1"/>
        <w:rPr>
          <w:rFonts w:ascii="Arial" w:eastAsia="Times New Roman" w:hAnsi="Arial"/>
          <w:szCs w:val="22"/>
          <w:lang w:val="en" w:eastAsia="en-NZ"/>
        </w:rPr>
      </w:pPr>
      <w:r>
        <w:rPr>
          <w:rFonts w:ascii="Arial" w:eastAsia="Times New Roman" w:hAnsi="Arial"/>
          <w:szCs w:val="22"/>
          <w:lang w:val="en" w:eastAsia="en-NZ"/>
        </w:rPr>
        <w:t xml:space="preserve">Develop effective and efficient ways to deliver information and education. This may include a mixture of approaches ranging from virtual seminars, online interactive material, and face-to-face meeting. </w:t>
      </w:r>
    </w:p>
    <w:p w14:paraId="1C1CC7F1" w14:textId="1296BE54" w:rsidR="00032B1F" w:rsidRPr="00FE5C25" w:rsidRDefault="00FE5C25" w:rsidP="00FE5C25">
      <w:pPr>
        <w:pStyle w:val="ListParagraph"/>
        <w:numPr>
          <w:ilvl w:val="0"/>
          <w:numId w:val="7"/>
        </w:numPr>
        <w:shd w:val="clear" w:color="auto" w:fill="FFFFFF"/>
        <w:spacing w:before="240" w:after="240" w:line="276" w:lineRule="atLeast"/>
        <w:outlineLvl w:val="1"/>
        <w:rPr>
          <w:rFonts w:ascii="Arial" w:eastAsia="Times New Roman" w:hAnsi="Arial"/>
          <w:szCs w:val="22"/>
          <w:lang w:val="en" w:eastAsia="en-NZ"/>
        </w:rPr>
      </w:pPr>
      <w:r>
        <w:rPr>
          <w:rFonts w:ascii="Arial" w:eastAsia="Times New Roman" w:hAnsi="Arial"/>
          <w:szCs w:val="22"/>
          <w:lang w:val="en" w:eastAsia="en-NZ"/>
        </w:rPr>
        <w:t xml:space="preserve">Ensure the content and delivery approaches used are complementary to other key Ministry-led </w:t>
      </w:r>
      <w:r w:rsidR="00A524D1">
        <w:rPr>
          <w:rFonts w:ascii="Arial" w:eastAsia="Times New Roman" w:hAnsi="Arial"/>
          <w:szCs w:val="22"/>
          <w:lang w:val="en" w:eastAsia="en-NZ"/>
        </w:rPr>
        <w:t xml:space="preserve">Mesh </w:t>
      </w:r>
      <w:r>
        <w:rPr>
          <w:rFonts w:ascii="Arial" w:eastAsia="Times New Roman" w:hAnsi="Arial"/>
          <w:szCs w:val="22"/>
          <w:lang w:val="en" w:eastAsia="en-NZ"/>
        </w:rPr>
        <w:t xml:space="preserve">projects including credentialing of surgeons and </w:t>
      </w:r>
      <w:r w:rsidR="00B83B63">
        <w:rPr>
          <w:rFonts w:ascii="Arial" w:eastAsia="Times New Roman" w:hAnsi="Arial"/>
          <w:szCs w:val="22"/>
          <w:lang w:val="en" w:eastAsia="en-NZ"/>
        </w:rPr>
        <w:t>services,</w:t>
      </w:r>
      <w:r>
        <w:rPr>
          <w:rFonts w:ascii="Arial" w:eastAsia="Times New Roman" w:hAnsi="Arial"/>
          <w:szCs w:val="22"/>
          <w:lang w:val="en" w:eastAsia="en-NZ"/>
        </w:rPr>
        <w:t xml:space="preserve"> and specialist multidisciplinary mesh services.</w:t>
      </w:r>
    </w:p>
    <w:p w14:paraId="587FB24F" w14:textId="78F6235E" w:rsidR="00032B1F" w:rsidRDefault="009C4659" w:rsidP="00032B1F">
      <w:pPr>
        <w:pStyle w:val="ListParagraph"/>
        <w:numPr>
          <w:ilvl w:val="0"/>
          <w:numId w:val="7"/>
        </w:numPr>
        <w:shd w:val="clear" w:color="auto" w:fill="FFFFFF"/>
        <w:spacing w:before="240" w:after="240" w:line="276" w:lineRule="atLeast"/>
        <w:outlineLvl w:val="1"/>
        <w:rPr>
          <w:rFonts w:ascii="Arial" w:eastAsia="Times New Roman" w:hAnsi="Arial"/>
          <w:szCs w:val="22"/>
          <w:lang w:val="en" w:eastAsia="en-NZ"/>
        </w:rPr>
      </w:pPr>
      <w:r>
        <w:rPr>
          <w:rFonts w:ascii="Arial" w:hAnsi="Arial"/>
          <w:color w:val="000000"/>
          <w:shd w:val="clear" w:color="auto" w:fill="FFFFFF"/>
        </w:rPr>
        <w:t xml:space="preserve">Facilitate the co-implementation of the education and </w:t>
      </w:r>
      <w:r w:rsidR="006F27BA">
        <w:rPr>
          <w:rFonts w:ascii="Arial" w:hAnsi="Arial"/>
          <w:color w:val="000000"/>
          <w:shd w:val="clear" w:color="auto" w:fill="FFFFFF"/>
        </w:rPr>
        <w:t xml:space="preserve">harm </w:t>
      </w:r>
      <w:r>
        <w:rPr>
          <w:rFonts w:ascii="Arial" w:hAnsi="Arial"/>
          <w:color w:val="000000"/>
          <w:shd w:val="clear" w:color="auto" w:fill="FFFFFF"/>
        </w:rPr>
        <w:t>prevention programme across all relevant parts of the health sector and with input from consumers.</w:t>
      </w:r>
      <w:r w:rsidR="00F64889">
        <w:rPr>
          <w:rFonts w:ascii="Arial" w:hAnsi="Arial"/>
          <w:color w:val="000000"/>
          <w:shd w:val="clear" w:color="auto" w:fill="FFFFFF"/>
        </w:rPr>
        <w:t xml:space="preserve"> </w:t>
      </w:r>
    </w:p>
    <w:p w14:paraId="0FECB7FF" w14:textId="4D2BB190" w:rsidR="00032B1F" w:rsidRDefault="00032B1F" w:rsidP="00032B1F">
      <w:pPr>
        <w:pStyle w:val="ListParagraph"/>
        <w:numPr>
          <w:ilvl w:val="0"/>
          <w:numId w:val="7"/>
        </w:numPr>
        <w:shd w:val="clear" w:color="auto" w:fill="FFFFFF"/>
        <w:spacing w:before="240" w:after="240" w:line="276" w:lineRule="atLeast"/>
        <w:outlineLvl w:val="1"/>
        <w:rPr>
          <w:rFonts w:ascii="Arial" w:eastAsia="Times New Roman" w:hAnsi="Arial"/>
          <w:szCs w:val="22"/>
          <w:lang w:val="en" w:eastAsia="en-NZ"/>
        </w:rPr>
      </w:pPr>
      <w:r>
        <w:rPr>
          <w:rFonts w:ascii="Arial" w:eastAsia="Times New Roman" w:hAnsi="Arial"/>
          <w:szCs w:val="22"/>
          <w:lang w:val="en" w:eastAsia="en-NZ"/>
        </w:rPr>
        <w:t xml:space="preserve">Develop a process to evaluate the </w:t>
      </w:r>
      <w:r w:rsidR="00FE5C25">
        <w:rPr>
          <w:rFonts w:ascii="Arial" w:eastAsia="Times New Roman" w:hAnsi="Arial"/>
          <w:szCs w:val="22"/>
          <w:lang w:val="en" w:eastAsia="en-NZ"/>
        </w:rPr>
        <w:t>impact of the p</w:t>
      </w:r>
      <w:r w:rsidR="00962A77">
        <w:rPr>
          <w:rFonts w:ascii="Arial" w:eastAsia="Times New Roman" w:hAnsi="Arial"/>
          <w:szCs w:val="22"/>
          <w:lang w:val="en" w:eastAsia="en-NZ"/>
        </w:rPr>
        <w:t>rogramme</w:t>
      </w:r>
      <w:r w:rsidR="00FE5C25">
        <w:rPr>
          <w:rFonts w:ascii="Arial" w:eastAsia="Times New Roman" w:hAnsi="Arial"/>
          <w:szCs w:val="22"/>
          <w:lang w:val="en" w:eastAsia="en-NZ"/>
        </w:rPr>
        <w:t>.</w:t>
      </w:r>
    </w:p>
    <w:p w14:paraId="4608EDC4" w14:textId="670F07D3" w:rsidR="00032B1F" w:rsidRPr="00FE5C25" w:rsidRDefault="00FE5C25" w:rsidP="00032B1F">
      <w:pPr>
        <w:pStyle w:val="ListParagraph"/>
        <w:numPr>
          <w:ilvl w:val="0"/>
          <w:numId w:val="7"/>
        </w:numPr>
        <w:shd w:val="clear" w:color="auto" w:fill="FFFFFF"/>
        <w:spacing w:before="240" w:after="240" w:line="276" w:lineRule="atLeast"/>
        <w:outlineLvl w:val="1"/>
        <w:rPr>
          <w:rFonts w:ascii="Arial" w:eastAsia="Times New Roman" w:hAnsi="Arial"/>
          <w:szCs w:val="22"/>
          <w:lang w:val="en" w:eastAsia="en-NZ"/>
        </w:rPr>
      </w:pPr>
      <w:r>
        <w:rPr>
          <w:rFonts w:ascii="Arial" w:eastAsia="Times New Roman" w:hAnsi="Arial"/>
          <w:szCs w:val="22"/>
          <w:lang w:val="en" w:eastAsia="en-NZ"/>
        </w:rPr>
        <w:t>Establish a s</w:t>
      </w:r>
      <w:r w:rsidR="00032B1F">
        <w:rPr>
          <w:rFonts w:ascii="Arial" w:eastAsia="Times New Roman" w:hAnsi="Arial"/>
          <w:szCs w:val="22"/>
          <w:lang w:val="en" w:eastAsia="en-NZ"/>
        </w:rPr>
        <w:t xml:space="preserve">ustainable transfer </w:t>
      </w:r>
      <w:r w:rsidR="001852FA">
        <w:rPr>
          <w:rFonts w:ascii="Arial" w:eastAsia="Times New Roman" w:hAnsi="Arial"/>
          <w:szCs w:val="22"/>
          <w:lang w:val="en" w:eastAsia="en-NZ"/>
        </w:rPr>
        <w:t xml:space="preserve">of the </w:t>
      </w:r>
      <w:r w:rsidR="00744E82">
        <w:rPr>
          <w:rFonts w:ascii="Arial" w:eastAsia="Times New Roman" w:hAnsi="Arial"/>
          <w:szCs w:val="22"/>
          <w:lang w:val="en" w:eastAsia="en-NZ"/>
        </w:rPr>
        <w:t xml:space="preserve">education and harm prevention </w:t>
      </w:r>
      <w:proofErr w:type="spellStart"/>
      <w:r w:rsidR="001852FA">
        <w:rPr>
          <w:rFonts w:ascii="Arial" w:eastAsia="Times New Roman" w:hAnsi="Arial"/>
          <w:szCs w:val="22"/>
          <w:lang w:val="en" w:eastAsia="en-NZ"/>
        </w:rPr>
        <w:t>programme</w:t>
      </w:r>
      <w:proofErr w:type="spellEnd"/>
      <w:r w:rsidR="001852FA">
        <w:rPr>
          <w:rFonts w:ascii="Arial" w:eastAsia="Times New Roman" w:hAnsi="Arial"/>
          <w:szCs w:val="22"/>
          <w:lang w:val="en" w:eastAsia="en-NZ"/>
        </w:rPr>
        <w:t xml:space="preserve"> </w:t>
      </w:r>
      <w:r w:rsidR="00744E82">
        <w:rPr>
          <w:rFonts w:ascii="Arial" w:eastAsia="Times New Roman" w:hAnsi="Arial"/>
          <w:szCs w:val="22"/>
          <w:lang w:val="en" w:eastAsia="en-NZ"/>
        </w:rPr>
        <w:t xml:space="preserve">  to be </w:t>
      </w:r>
      <w:proofErr w:type="spellStart"/>
      <w:r w:rsidR="00744E82">
        <w:rPr>
          <w:rFonts w:ascii="Arial" w:eastAsia="Times New Roman" w:hAnsi="Arial"/>
          <w:szCs w:val="22"/>
          <w:lang w:val="en" w:eastAsia="en-NZ"/>
        </w:rPr>
        <w:t>utili</w:t>
      </w:r>
      <w:r w:rsidR="00942F84">
        <w:rPr>
          <w:rFonts w:ascii="Arial" w:eastAsia="Times New Roman" w:hAnsi="Arial"/>
          <w:szCs w:val="22"/>
          <w:lang w:val="en" w:eastAsia="en-NZ"/>
        </w:rPr>
        <w:t>s</w:t>
      </w:r>
      <w:r w:rsidR="00744E82">
        <w:rPr>
          <w:rFonts w:ascii="Arial" w:eastAsia="Times New Roman" w:hAnsi="Arial"/>
          <w:szCs w:val="22"/>
          <w:lang w:val="en" w:eastAsia="en-NZ"/>
        </w:rPr>
        <w:t>ed</w:t>
      </w:r>
      <w:proofErr w:type="spellEnd"/>
      <w:r w:rsidR="00744E82">
        <w:rPr>
          <w:rFonts w:ascii="Arial" w:eastAsia="Times New Roman" w:hAnsi="Arial"/>
          <w:szCs w:val="22"/>
          <w:lang w:val="en" w:eastAsia="en-NZ"/>
        </w:rPr>
        <w:t xml:space="preserve"> as </w:t>
      </w:r>
      <w:r w:rsidR="00B53381">
        <w:rPr>
          <w:rFonts w:ascii="Arial" w:eastAsia="Times New Roman" w:hAnsi="Arial"/>
          <w:szCs w:val="22"/>
          <w:lang w:val="en" w:eastAsia="en-NZ"/>
        </w:rPr>
        <w:t>everyday</w:t>
      </w:r>
      <w:r w:rsidR="00744E82">
        <w:rPr>
          <w:rFonts w:ascii="Arial" w:eastAsia="Times New Roman" w:hAnsi="Arial"/>
          <w:szCs w:val="22"/>
          <w:lang w:val="en" w:eastAsia="en-NZ"/>
        </w:rPr>
        <w:t xml:space="preserve"> practice</w:t>
      </w:r>
      <w:r w:rsidR="004A34BB">
        <w:rPr>
          <w:rFonts w:ascii="Arial" w:eastAsia="Times New Roman" w:hAnsi="Arial"/>
          <w:szCs w:val="22"/>
          <w:lang w:val="en" w:eastAsia="en-NZ"/>
        </w:rPr>
        <w:t xml:space="preserve"> </w:t>
      </w:r>
      <w:r w:rsidR="00744E82">
        <w:rPr>
          <w:rFonts w:ascii="Arial" w:eastAsia="Times New Roman" w:hAnsi="Arial"/>
          <w:szCs w:val="22"/>
          <w:lang w:val="en" w:eastAsia="en-NZ"/>
        </w:rPr>
        <w:t>in both the public and private sector.</w:t>
      </w:r>
    </w:p>
    <w:p w14:paraId="58C2A456" w14:textId="3FF01B48" w:rsidR="006B5538" w:rsidRPr="00A007F1" w:rsidRDefault="007A2BA1" w:rsidP="0017234E">
      <w:pPr>
        <w:spacing w:before="360"/>
        <w:rPr>
          <w:rFonts w:ascii="Arial" w:hAnsi="Arial"/>
          <w:b/>
          <w:sz w:val="24"/>
          <w:szCs w:val="24"/>
        </w:rPr>
      </w:pPr>
      <w:r w:rsidRPr="007A2BA1">
        <w:rPr>
          <w:rFonts w:ascii="Arial" w:hAnsi="Arial"/>
          <w:b/>
          <w:sz w:val="24"/>
          <w:szCs w:val="24"/>
        </w:rPr>
        <w:t xml:space="preserve">Membership </w:t>
      </w:r>
    </w:p>
    <w:p w14:paraId="16DFC140" w14:textId="77777777" w:rsidR="00DA3A46" w:rsidRPr="00DA3A46" w:rsidRDefault="00DA3A46" w:rsidP="00DA3A46">
      <w:pPr>
        <w:spacing w:after="120"/>
        <w:jc w:val="both"/>
        <w:rPr>
          <w:rFonts w:ascii="Arial" w:hAnsi="Arial"/>
          <w:bCs/>
          <w:szCs w:val="22"/>
        </w:rPr>
      </w:pPr>
      <w:r w:rsidRPr="00DA3A46">
        <w:rPr>
          <w:rFonts w:ascii="Arial" w:hAnsi="Arial"/>
          <w:szCs w:val="22"/>
        </w:rPr>
        <w:t xml:space="preserve">Members have been nominated by stakeholder organisations and groups. </w:t>
      </w:r>
      <w:r w:rsidRPr="00DA3A46">
        <w:rPr>
          <w:rFonts w:ascii="Arial" w:hAnsi="Arial"/>
          <w:bCs/>
          <w:szCs w:val="22"/>
        </w:rPr>
        <w:t>Collectively the membership will have the following expertise and attributes:</w:t>
      </w:r>
    </w:p>
    <w:p w14:paraId="21057E5B" w14:textId="77777777" w:rsidR="00DA3A46" w:rsidRPr="00DA3A46" w:rsidRDefault="00DA3A46" w:rsidP="00DA3A46">
      <w:pPr>
        <w:numPr>
          <w:ilvl w:val="0"/>
          <w:numId w:val="4"/>
        </w:numPr>
        <w:spacing w:after="120" w:line="240" w:lineRule="auto"/>
        <w:ind w:left="567"/>
        <w:contextualSpacing/>
        <w:jc w:val="both"/>
        <w:rPr>
          <w:rFonts w:ascii="Arial" w:eastAsia="Times New Roman" w:hAnsi="Arial"/>
          <w:bCs/>
          <w:szCs w:val="22"/>
          <w:lang w:eastAsia="en-GB"/>
        </w:rPr>
      </w:pPr>
      <w:r w:rsidRPr="00DA3A46">
        <w:rPr>
          <w:rFonts w:ascii="Arial" w:eastAsia="Times New Roman" w:hAnsi="Arial"/>
          <w:bCs/>
          <w:szCs w:val="22"/>
          <w:lang w:eastAsia="en-GB"/>
        </w:rPr>
        <w:t>Clinical expertise in the disciplines of Gynaecology, Urology and Continence</w:t>
      </w:r>
    </w:p>
    <w:p w14:paraId="6ACD352F" w14:textId="57C85E92" w:rsidR="00DA3A46" w:rsidRPr="00DA3A46" w:rsidRDefault="00DA3A46" w:rsidP="00DA3A46">
      <w:pPr>
        <w:numPr>
          <w:ilvl w:val="0"/>
          <w:numId w:val="4"/>
        </w:numPr>
        <w:spacing w:after="120" w:line="240" w:lineRule="auto"/>
        <w:ind w:left="567"/>
        <w:contextualSpacing/>
        <w:jc w:val="both"/>
        <w:rPr>
          <w:rFonts w:ascii="Arial" w:eastAsia="Times New Roman" w:hAnsi="Arial"/>
          <w:bCs/>
          <w:szCs w:val="22"/>
          <w:lang w:eastAsia="en-GB"/>
        </w:rPr>
      </w:pPr>
      <w:r w:rsidRPr="00DA3A46">
        <w:rPr>
          <w:rFonts w:ascii="Arial" w:eastAsia="Times New Roman" w:hAnsi="Arial"/>
          <w:bCs/>
          <w:szCs w:val="22"/>
          <w:lang w:eastAsia="en-GB"/>
        </w:rPr>
        <w:t xml:space="preserve">Knowledge of </w:t>
      </w:r>
      <w:r w:rsidR="00D2060E">
        <w:rPr>
          <w:rFonts w:ascii="Arial" w:eastAsia="Times New Roman" w:hAnsi="Arial"/>
          <w:bCs/>
          <w:szCs w:val="22"/>
          <w:lang w:eastAsia="en-GB"/>
        </w:rPr>
        <w:t>e</w:t>
      </w:r>
      <w:r w:rsidR="00D92836">
        <w:rPr>
          <w:rFonts w:ascii="Arial" w:eastAsia="Times New Roman" w:hAnsi="Arial"/>
          <w:bCs/>
          <w:szCs w:val="22"/>
          <w:lang w:eastAsia="en-GB"/>
        </w:rPr>
        <w:t xml:space="preserve">ducation and </w:t>
      </w:r>
      <w:r w:rsidR="00D2060E">
        <w:rPr>
          <w:rFonts w:ascii="Arial" w:eastAsia="Times New Roman" w:hAnsi="Arial"/>
          <w:bCs/>
          <w:szCs w:val="22"/>
          <w:lang w:eastAsia="en-GB"/>
        </w:rPr>
        <w:t>t</w:t>
      </w:r>
      <w:r w:rsidR="00D92836">
        <w:rPr>
          <w:rFonts w:ascii="Arial" w:eastAsia="Times New Roman" w:hAnsi="Arial"/>
          <w:bCs/>
          <w:szCs w:val="22"/>
          <w:lang w:eastAsia="en-GB"/>
        </w:rPr>
        <w:t xml:space="preserve">raining </w:t>
      </w:r>
      <w:r w:rsidRPr="00DA3A46">
        <w:rPr>
          <w:rFonts w:ascii="Arial" w:eastAsia="Times New Roman" w:hAnsi="Arial"/>
          <w:bCs/>
          <w:szCs w:val="22"/>
          <w:lang w:eastAsia="en-GB"/>
        </w:rPr>
        <w:t>process</w:t>
      </w:r>
      <w:r w:rsidR="00D2060E">
        <w:rPr>
          <w:rFonts w:ascii="Arial" w:eastAsia="Times New Roman" w:hAnsi="Arial"/>
          <w:bCs/>
          <w:szCs w:val="22"/>
          <w:lang w:eastAsia="en-GB"/>
        </w:rPr>
        <w:t>es</w:t>
      </w:r>
      <w:r w:rsidRPr="00DA3A46">
        <w:rPr>
          <w:rFonts w:ascii="Arial" w:eastAsia="Times New Roman" w:hAnsi="Arial"/>
          <w:bCs/>
          <w:szCs w:val="22"/>
          <w:lang w:eastAsia="en-GB"/>
        </w:rPr>
        <w:t xml:space="preserve"> for </w:t>
      </w:r>
      <w:r w:rsidR="00521B0F">
        <w:rPr>
          <w:rFonts w:ascii="Arial" w:eastAsia="Times New Roman" w:hAnsi="Arial"/>
          <w:bCs/>
          <w:szCs w:val="22"/>
          <w:lang w:eastAsia="en-GB"/>
        </w:rPr>
        <w:t>the clinical spe</w:t>
      </w:r>
      <w:r w:rsidR="0087488B">
        <w:rPr>
          <w:rFonts w:ascii="Arial" w:eastAsia="Times New Roman" w:hAnsi="Arial"/>
          <w:bCs/>
          <w:szCs w:val="22"/>
          <w:lang w:eastAsia="en-GB"/>
        </w:rPr>
        <w:t>cialties providing care and treatment</w:t>
      </w:r>
      <w:r w:rsidR="00D2060E">
        <w:rPr>
          <w:rFonts w:ascii="Arial" w:eastAsia="Times New Roman" w:hAnsi="Arial"/>
          <w:bCs/>
          <w:szCs w:val="22"/>
          <w:lang w:eastAsia="en-GB"/>
        </w:rPr>
        <w:t xml:space="preserve"> to women with pelvic floor conditions</w:t>
      </w:r>
    </w:p>
    <w:p w14:paraId="5D7E3AE4" w14:textId="77777777" w:rsidR="00DA3A46" w:rsidRPr="00DA3A46" w:rsidRDefault="00DA3A46" w:rsidP="00DA3A46">
      <w:pPr>
        <w:numPr>
          <w:ilvl w:val="0"/>
          <w:numId w:val="4"/>
        </w:numPr>
        <w:spacing w:after="120" w:line="240" w:lineRule="auto"/>
        <w:ind w:left="567"/>
        <w:contextualSpacing/>
        <w:jc w:val="both"/>
        <w:rPr>
          <w:rFonts w:ascii="Arial" w:eastAsia="Times New Roman" w:hAnsi="Arial"/>
          <w:bCs/>
          <w:szCs w:val="22"/>
          <w:lang w:eastAsia="en-GB"/>
        </w:rPr>
      </w:pPr>
      <w:r w:rsidRPr="00DA3A46">
        <w:rPr>
          <w:rFonts w:ascii="Arial" w:eastAsia="Times New Roman" w:hAnsi="Arial"/>
          <w:bCs/>
          <w:szCs w:val="22"/>
          <w:lang w:eastAsia="en-GB"/>
        </w:rPr>
        <w:t>Consumer perspective</w:t>
      </w:r>
    </w:p>
    <w:p w14:paraId="4EA62F8B" w14:textId="5EA5DB90" w:rsidR="00DA3A46" w:rsidRDefault="00DA3A46" w:rsidP="00DA3A46">
      <w:pPr>
        <w:numPr>
          <w:ilvl w:val="0"/>
          <w:numId w:val="4"/>
        </w:numPr>
        <w:shd w:val="clear" w:color="auto" w:fill="FFFFFF"/>
        <w:spacing w:after="120" w:line="240" w:lineRule="auto"/>
        <w:ind w:left="567"/>
        <w:contextualSpacing/>
        <w:jc w:val="both"/>
        <w:rPr>
          <w:rFonts w:ascii="Arial" w:hAnsi="Arial"/>
          <w:szCs w:val="22"/>
          <w:lang w:val="en" w:eastAsia="en-NZ"/>
        </w:rPr>
      </w:pPr>
      <w:r w:rsidRPr="00DA3A46">
        <w:rPr>
          <w:rFonts w:ascii="Arial" w:hAnsi="Arial"/>
          <w:szCs w:val="22"/>
          <w:lang w:val="en" w:eastAsia="en-NZ"/>
        </w:rPr>
        <w:t xml:space="preserve">Knowledge of and expertise in the obligations of the Crown under the Treaty of Waitangi and </w:t>
      </w:r>
      <w:r w:rsidRPr="00DA3A46">
        <w:rPr>
          <w:rFonts w:ascii="Arial" w:eastAsia="Times New Roman" w:hAnsi="Arial"/>
          <w:szCs w:val="22"/>
          <w:lang w:val="en" w:eastAsia="en-NZ"/>
        </w:rPr>
        <w:t>improving equity in access to services and outcomes</w:t>
      </w:r>
      <w:r w:rsidRPr="00DA3A46">
        <w:rPr>
          <w:rFonts w:ascii="Arial" w:hAnsi="Arial"/>
          <w:szCs w:val="22"/>
          <w:lang w:val="en" w:eastAsia="en-NZ"/>
        </w:rPr>
        <w:t>.</w:t>
      </w:r>
    </w:p>
    <w:p w14:paraId="1BE51D4C" w14:textId="77777777" w:rsidR="00482CA8" w:rsidRPr="00DA3A46" w:rsidRDefault="00482CA8" w:rsidP="00A57882">
      <w:pPr>
        <w:shd w:val="clear" w:color="auto" w:fill="FFFFFF"/>
        <w:spacing w:after="120" w:line="240" w:lineRule="auto"/>
        <w:ind w:left="207"/>
        <w:contextualSpacing/>
        <w:jc w:val="both"/>
        <w:rPr>
          <w:rFonts w:ascii="Arial" w:hAnsi="Arial"/>
          <w:szCs w:val="22"/>
          <w:lang w:val="en" w:eastAsia="en-NZ"/>
        </w:rPr>
      </w:pPr>
    </w:p>
    <w:p w14:paraId="30E8F895" w14:textId="3B6DB37D" w:rsidR="00FE659E" w:rsidRPr="00565213" w:rsidRDefault="00615453" w:rsidP="00E73811">
      <w:pPr>
        <w:shd w:val="clear" w:color="auto" w:fill="FFFFFF"/>
        <w:spacing w:after="120" w:line="240" w:lineRule="auto"/>
        <w:contextualSpacing/>
        <w:jc w:val="both"/>
        <w:rPr>
          <w:rFonts w:ascii="Arial" w:hAnsi="Arial"/>
          <w:szCs w:val="22"/>
          <w:u w:val="single"/>
          <w:lang w:val="en" w:eastAsia="en-NZ"/>
        </w:rPr>
      </w:pPr>
      <w:r w:rsidRPr="00565213">
        <w:rPr>
          <w:rFonts w:ascii="Arial" w:hAnsi="Arial"/>
          <w:szCs w:val="22"/>
          <w:u w:val="single"/>
          <w:lang w:val="en" w:eastAsia="en-NZ"/>
        </w:rPr>
        <w:t>Members</w:t>
      </w:r>
      <w:r w:rsidR="00FD30CB">
        <w:rPr>
          <w:rFonts w:ascii="Arial" w:hAnsi="Arial"/>
          <w:szCs w:val="22"/>
          <w:u w:val="single"/>
          <w:lang w:val="en" w:eastAsia="en-NZ"/>
        </w:rPr>
        <w:t>hip will</w:t>
      </w:r>
      <w:r w:rsidRPr="00565213">
        <w:rPr>
          <w:rFonts w:ascii="Arial" w:hAnsi="Arial"/>
          <w:szCs w:val="22"/>
          <w:u w:val="single"/>
          <w:lang w:val="en" w:eastAsia="en-NZ"/>
        </w:rPr>
        <w:t xml:space="preserve"> include</w:t>
      </w:r>
      <w:r w:rsidR="00565213">
        <w:rPr>
          <w:rFonts w:ascii="Arial" w:hAnsi="Arial"/>
          <w:szCs w:val="22"/>
          <w:u w:val="single"/>
          <w:lang w:val="en" w:eastAsia="en-NZ"/>
        </w:rPr>
        <w:t>:</w:t>
      </w:r>
    </w:p>
    <w:p w14:paraId="780C1E1D" w14:textId="77777777" w:rsidR="00D8571F" w:rsidRPr="00FE659E" w:rsidRDefault="00D8571F" w:rsidP="00E73811">
      <w:pPr>
        <w:shd w:val="clear" w:color="auto" w:fill="FFFFFF"/>
        <w:spacing w:after="120" w:line="240" w:lineRule="auto"/>
        <w:contextualSpacing/>
        <w:jc w:val="both"/>
        <w:rPr>
          <w:rFonts w:ascii="Arial" w:hAnsi="Arial"/>
          <w:szCs w:val="22"/>
          <w:lang w:val="en" w:eastAsia="en-NZ"/>
        </w:rPr>
      </w:pPr>
    </w:p>
    <w:p w14:paraId="73F22004" w14:textId="6F74CC40" w:rsidR="008A328D" w:rsidRPr="00805314" w:rsidRDefault="00FD30CB" w:rsidP="00805314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805314">
        <w:rPr>
          <w:rFonts w:ascii="Arial" w:hAnsi="Arial"/>
        </w:rPr>
        <w:t>Ministry of Health (MOH)</w:t>
      </w:r>
      <w:r w:rsidR="00805314">
        <w:rPr>
          <w:rFonts w:ascii="Arial" w:hAnsi="Arial"/>
        </w:rPr>
        <w:t xml:space="preserve"> </w:t>
      </w:r>
    </w:p>
    <w:p w14:paraId="2292A36C" w14:textId="3B93EF74" w:rsidR="00FD30CB" w:rsidRPr="00805314" w:rsidRDefault="00FD30CB" w:rsidP="00805314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805314">
        <w:rPr>
          <w:rFonts w:ascii="Arial" w:hAnsi="Arial"/>
        </w:rPr>
        <w:t>Accident Compensation Corporation (ACC)</w:t>
      </w:r>
      <w:r w:rsidR="00805314">
        <w:rPr>
          <w:rFonts w:ascii="Arial" w:hAnsi="Arial"/>
        </w:rPr>
        <w:t xml:space="preserve"> – </w:t>
      </w:r>
      <w:r w:rsidR="00217F3B">
        <w:rPr>
          <w:rFonts w:ascii="Arial" w:hAnsi="Arial"/>
        </w:rPr>
        <w:t xml:space="preserve">from </w:t>
      </w:r>
      <w:r w:rsidR="00A57882">
        <w:rPr>
          <w:rFonts w:ascii="Arial" w:hAnsi="Arial"/>
        </w:rPr>
        <w:t xml:space="preserve">the </w:t>
      </w:r>
      <w:r w:rsidR="00805314">
        <w:rPr>
          <w:rFonts w:ascii="Arial" w:hAnsi="Arial"/>
        </w:rPr>
        <w:t>Treatment Safety</w:t>
      </w:r>
      <w:r w:rsidR="00217F3B">
        <w:rPr>
          <w:rFonts w:ascii="Arial" w:hAnsi="Arial"/>
        </w:rPr>
        <w:t xml:space="preserve"> and </w:t>
      </w:r>
      <w:r w:rsidR="00BB1C18">
        <w:rPr>
          <w:rFonts w:ascii="Arial" w:hAnsi="Arial"/>
        </w:rPr>
        <w:t xml:space="preserve">Injury prevention </w:t>
      </w:r>
      <w:r w:rsidR="00217F3B">
        <w:rPr>
          <w:rFonts w:ascii="Arial" w:hAnsi="Arial"/>
        </w:rPr>
        <w:t>teams</w:t>
      </w:r>
    </w:p>
    <w:p w14:paraId="4E79F6EF" w14:textId="79FF01FF" w:rsidR="00FD30CB" w:rsidRPr="00805314" w:rsidRDefault="00FD30CB" w:rsidP="00805314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805314">
        <w:rPr>
          <w:rFonts w:ascii="Arial" w:hAnsi="Arial"/>
        </w:rPr>
        <w:lastRenderedPageBreak/>
        <w:t>Mesh Down Under (MDU)</w:t>
      </w:r>
      <w:r w:rsidR="00805314">
        <w:rPr>
          <w:rFonts w:ascii="Arial" w:hAnsi="Arial"/>
        </w:rPr>
        <w:t xml:space="preserve"> </w:t>
      </w:r>
    </w:p>
    <w:p w14:paraId="23653CBB" w14:textId="46FC9809" w:rsidR="00FD30CB" w:rsidRDefault="00FD30CB" w:rsidP="00805314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805314">
        <w:rPr>
          <w:rFonts w:ascii="Arial" w:hAnsi="Arial"/>
        </w:rPr>
        <w:t>College Representatives</w:t>
      </w:r>
      <w:r w:rsidR="00A007F1">
        <w:rPr>
          <w:rFonts w:ascii="Arial" w:hAnsi="Arial"/>
        </w:rPr>
        <w:t xml:space="preserve"> – </w:t>
      </w:r>
      <w:r w:rsidR="009C08C5">
        <w:rPr>
          <w:rFonts w:ascii="Arial" w:hAnsi="Arial"/>
        </w:rPr>
        <w:t>RANZCOG</w:t>
      </w:r>
      <w:r w:rsidR="00967234">
        <w:rPr>
          <w:rFonts w:ascii="Arial" w:hAnsi="Arial"/>
        </w:rPr>
        <w:t>, RACS/USANZ, RNZCGP</w:t>
      </w:r>
      <w:r w:rsidR="00217F3B">
        <w:rPr>
          <w:rFonts w:ascii="Arial" w:hAnsi="Arial"/>
        </w:rPr>
        <w:t xml:space="preserve"> </w:t>
      </w:r>
    </w:p>
    <w:p w14:paraId="7C3C92EE" w14:textId="72F94A74" w:rsidR="007E4AB4" w:rsidRPr="00805314" w:rsidRDefault="00F40D3C" w:rsidP="00805314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Physiotherapy, Nursing, Pain Management</w:t>
      </w:r>
      <w:r w:rsidR="00614027">
        <w:rPr>
          <w:rFonts w:ascii="Arial" w:hAnsi="Arial"/>
        </w:rPr>
        <w:t xml:space="preserve"> and any other specialty involved </w:t>
      </w:r>
      <w:r w:rsidR="006E2656">
        <w:rPr>
          <w:rFonts w:ascii="Arial" w:hAnsi="Arial"/>
        </w:rPr>
        <w:t>in the provision of services to the mesh injured</w:t>
      </w:r>
    </w:p>
    <w:p w14:paraId="53FD7B03" w14:textId="5D9B455F" w:rsidR="004B55CC" w:rsidRPr="00805314" w:rsidRDefault="00037EE2" w:rsidP="00805314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Other c</w:t>
      </w:r>
      <w:r w:rsidR="004B55CC" w:rsidRPr="00805314">
        <w:rPr>
          <w:rFonts w:ascii="Arial" w:hAnsi="Arial"/>
        </w:rPr>
        <w:t>linical experts</w:t>
      </w:r>
    </w:p>
    <w:p w14:paraId="00168DA7" w14:textId="0FCC9ABB" w:rsidR="00D52A07" w:rsidRDefault="00BD4B44" w:rsidP="00CA797B">
      <w:pPr>
        <w:rPr>
          <w:rFonts w:ascii="Arial" w:hAnsi="Arial"/>
        </w:rPr>
      </w:pPr>
      <w:r>
        <w:rPr>
          <w:rFonts w:ascii="Arial" w:hAnsi="Arial"/>
        </w:rPr>
        <w:t>Clinical experts</w:t>
      </w:r>
      <w:r w:rsidR="00D52A07">
        <w:rPr>
          <w:rFonts w:ascii="Arial" w:hAnsi="Arial"/>
        </w:rPr>
        <w:t xml:space="preserve"> may be those </w:t>
      </w:r>
      <w:r w:rsidR="00921034">
        <w:rPr>
          <w:rFonts w:ascii="Arial" w:hAnsi="Arial"/>
        </w:rPr>
        <w:t>members/</w:t>
      </w:r>
      <w:r w:rsidR="00D52A07">
        <w:rPr>
          <w:rFonts w:ascii="Arial" w:hAnsi="Arial"/>
        </w:rPr>
        <w:t xml:space="preserve">representatives from the Colleges </w:t>
      </w:r>
      <w:r w:rsidR="00921034">
        <w:rPr>
          <w:rFonts w:ascii="Arial" w:hAnsi="Arial"/>
        </w:rPr>
        <w:t>on th</w:t>
      </w:r>
      <w:r w:rsidR="00F244B4">
        <w:rPr>
          <w:rFonts w:ascii="Arial" w:hAnsi="Arial"/>
        </w:rPr>
        <w:t>is</w:t>
      </w:r>
      <w:r w:rsidR="00921034">
        <w:rPr>
          <w:rFonts w:ascii="Arial" w:hAnsi="Arial"/>
        </w:rPr>
        <w:t xml:space="preserve"> Group </w:t>
      </w:r>
      <w:r w:rsidR="00D52A07">
        <w:rPr>
          <w:rFonts w:ascii="Arial" w:hAnsi="Arial"/>
        </w:rPr>
        <w:t xml:space="preserve">and/or </w:t>
      </w:r>
      <w:r w:rsidR="00D52A07" w:rsidRPr="00805314">
        <w:rPr>
          <w:rFonts w:ascii="Arial" w:hAnsi="Arial"/>
        </w:rPr>
        <w:t>may be shared with the credentialing and specialist services groups</w:t>
      </w:r>
      <w:r w:rsidR="00003024">
        <w:rPr>
          <w:rFonts w:ascii="Arial" w:hAnsi="Arial"/>
        </w:rPr>
        <w:t>.</w:t>
      </w:r>
    </w:p>
    <w:p w14:paraId="25B8A11F" w14:textId="504EF4EA" w:rsidR="00FD30CB" w:rsidRDefault="00332299" w:rsidP="00CA797B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4B55CC">
        <w:rPr>
          <w:rFonts w:ascii="Arial" w:hAnsi="Arial"/>
        </w:rPr>
        <w:t>G</w:t>
      </w:r>
      <w:r>
        <w:rPr>
          <w:rFonts w:ascii="Arial" w:hAnsi="Arial"/>
        </w:rPr>
        <w:t xml:space="preserve">roup will select a </w:t>
      </w:r>
      <w:r w:rsidR="004B55CC">
        <w:rPr>
          <w:rFonts w:ascii="Arial" w:hAnsi="Arial"/>
        </w:rPr>
        <w:t xml:space="preserve">Chair and be able to add or co-opt members for specific purposes. Some of these may become apparent as the work progresses, e.g. distance learning expertise. </w:t>
      </w:r>
    </w:p>
    <w:p w14:paraId="0C0A2261" w14:textId="465DF2FB" w:rsidR="000E48B2" w:rsidRDefault="000E48B2" w:rsidP="00CA797B">
      <w:pPr>
        <w:rPr>
          <w:rFonts w:ascii="Arial" w:hAnsi="Arial"/>
        </w:rPr>
      </w:pPr>
      <w:r>
        <w:rPr>
          <w:rFonts w:ascii="Arial" w:hAnsi="Arial"/>
        </w:rPr>
        <w:t xml:space="preserve">Members will be appointed for </w:t>
      </w:r>
      <w:r w:rsidR="00EB7318">
        <w:rPr>
          <w:rFonts w:ascii="Arial" w:hAnsi="Arial"/>
        </w:rPr>
        <w:t>the duration of the</w:t>
      </w:r>
      <w:r w:rsidR="0054347F">
        <w:rPr>
          <w:rFonts w:ascii="Arial" w:hAnsi="Arial"/>
        </w:rPr>
        <w:t xml:space="preserve"> work.</w:t>
      </w:r>
      <w:r>
        <w:rPr>
          <w:rFonts w:ascii="Arial" w:hAnsi="Arial"/>
        </w:rPr>
        <w:t xml:space="preserve"> </w:t>
      </w:r>
    </w:p>
    <w:p w14:paraId="3A6AB176" w14:textId="573C1D07" w:rsidR="004B55CC" w:rsidRDefault="004B55CC" w:rsidP="00CA797B">
      <w:pPr>
        <w:rPr>
          <w:rFonts w:ascii="Arial" w:hAnsi="Arial"/>
        </w:rPr>
      </w:pPr>
      <w:r>
        <w:rPr>
          <w:rFonts w:ascii="Arial" w:hAnsi="Arial"/>
        </w:rPr>
        <w:t xml:space="preserve">Members will be able to send a delegate with permission from the Chair, e.g. if they are unable to attend. </w:t>
      </w:r>
    </w:p>
    <w:p w14:paraId="330F5B8A" w14:textId="5DF60DFE" w:rsidR="00FD30CB" w:rsidRDefault="000E48B2" w:rsidP="000E48B2">
      <w:pPr>
        <w:rPr>
          <w:rFonts w:ascii="Arial" w:hAnsi="Arial"/>
        </w:rPr>
      </w:pPr>
      <w:r>
        <w:rPr>
          <w:rFonts w:ascii="Arial" w:hAnsi="Arial"/>
        </w:rPr>
        <w:t xml:space="preserve">If a member leaves their role, then a replacement member will be appointed.  </w:t>
      </w:r>
    </w:p>
    <w:p w14:paraId="15DFCFAA" w14:textId="77777777" w:rsidR="00E819B8" w:rsidRDefault="00E819B8" w:rsidP="007412A9">
      <w:pPr>
        <w:spacing w:after="120"/>
        <w:jc w:val="both"/>
        <w:rPr>
          <w:rFonts w:ascii="Arial" w:hAnsi="Arial"/>
        </w:rPr>
      </w:pPr>
    </w:p>
    <w:p w14:paraId="70CED3D9" w14:textId="7AB01DAC" w:rsidR="007412A9" w:rsidRPr="009E26A2" w:rsidRDefault="007412A9" w:rsidP="007412A9">
      <w:pPr>
        <w:spacing w:after="120"/>
        <w:jc w:val="both"/>
        <w:rPr>
          <w:rFonts w:ascii="Arial" w:hAnsi="Arial"/>
          <w:b/>
          <w:sz w:val="24"/>
          <w:szCs w:val="24"/>
        </w:rPr>
      </w:pPr>
      <w:r w:rsidRPr="009E26A2">
        <w:rPr>
          <w:rFonts w:ascii="Arial" w:hAnsi="Arial"/>
          <w:b/>
          <w:sz w:val="24"/>
          <w:szCs w:val="24"/>
        </w:rPr>
        <w:t>Meetings</w:t>
      </w:r>
      <w:r w:rsidR="00E20C64">
        <w:rPr>
          <w:rFonts w:ascii="Arial" w:hAnsi="Arial"/>
          <w:b/>
          <w:sz w:val="24"/>
          <w:szCs w:val="24"/>
        </w:rPr>
        <w:t xml:space="preserve"> </w:t>
      </w:r>
    </w:p>
    <w:p w14:paraId="2CF45E95" w14:textId="6A3674CD" w:rsidR="005405EB" w:rsidRPr="00BF445A" w:rsidRDefault="00BA0BD5" w:rsidP="005405EB">
      <w:pPr>
        <w:spacing w:after="120"/>
        <w:jc w:val="both"/>
        <w:rPr>
          <w:rFonts w:ascii="Arial" w:hAnsi="Arial"/>
          <w:bCs/>
        </w:rPr>
      </w:pPr>
      <w:r w:rsidRPr="006D5CA4">
        <w:rPr>
          <w:rFonts w:ascii="Arial" w:hAnsi="Arial"/>
          <w:bCs/>
          <w:szCs w:val="22"/>
        </w:rPr>
        <w:t xml:space="preserve">This is intended to be a fixed-time </w:t>
      </w:r>
      <w:r w:rsidR="00142829">
        <w:rPr>
          <w:rFonts w:ascii="Arial" w:hAnsi="Arial"/>
          <w:bCs/>
          <w:szCs w:val="22"/>
        </w:rPr>
        <w:t xml:space="preserve">Steering </w:t>
      </w:r>
      <w:r>
        <w:rPr>
          <w:rFonts w:ascii="Arial" w:hAnsi="Arial"/>
          <w:bCs/>
          <w:szCs w:val="22"/>
        </w:rPr>
        <w:t>Group</w:t>
      </w:r>
      <w:r w:rsidRPr="006D5CA4">
        <w:rPr>
          <w:rFonts w:ascii="Arial" w:hAnsi="Arial"/>
          <w:bCs/>
          <w:szCs w:val="22"/>
        </w:rPr>
        <w:t xml:space="preserve"> that will meet as often as required</w:t>
      </w:r>
      <w:r>
        <w:rPr>
          <w:rFonts w:ascii="Arial" w:hAnsi="Arial"/>
          <w:bCs/>
        </w:rPr>
        <w:t xml:space="preserve"> </w:t>
      </w:r>
      <w:r w:rsidR="005405EB">
        <w:rPr>
          <w:rFonts w:ascii="Arial" w:hAnsi="Arial"/>
          <w:bCs/>
        </w:rPr>
        <w:t xml:space="preserve">to progress and achieve the tasks listed above. The </w:t>
      </w:r>
      <w:r w:rsidR="00134D32">
        <w:rPr>
          <w:rFonts w:ascii="Arial" w:hAnsi="Arial"/>
          <w:bCs/>
        </w:rPr>
        <w:t>G</w:t>
      </w:r>
      <w:r w:rsidR="005405EB">
        <w:rPr>
          <w:rFonts w:ascii="Arial" w:hAnsi="Arial"/>
          <w:bCs/>
        </w:rPr>
        <w:t xml:space="preserve">roup will agree how often it needs to meet to do this. </w:t>
      </w:r>
      <w:r w:rsidR="005405EB" w:rsidRPr="00BF445A">
        <w:rPr>
          <w:rFonts w:ascii="Arial" w:hAnsi="Arial"/>
          <w:bCs/>
        </w:rPr>
        <w:t xml:space="preserve">Meetings will be face to face in Wellington or via </w:t>
      </w:r>
      <w:r w:rsidR="00805314">
        <w:rPr>
          <w:rFonts w:ascii="Arial" w:hAnsi="Arial"/>
          <w:bCs/>
        </w:rPr>
        <w:t>videoconference</w:t>
      </w:r>
      <w:r w:rsidR="00805314" w:rsidRPr="00BF445A">
        <w:rPr>
          <w:rFonts w:ascii="Arial" w:hAnsi="Arial"/>
          <w:bCs/>
        </w:rPr>
        <w:t xml:space="preserve"> </w:t>
      </w:r>
      <w:r w:rsidR="005405EB" w:rsidRPr="00BF445A">
        <w:rPr>
          <w:rFonts w:ascii="Arial" w:hAnsi="Arial"/>
          <w:bCs/>
        </w:rPr>
        <w:t>or teleconference</w:t>
      </w:r>
      <w:r w:rsidR="005405EB">
        <w:rPr>
          <w:rFonts w:ascii="Arial" w:hAnsi="Arial"/>
          <w:bCs/>
        </w:rPr>
        <w:t>.</w:t>
      </w:r>
    </w:p>
    <w:p w14:paraId="709E8B26" w14:textId="77777777" w:rsidR="006D5CA4" w:rsidRPr="006D5CA4" w:rsidRDefault="006D5CA4" w:rsidP="006D5CA4">
      <w:pPr>
        <w:spacing w:before="240" w:after="120"/>
        <w:jc w:val="both"/>
        <w:rPr>
          <w:rFonts w:ascii="Arial" w:hAnsi="Arial"/>
          <w:b/>
          <w:bCs/>
          <w:i/>
          <w:szCs w:val="22"/>
        </w:rPr>
      </w:pPr>
      <w:r w:rsidRPr="006D5CA4">
        <w:rPr>
          <w:rFonts w:ascii="Arial" w:hAnsi="Arial"/>
          <w:b/>
          <w:bCs/>
          <w:i/>
          <w:szCs w:val="22"/>
        </w:rPr>
        <w:t xml:space="preserve">Managing interest </w:t>
      </w:r>
    </w:p>
    <w:p w14:paraId="0D4D2745" w14:textId="77777777" w:rsidR="006D5CA4" w:rsidRPr="006D5CA4" w:rsidRDefault="006D5CA4" w:rsidP="006D5CA4">
      <w:pPr>
        <w:spacing w:after="120"/>
        <w:jc w:val="both"/>
        <w:rPr>
          <w:rFonts w:ascii="Arial" w:hAnsi="Arial"/>
          <w:szCs w:val="22"/>
        </w:rPr>
      </w:pPr>
      <w:r w:rsidRPr="006D5CA4">
        <w:rPr>
          <w:rFonts w:ascii="Arial" w:hAnsi="Arial"/>
          <w:szCs w:val="22"/>
        </w:rPr>
        <w:t xml:space="preserve">Members must perform their functions in good faith, honestly and impartially and avoid situations that might compromise their integrity or otherwise lead to a conflict of interest.  </w:t>
      </w:r>
    </w:p>
    <w:p w14:paraId="63E83C49" w14:textId="15DB4E08" w:rsidR="006D5CA4" w:rsidRPr="006D5CA4" w:rsidRDefault="006D5CA4" w:rsidP="006D5CA4">
      <w:pPr>
        <w:spacing w:after="120"/>
        <w:jc w:val="both"/>
        <w:rPr>
          <w:rFonts w:ascii="Arial" w:hAnsi="Arial"/>
          <w:szCs w:val="22"/>
        </w:rPr>
      </w:pPr>
      <w:r w:rsidRPr="006D5CA4">
        <w:rPr>
          <w:rFonts w:ascii="Arial" w:hAnsi="Arial"/>
          <w:szCs w:val="22"/>
        </w:rPr>
        <w:t xml:space="preserve">From time to time, a </w:t>
      </w:r>
      <w:r w:rsidR="00142829">
        <w:rPr>
          <w:rFonts w:ascii="Arial" w:hAnsi="Arial"/>
          <w:szCs w:val="22"/>
        </w:rPr>
        <w:t xml:space="preserve">Steering </w:t>
      </w:r>
      <w:r w:rsidR="00E20C64">
        <w:rPr>
          <w:rFonts w:ascii="Arial" w:hAnsi="Arial"/>
          <w:szCs w:val="22"/>
        </w:rPr>
        <w:t>Group</w:t>
      </w:r>
      <w:r w:rsidRPr="006D5CA4">
        <w:rPr>
          <w:rFonts w:ascii="Arial" w:hAnsi="Arial"/>
          <w:szCs w:val="22"/>
        </w:rPr>
        <w:t xml:space="preserve"> member may find themselves in a position where they may have competing duties</w:t>
      </w:r>
      <w:r w:rsidR="00291474">
        <w:rPr>
          <w:rFonts w:ascii="Arial" w:hAnsi="Arial"/>
          <w:szCs w:val="22"/>
        </w:rPr>
        <w:t>/responsibilities</w:t>
      </w:r>
      <w:r w:rsidRPr="006D5CA4">
        <w:rPr>
          <w:rFonts w:ascii="Arial" w:hAnsi="Arial"/>
          <w:szCs w:val="22"/>
        </w:rPr>
        <w:t>,</w:t>
      </w:r>
      <w:r w:rsidR="00291474">
        <w:rPr>
          <w:rFonts w:ascii="Arial" w:hAnsi="Arial"/>
          <w:szCs w:val="22"/>
        </w:rPr>
        <w:t xml:space="preserve"> or</w:t>
      </w:r>
      <w:r w:rsidRPr="006D5CA4">
        <w:rPr>
          <w:rFonts w:ascii="Arial" w:hAnsi="Arial"/>
          <w:szCs w:val="22"/>
        </w:rPr>
        <w:t xml:space="preserve"> </w:t>
      </w:r>
      <w:r w:rsidR="00291474">
        <w:rPr>
          <w:rFonts w:ascii="Arial" w:hAnsi="Arial"/>
          <w:szCs w:val="22"/>
        </w:rPr>
        <w:t xml:space="preserve">potential conflicts of interest.  </w:t>
      </w:r>
      <w:r w:rsidRPr="006D5CA4">
        <w:rPr>
          <w:rFonts w:ascii="Arial" w:hAnsi="Arial"/>
          <w:szCs w:val="22"/>
        </w:rPr>
        <w:t xml:space="preserve">In this situation members should </w:t>
      </w:r>
      <w:r w:rsidR="00744E82">
        <w:rPr>
          <w:rFonts w:ascii="Arial" w:hAnsi="Arial"/>
          <w:szCs w:val="22"/>
        </w:rPr>
        <w:t xml:space="preserve">identify </w:t>
      </w:r>
      <w:r w:rsidRPr="006D5CA4">
        <w:rPr>
          <w:rFonts w:ascii="Arial" w:hAnsi="Arial"/>
          <w:szCs w:val="22"/>
        </w:rPr>
        <w:t xml:space="preserve">their conflicts of interests </w:t>
      </w:r>
      <w:r w:rsidR="00291474">
        <w:rPr>
          <w:rFonts w:ascii="Arial" w:hAnsi="Arial"/>
          <w:szCs w:val="22"/>
        </w:rPr>
        <w:t xml:space="preserve">or competing duties </w:t>
      </w:r>
      <w:r w:rsidRPr="006D5CA4">
        <w:rPr>
          <w:rFonts w:ascii="Arial" w:hAnsi="Arial"/>
          <w:szCs w:val="22"/>
        </w:rPr>
        <w:t xml:space="preserve">prior to a discussion of a </w:t>
      </w:r>
      <w:proofErr w:type="gramStart"/>
      <w:r w:rsidRPr="006D5CA4">
        <w:rPr>
          <w:rFonts w:ascii="Arial" w:hAnsi="Arial"/>
          <w:szCs w:val="22"/>
        </w:rPr>
        <w:t>particular issue</w:t>
      </w:r>
      <w:proofErr w:type="gramEnd"/>
      <w:r w:rsidRPr="006D5CA4">
        <w:rPr>
          <w:rFonts w:ascii="Arial" w:hAnsi="Arial"/>
          <w:szCs w:val="22"/>
        </w:rPr>
        <w:t xml:space="preserve">. The </w:t>
      </w:r>
      <w:r w:rsidR="00142829">
        <w:rPr>
          <w:rFonts w:ascii="Arial" w:hAnsi="Arial"/>
          <w:szCs w:val="22"/>
        </w:rPr>
        <w:t>Group</w:t>
      </w:r>
      <w:r w:rsidRPr="006D5CA4">
        <w:rPr>
          <w:rFonts w:ascii="Arial" w:hAnsi="Arial"/>
          <w:szCs w:val="22"/>
        </w:rPr>
        <w:t xml:space="preserve"> can ask a member to withdraw or limit participation in </w:t>
      </w:r>
      <w:r w:rsidR="00744E82">
        <w:rPr>
          <w:rFonts w:ascii="Arial" w:hAnsi="Arial"/>
          <w:szCs w:val="22"/>
        </w:rPr>
        <w:t>this instance</w:t>
      </w:r>
      <w:r w:rsidRPr="006D5CA4">
        <w:rPr>
          <w:rFonts w:ascii="Arial" w:hAnsi="Arial"/>
          <w:szCs w:val="22"/>
        </w:rPr>
        <w:t>.</w:t>
      </w:r>
    </w:p>
    <w:p w14:paraId="5F5D9B87" w14:textId="77777777" w:rsidR="006D5CA4" w:rsidRPr="006D5CA4" w:rsidRDefault="006D5CA4" w:rsidP="006D5CA4">
      <w:pPr>
        <w:spacing w:before="240" w:after="120"/>
        <w:jc w:val="both"/>
        <w:rPr>
          <w:rFonts w:ascii="Arial" w:hAnsi="Arial"/>
          <w:b/>
          <w:bCs/>
          <w:i/>
          <w:szCs w:val="22"/>
        </w:rPr>
      </w:pPr>
      <w:r w:rsidRPr="006D5CA4">
        <w:rPr>
          <w:rFonts w:ascii="Arial" w:hAnsi="Arial"/>
          <w:b/>
          <w:bCs/>
          <w:i/>
          <w:szCs w:val="22"/>
        </w:rPr>
        <w:t xml:space="preserve">Reporting </w:t>
      </w:r>
    </w:p>
    <w:p w14:paraId="2524702C" w14:textId="242E03B5" w:rsidR="006D5CA4" w:rsidRPr="006D5CA4" w:rsidRDefault="006D5CA4" w:rsidP="006D5CA4">
      <w:pPr>
        <w:spacing w:after="120"/>
        <w:jc w:val="both"/>
        <w:rPr>
          <w:rFonts w:ascii="Arial" w:hAnsi="Arial"/>
          <w:szCs w:val="22"/>
        </w:rPr>
      </w:pPr>
      <w:r w:rsidRPr="006D5CA4">
        <w:rPr>
          <w:rFonts w:ascii="Arial" w:hAnsi="Arial"/>
          <w:szCs w:val="22"/>
        </w:rPr>
        <w:t xml:space="preserve">The </w:t>
      </w:r>
      <w:r w:rsidR="00142829">
        <w:rPr>
          <w:rFonts w:ascii="Arial" w:hAnsi="Arial"/>
          <w:szCs w:val="22"/>
        </w:rPr>
        <w:t>Steering Group</w:t>
      </w:r>
      <w:r w:rsidRPr="006D5CA4">
        <w:rPr>
          <w:rFonts w:ascii="Arial" w:hAnsi="Arial"/>
          <w:szCs w:val="22"/>
        </w:rPr>
        <w:t xml:space="preserve"> will provide advice and recommendations to the Ministry of Health</w:t>
      </w:r>
      <w:r w:rsidR="00A007F1">
        <w:rPr>
          <w:rFonts w:ascii="Arial" w:hAnsi="Arial"/>
          <w:szCs w:val="22"/>
        </w:rPr>
        <w:t xml:space="preserve"> who will provide these to the Surgical Mesh Roundtable as needed</w:t>
      </w:r>
      <w:r w:rsidRPr="006D5CA4">
        <w:rPr>
          <w:rFonts w:ascii="Arial" w:hAnsi="Arial"/>
          <w:szCs w:val="22"/>
        </w:rPr>
        <w:t>.</w:t>
      </w:r>
    </w:p>
    <w:p w14:paraId="0C60EAEF" w14:textId="77777777" w:rsidR="000D2078" w:rsidRDefault="000D2078" w:rsidP="006D5CA4">
      <w:pPr>
        <w:spacing w:before="240" w:after="120"/>
        <w:jc w:val="both"/>
        <w:rPr>
          <w:rFonts w:ascii="Arial" w:hAnsi="Arial"/>
          <w:b/>
          <w:bCs/>
          <w:i/>
          <w:szCs w:val="22"/>
        </w:rPr>
      </w:pPr>
    </w:p>
    <w:p w14:paraId="71DEA963" w14:textId="4E2C1650" w:rsidR="006D5CA4" w:rsidRPr="006D5CA4" w:rsidRDefault="006D5CA4" w:rsidP="006D5CA4">
      <w:pPr>
        <w:spacing w:before="240" w:after="120"/>
        <w:jc w:val="both"/>
        <w:rPr>
          <w:rFonts w:ascii="Arial" w:hAnsi="Arial"/>
          <w:b/>
          <w:bCs/>
          <w:i/>
          <w:szCs w:val="22"/>
        </w:rPr>
      </w:pPr>
      <w:r w:rsidRPr="006D5CA4">
        <w:rPr>
          <w:rFonts w:ascii="Arial" w:hAnsi="Arial"/>
          <w:b/>
          <w:bCs/>
          <w:i/>
          <w:szCs w:val="22"/>
        </w:rPr>
        <w:lastRenderedPageBreak/>
        <w:t xml:space="preserve">Confidentiality </w:t>
      </w:r>
    </w:p>
    <w:p w14:paraId="06152046" w14:textId="77777777" w:rsidR="006D5CA4" w:rsidRPr="006D5CA4" w:rsidRDefault="006D5CA4" w:rsidP="006D5CA4">
      <w:pPr>
        <w:spacing w:after="120"/>
        <w:jc w:val="both"/>
        <w:rPr>
          <w:rFonts w:ascii="Arial" w:hAnsi="Arial"/>
          <w:szCs w:val="22"/>
        </w:rPr>
      </w:pPr>
      <w:r w:rsidRPr="006D5CA4">
        <w:rPr>
          <w:rFonts w:ascii="Arial" w:hAnsi="Arial"/>
          <w:szCs w:val="22"/>
        </w:rPr>
        <w:t xml:space="preserve">Members can liaise and progress reports and papers with their constituencies, unless advised by the Chair or the Ministry of Health. A rationale will be provided if any information is kept confidential. </w:t>
      </w:r>
    </w:p>
    <w:p w14:paraId="00371D58" w14:textId="7006C75E" w:rsidR="00743FAF" w:rsidRPr="00743FAF" w:rsidRDefault="00743FAF" w:rsidP="0017234E">
      <w:pPr>
        <w:shd w:val="clear" w:color="auto" w:fill="FFFFFF"/>
        <w:spacing w:before="360" w:after="240" w:line="276" w:lineRule="atLeast"/>
        <w:outlineLvl w:val="1"/>
        <w:rPr>
          <w:rFonts w:ascii="Arial" w:eastAsia="Times New Roman" w:hAnsi="Arial"/>
          <w:b/>
          <w:bCs/>
          <w:sz w:val="24"/>
          <w:szCs w:val="24"/>
          <w:lang w:val="en" w:eastAsia="en-NZ"/>
        </w:rPr>
      </w:pPr>
      <w:r w:rsidRPr="00743FAF">
        <w:rPr>
          <w:rFonts w:ascii="Arial" w:eastAsia="Times New Roman" w:hAnsi="Arial"/>
          <w:b/>
          <w:bCs/>
          <w:sz w:val="24"/>
          <w:szCs w:val="24"/>
          <w:lang w:val="en" w:eastAsia="en-NZ"/>
        </w:rPr>
        <w:t xml:space="preserve">Relationship between </w:t>
      </w:r>
      <w:r w:rsidR="00142829">
        <w:rPr>
          <w:rFonts w:ascii="Arial" w:eastAsia="Times New Roman" w:hAnsi="Arial"/>
          <w:b/>
          <w:bCs/>
          <w:sz w:val="24"/>
          <w:szCs w:val="24"/>
          <w:lang w:val="en" w:eastAsia="en-NZ"/>
        </w:rPr>
        <w:t>ACC</w:t>
      </w:r>
      <w:r w:rsidRPr="00743FAF">
        <w:rPr>
          <w:rFonts w:ascii="Arial" w:eastAsia="Times New Roman" w:hAnsi="Arial"/>
          <w:b/>
          <w:bCs/>
          <w:sz w:val="24"/>
          <w:szCs w:val="24"/>
          <w:lang w:val="en" w:eastAsia="en-NZ"/>
        </w:rPr>
        <w:t xml:space="preserve"> and the</w:t>
      </w:r>
      <w:r w:rsidR="002C572A">
        <w:rPr>
          <w:rFonts w:ascii="Arial" w:eastAsia="Times New Roman" w:hAnsi="Arial"/>
          <w:b/>
          <w:bCs/>
          <w:sz w:val="24"/>
          <w:szCs w:val="24"/>
          <w:lang w:val="en" w:eastAsia="en-NZ"/>
        </w:rPr>
        <w:t xml:space="preserve"> </w:t>
      </w:r>
      <w:r w:rsidR="00142829">
        <w:rPr>
          <w:rFonts w:ascii="Arial" w:eastAsia="Times New Roman" w:hAnsi="Arial"/>
          <w:b/>
          <w:bCs/>
          <w:sz w:val="24"/>
          <w:szCs w:val="24"/>
          <w:lang w:val="en" w:eastAsia="en-NZ"/>
        </w:rPr>
        <w:t xml:space="preserve">Steering </w:t>
      </w:r>
      <w:r w:rsidR="002C572A">
        <w:rPr>
          <w:rFonts w:ascii="Arial" w:eastAsia="Times New Roman" w:hAnsi="Arial"/>
          <w:b/>
          <w:bCs/>
          <w:sz w:val="24"/>
          <w:szCs w:val="24"/>
          <w:lang w:val="en" w:eastAsia="en-NZ"/>
        </w:rPr>
        <w:t>G</w:t>
      </w:r>
      <w:r w:rsidR="004372FB">
        <w:rPr>
          <w:rFonts w:ascii="Arial" w:eastAsia="Times New Roman" w:hAnsi="Arial"/>
          <w:b/>
          <w:bCs/>
          <w:sz w:val="24"/>
          <w:szCs w:val="24"/>
          <w:lang w:val="en" w:eastAsia="en-NZ"/>
        </w:rPr>
        <w:t>r</w:t>
      </w:r>
      <w:r w:rsidR="002C572A">
        <w:rPr>
          <w:rFonts w:ascii="Arial" w:eastAsia="Times New Roman" w:hAnsi="Arial"/>
          <w:b/>
          <w:bCs/>
          <w:sz w:val="24"/>
          <w:szCs w:val="24"/>
          <w:lang w:val="en" w:eastAsia="en-NZ"/>
        </w:rPr>
        <w:t>oup</w:t>
      </w:r>
    </w:p>
    <w:p w14:paraId="5D6D7044" w14:textId="77777777" w:rsidR="00743FAF" w:rsidRPr="00743FAF" w:rsidRDefault="00743FAF" w:rsidP="00743FAF">
      <w:pPr>
        <w:spacing w:after="120"/>
        <w:jc w:val="both"/>
        <w:rPr>
          <w:rFonts w:ascii="Arial" w:hAnsi="Arial"/>
          <w:b/>
          <w:szCs w:val="22"/>
        </w:rPr>
      </w:pPr>
      <w:r w:rsidRPr="00743FAF">
        <w:rPr>
          <w:rFonts w:ascii="Arial" w:hAnsi="Arial"/>
          <w:b/>
          <w:szCs w:val="22"/>
        </w:rPr>
        <w:t>Secretariat</w:t>
      </w:r>
    </w:p>
    <w:p w14:paraId="5541D747" w14:textId="77777777" w:rsidR="007B5B85" w:rsidRDefault="007B5B85" w:rsidP="007B5B85">
      <w:pPr>
        <w:rPr>
          <w:rFonts w:ascii="Arial" w:hAnsi="Arial"/>
        </w:rPr>
      </w:pPr>
      <w:r>
        <w:rPr>
          <w:rFonts w:ascii="Arial" w:hAnsi="Arial"/>
        </w:rPr>
        <w:t xml:space="preserve">The Group will be supported by ACC Treatment Safety team member(s), who may attend the steering group meetings to ensure </w:t>
      </w:r>
      <w:r w:rsidRPr="0083755B">
        <w:rPr>
          <w:rFonts w:ascii="Arial" w:hAnsi="Arial"/>
        </w:rPr>
        <w:t>operational</w:t>
      </w:r>
      <w:r>
        <w:rPr>
          <w:rFonts w:ascii="Arial" w:hAnsi="Arial"/>
        </w:rPr>
        <w:t xml:space="preserve"> continuity.</w:t>
      </w:r>
    </w:p>
    <w:p w14:paraId="43253BDE" w14:textId="7E743643" w:rsidR="00A007F1" w:rsidRPr="00A007F1" w:rsidRDefault="00A007F1" w:rsidP="00A007F1">
      <w:pPr>
        <w:spacing w:after="120"/>
        <w:jc w:val="both"/>
        <w:rPr>
          <w:rFonts w:ascii="Arial" w:hAnsi="Arial"/>
          <w:b/>
          <w:szCs w:val="22"/>
        </w:rPr>
      </w:pPr>
      <w:r w:rsidRPr="00A007F1">
        <w:rPr>
          <w:rFonts w:ascii="Arial" w:hAnsi="Arial"/>
          <w:b/>
          <w:szCs w:val="22"/>
        </w:rPr>
        <w:t>Project management</w:t>
      </w:r>
    </w:p>
    <w:p w14:paraId="4B52A8FE" w14:textId="17F0A7CF" w:rsidR="00A007F1" w:rsidRPr="00743FAF" w:rsidRDefault="00A007F1" w:rsidP="00743FAF">
      <w:pPr>
        <w:shd w:val="clear" w:color="auto" w:fill="FFFFFF"/>
        <w:spacing w:before="240" w:after="240" w:line="276" w:lineRule="atLeast"/>
        <w:outlineLvl w:val="1"/>
        <w:rPr>
          <w:rFonts w:ascii="Arial" w:hAnsi="Arial"/>
          <w:iCs/>
          <w:szCs w:val="22"/>
        </w:rPr>
      </w:pPr>
      <w:r>
        <w:rPr>
          <w:rFonts w:ascii="Arial" w:hAnsi="Arial"/>
          <w:iCs/>
          <w:szCs w:val="22"/>
        </w:rPr>
        <w:t xml:space="preserve">ACC will provide part-time project management and project leadership to support the Group in achieving its goals. </w:t>
      </w:r>
    </w:p>
    <w:p w14:paraId="0A5B4B57" w14:textId="6A46E14E" w:rsidR="00743FAF" w:rsidRPr="00743FAF" w:rsidRDefault="00743FAF" w:rsidP="00743FAF">
      <w:pPr>
        <w:spacing w:after="120"/>
        <w:jc w:val="both"/>
        <w:rPr>
          <w:rFonts w:ascii="Arial" w:hAnsi="Arial"/>
          <w:b/>
          <w:szCs w:val="22"/>
        </w:rPr>
      </w:pPr>
      <w:r w:rsidRPr="00743FAF">
        <w:rPr>
          <w:rFonts w:ascii="Arial" w:hAnsi="Arial"/>
          <w:b/>
          <w:szCs w:val="22"/>
        </w:rPr>
        <w:t xml:space="preserve">Payment and expenses </w:t>
      </w:r>
    </w:p>
    <w:p w14:paraId="3F2824FE" w14:textId="18B2C8A0" w:rsidR="00A007F1" w:rsidRDefault="00743FAF" w:rsidP="00A007F1">
      <w:pPr>
        <w:rPr>
          <w:rFonts w:ascii="Arial" w:hAnsi="Arial"/>
          <w:szCs w:val="22"/>
        </w:rPr>
      </w:pPr>
      <w:r w:rsidRPr="00743FAF">
        <w:rPr>
          <w:rFonts w:ascii="Arial" w:hAnsi="Arial"/>
          <w:szCs w:val="22"/>
        </w:rPr>
        <w:t xml:space="preserve">It is not normal for </w:t>
      </w:r>
      <w:r w:rsidR="00142829">
        <w:rPr>
          <w:rFonts w:ascii="Arial" w:hAnsi="Arial"/>
          <w:szCs w:val="22"/>
        </w:rPr>
        <w:t>ACC</w:t>
      </w:r>
      <w:r w:rsidRPr="00743FAF">
        <w:rPr>
          <w:rFonts w:ascii="Arial" w:hAnsi="Arial"/>
          <w:szCs w:val="22"/>
        </w:rPr>
        <w:t xml:space="preserve"> to pay representatives from the publicly funded sector for meeting attendance. </w:t>
      </w:r>
      <w:r w:rsidR="00142829">
        <w:rPr>
          <w:rFonts w:ascii="Arial" w:hAnsi="Arial"/>
          <w:szCs w:val="22"/>
        </w:rPr>
        <w:t>ACC</w:t>
      </w:r>
      <w:r w:rsidRPr="00743FAF">
        <w:rPr>
          <w:rFonts w:ascii="Arial" w:hAnsi="Arial"/>
          <w:szCs w:val="22"/>
        </w:rPr>
        <w:t xml:space="preserve"> </w:t>
      </w:r>
      <w:r w:rsidR="0095427D">
        <w:rPr>
          <w:rFonts w:ascii="Arial" w:hAnsi="Arial"/>
          <w:szCs w:val="22"/>
        </w:rPr>
        <w:t>will</w:t>
      </w:r>
      <w:r w:rsidRPr="00743FAF">
        <w:rPr>
          <w:rFonts w:ascii="Arial" w:hAnsi="Arial"/>
          <w:szCs w:val="22"/>
        </w:rPr>
        <w:t xml:space="preserve"> remunerate other parties</w:t>
      </w:r>
      <w:r w:rsidR="00A007F1">
        <w:rPr>
          <w:rFonts w:ascii="Arial" w:hAnsi="Arial"/>
          <w:szCs w:val="22"/>
        </w:rPr>
        <w:t>, including the consumer representative,</w:t>
      </w:r>
      <w:r w:rsidRPr="00743FAF">
        <w:rPr>
          <w:rFonts w:ascii="Arial" w:hAnsi="Arial"/>
          <w:szCs w:val="22"/>
        </w:rPr>
        <w:t xml:space="preserve"> by mutual agreement</w:t>
      </w:r>
      <w:r w:rsidR="00A007F1">
        <w:rPr>
          <w:rFonts w:ascii="Arial" w:hAnsi="Arial"/>
          <w:szCs w:val="22"/>
        </w:rPr>
        <w:t xml:space="preserve"> at the rates set by </w:t>
      </w:r>
      <w:r w:rsidR="00A007F1">
        <w:rPr>
          <w:rFonts w:ascii="Arial" w:hAnsi="Arial"/>
        </w:rPr>
        <w:t>the State Services Commis</w:t>
      </w:r>
      <w:r w:rsidR="002D60F1">
        <w:rPr>
          <w:rFonts w:ascii="Arial" w:hAnsi="Arial"/>
        </w:rPr>
        <w:t>sion</w:t>
      </w:r>
      <w:r w:rsidRPr="00743FAF">
        <w:rPr>
          <w:rFonts w:ascii="Arial" w:hAnsi="Arial"/>
          <w:szCs w:val="22"/>
        </w:rPr>
        <w:t xml:space="preserve">. </w:t>
      </w:r>
    </w:p>
    <w:p w14:paraId="44648DB4" w14:textId="0C497EF4" w:rsidR="00743FAF" w:rsidRDefault="00743FAF" w:rsidP="00743FAF">
      <w:pPr>
        <w:spacing w:after="120"/>
        <w:jc w:val="both"/>
        <w:rPr>
          <w:rFonts w:ascii="Arial" w:hAnsi="Arial"/>
          <w:szCs w:val="22"/>
        </w:rPr>
      </w:pPr>
      <w:r w:rsidRPr="00743FAF">
        <w:rPr>
          <w:rFonts w:ascii="Arial" w:hAnsi="Arial"/>
          <w:szCs w:val="22"/>
        </w:rPr>
        <w:t>Expenses such as travel and accommodation</w:t>
      </w:r>
      <w:r w:rsidR="00A007F1">
        <w:rPr>
          <w:rFonts w:ascii="Arial" w:hAnsi="Arial"/>
          <w:szCs w:val="22"/>
        </w:rPr>
        <w:t xml:space="preserve"> (if required)</w:t>
      </w:r>
      <w:r w:rsidRPr="00743FAF">
        <w:rPr>
          <w:rFonts w:ascii="Arial" w:hAnsi="Arial"/>
          <w:szCs w:val="22"/>
        </w:rPr>
        <w:t xml:space="preserve"> will be booked directly by </w:t>
      </w:r>
      <w:r w:rsidR="00142829">
        <w:rPr>
          <w:rFonts w:ascii="Arial" w:hAnsi="Arial"/>
          <w:szCs w:val="22"/>
        </w:rPr>
        <w:t>ACC</w:t>
      </w:r>
      <w:r w:rsidRPr="00743FAF">
        <w:rPr>
          <w:rFonts w:ascii="Arial" w:hAnsi="Arial"/>
          <w:szCs w:val="22"/>
        </w:rPr>
        <w:t xml:space="preserve"> through the secretariat. </w:t>
      </w:r>
    </w:p>
    <w:p w14:paraId="6389A975" w14:textId="77777777" w:rsidR="005405EB" w:rsidRPr="003F37EA" w:rsidRDefault="005405EB" w:rsidP="005405EB">
      <w:pPr>
        <w:spacing w:before="240" w:after="120"/>
        <w:jc w:val="both"/>
        <w:rPr>
          <w:rFonts w:ascii="Arial" w:hAnsi="Arial"/>
          <w:b/>
        </w:rPr>
      </w:pPr>
      <w:r w:rsidRPr="003F37EA">
        <w:rPr>
          <w:rFonts w:ascii="Arial" w:hAnsi="Arial"/>
          <w:b/>
        </w:rPr>
        <w:t xml:space="preserve">Media protocols </w:t>
      </w:r>
    </w:p>
    <w:p w14:paraId="3336DECC" w14:textId="3444E408" w:rsidR="005405EB" w:rsidRPr="0026000A" w:rsidRDefault="005405EB" w:rsidP="005405EB">
      <w:pPr>
        <w:spacing w:after="120"/>
        <w:jc w:val="both"/>
        <w:rPr>
          <w:rFonts w:ascii="Arial" w:hAnsi="Arial"/>
        </w:rPr>
      </w:pPr>
      <w:r w:rsidRPr="0026000A">
        <w:rPr>
          <w:rFonts w:ascii="Arial" w:hAnsi="Arial"/>
        </w:rPr>
        <w:t xml:space="preserve">The </w:t>
      </w:r>
      <w:r w:rsidR="00142829">
        <w:rPr>
          <w:rFonts w:ascii="Arial" w:hAnsi="Arial"/>
        </w:rPr>
        <w:t xml:space="preserve">Steering </w:t>
      </w:r>
      <w:r w:rsidR="0009283A">
        <w:rPr>
          <w:rFonts w:ascii="Arial" w:hAnsi="Arial"/>
        </w:rPr>
        <w:t>Group</w:t>
      </w:r>
      <w:r w:rsidRPr="0026000A">
        <w:rPr>
          <w:rFonts w:ascii="Arial" w:hAnsi="Arial"/>
        </w:rPr>
        <w:t xml:space="preserve"> members are not agents of </w:t>
      </w:r>
      <w:r w:rsidR="00FE5C25" w:rsidRPr="0026000A">
        <w:rPr>
          <w:rFonts w:ascii="Arial" w:hAnsi="Arial"/>
        </w:rPr>
        <w:t xml:space="preserve">the Ministry of Health </w:t>
      </w:r>
      <w:r w:rsidR="00FE5C25">
        <w:rPr>
          <w:rFonts w:ascii="Arial" w:hAnsi="Arial"/>
        </w:rPr>
        <w:t xml:space="preserve">or </w:t>
      </w:r>
      <w:r w:rsidR="00142829">
        <w:rPr>
          <w:rFonts w:ascii="Arial" w:hAnsi="Arial"/>
        </w:rPr>
        <w:t xml:space="preserve">ACC </w:t>
      </w:r>
      <w:r w:rsidRPr="0026000A">
        <w:rPr>
          <w:rFonts w:ascii="Arial" w:hAnsi="Arial"/>
        </w:rPr>
        <w:t xml:space="preserve">and cannot speak on behalf of the </w:t>
      </w:r>
      <w:r w:rsidR="0009283A">
        <w:rPr>
          <w:rFonts w:ascii="Arial" w:hAnsi="Arial"/>
        </w:rPr>
        <w:t>Group</w:t>
      </w:r>
      <w:r w:rsidRPr="0026000A">
        <w:rPr>
          <w:rFonts w:ascii="Arial" w:hAnsi="Arial"/>
        </w:rPr>
        <w:t>. This does</w:t>
      </w:r>
      <w:r w:rsidR="00EC1A5F">
        <w:rPr>
          <w:rFonts w:ascii="Arial" w:hAnsi="Arial"/>
        </w:rPr>
        <w:t xml:space="preserve"> </w:t>
      </w:r>
      <w:r w:rsidRPr="0026000A">
        <w:rPr>
          <w:rFonts w:ascii="Arial" w:hAnsi="Arial"/>
        </w:rPr>
        <w:t>n</w:t>
      </w:r>
      <w:r w:rsidR="00EC1A5F">
        <w:rPr>
          <w:rFonts w:ascii="Arial" w:hAnsi="Arial"/>
        </w:rPr>
        <w:t>o</w:t>
      </w:r>
      <w:r w:rsidRPr="0026000A">
        <w:rPr>
          <w:rFonts w:ascii="Arial" w:hAnsi="Arial"/>
        </w:rPr>
        <w:t xml:space="preserve">t restrict members from making statements relating to their own expertise in an individual capacity. </w:t>
      </w:r>
    </w:p>
    <w:p w14:paraId="5B0E0429" w14:textId="479BFD9C" w:rsidR="005405EB" w:rsidRPr="00B22D77" w:rsidRDefault="005405EB" w:rsidP="005405EB">
      <w:pPr>
        <w:spacing w:after="120"/>
        <w:jc w:val="both"/>
        <w:rPr>
          <w:rFonts w:ascii="Arial" w:hAnsi="Arial"/>
          <w:iCs/>
        </w:rPr>
      </w:pPr>
      <w:r w:rsidRPr="0026000A">
        <w:rPr>
          <w:rFonts w:ascii="Arial" w:hAnsi="Arial"/>
        </w:rPr>
        <w:t xml:space="preserve">If a member receives a media request or enquiry about the </w:t>
      </w:r>
      <w:r w:rsidR="004D05CD">
        <w:rPr>
          <w:rFonts w:ascii="Arial" w:hAnsi="Arial"/>
        </w:rPr>
        <w:t>Group</w:t>
      </w:r>
      <w:r w:rsidRPr="0026000A">
        <w:rPr>
          <w:rFonts w:ascii="Arial" w:hAnsi="Arial"/>
        </w:rPr>
        <w:t>’s</w:t>
      </w:r>
      <w:r>
        <w:rPr>
          <w:rFonts w:ascii="Arial" w:hAnsi="Arial"/>
        </w:rPr>
        <w:t xml:space="preserve"> work</w:t>
      </w:r>
      <w:r w:rsidRPr="0026000A">
        <w:rPr>
          <w:rFonts w:ascii="Arial" w:hAnsi="Arial"/>
        </w:rPr>
        <w:t xml:space="preserve">, they should decline to comment and refer the issue immediately to the </w:t>
      </w:r>
      <w:r w:rsidR="002B4D6A" w:rsidRPr="002B4D6A">
        <w:rPr>
          <w:rFonts w:ascii="Arial" w:hAnsi="Arial"/>
        </w:rPr>
        <w:t>Ministry of Health</w:t>
      </w:r>
      <w:r w:rsidR="002B4D6A">
        <w:rPr>
          <w:rFonts w:ascii="Arial" w:hAnsi="Arial"/>
        </w:rPr>
        <w:t xml:space="preserve">’s </w:t>
      </w:r>
      <w:r w:rsidRPr="0026000A">
        <w:rPr>
          <w:rFonts w:ascii="Arial" w:hAnsi="Arial"/>
        </w:rPr>
        <w:t xml:space="preserve">Chief Medical Officer who will manage the request according to agreed Ministry protocols. </w:t>
      </w:r>
    </w:p>
    <w:p w14:paraId="6FAE74E3" w14:textId="77777777" w:rsidR="00714DAC" w:rsidRDefault="00714DAC" w:rsidP="00280797">
      <w:pPr>
        <w:spacing w:after="120"/>
        <w:jc w:val="both"/>
        <w:rPr>
          <w:rFonts w:ascii="Arial" w:hAnsi="Arial"/>
          <w:b/>
          <w:szCs w:val="22"/>
        </w:rPr>
      </w:pPr>
    </w:p>
    <w:p w14:paraId="0CA0B218" w14:textId="3BB95751" w:rsidR="006C58B6" w:rsidRDefault="00D432FD" w:rsidP="00280B8A">
      <w:pPr>
        <w:spacing w:after="120"/>
        <w:rPr>
          <w:rFonts w:ascii="Arial" w:hAnsi="Arial"/>
          <w:b/>
          <w:bCs/>
          <w:szCs w:val="22"/>
        </w:rPr>
      </w:pPr>
      <w:r w:rsidRPr="001E469C">
        <w:rPr>
          <w:rFonts w:ascii="Arial" w:hAnsi="Arial"/>
          <w:b/>
          <w:bCs/>
          <w:szCs w:val="22"/>
        </w:rPr>
        <w:t>Endorsed</w:t>
      </w:r>
      <w:r w:rsidR="00632779">
        <w:rPr>
          <w:rFonts w:ascii="Arial" w:hAnsi="Arial"/>
          <w:b/>
          <w:bCs/>
          <w:szCs w:val="22"/>
        </w:rPr>
        <w:t xml:space="preserve"> by the Group</w:t>
      </w:r>
    </w:p>
    <w:p w14:paraId="69D73A18" w14:textId="61B175ED" w:rsidR="00280797" w:rsidRDefault="003642F7" w:rsidP="00280B8A">
      <w:pPr>
        <w:spacing w:after="12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June</w:t>
      </w:r>
      <w:r w:rsidR="00280B8A">
        <w:rPr>
          <w:rFonts w:ascii="Arial" w:hAnsi="Arial"/>
          <w:b/>
          <w:bCs/>
          <w:szCs w:val="22"/>
        </w:rPr>
        <w:t xml:space="preserve"> 2020</w:t>
      </w:r>
    </w:p>
    <w:p w14:paraId="4118CCC7" w14:textId="77777777" w:rsidR="003F2E4A" w:rsidRDefault="003F2E4A" w:rsidP="00280B8A">
      <w:pPr>
        <w:spacing w:after="120"/>
        <w:rPr>
          <w:rFonts w:ascii="Arial" w:hAnsi="Arial"/>
          <w:b/>
          <w:bCs/>
          <w:szCs w:val="22"/>
        </w:rPr>
      </w:pPr>
    </w:p>
    <w:p w14:paraId="7005DDF6" w14:textId="15F708C9" w:rsidR="00F244B4" w:rsidRDefault="00F244B4" w:rsidP="00280B8A">
      <w:pPr>
        <w:spacing w:after="12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Approved by the Mesh Roundtable</w:t>
      </w:r>
    </w:p>
    <w:p w14:paraId="1806EE7D" w14:textId="7538EF9A" w:rsidR="00736F1B" w:rsidRDefault="00F244B4" w:rsidP="00ED3F47">
      <w:pPr>
        <w:spacing w:after="120"/>
      </w:pPr>
      <w:r>
        <w:rPr>
          <w:rFonts w:ascii="Arial" w:hAnsi="Arial"/>
          <w:b/>
          <w:bCs/>
          <w:szCs w:val="22"/>
        </w:rPr>
        <w:t>July 2020</w:t>
      </w:r>
    </w:p>
    <w:sectPr w:rsidR="00736F1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D81E" w14:textId="77777777" w:rsidR="00AE759F" w:rsidRDefault="00AE759F" w:rsidP="00DC30AD">
      <w:pPr>
        <w:spacing w:after="0" w:line="240" w:lineRule="auto"/>
      </w:pPr>
      <w:r>
        <w:separator/>
      </w:r>
    </w:p>
  </w:endnote>
  <w:endnote w:type="continuationSeparator" w:id="0">
    <w:p w14:paraId="0736B771" w14:textId="77777777" w:rsidR="00AE759F" w:rsidRDefault="00AE759F" w:rsidP="00DC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äo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313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82D77" w14:textId="06E63AD7" w:rsidR="00211C53" w:rsidRDefault="00211C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F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A67C90" w14:textId="77777777" w:rsidR="00211C53" w:rsidRDefault="00211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7B383" w14:textId="77777777" w:rsidR="00AE759F" w:rsidRDefault="00AE759F" w:rsidP="00DC30AD">
      <w:pPr>
        <w:spacing w:after="0" w:line="240" w:lineRule="auto"/>
      </w:pPr>
      <w:r>
        <w:separator/>
      </w:r>
    </w:p>
  </w:footnote>
  <w:footnote w:type="continuationSeparator" w:id="0">
    <w:p w14:paraId="1D1E1BCF" w14:textId="77777777" w:rsidR="00AE759F" w:rsidRDefault="00AE759F" w:rsidP="00DC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41"/>
      <w:gridCol w:w="5272"/>
      <w:gridCol w:w="2977"/>
    </w:tblGrid>
    <w:tr w:rsidR="00DC30AD" w:rsidRPr="00DC30AD" w14:paraId="1E67670B" w14:textId="77777777" w:rsidTr="003C64A8">
      <w:tc>
        <w:tcPr>
          <w:tcW w:w="224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shd w:val="clear" w:color="auto" w:fill="auto"/>
          <w:vAlign w:val="center"/>
        </w:tcPr>
        <w:p w14:paraId="54421360" w14:textId="3E17F8C4" w:rsidR="00DC30AD" w:rsidRPr="00DC30AD" w:rsidRDefault="00DC30AD" w:rsidP="00DC30AD">
          <w:pPr>
            <w:keepNext/>
            <w:spacing w:after="0" w:line="240" w:lineRule="auto"/>
            <w:jc w:val="center"/>
            <w:outlineLvl w:val="1"/>
            <w:rPr>
              <w:rFonts w:ascii="Arial" w:eastAsiaTheme="majorEastAsia" w:hAnsi="Arial"/>
              <w:b/>
              <w:i/>
              <w:color w:val="2F5496" w:themeColor="accent1" w:themeShade="BF"/>
              <w:sz w:val="24"/>
              <w:szCs w:val="26"/>
              <w:u w:val="single"/>
              <w:lang w:eastAsia="en-GB"/>
            </w:rPr>
          </w:pPr>
          <w:r w:rsidRPr="00DC30AD">
            <w:rPr>
              <w:rFonts w:ascii="Arial" w:eastAsia="Times New Roman" w:hAnsi="Arial"/>
              <w:b/>
              <w:bCs/>
              <w:i/>
              <w:iCs/>
              <w:sz w:val="28"/>
              <w:szCs w:val="28"/>
              <w:lang w:eastAsia="en-GB"/>
            </w:rPr>
            <w:t>In Confidence</w:t>
          </w:r>
        </w:p>
      </w:tc>
      <w:tc>
        <w:tcPr>
          <w:tcW w:w="527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</w:tcPr>
        <w:p w14:paraId="7F2BB7C3" w14:textId="5127D253" w:rsidR="00836E26" w:rsidRDefault="00836E26" w:rsidP="00836E26">
          <w:pPr>
            <w:keepNext/>
            <w:spacing w:before="480" w:after="0" w:line="240" w:lineRule="auto"/>
            <w:jc w:val="center"/>
            <w:outlineLvl w:val="1"/>
            <w:rPr>
              <w:rFonts w:ascii="Arial" w:eastAsia="Times New Roman" w:hAnsi="Arial"/>
              <w:b/>
              <w:bCs/>
              <w:i/>
              <w:iCs/>
              <w:color w:val="2E74B5" w:themeColor="accent5" w:themeShade="BF"/>
              <w:sz w:val="28"/>
              <w:szCs w:val="28"/>
              <w:lang w:eastAsia="en-GB"/>
            </w:rPr>
          </w:pPr>
          <w:r>
            <w:rPr>
              <w:rFonts w:ascii="Arial" w:eastAsia="Times New Roman" w:hAnsi="Arial"/>
              <w:b/>
              <w:bCs/>
              <w:i/>
              <w:iCs/>
              <w:color w:val="2E74B5" w:themeColor="accent5" w:themeShade="BF"/>
              <w:sz w:val="28"/>
              <w:szCs w:val="28"/>
              <w:lang w:eastAsia="en-GB"/>
            </w:rPr>
            <w:t xml:space="preserve">Surgical Mesh Education and </w:t>
          </w:r>
          <w:r w:rsidR="000A1821">
            <w:rPr>
              <w:rFonts w:ascii="Arial" w:eastAsia="Times New Roman" w:hAnsi="Arial"/>
              <w:b/>
              <w:bCs/>
              <w:i/>
              <w:iCs/>
              <w:color w:val="2E74B5" w:themeColor="accent5" w:themeShade="BF"/>
              <w:sz w:val="28"/>
              <w:szCs w:val="28"/>
              <w:lang w:eastAsia="en-GB"/>
            </w:rPr>
            <w:t xml:space="preserve">Harm </w:t>
          </w:r>
          <w:r>
            <w:rPr>
              <w:rFonts w:ascii="Arial" w:eastAsia="Times New Roman" w:hAnsi="Arial"/>
              <w:b/>
              <w:bCs/>
              <w:i/>
              <w:iCs/>
              <w:color w:val="2E74B5" w:themeColor="accent5" w:themeShade="BF"/>
              <w:sz w:val="28"/>
              <w:szCs w:val="28"/>
              <w:lang w:eastAsia="en-GB"/>
            </w:rPr>
            <w:t xml:space="preserve">Prevention Programme Steering Group </w:t>
          </w:r>
        </w:p>
        <w:p w14:paraId="05EE35C7" w14:textId="5914F1FD" w:rsidR="00DC30AD" w:rsidRPr="00DC30AD" w:rsidRDefault="001338C0" w:rsidP="00DC30AD">
          <w:pPr>
            <w:keepNext/>
            <w:spacing w:before="480" w:after="0" w:line="240" w:lineRule="auto"/>
            <w:jc w:val="center"/>
            <w:outlineLvl w:val="1"/>
            <w:rPr>
              <w:rFonts w:ascii="Arial" w:eastAsia="Times New Roman" w:hAnsi="Arial"/>
              <w:b/>
              <w:bCs/>
              <w:i/>
              <w:iCs/>
              <w:color w:val="2E74B5" w:themeColor="accent5" w:themeShade="BF"/>
              <w:sz w:val="28"/>
              <w:szCs w:val="28"/>
              <w:lang w:eastAsia="en-GB"/>
            </w:rPr>
          </w:pPr>
          <w:r>
            <w:rPr>
              <w:rFonts w:ascii="Arial" w:eastAsia="Times New Roman" w:hAnsi="Arial"/>
              <w:b/>
              <w:bCs/>
              <w:i/>
              <w:iCs/>
              <w:color w:val="2E74B5" w:themeColor="accent5" w:themeShade="BF"/>
              <w:sz w:val="28"/>
              <w:szCs w:val="28"/>
              <w:lang w:eastAsia="en-GB"/>
            </w:rPr>
            <w:t xml:space="preserve"> </w:t>
          </w:r>
          <w:r w:rsidR="00DC30AD" w:rsidRPr="00DC30AD">
            <w:rPr>
              <w:rFonts w:ascii="Arial" w:eastAsia="Times New Roman" w:hAnsi="Arial"/>
              <w:b/>
              <w:bCs/>
              <w:i/>
              <w:iCs/>
              <w:color w:val="2E74B5" w:themeColor="accent5" w:themeShade="BF"/>
              <w:sz w:val="28"/>
              <w:szCs w:val="28"/>
              <w:lang w:eastAsia="en-GB"/>
            </w:rPr>
            <w:t>Terms of Reference</w:t>
          </w:r>
        </w:p>
        <w:p w14:paraId="1E91B5FD" w14:textId="77777777" w:rsidR="00DC30AD" w:rsidRPr="00DC30AD" w:rsidRDefault="00DC30AD" w:rsidP="00DC30AD">
          <w:pPr>
            <w:rPr>
              <w:rFonts w:asciiTheme="minorHAnsi" w:hAnsiTheme="minorHAnsi" w:cstheme="minorBidi"/>
              <w:szCs w:val="22"/>
            </w:rPr>
          </w:pPr>
        </w:p>
      </w:tc>
      <w:tc>
        <w:tcPr>
          <w:tcW w:w="297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</w:tcPr>
        <w:p w14:paraId="5770D1DD" w14:textId="67CD1D5D" w:rsidR="008921A5" w:rsidRDefault="00DC30AD" w:rsidP="008921A5">
          <w:pPr>
            <w:tabs>
              <w:tab w:val="center" w:pos="4513"/>
              <w:tab w:val="right" w:pos="9026"/>
            </w:tabs>
            <w:spacing w:after="120" w:line="240" w:lineRule="auto"/>
            <w:jc w:val="center"/>
            <w:rPr>
              <w:rFonts w:asciiTheme="minorHAnsi" w:hAnsiTheme="minorHAnsi" w:cstheme="minorBidi"/>
              <w:szCs w:val="22"/>
            </w:rPr>
          </w:pPr>
          <w:r w:rsidRPr="00DC30AD">
            <w:rPr>
              <w:rFonts w:asciiTheme="minorHAnsi" w:hAnsiTheme="minorHAnsi" w:cstheme="minorBidi"/>
              <w:noProof/>
              <w:szCs w:val="22"/>
              <w:lang w:eastAsia="en-NZ"/>
            </w:rPr>
            <w:drawing>
              <wp:inline distT="0" distB="0" distL="0" distR="0" wp14:anchorId="7FE8D806" wp14:editId="22B465E0">
                <wp:extent cx="1676400" cy="740664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OH_logo%20RGB%20Thumb_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740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FF6235" w14:textId="1E2FDED5" w:rsidR="008921A5" w:rsidRPr="00DC30AD" w:rsidRDefault="008921A5" w:rsidP="00DC30AD">
          <w:pPr>
            <w:tabs>
              <w:tab w:val="center" w:pos="4513"/>
              <w:tab w:val="right" w:pos="9026"/>
            </w:tabs>
            <w:spacing w:after="120" w:line="240" w:lineRule="auto"/>
            <w:jc w:val="center"/>
            <w:rPr>
              <w:rFonts w:asciiTheme="minorHAnsi" w:hAnsiTheme="minorHAnsi" w:cstheme="minorBidi"/>
              <w:szCs w:val="22"/>
            </w:rPr>
          </w:pPr>
          <w:r>
            <w:rPr>
              <w:rFonts w:ascii="Arial" w:eastAsia="Times New Roman" w:hAnsi="Arial"/>
              <w:b/>
              <w:bCs/>
              <w:i/>
              <w:iCs/>
              <w:noProof/>
              <w:color w:val="2E74B5" w:themeColor="accent5" w:themeShade="BF"/>
              <w:sz w:val="28"/>
              <w:szCs w:val="28"/>
              <w:lang w:eastAsia="en-NZ"/>
            </w:rPr>
            <w:drawing>
              <wp:inline distT="0" distB="0" distL="0" distR="0" wp14:anchorId="2D845929" wp14:editId="495D542F">
                <wp:extent cx="1232919" cy="1107950"/>
                <wp:effectExtent l="0" t="0" r="0" b="0"/>
                <wp:docPr id="1" name="Picture 1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7066 ACC_logo_tagline_clearspace_RG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2919" cy="1107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2968F" w14:textId="7AD30A7C" w:rsidR="00DC30AD" w:rsidRDefault="00DC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0318E"/>
    <w:multiLevelType w:val="hybridMultilevel"/>
    <w:tmpl w:val="A022B87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61E0"/>
    <w:multiLevelType w:val="hybridMultilevel"/>
    <w:tmpl w:val="523C4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3A94"/>
    <w:multiLevelType w:val="hybridMultilevel"/>
    <w:tmpl w:val="1E168E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E5C0B"/>
    <w:multiLevelType w:val="hybridMultilevel"/>
    <w:tmpl w:val="BBBEED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839D6"/>
    <w:multiLevelType w:val="hybridMultilevel"/>
    <w:tmpl w:val="0100A19C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66C5"/>
    <w:multiLevelType w:val="hybridMultilevel"/>
    <w:tmpl w:val="A960331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531A45"/>
    <w:multiLevelType w:val="hybridMultilevel"/>
    <w:tmpl w:val="986AB25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908E4"/>
    <w:multiLevelType w:val="hybridMultilevel"/>
    <w:tmpl w:val="7696DE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AD"/>
    <w:rsid w:val="00000FA4"/>
    <w:rsid w:val="00002C97"/>
    <w:rsid w:val="00003024"/>
    <w:rsid w:val="00006031"/>
    <w:rsid w:val="00010CB2"/>
    <w:rsid w:val="00012D90"/>
    <w:rsid w:val="00020318"/>
    <w:rsid w:val="000251DB"/>
    <w:rsid w:val="00032B1F"/>
    <w:rsid w:val="00037EE2"/>
    <w:rsid w:val="00040442"/>
    <w:rsid w:val="00046E09"/>
    <w:rsid w:val="00054B72"/>
    <w:rsid w:val="00054E8D"/>
    <w:rsid w:val="00065ADA"/>
    <w:rsid w:val="00066C83"/>
    <w:rsid w:val="00071014"/>
    <w:rsid w:val="00073E61"/>
    <w:rsid w:val="00085C80"/>
    <w:rsid w:val="0009197F"/>
    <w:rsid w:val="0009283A"/>
    <w:rsid w:val="000A05C9"/>
    <w:rsid w:val="000A161E"/>
    <w:rsid w:val="000A1821"/>
    <w:rsid w:val="000A209C"/>
    <w:rsid w:val="000A581C"/>
    <w:rsid w:val="000B1F0D"/>
    <w:rsid w:val="000B524B"/>
    <w:rsid w:val="000C07DB"/>
    <w:rsid w:val="000C4AE8"/>
    <w:rsid w:val="000D2078"/>
    <w:rsid w:val="000E2287"/>
    <w:rsid w:val="000E27E5"/>
    <w:rsid w:val="000E48B2"/>
    <w:rsid w:val="000E5EC1"/>
    <w:rsid w:val="000E6432"/>
    <w:rsid w:val="001050BB"/>
    <w:rsid w:val="00111C89"/>
    <w:rsid w:val="00116A97"/>
    <w:rsid w:val="00126EA4"/>
    <w:rsid w:val="00131FBE"/>
    <w:rsid w:val="001338C0"/>
    <w:rsid w:val="00134D32"/>
    <w:rsid w:val="001368AE"/>
    <w:rsid w:val="00142829"/>
    <w:rsid w:val="001439A3"/>
    <w:rsid w:val="0016114F"/>
    <w:rsid w:val="001626A5"/>
    <w:rsid w:val="00170D06"/>
    <w:rsid w:val="00170F87"/>
    <w:rsid w:val="0017124F"/>
    <w:rsid w:val="0017234E"/>
    <w:rsid w:val="00176024"/>
    <w:rsid w:val="001769F5"/>
    <w:rsid w:val="00183481"/>
    <w:rsid w:val="001852FA"/>
    <w:rsid w:val="00190ADE"/>
    <w:rsid w:val="00192005"/>
    <w:rsid w:val="001A123B"/>
    <w:rsid w:val="001A2868"/>
    <w:rsid w:val="001A30D5"/>
    <w:rsid w:val="001A3EF0"/>
    <w:rsid w:val="001B2FC7"/>
    <w:rsid w:val="001B7021"/>
    <w:rsid w:val="001B765B"/>
    <w:rsid w:val="001C62D2"/>
    <w:rsid w:val="001C6857"/>
    <w:rsid w:val="001D2DB0"/>
    <w:rsid w:val="001D3539"/>
    <w:rsid w:val="001D5DED"/>
    <w:rsid w:val="001E1675"/>
    <w:rsid w:val="001E3310"/>
    <w:rsid w:val="001E469C"/>
    <w:rsid w:val="001E69AD"/>
    <w:rsid w:val="001F5532"/>
    <w:rsid w:val="001F64A4"/>
    <w:rsid w:val="00211C53"/>
    <w:rsid w:val="0021416B"/>
    <w:rsid w:val="00217F3B"/>
    <w:rsid w:val="00224FAE"/>
    <w:rsid w:val="00237A59"/>
    <w:rsid w:val="002501C4"/>
    <w:rsid w:val="00270ABC"/>
    <w:rsid w:val="00272600"/>
    <w:rsid w:val="00275597"/>
    <w:rsid w:val="00280797"/>
    <w:rsid w:val="00280B8A"/>
    <w:rsid w:val="00282602"/>
    <w:rsid w:val="00285228"/>
    <w:rsid w:val="00286214"/>
    <w:rsid w:val="00291474"/>
    <w:rsid w:val="002A34DB"/>
    <w:rsid w:val="002B14DE"/>
    <w:rsid w:val="002B4D6A"/>
    <w:rsid w:val="002C44E7"/>
    <w:rsid w:val="002C572A"/>
    <w:rsid w:val="002C713A"/>
    <w:rsid w:val="002C79DE"/>
    <w:rsid w:val="002D60F1"/>
    <w:rsid w:val="002D6B39"/>
    <w:rsid w:val="002F76A2"/>
    <w:rsid w:val="003038C6"/>
    <w:rsid w:val="00304D69"/>
    <w:rsid w:val="00306C78"/>
    <w:rsid w:val="003166AF"/>
    <w:rsid w:val="003200BB"/>
    <w:rsid w:val="00323C1C"/>
    <w:rsid w:val="00323CC3"/>
    <w:rsid w:val="00332299"/>
    <w:rsid w:val="00337CA3"/>
    <w:rsid w:val="00341531"/>
    <w:rsid w:val="00346F8B"/>
    <w:rsid w:val="00352FFF"/>
    <w:rsid w:val="00354306"/>
    <w:rsid w:val="00356A0D"/>
    <w:rsid w:val="003642F7"/>
    <w:rsid w:val="003665E7"/>
    <w:rsid w:val="003750F0"/>
    <w:rsid w:val="00375439"/>
    <w:rsid w:val="00376284"/>
    <w:rsid w:val="003A1D1C"/>
    <w:rsid w:val="003A5206"/>
    <w:rsid w:val="003C4E6D"/>
    <w:rsid w:val="003E4ECE"/>
    <w:rsid w:val="003E5FAE"/>
    <w:rsid w:val="003F2E4A"/>
    <w:rsid w:val="003F7048"/>
    <w:rsid w:val="0040020B"/>
    <w:rsid w:val="00402773"/>
    <w:rsid w:val="00405512"/>
    <w:rsid w:val="004126F2"/>
    <w:rsid w:val="00413CE3"/>
    <w:rsid w:val="00425941"/>
    <w:rsid w:val="00432644"/>
    <w:rsid w:val="004372FB"/>
    <w:rsid w:val="004501C7"/>
    <w:rsid w:val="0045158B"/>
    <w:rsid w:val="00461FF5"/>
    <w:rsid w:val="004669A6"/>
    <w:rsid w:val="00482CA8"/>
    <w:rsid w:val="004835F0"/>
    <w:rsid w:val="0048569B"/>
    <w:rsid w:val="004859BE"/>
    <w:rsid w:val="00496FA0"/>
    <w:rsid w:val="004A34BB"/>
    <w:rsid w:val="004A5609"/>
    <w:rsid w:val="004B2969"/>
    <w:rsid w:val="004B5144"/>
    <w:rsid w:val="004B55CC"/>
    <w:rsid w:val="004B74E2"/>
    <w:rsid w:val="004B7AA4"/>
    <w:rsid w:val="004C23C9"/>
    <w:rsid w:val="004C2BF7"/>
    <w:rsid w:val="004C4BD5"/>
    <w:rsid w:val="004D05CD"/>
    <w:rsid w:val="004D1DEF"/>
    <w:rsid w:val="004E2975"/>
    <w:rsid w:val="004E2BE8"/>
    <w:rsid w:val="004E5B83"/>
    <w:rsid w:val="004F0769"/>
    <w:rsid w:val="004F55CF"/>
    <w:rsid w:val="004F5E00"/>
    <w:rsid w:val="00515450"/>
    <w:rsid w:val="00517F1F"/>
    <w:rsid w:val="00521B0F"/>
    <w:rsid w:val="00525F2A"/>
    <w:rsid w:val="00540558"/>
    <w:rsid w:val="005405EB"/>
    <w:rsid w:val="0054347F"/>
    <w:rsid w:val="00544873"/>
    <w:rsid w:val="0054588E"/>
    <w:rsid w:val="00565213"/>
    <w:rsid w:val="00566584"/>
    <w:rsid w:val="00570879"/>
    <w:rsid w:val="005735C3"/>
    <w:rsid w:val="00574CF9"/>
    <w:rsid w:val="00581D1C"/>
    <w:rsid w:val="00584A5E"/>
    <w:rsid w:val="0058630C"/>
    <w:rsid w:val="005A00F7"/>
    <w:rsid w:val="005B657C"/>
    <w:rsid w:val="005C3AB9"/>
    <w:rsid w:val="005D1303"/>
    <w:rsid w:val="005F47C2"/>
    <w:rsid w:val="00602F23"/>
    <w:rsid w:val="00614027"/>
    <w:rsid w:val="00615453"/>
    <w:rsid w:val="00615C2D"/>
    <w:rsid w:val="00621A2F"/>
    <w:rsid w:val="00632779"/>
    <w:rsid w:val="0063474F"/>
    <w:rsid w:val="00656101"/>
    <w:rsid w:val="00672DF1"/>
    <w:rsid w:val="00676344"/>
    <w:rsid w:val="00677D74"/>
    <w:rsid w:val="00691060"/>
    <w:rsid w:val="00694F52"/>
    <w:rsid w:val="006A772E"/>
    <w:rsid w:val="006B095B"/>
    <w:rsid w:val="006B5538"/>
    <w:rsid w:val="006B664E"/>
    <w:rsid w:val="006B7445"/>
    <w:rsid w:val="006C4954"/>
    <w:rsid w:val="006C58B6"/>
    <w:rsid w:val="006D2519"/>
    <w:rsid w:val="006D502B"/>
    <w:rsid w:val="006D5CA4"/>
    <w:rsid w:val="006D634D"/>
    <w:rsid w:val="006E2656"/>
    <w:rsid w:val="006F27BA"/>
    <w:rsid w:val="00700390"/>
    <w:rsid w:val="00705864"/>
    <w:rsid w:val="00714DAC"/>
    <w:rsid w:val="00717313"/>
    <w:rsid w:val="00717FB4"/>
    <w:rsid w:val="00720072"/>
    <w:rsid w:val="0072032F"/>
    <w:rsid w:val="00723B13"/>
    <w:rsid w:val="007276E6"/>
    <w:rsid w:val="007334B0"/>
    <w:rsid w:val="00736F1B"/>
    <w:rsid w:val="007375EC"/>
    <w:rsid w:val="007412A9"/>
    <w:rsid w:val="00743FAF"/>
    <w:rsid w:val="00744E82"/>
    <w:rsid w:val="0075017D"/>
    <w:rsid w:val="00751EE8"/>
    <w:rsid w:val="007659BA"/>
    <w:rsid w:val="00765DD7"/>
    <w:rsid w:val="00771804"/>
    <w:rsid w:val="00772DE3"/>
    <w:rsid w:val="0077701D"/>
    <w:rsid w:val="00787773"/>
    <w:rsid w:val="00790A70"/>
    <w:rsid w:val="0079534A"/>
    <w:rsid w:val="007A12DD"/>
    <w:rsid w:val="007A2BA1"/>
    <w:rsid w:val="007A3685"/>
    <w:rsid w:val="007B2C6D"/>
    <w:rsid w:val="007B5B85"/>
    <w:rsid w:val="007B5C73"/>
    <w:rsid w:val="007D75A5"/>
    <w:rsid w:val="007E1F38"/>
    <w:rsid w:val="007E4AB4"/>
    <w:rsid w:val="007F0205"/>
    <w:rsid w:val="007F2193"/>
    <w:rsid w:val="007F6F3F"/>
    <w:rsid w:val="00805314"/>
    <w:rsid w:val="00810249"/>
    <w:rsid w:val="008214F0"/>
    <w:rsid w:val="0082532B"/>
    <w:rsid w:val="008361CC"/>
    <w:rsid w:val="00836E26"/>
    <w:rsid w:val="00837244"/>
    <w:rsid w:val="008373A5"/>
    <w:rsid w:val="0083755B"/>
    <w:rsid w:val="008415F7"/>
    <w:rsid w:val="008432B4"/>
    <w:rsid w:val="00843D25"/>
    <w:rsid w:val="00844531"/>
    <w:rsid w:val="008519C7"/>
    <w:rsid w:val="00861E46"/>
    <w:rsid w:val="00864ED1"/>
    <w:rsid w:val="008665D1"/>
    <w:rsid w:val="0087488B"/>
    <w:rsid w:val="00886307"/>
    <w:rsid w:val="008921A5"/>
    <w:rsid w:val="00892A9D"/>
    <w:rsid w:val="0089550E"/>
    <w:rsid w:val="00895671"/>
    <w:rsid w:val="00895AEC"/>
    <w:rsid w:val="008A0567"/>
    <w:rsid w:val="008A0882"/>
    <w:rsid w:val="008A328D"/>
    <w:rsid w:val="008A4B7B"/>
    <w:rsid w:val="008B1CF2"/>
    <w:rsid w:val="008B4E79"/>
    <w:rsid w:val="008C1088"/>
    <w:rsid w:val="008C396A"/>
    <w:rsid w:val="008C5125"/>
    <w:rsid w:val="008C60F7"/>
    <w:rsid w:val="008C6CA5"/>
    <w:rsid w:val="008D16C1"/>
    <w:rsid w:val="008E725E"/>
    <w:rsid w:val="00904445"/>
    <w:rsid w:val="00905DF9"/>
    <w:rsid w:val="00911783"/>
    <w:rsid w:val="009130BC"/>
    <w:rsid w:val="00916004"/>
    <w:rsid w:val="009165B3"/>
    <w:rsid w:val="00921034"/>
    <w:rsid w:val="00921167"/>
    <w:rsid w:val="009261D6"/>
    <w:rsid w:val="00927E3C"/>
    <w:rsid w:val="00932278"/>
    <w:rsid w:val="009323E5"/>
    <w:rsid w:val="00942F84"/>
    <w:rsid w:val="00947D13"/>
    <w:rsid w:val="00951D51"/>
    <w:rsid w:val="00952FE3"/>
    <w:rsid w:val="00953D1A"/>
    <w:rsid w:val="0095427D"/>
    <w:rsid w:val="0095594A"/>
    <w:rsid w:val="0096083B"/>
    <w:rsid w:val="00962A77"/>
    <w:rsid w:val="00962EBB"/>
    <w:rsid w:val="00967234"/>
    <w:rsid w:val="0099457B"/>
    <w:rsid w:val="009962A6"/>
    <w:rsid w:val="009A40D3"/>
    <w:rsid w:val="009A5358"/>
    <w:rsid w:val="009C08C5"/>
    <w:rsid w:val="009C3FE6"/>
    <w:rsid w:val="009C4659"/>
    <w:rsid w:val="009C514D"/>
    <w:rsid w:val="009C6066"/>
    <w:rsid w:val="009D49DB"/>
    <w:rsid w:val="009D4DD1"/>
    <w:rsid w:val="009D58AB"/>
    <w:rsid w:val="009E26A2"/>
    <w:rsid w:val="009E39E9"/>
    <w:rsid w:val="009F1093"/>
    <w:rsid w:val="009F47EE"/>
    <w:rsid w:val="009F5D0E"/>
    <w:rsid w:val="009F664B"/>
    <w:rsid w:val="009F6DD9"/>
    <w:rsid w:val="00A00138"/>
    <w:rsid w:val="00A007F1"/>
    <w:rsid w:val="00A01666"/>
    <w:rsid w:val="00A153E2"/>
    <w:rsid w:val="00A27CCC"/>
    <w:rsid w:val="00A524D1"/>
    <w:rsid w:val="00A57882"/>
    <w:rsid w:val="00A66EF1"/>
    <w:rsid w:val="00A70012"/>
    <w:rsid w:val="00A7402C"/>
    <w:rsid w:val="00A77BBE"/>
    <w:rsid w:val="00AA1E42"/>
    <w:rsid w:val="00AA7DDC"/>
    <w:rsid w:val="00AD6AA1"/>
    <w:rsid w:val="00AE759F"/>
    <w:rsid w:val="00AF49A0"/>
    <w:rsid w:val="00AF66E0"/>
    <w:rsid w:val="00B073D4"/>
    <w:rsid w:val="00B07F4E"/>
    <w:rsid w:val="00B11B2A"/>
    <w:rsid w:val="00B12AAE"/>
    <w:rsid w:val="00B13931"/>
    <w:rsid w:val="00B17DC1"/>
    <w:rsid w:val="00B24842"/>
    <w:rsid w:val="00B26D0A"/>
    <w:rsid w:val="00B3410D"/>
    <w:rsid w:val="00B34833"/>
    <w:rsid w:val="00B41E63"/>
    <w:rsid w:val="00B454E3"/>
    <w:rsid w:val="00B4659B"/>
    <w:rsid w:val="00B46D8C"/>
    <w:rsid w:val="00B53381"/>
    <w:rsid w:val="00B53A4E"/>
    <w:rsid w:val="00B54792"/>
    <w:rsid w:val="00B66096"/>
    <w:rsid w:val="00B83B63"/>
    <w:rsid w:val="00B87238"/>
    <w:rsid w:val="00B929CB"/>
    <w:rsid w:val="00BA0BD5"/>
    <w:rsid w:val="00BA1D09"/>
    <w:rsid w:val="00BB1C18"/>
    <w:rsid w:val="00BB2A50"/>
    <w:rsid w:val="00BB3713"/>
    <w:rsid w:val="00BB7235"/>
    <w:rsid w:val="00BB7263"/>
    <w:rsid w:val="00BD0FB2"/>
    <w:rsid w:val="00BD4B44"/>
    <w:rsid w:val="00BD5626"/>
    <w:rsid w:val="00BE738B"/>
    <w:rsid w:val="00BF068D"/>
    <w:rsid w:val="00BF2A82"/>
    <w:rsid w:val="00BF36B1"/>
    <w:rsid w:val="00BF4C67"/>
    <w:rsid w:val="00BF5342"/>
    <w:rsid w:val="00BF74DF"/>
    <w:rsid w:val="00C12551"/>
    <w:rsid w:val="00C15A13"/>
    <w:rsid w:val="00C23D6D"/>
    <w:rsid w:val="00C305F0"/>
    <w:rsid w:val="00C310D0"/>
    <w:rsid w:val="00C3514E"/>
    <w:rsid w:val="00C3647D"/>
    <w:rsid w:val="00C36878"/>
    <w:rsid w:val="00C3738E"/>
    <w:rsid w:val="00C465DF"/>
    <w:rsid w:val="00C46E39"/>
    <w:rsid w:val="00C47B08"/>
    <w:rsid w:val="00C53267"/>
    <w:rsid w:val="00C54501"/>
    <w:rsid w:val="00C550BD"/>
    <w:rsid w:val="00C62181"/>
    <w:rsid w:val="00C76883"/>
    <w:rsid w:val="00C80604"/>
    <w:rsid w:val="00C851B9"/>
    <w:rsid w:val="00C90708"/>
    <w:rsid w:val="00CA115C"/>
    <w:rsid w:val="00CA2B5D"/>
    <w:rsid w:val="00CA2C09"/>
    <w:rsid w:val="00CA797B"/>
    <w:rsid w:val="00CB0B0D"/>
    <w:rsid w:val="00CB4F28"/>
    <w:rsid w:val="00CB575E"/>
    <w:rsid w:val="00CC6B72"/>
    <w:rsid w:val="00CD2C97"/>
    <w:rsid w:val="00CE0923"/>
    <w:rsid w:val="00CE5C5B"/>
    <w:rsid w:val="00CF26C2"/>
    <w:rsid w:val="00CF3FDC"/>
    <w:rsid w:val="00CF642E"/>
    <w:rsid w:val="00CF6B8A"/>
    <w:rsid w:val="00CF6BA9"/>
    <w:rsid w:val="00D03C95"/>
    <w:rsid w:val="00D0565E"/>
    <w:rsid w:val="00D104F6"/>
    <w:rsid w:val="00D2060E"/>
    <w:rsid w:val="00D22376"/>
    <w:rsid w:val="00D31187"/>
    <w:rsid w:val="00D33568"/>
    <w:rsid w:val="00D41E15"/>
    <w:rsid w:val="00D432FD"/>
    <w:rsid w:val="00D445BE"/>
    <w:rsid w:val="00D4670D"/>
    <w:rsid w:val="00D52A07"/>
    <w:rsid w:val="00D54CDE"/>
    <w:rsid w:val="00D62D1F"/>
    <w:rsid w:val="00D6548C"/>
    <w:rsid w:val="00D8571F"/>
    <w:rsid w:val="00D91AFB"/>
    <w:rsid w:val="00D92836"/>
    <w:rsid w:val="00D95CC4"/>
    <w:rsid w:val="00D978A1"/>
    <w:rsid w:val="00DA3525"/>
    <w:rsid w:val="00DA3A46"/>
    <w:rsid w:val="00DA7FB5"/>
    <w:rsid w:val="00DB5A20"/>
    <w:rsid w:val="00DC03A1"/>
    <w:rsid w:val="00DC30AD"/>
    <w:rsid w:val="00DD428D"/>
    <w:rsid w:val="00DE09D5"/>
    <w:rsid w:val="00DF4347"/>
    <w:rsid w:val="00DF7130"/>
    <w:rsid w:val="00E0239F"/>
    <w:rsid w:val="00E20C64"/>
    <w:rsid w:val="00E30024"/>
    <w:rsid w:val="00E37832"/>
    <w:rsid w:val="00E53CDD"/>
    <w:rsid w:val="00E6596C"/>
    <w:rsid w:val="00E70FAB"/>
    <w:rsid w:val="00E73811"/>
    <w:rsid w:val="00E80B9F"/>
    <w:rsid w:val="00E819B8"/>
    <w:rsid w:val="00E86C18"/>
    <w:rsid w:val="00E973CA"/>
    <w:rsid w:val="00EB0A9E"/>
    <w:rsid w:val="00EB4905"/>
    <w:rsid w:val="00EB6170"/>
    <w:rsid w:val="00EB7318"/>
    <w:rsid w:val="00EC1A5F"/>
    <w:rsid w:val="00EC732E"/>
    <w:rsid w:val="00EC78FF"/>
    <w:rsid w:val="00ED0819"/>
    <w:rsid w:val="00ED20F9"/>
    <w:rsid w:val="00ED27AE"/>
    <w:rsid w:val="00ED3F47"/>
    <w:rsid w:val="00EE270A"/>
    <w:rsid w:val="00EE38CF"/>
    <w:rsid w:val="00EE45F2"/>
    <w:rsid w:val="00F021E1"/>
    <w:rsid w:val="00F11647"/>
    <w:rsid w:val="00F17FC8"/>
    <w:rsid w:val="00F244B4"/>
    <w:rsid w:val="00F303E5"/>
    <w:rsid w:val="00F31918"/>
    <w:rsid w:val="00F320C9"/>
    <w:rsid w:val="00F40D3C"/>
    <w:rsid w:val="00F45B4C"/>
    <w:rsid w:val="00F52E5C"/>
    <w:rsid w:val="00F54F50"/>
    <w:rsid w:val="00F6484E"/>
    <w:rsid w:val="00F64889"/>
    <w:rsid w:val="00F749E6"/>
    <w:rsid w:val="00F77690"/>
    <w:rsid w:val="00F80CFF"/>
    <w:rsid w:val="00F87C50"/>
    <w:rsid w:val="00F91BDE"/>
    <w:rsid w:val="00F9702B"/>
    <w:rsid w:val="00F97694"/>
    <w:rsid w:val="00FA64E4"/>
    <w:rsid w:val="00FB7AE9"/>
    <w:rsid w:val="00FD2EDF"/>
    <w:rsid w:val="00FD30CB"/>
    <w:rsid w:val="00FD5CCB"/>
    <w:rsid w:val="00FE1E56"/>
    <w:rsid w:val="00FE3970"/>
    <w:rsid w:val="00FE517E"/>
    <w:rsid w:val="00FE5C25"/>
    <w:rsid w:val="00FE5E9C"/>
    <w:rsid w:val="00FE659E"/>
    <w:rsid w:val="00FF36C6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B28F45"/>
  <w15:docId w15:val="{34A87461-4438-4687-B0C3-B6D5C9F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0AD"/>
  </w:style>
  <w:style w:type="paragraph" w:styleId="Footer">
    <w:name w:val="footer"/>
    <w:basedOn w:val="Normal"/>
    <w:link w:val="FooterChar"/>
    <w:uiPriority w:val="99"/>
    <w:unhideWhenUsed/>
    <w:rsid w:val="00DC3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AD"/>
  </w:style>
  <w:style w:type="paragraph" w:styleId="ListParagraph">
    <w:name w:val="List Paragraph"/>
    <w:basedOn w:val="Normal"/>
    <w:uiPriority w:val="34"/>
    <w:qFormat/>
    <w:rsid w:val="00694F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56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56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567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BEF33651A141ABFC35944E5802F2" ma:contentTypeVersion="10" ma:contentTypeDescription="Create a new document." ma:contentTypeScope="" ma:versionID="931e6a341590733cf2d2024d37ac8a5f">
  <xsd:schema xmlns:xsd="http://www.w3.org/2001/XMLSchema" xmlns:xs="http://www.w3.org/2001/XMLSchema" xmlns:p="http://schemas.microsoft.com/office/2006/metadata/properties" xmlns:ns3="bbdb2c1b-35d0-4fe2-8dbb-7e45473280f3" targetNamespace="http://schemas.microsoft.com/office/2006/metadata/properties" ma:root="true" ma:fieldsID="e14ccc0776b2a5e040d33e28b41dff67" ns3:_="">
    <xsd:import namespace="bbdb2c1b-35d0-4fe2-8dbb-7e454732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2c1b-35d0-4fe2-8dbb-7e4547328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78DA2-8E6B-4C26-8562-8A4F42098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b2c1b-35d0-4fe2-8dbb-7e454732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969C1-F767-407E-B01F-69FC3F3EE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011F0-67F5-4EB7-BFB5-59140B3831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 District Health Board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Reference: Surgical Mesh Education and Harm Prevention Programme</dc:title>
  <dc:creator>Ministry of Health</dc:creator>
  <cp:lastModifiedBy>Andrew Leggott</cp:lastModifiedBy>
  <cp:revision>2</cp:revision>
  <cp:lastPrinted>2020-02-10T03:22:00Z</cp:lastPrinted>
  <dcterms:created xsi:type="dcterms:W3CDTF">2020-08-19T02:58:00Z</dcterms:created>
  <dcterms:modified xsi:type="dcterms:W3CDTF">2020-08-19T02:58:00Z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2020-05-21T03:58:25Z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8bedcb1c-1be0-471b-a648-00003508394c</vt:lpwstr>
  </property>
  <property fmtid="{D5CDD505-2E9C-101B-9397-08002B2CF9AE}" pid="8" name="MSIP_Label_e6cd0942-8d27-4cf6-a327-a2a5798e4a3f_ContentBits">
    <vt:lpwstr>0</vt:lpwstr>
  </property>
  <property fmtid="{D5CDD505-2E9C-101B-9397-08002B2CF9AE}" pid="9" name="_AdHocReviewCycleID">
    <vt:i4>-258249708</vt:i4>
  </property>
  <property fmtid="{D5CDD505-2E9C-101B-9397-08002B2CF9AE}" pid="10" name="_NewReviewCycle">
    <vt:lpwstr/>
  </property>
  <property fmtid="{D5CDD505-2E9C-101B-9397-08002B2CF9AE}" pid="11" name="_EmailSubject">
    <vt:lpwstr>Surgical Mesh Education and Harm Prevention ToR</vt:lpwstr>
  </property>
  <property fmtid="{D5CDD505-2E9C-101B-9397-08002B2CF9AE}" pid="12" name="_AuthorEmail">
    <vt:lpwstr>Martin.Thomas@lakesdhb.govt.nz</vt:lpwstr>
  </property>
  <property fmtid="{D5CDD505-2E9C-101B-9397-08002B2CF9AE}" pid="13" name="_AuthorEmailDisplayName">
    <vt:lpwstr>Martin Thomas</vt:lpwstr>
  </property>
  <property fmtid="{D5CDD505-2E9C-101B-9397-08002B2CF9AE}" pid="14" name="_ReviewingToolsShownOnce">
    <vt:lpwstr/>
  </property>
  <property fmtid="{D5CDD505-2E9C-101B-9397-08002B2CF9AE}" pid="15" name="ContentTypeId">
    <vt:lpwstr>0x010100B647BEF33651A141ABFC35944E5802F2</vt:lpwstr>
  </property>
</Properties>
</file>