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8F89E" w14:textId="0E872ABB" w:rsidR="00F44449" w:rsidRDefault="00650B25" w:rsidP="00650B25">
      <w:pPr>
        <w:pStyle w:val="CoverTitle"/>
      </w:pPr>
      <w:r>
        <w:rPr>
          <w:noProof/>
        </w:rPr>
        <w:drawing>
          <wp:anchor distT="0" distB="0" distL="114300" distR="114300" simplePos="0" relativeHeight="251658240" behindDoc="0" locked="0" layoutInCell="1" allowOverlap="1" wp14:anchorId="7E4415A0" wp14:editId="3F5403B1">
            <wp:simplePos x="0" y="0"/>
            <wp:positionH relativeFrom="column">
              <wp:posOffset>-900430</wp:posOffset>
            </wp:positionH>
            <wp:positionV relativeFrom="paragraph">
              <wp:posOffset>1905</wp:posOffset>
            </wp:positionV>
            <wp:extent cx="7676515" cy="5124450"/>
            <wp:effectExtent l="0" t="0" r="635" b="0"/>
            <wp:wrapTopAndBottom/>
            <wp:docPr id="1749186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86045"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676515" cy="5124450"/>
                    </a:xfrm>
                    <a:prstGeom prst="rect">
                      <a:avLst/>
                    </a:prstGeom>
                  </pic:spPr>
                </pic:pic>
              </a:graphicData>
            </a:graphic>
            <wp14:sizeRelH relativeFrom="margin">
              <wp14:pctWidth>0</wp14:pctWidth>
            </wp14:sizeRelH>
            <wp14:sizeRelV relativeFrom="margin">
              <wp14:pctHeight>0</wp14:pctHeight>
            </wp14:sizeRelV>
          </wp:anchor>
        </w:drawing>
      </w:r>
      <w:r w:rsidR="001E787F">
        <w:t>Costs of alcohol harms in New Zealand</w:t>
      </w:r>
    </w:p>
    <w:p w14:paraId="2E86B917" w14:textId="6C1F200F" w:rsidR="006D0BF3" w:rsidRDefault="00C8230A" w:rsidP="006D0BF3">
      <w:pPr>
        <w:pStyle w:val="CoverSubTitle"/>
      </w:pPr>
      <w:bookmarkStart w:id="0" w:name="_Hlk148691155"/>
      <w:r>
        <w:t xml:space="preserve">Updating </w:t>
      </w:r>
      <w:r w:rsidR="00B81B9B">
        <w:t xml:space="preserve">the </w:t>
      </w:r>
      <w:r w:rsidR="001F2436">
        <w:t xml:space="preserve">evidence </w:t>
      </w:r>
      <w:r w:rsidR="001E787F">
        <w:t>with recent research</w:t>
      </w:r>
    </w:p>
    <w:bookmarkEnd w:id="0"/>
    <w:p w14:paraId="01778339" w14:textId="7B832BF1" w:rsidR="006D0BF3" w:rsidRDefault="008A030A" w:rsidP="004D53BA">
      <w:pPr>
        <w:pStyle w:val="CoverSubheading"/>
      </w:pPr>
      <w:r>
        <w:t>NZIER report to</w:t>
      </w:r>
      <w:r w:rsidR="005C7B8B">
        <w:t xml:space="preserve"> </w:t>
      </w:r>
      <w:r w:rsidR="00491D2D">
        <w:t xml:space="preserve">the </w:t>
      </w:r>
      <w:r w:rsidR="00DC3500">
        <w:t xml:space="preserve">Manatū </w:t>
      </w:r>
      <w:proofErr w:type="spellStart"/>
      <w:r w:rsidR="00DC3500">
        <w:t>Hauora</w:t>
      </w:r>
      <w:r w:rsidR="00E9398B">
        <w:t>|</w:t>
      </w:r>
      <w:r w:rsidR="00491D2D">
        <w:t>Ministry</w:t>
      </w:r>
      <w:proofErr w:type="spellEnd"/>
      <w:r w:rsidR="00491D2D">
        <w:t xml:space="preserve"> of Health</w:t>
      </w:r>
    </w:p>
    <w:p w14:paraId="30A7055F" w14:textId="37808976" w:rsidR="00183CB7" w:rsidRDefault="003C6FEC" w:rsidP="00650B25">
      <w:pPr>
        <w:pStyle w:val="CoverSubsubheading"/>
      </w:pPr>
      <w:r>
        <w:t>March</w:t>
      </w:r>
      <w:r w:rsidR="00491D2D">
        <w:t xml:space="preserve"> 202</w:t>
      </w:r>
      <w:r w:rsidR="00440467">
        <w:t>4</w:t>
      </w:r>
    </w:p>
    <w:p w14:paraId="0BCE69B3" w14:textId="67B1F23D" w:rsidR="002F35ED" w:rsidRDefault="002F35ED" w:rsidP="00451DC4">
      <w:pPr>
        <w:pStyle w:val="USBodyText"/>
        <w:sectPr w:rsidR="002F35ED" w:rsidSect="002E60DC">
          <w:headerReference w:type="even" r:id="rId12"/>
          <w:headerReference w:type="default" r:id="rId13"/>
          <w:footerReference w:type="even" r:id="rId14"/>
          <w:footerReference w:type="default" r:id="rId15"/>
          <w:headerReference w:type="first" r:id="rId16"/>
          <w:footerReference w:type="first" r:id="rId17"/>
          <w:pgSz w:w="11907" w:h="16839" w:code="9"/>
          <w:pgMar w:top="3402" w:right="1418" w:bottom="1418" w:left="1418" w:header="851" w:footer="851" w:gutter="0"/>
          <w:pgNumType w:fmt="lowerRoman"/>
          <w:cols w:space="708"/>
          <w:titlePg/>
          <w:docGrid w:linePitch="360"/>
        </w:sectPr>
      </w:pPr>
    </w:p>
    <w:p w14:paraId="08B9A00B" w14:textId="7BCBF01C" w:rsidR="003B713F" w:rsidRDefault="003B713F" w:rsidP="003B713F">
      <w:pPr>
        <w:pStyle w:val="ESHeading1"/>
      </w:pPr>
      <w:r>
        <w:lastRenderedPageBreak/>
        <w:t>About NZIER</w:t>
      </w:r>
    </w:p>
    <w:p w14:paraId="5CACBBCF" w14:textId="77777777" w:rsidR="003115E7" w:rsidRDefault="003115E7" w:rsidP="003115E7">
      <w:pPr>
        <w:pStyle w:val="USBodyText"/>
      </w:pPr>
      <w:r>
        <w:t xml:space="preserve">NZIER is a specialist consulting firm that uses applied economic research and analysis to provide a wide range of strategic advice. </w:t>
      </w:r>
    </w:p>
    <w:p w14:paraId="69ADDDD9" w14:textId="77777777" w:rsidR="003115E7" w:rsidRDefault="003115E7" w:rsidP="008B544F">
      <w:pPr>
        <w:pStyle w:val="USBodyText"/>
      </w:pPr>
      <w:r>
        <w:t>We undertake and make freely available economic research aimed at promoting a better understanding of New Zealand’s important economic challenges.</w:t>
      </w:r>
    </w:p>
    <w:p w14:paraId="4E24AC04" w14:textId="0A7C5473" w:rsidR="003115E7" w:rsidRDefault="003115E7" w:rsidP="003115E7">
      <w:pPr>
        <w:pStyle w:val="USBodyText"/>
      </w:pPr>
      <w:r>
        <w:t>Our long-established Quarterly Survey of Business Opinion and Quarterly Predictions are available to members of NZIER.</w:t>
      </w:r>
    </w:p>
    <w:p w14:paraId="6FE7FBA7" w14:textId="547061CB" w:rsidR="003115E7" w:rsidRDefault="003115E7" w:rsidP="003115E7">
      <w:pPr>
        <w:pStyle w:val="USBodyText"/>
      </w:pPr>
      <w:r>
        <w:t>We pride ourselves on our reputation for independence and delivering quality analysis in the right form and at the right time. We ensure quality through teamwork on individual projects, critical review at internal seminars, and peer review.</w:t>
      </w:r>
    </w:p>
    <w:p w14:paraId="59C753E9" w14:textId="11E8BE7D" w:rsidR="003115E7" w:rsidRPr="003115E7" w:rsidRDefault="003115E7" w:rsidP="003115E7">
      <w:pPr>
        <w:pStyle w:val="USBodyText"/>
      </w:pPr>
      <w:r>
        <w:t>NZIER was established in 1958.</w:t>
      </w:r>
      <w:r w:rsidR="00EF74BD">
        <w:t xml:space="preserve"> </w:t>
      </w:r>
    </w:p>
    <w:p w14:paraId="58C27AE5" w14:textId="77777777" w:rsidR="003B713F" w:rsidRDefault="003B713F" w:rsidP="003B713F">
      <w:pPr>
        <w:pStyle w:val="ESHeading1"/>
      </w:pPr>
      <w:r>
        <w:t>Authorship</w:t>
      </w:r>
    </w:p>
    <w:p w14:paraId="46C68889" w14:textId="7F930AF0" w:rsidR="003B713F" w:rsidRDefault="003B713F" w:rsidP="003B713F">
      <w:pPr>
        <w:pStyle w:val="USBodyText"/>
      </w:pPr>
      <w:r>
        <w:t xml:space="preserve">This paper was prepared </w:t>
      </w:r>
      <w:r w:rsidR="008A030A">
        <w:t xml:space="preserve">at NZIER by </w:t>
      </w:r>
      <w:r w:rsidR="000D3EDA">
        <w:t>Sarah Hogan, Daniel Hamill and Tom Dunn</w:t>
      </w:r>
      <w:r>
        <w:t>.</w:t>
      </w:r>
    </w:p>
    <w:p w14:paraId="0DA0A826" w14:textId="16717608" w:rsidR="00DE7FA6" w:rsidRDefault="00DE7FA6" w:rsidP="003B713F">
      <w:pPr>
        <w:pStyle w:val="USBodyText"/>
      </w:pPr>
      <w:r>
        <w:t>It was quality approved by</w:t>
      </w:r>
      <w:r w:rsidR="003B5DC2">
        <w:t xml:space="preserve"> Todd </w:t>
      </w:r>
      <w:proofErr w:type="spellStart"/>
      <w:r w:rsidR="003B5DC2">
        <w:t>Krieble</w:t>
      </w:r>
      <w:proofErr w:type="spellEnd"/>
      <w:r w:rsidR="00766657">
        <w:t>.</w:t>
      </w:r>
    </w:p>
    <w:p w14:paraId="4970C1E4" w14:textId="43138C3C" w:rsidR="006C7213" w:rsidRDefault="003B713F" w:rsidP="003B713F">
      <w:pPr>
        <w:pStyle w:val="USBodyText"/>
      </w:pPr>
      <w:r>
        <w:t xml:space="preserve">The assistance of </w:t>
      </w:r>
      <w:r w:rsidR="000D3EDA">
        <w:t>Sarah Spring</w:t>
      </w:r>
      <w:r w:rsidR="003F1668">
        <w:t xml:space="preserve"> </w:t>
      </w:r>
      <w:r w:rsidR="008A030A">
        <w:t>is gratefully acknowledged</w:t>
      </w:r>
      <w:r>
        <w:t xml:space="preserve">. </w:t>
      </w:r>
    </w:p>
    <w:p w14:paraId="27E2C206" w14:textId="01E18E92" w:rsidR="004D53BA" w:rsidRDefault="004D53BA" w:rsidP="00F44449">
      <w:pPr>
        <w:pStyle w:val="USBodyText"/>
        <w:rPr>
          <w:highlight w:val="yellow"/>
        </w:rPr>
      </w:pPr>
    </w:p>
    <w:p w14:paraId="2217711B" w14:textId="15251F63" w:rsidR="00766657" w:rsidRDefault="693D3F15" w:rsidP="00F44449">
      <w:pPr>
        <w:pStyle w:val="USBodyText"/>
      </w:pPr>
      <w:r w:rsidRPr="00F9531C">
        <w:t>NZIER would like to thank</w:t>
      </w:r>
      <w:r w:rsidR="008667EE">
        <w:t>:</w:t>
      </w:r>
    </w:p>
    <w:p w14:paraId="45272AD1" w14:textId="7239B542" w:rsidR="00156445" w:rsidRDefault="693D3F15" w:rsidP="00766657">
      <w:pPr>
        <w:pStyle w:val="USBullet1"/>
      </w:pPr>
      <w:r w:rsidRPr="00F9531C">
        <w:t xml:space="preserve">Dr Tim Chambers and Dr Anja </w:t>
      </w:r>
      <w:proofErr w:type="spellStart"/>
      <w:r w:rsidRPr="00F9531C">
        <w:t>Mizdrak</w:t>
      </w:r>
      <w:proofErr w:type="spellEnd"/>
      <w:r w:rsidRPr="00F9531C">
        <w:t xml:space="preserve"> for agreeing to share </w:t>
      </w:r>
      <w:r w:rsidR="4C59D31A" w:rsidRPr="00F9531C">
        <w:t>their yet-to-be-published, New Zealand-specific alcohol</w:t>
      </w:r>
      <w:r w:rsidR="000255AC">
        <w:t>-</w:t>
      </w:r>
      <w:r w:rsidR="4C59D31A" w:rsidRPr="00F9531C">
        <w:t xml:space="preserve">attributable fractions </w:t>
      </w:r>
      <w:r w:rsidR="6416C35A" w:rsidRPr="00F9531C">
        <w:t>to support a more accurate costing of health-related alcohol harms</w:t>
      </w:r>
      <w:r w:rsidR="007104E7">
        <w:t>.</w:t>
      </w:r>
    </w:p>
    <w:p w14:paraId="7EFC3236" w14:textId="2A15674E" w:rsidR="00766657" w:rsidRPr="00F9531C" w:rsidRDefault="00AC76F6" w:rsidP="00766657">
      <w:pPr>
        <w:pStyle w:val="USBullet1"/>
      </w:pPr>
      <w:r>
        <w:t>Dr</w:t>
      </w:r>
      <w:r w:rsidR="00766657">
        <w:t xml:space="preserve"> Ja</w:t>
      </w:r>
      <w:r w:rsidR="00D70DF7">
        <w:t>cqueline</w:t>
      </w:r>
      <w:r w:rsidR="00766657">
        <w:t xml:space="preserve"> Cumming</w:t>
      </w:r>
      <w:r w:rsidR="006C7933">
        <w:t xml:space="preserve"> </w:t>
      </w:r>
      <w:r w:rsidR="00766657">
        <w:t xml:space="preserve">for </w:t>
      </w:r>
      <w:r w:rsidR="00D70DF7">
        <w:t xml:space="preserve">her </w:t>
      </w:r>
      <w:r w:rsidR="008667EE">
        <w:t>helpful feedback on the draft report.</w:t>
      </w:r>
    </w:p>
    <w:p w14:paraId="118E2115" w14:textId="1497E94A" w:rsidR="00156445" w:rsidRDefault="00156445" w:rsidP="00F44449">
      <w:pPr>
        <w:pStyle w:val="USBodyText"/>
      </w:pPr>
    </w:p>
    <w:p w14:paraId="7259A618" w14:textId="77777777" w:rsidR="000B3F67" w:rsidRDefault="000B3F67" w:rsidP="00156445">
      <w:pPr>
        <w:pStyle w:val="USBodyText"/>
      </w:pPr>
    </w:p>
    <w:p w14:paraId="39AD126A" w14:textId="77777777" w:rsidR="000B3F67" w:rsidRDefault="000B3F67" w:rsidP="00156445">
      <w:pPr>
        <w:pStyle w:val="USBodyText"/>
      </w:pPr>
    </w:p>
    <w:p w14:paraId="7CFE6288" w14:textId="7445ED49" w:rsidR="00156445" w:rsidRDefault="00156445" w:rsidP="00156445">
      <w:pPr>
        <w:pStyle w:val="USBodyText"/>
      </w:pPr>
      <w:r>
        <w:t>How to cite this document:</w:t>
      </w:r>
    </w:p>
    <w:p w14:paraId="2549679B" w14:textId="5ED9397D" w:rsidR="00E268A9" w:rsidRDefault="00156445" w:rsidP="00F44449">
      <w:pPr>
        <w:pStyle w:val="USBodyText"/>
      </w:pPr>
      <w:r>
        <w:t xml:space="preserve">NZIER. </w:t>
      </w:r>
      <w:r w:rsidR="00491D2D">
        <w:t>202</w:t>
      </w:r>
      <w:r w:rsidR="00AB4D51">
        <w:t>4</w:t>
      </w:r>
      <w:r>
        <w:t xml:space="preserve">. </w:t>
      </w:r>
      <w:r w:rsidR="00B22D67" w:rsidRPr="00B22D67">
        <w:t>Costs</w:t>
      </w:r>
      <w:r w:rsidR="00200DE3" w:rsidRPr="00200DE3">
        <w:t xml:space="preserve"> of alcohol harms </w:t>
      </w:r>
      <w:r w:rsidR="00B22D67" w:rsidRPr="00B22D67">
        <w:t xml:space="preserve">in </w:t>
      </w:r>
      <w:r w:rsidR="00200DE3" w:rsidRPr="00200DE3">
        <w:t>New Zealand</w:t>
      </w:r>
      <w:r w:rsidR="00200DE3">
        <w:t xml:space="preserve">: </w:t>
      </w:r>
      <w:r w:rsidR="00200DE3" w:rsidRPr="00200DE3">
        <w:t xml:space="preserve">Updating </w:t>
      </w:r>
      <w:r w:rsidR="00B22D67">
        <w:t>the</w:t>
      </w:r>
      <w:r w:rsidR="00632CBF">
        <w:t xml:space="preserve"> </w:t>
      </w:r>
      <w:r w:rsidR="00200DE3" w:rsidRPr="00200DE3">
        <w:t>evidence</w:t>
      </w:r>
      <w:r w:rsidR="00632CBF">
        <w:t xml:space="preserve"> with recent research</w:t>
      </w:r>
      <w:r w:rsidR="00200DE3">
        <w:t>.</w:t>
      </w:r>
      <w:r>
        <w:t xml:space="preserve"> A report for </w:t>
      </w:r>
      <w:r w:rsidR="00491D2D">
        <w:t>the Ministry of Health</w:t>
      </w:r>
      <w:r>
        <w:t>.</w:t>
      </w:r>
    </w:p>
    <w:p w14:paraId="5D4A699E" w14:textId="77777777" w:rsidR="00F44449" w:rsidRPr="00F44449" w:rsidRDefault="00F44449" w:rsidP="00F44449">
      <w:pPr>
        <w:pStyle w:val="USBodyText"/>
        <w:sectPr w:rsidR="00F44449" w:rsidRPr="00F44449" w:rsidSect="002E60DC">
          <w:headerReference w:type="even" r:id="rId18"/>
          <w:headerReference w:type="default" r:id="rId19"/>
          <w:footerReference w:type="default" r:id="rId20"/>
          <w:headerReference w:type="first" r:id="rId21"/>
          <w:type w:val="oddPage"/>
          <w:pgSz w:w="11907" w:h="16839" w:code="9"/>
          <w:pgMar w:top="1701" w:right="1418" w:bottom="1418" w:left="1418" w:header="851" w:footer="851" w:gutter="0"/>
          <w:pgNumType w:fmt="lowerRoman"/>
          <w:cols w:space="708"/>
          <w:docGrid w:linePitch="360"/>
        </w:sectPr>
      </w:pPr>
    </w:p>
    <w:p w14:paraId="0AC2C6C4" w14:textId="77777777" w:rsidR="00BE14CF" w:rsidRDefault="00BE14CF" w:rsidP="00BE14CF">
      <w:pPr>
        <w:pStyle w:val="ESHeading1"/>
      </w:pPr>
      <w:r>
        <w:lastRenderedPageBreak/>
        <w:t>Key points</w:t>
      </w:r>
    </w:p>
    <w:p w14:paraId="28B780FD" w14:textId="2B04C04A" w:rsidR="00115B93" w:rsidRDefault="00115B93" w:rsidP="00E00016">
      <w:pPr>
        <w:pStyle w:val="USBodyText"/>
        <w:ind w:left="567"/>
      </w:pPr>
      <w:r>
        <w:t xml:space="preserve">Manatū </w:t>
      </w:r>
      <w:proofErr w:type="spellStart"/>
      <w:r>
        <w:t>Hauora</w:t>
      </w:r>
      <w:r w:rsidR="00DC3500">
        <w:t>|</w:t>
      </w:r>
      <w:r>
        <w:t>Ministry</w:t>
      </w:r>
      <w:proofErr w:type="spellEnd"/>
      <w:r>
        <w:t xml:space="preserve"> of Health commissioned this report as part of an independent review of the Alcohol Levy to </w:t>
      </w:r>
      <w:r w:rsidR="0082049B">
        <w:t>assess</w:t>
      </w:r>
      <w:r>
        <w:t xml:space="preserve"> the current evidence on </w:t>
      </w:r>
      <w:r w:rsidR="00EB0145">
        <w:t xml:space="preserve">the </w:t>
      </w:r>
      <w:r w:rsidR="00D07655">
        <w:t xml:space="preserve">costs of </w:t>
      </w:r>
      <w:r>
        <w:t>alcohol harms</w:t>
      </w:r>
      <w:r w:rsidR="00F52245">
        <w:t>.</w:t>
      </w:r>
    </w:p>
    <w:p w14:paraId="18B4AF2F" w14:textId="7051A8DA" w:rsidR="00F52245" w:rsidRDefault="00F52245" w:rsidP="00E00016">
      <w:pPr>
        <w:pStyle w:val="USBodyText"/>
        <w:ind w:left="567"/>
      </w:pPr>
      <w:r>
        <w:t xml:space="preserve">The report estimates </w:t>
      </w:r>
      <w:r w:rsidR="00544728">
        <w:t xml:space="preserve">the gross costs of </w:t>
      </w:r>
      <w:r>
        <w:t xml:space="preserve">harms </w:t>
      </w:r>
      <w:r w:rsidR="00544728">
        <w:t xml:space="preserve">attributable to </w:t>
      </w:r>
      <w:r w:rsidR="0032613A">
        <w:t xml:space="preserve">the </w:t>
      </w:r>
      <w:r>
        <w:t xml:space="preserve">consumption of alcohol, including harms to the drinker and others, to the extent that </w:t>
      </w:r>
      <w:r w:rsidR="00585FED">
        <w:t xml:space="preserve">recent </w:t>
      </w:r>
      <w:r w:rsidR="00B729DD">
        <w:t xml:space="preserve">local </w:t>
      </w:r>
      <w:r>
        <w:t>evidence support</w:t>
      </w:r>
      <w:r w:rsidR="00B37C1B">
        <w:t>s</w:t>
      </w:r>
      <w:r>
        <w:t xml:space="preserve"> </w:t>
      </w:r>
      <w:r w:rsidR="00AB14C8">
        <w:t>confidence in</w:t>
      </w:r>
      <w:r w:rsidR="00BC7CE5">
        <w:t xml:space="preserve"> causal attribution</w:t>
      </w:r>
      <w:r w:rsidR="001C50AD">
        <w:t xml:space="preserve"> and takes a</w:t>
      </w:r>
      <w:r w:rsidR="00BC7CE5">
        <w:t xml:space="preserve"> conservative app</w:t>
      </w:r>
      <w:r w:rsidR="001C50AD">
        <w:t>roach</w:t>
      </w:r>
      <w:r w:rsidR="00AB14C8">
        <w:t xml:space="preserve">. </w:t>
      </w:r>
      <w:r w:rsidR="00FC612C">
        <w:t>E</w:t>
      </w:r>
      <w:r w:rsidR="00BC7CE5">
        <w:t>vidence</w:t>
      </w:r>
      <w:r w:rsidR="00DC1601">
        <w:t xml:space="preserve"> used in calculations of cost estimates</w:t>
      </w:r>
      <w:r w:rsidR="00AB14C8">
        <w:t xml:space="preserve"> is</w:t>
      </w:r>
      <w:r w:rsidR="009C1D34">
        <w:t xml:space="preserve"> </w:t>
      </w:r>
      <w:r w:rsidR="00FC612C">
        <w:t xml:space="preserve">restricted to </w:t>
      </w:r>
      <w:r w:rsidR="009C1D34">
        <w:t>the last ten years and the New Zealand context</w:t>
      </w:r>
      <w:r w:rsidR="00D33B15">
        <w:t>.</w:t>
      </w:r>
      <w:r w:rsidR="00DC1601">
        <w:t xml:space="preserve"> </w:t>
      </w:r>
    </w:p>
    <w:p w14:paraId="3D12CF85" w14:textId="05A9D9A3" w:rsidR="006A4BA1" w:rsidRDefault="0053229C" w:rsidP="00A34A44">
      <w:pPr>
        <w:pStyle w:val="USBodyText"/>
        <w:ind w:left="567"/>
      </w:pPr>
      <w:r>
        <w:t>W</w:t>
      </w:r>
      <w:r w:rsidR="00C351AB">
        <w:t xml:space="preserve">e estimate that </w:t>
      </w:r>
      <w:r w:rsidR="00CC33D5">
        <w:t xml:space="preserve">the </w:t>
      </w:r>
      <w:r w:rsidR="00121CB0">
        <w:t>total</w:t>
      </w:r>
      <w:r w:rsidR="00CC33D5">
        <w:t xml:space="preserve"> </w:t>
      </w:r>
      <w:r w:rsidR="00121CB0">
        <w:t xml:space="preserve">societal </w:t>
      </w:r>
      <w:r w:rsidR="00CC33D5">
        <w:t>cost of alcohol harms</w:t>
      </w:r>
      <w:r w:rsidR="00A02026">
        <w:t xml:space="preserve"> in 2023</w:t>
      </w:r>
      <w:r w:rsidR="00CC33D5">
        <w:t xml:space="preserve"> </w:t>
      </w:r>
      <w:r w:rsidR="00C351AB">
        <w:t xml:space="preserve">is </w:t>
      </w:r>
      <w:r w:rsidR="0077723B">
        <w:t>approximately $9.1</w:t>
      </w:r>
      <w:r w:rsidR="00CC33D5">
        <w:t xml:space="preserve"> billion</w:t>
      </w:r>
      <w:r w:rsidR="00121CB0">
        <w:t xml:space="preserve"> based on the increased risk of morbidity and mortality</w:t>
      </w:r>
      <w:r w:rsidR="005E4619">
        <w:t xml:space="preserve">, with over half </w:t>
      </w:r>
      <w:r w:rsidR="00592428">
        <w:t xml:space="preserve">($4.8 billion) </w:t>
      </w:r>
      <w:r w:rsidR="00121CB0">
        <w:t>due to</w:t>
      </w:r>
      <w:r w:rsidR="005E4619">
        <w:t xml:space="preserve"> </w:t>
      </w:r>
      <w:proofErr w:type="spellStart"/>
      <w:r w:rsidR="005E4619">
        <w:t>fetal</w:t>
      </w:r>
      <w:proofErr w:type="spellEnd"/>
      <w:r w:rsidR="005E4619">
        <w:t xml:space="preserve"> alcohol spectrum disorder</w:t>
      </w:r>
      <w:r w:rsidR="00F54B3D">
        <w:t xml:space="preserve"> (FASD)</w:t>
      </w:r>
      <w:r w:rsidR="00592428">
        <w:t>,</w:t>
      </w:r>
      <w:r w:rsidR="00B74601">
        <w:t xml:space="preserve"> </w:t>
      </w:r>
      <w:r w:rsidR="000D7A57">
        <w:t xml:space="preserve">$1.2 billion </w:t>
      </w:r>
      <w:r w:rsidR="00DA301E">
        <w:t>due to</w:t>
      </w:r>
      <w:r w:rsidR="000D7A57">
        <w:t xml:space="preserve"> alcohol use disorder, and </w:t>
      </w:r>
      <w:r w:rsidR="006829F7">
        <w:t xml:space="preserve">$3.1 billion </w:t>
      </w:r>
      <w:r w:rsidR="00DA301E">
        <w:t>due to</w:t>
      </w:r>
      <w:r w:rsidR="006829F7">
        <w:t xml:space="preserve"> non-disordered alcohol use</w:t>
      </w:r>
      <w:r w:rsidR="006743BC">
        <w:t>.</w:t>
      </w:r>
      <w:r w:rsidR="00596D2F">
        <w:t xml:space="preserve"> </w:t>
      </w:r>
      <w:r w:rsidR="00A34A44">
        <w:t xml:space="preserve">Specific </w:t>
      </w:r>
      <w:r w:rsidR="00B42634">
        <w:t>harms</w:t>
      </w:r>
      <w:r w:rsidR="00A34A44">
        <w:t xml:space="preserve"> likely reflected in this estimate</w:t>
      </w:r>
      <w:r w:rsidR="00555DD4">
        <w:t xml:space="preserve"> (and with some significant overlap between them)</w:t>
      </w:r>
      <w:r w:rsidR="00A34A44">
        <w:t xml:space="preserve"> </w:t>
      </w:r>
      <w:r w:rsidR="00555DD4">
        <w:t>are</w:t>
      </w:r>
      <w:r w:rsidR="00A34A44">
        <w:t xml:space="preserve"> estimated separately</w:t>
      </w:r>
      <w:r w:rsidR="001E3B4B">
        <w:t xml:space="preserve"> to </w:t>
      </w:r>
      <w:r w:rsidR="00990D52">
        <w:t>provide evidence in key areas</w:t>
      </w:r>
      <w:r w:rsidR="00A34A44">
        <w:t>:</w:t>
      </w:r>
    </w:p>
    <w:p w14:paraId="2D6B7E3E" w14:textId="32EB35BD" w:rsidR="000F48B8" w:rsidRDefault="006A4BA1" w:rsidP="0053229C">
      <w:pPr>
        <w:pStyle w:val="USBullet1"/>
      </w:pPr>
      <w:r>
        <w:t>K</w:t>
      </w:r>
      <w:r w:rsidR="00801812">
        <w:t>ey areas of concern to communities</w:t>
      </w:r>
      <w:r w:rsidR="00E150B5">
        <w:t xml:space="preserve"> estimated</w:t>
      </w:r>
      <w:r w:rsidR="0026704E" w:rsidRPr="0026704E">
        <w:t xml:space="preserve"> separately</w:t>
      </w:r>
      <w:r>
        <w:t xml:space="preserve"> from a societal perspective</w:t>
      </w:r>
      <w:r w:rsidR="00A34A44">
        <w:t>:</w:t>
      </w:r>
      <w:r w:rsidR="00B55E6E">
        <w:t xml:space="preserve"> </w:t>
      </w:r>
      <w:r w:rsidR="00760E68">
        <w:t>i</w:t>
      </w:r>
      <w:r w:rsidR="000F48B8">
        <w:t xml:space="preserve">ntimate partner violence (IPV) </w:t>
      </w:r>
      <w:r w:rsidR="00B55E6E">
        <w:t>(</w:t>
      </w:r>
      <w:r w:rsidR="00C152C3">
        <w:t>$2</w:t>
      </w:r>
      <w:r w:rsidR="009106FE">
        <w:t>81</w:t>
      </w:r>
      <w:r w:rsidR="00EB0145">
        <w:t xml:space="preserve"> </w:t>
      </w:r>
      <w:r w:rsidR="0026704E">
        <w:t>m</w:t>
      </w:r>
      <w:r w:rsidR="00EB0145">
        <w:t>illion</w:t>
      </w:r>
      <w:r w:rsidR="00AA1CD8">
        <w:t xml:space="preserve"> </w:t>
      </w:r>
      <w:r w:rsidR="00A47E47">
        <w:t>for</w:t>
      </w:r>
      <w:r w:rsidR="00AA1CD8">
        <w:t xml:space="preserve"> alcohol use disorder alone</w:t>
      </w:r>
      <w:r w:rsidR="00B55E6E">
        <w:t>)</w:t>
      </w:r>
      <w:r w:rsidR="00B81BF2">
        <w:t xml:space="preserve"> and</w:t>
      </w:r>
      <w:r w:rsidR="0017458D">
        <w:t xml:space="preserve"> </w:t>
      </w:r>
      <w:r w:rsidR="00760E68">
        <w:t>c</w:t>
      </w:r>
      <w:r w:rsidR="000F48B8">
        <w:t>hild maltreatment</w:t>
      </w:r>
      <w:r w:rsidR="0017458D">
        <w:t xml:space="preserve"> (</w:t>
      </w:r>
      <w:r w:rsidR="00C152C3">
        <w:t>$7</w:t>
      </w:r>
      <w:r w:rsidR="0026704E">
        <w:t>4</w:t>
      </w:r>
      <w:r w:rsidR="00EB0145">
        <w:t xml:space="preserve"> </w:t>
      </w:r>
      <w:r w:rsidR="0026704E">
        <w:t>m</w:t>
      </w:r>
      <w:r w:rsidR="00EB0145">
        <w:t>illion</w:t>
      </w:r>
      <w:r w:rsidR="00C152C3">
        <w:t xml:space="preserve"> </w:t>
      </w:r>
      <w:r w:rsidR="00A47E47">
        <w:t>for</w:t>
      </w:r>
      <w:r w:rsidR="00C152C3">
        <w:t xml:space="preserve"> </w:t>
      </w:r>
      <w:r w:rsidR="00AA1CD8">
        <w:t>hazardous drinking alone</w:t>
      </w:r>
      <w:r w:rsidR="0017458D">
        <w:t>)</w:t>
      </w:r>
      <w:r w:rsidR="00B81BF2">
        <w:t xml:space="preserve">, both </w:t>
      </w:r>
      <w:r w:rsidR="002C1BE5">
        <w:t>likely</w:t>
      </w:r>
      <w:r w:rsidR="00B81BF2">
        <w:t xml:space="preserve"> underestimate</w:t>
      </w:r>
      <w:r w:rsidR="006829F7">
        <w:t>d</w:t>
      </w:r>
      <w:r w:rsidR="00B81BF2">
        <w:t xml:space="preserve"> due to low reporting</w:t>
      </w:r>
      <w:r w:rsidR="005C1A81">
        <w:t xml:space="preserve"> and </w:t>
      </w:r>
      <w:r w:rsidR="004C66FB">
        <w:t xml:space="preserve">evidence </w:t>
      </w:r>
      <w:r w:rsidR="00872758">
        <w:t>gaps</w:t>
      </w:r>
      <w:r w:rsidR="007D48A2">
        <w:t>.</w:t>
      </w:r>
      <w:r w:rsidR="004C66FB">
        <w:t xml:space="preserve"> </w:t>
      </w:r>
      <w:r w:rsidR="001F7F0B">
        <w:t>The societal cost of r</w:t>
      </w:r>
      <w:r w:rsidR="000F48B8">
        <w:t>oad crashes</w:t>
      </w:r>
      <w:r w:rsidR="001F7F0B">
        <w:t xml:space="preserve"> is well evidence</w:t>
      </w:r>
      <w:r w:rsidR="000E71A8">
        <w:t>d</w:t>
      </w:r>
      <w:r w:rsidR="001F7F0B">
        <w:t xml:space="preserve"> and is estimated at </w:t>
      </w:r>
      <w:r w:rsidR="00342DDA">
        <w:t>over $2</w:t>
      </w:r>
      <w:r w:rsidR="001F7F0B">
        <w:t xml:space="preserve"> billion</w:t>
      </w:r>
      <w:r w:rsidR="00760E68">
        <w:t>.</w:t>
      </w:r>
      <w:r w:rsidR="00047CC5">
        <w:t xml:space="preserve"> </w:t>
      </w:r>
    </w:p>
    <w:p w14:paraId="16C5DC04" w14:textId="2ACC5BE2" w:rsidR="00166C9A" w:rsidRDefault="009122EA" w:rsidP="0053229C">
      <w:pPr>
        <w:pStyle w:val="USBullet1"/>
      </w:pPr>
      <w:r>
        <w:t>Productivity losses</w:t>
      </w:r>
      <w:r w:rsidR="00F1614E">
        <w:t>,</w:t>
      </w:r>
      <w:r>
        <w:t xml:space="preserve"> </w:t>
      </w:r>
      <w:r w:rsidR="0099528D">
        <w:t>which</w:t>
      </w:r>
      <w:r w:rsidR="00782BA3">
        <w:t xml:space="preserve"> </w:t>
      </w:r>
      <w:r w:rsidR="00C90B68">
        <w:t>other reports find to be the largest category of alcohol harm costs</w:t>
      </w:r>
      <w:r w:rsidR="00097E50">
        <w:t xml:space="preserve">, were estimated </w:t>
      </w:r>
      <w:r w:rsidR="0099528D">
        <w:t xml:space="preserve">at </w:t>
      </w:r>
      <w:r w:rsidR="007D1F79">
        <w:t>nearly $4</w:t>
      </w:r>
      <w:r w:rsidR="000F18FC">
        <w:t xml:space="preserve"> bill</w:t>
      </w:r>
      <w:r w:rsidR="006761B6">
        <w:t>ion</w:t>
      </w:r>
      <w:r w:rsidR="00A9335E">
        <w:t>,</w:t>
      </w:r>
      <w:r w:rsidR="00A271B0">
        <w:t xml:space="preserve"> </w:t>
      </w:r>
      <w:r w:rsidR="005D5527">
        <w:t>reflect</w:t>
      </w:r>
      <w:r w:rsidR="00233A2A">
        <w:t>ing</w:t>
      </w:r>
      <w:r w:rsidR="005D5527">
        <w:t xml:space="preserve"> lost production associated with </w:t>
      </w:r>
      <w:r w:rsidR="007A7AE2">
        <w:t>premature mortality</w:t>
      </w:r>
      <w:r w:rsidR="005D5527">
        <w:t xml:space="preserve">, </w:t>
      </w:r>
      <w:r w:rsidR="00667429">
        <w:t>long-term disability</w:t>
      </w:r>
      <w:r w:rsidR="005D5527">
        <w:t xml:space="preserve">, FASD and </w:t>
      </w:r>
      <w:r w:rsidR="005604B7">
        <w:t>workplace absenteeism and presenteeism, the latter</w:t>
      </w:r>
      <w:r w:rsidR="008911BA">
        <w:t xml:space="preserve"> being the main driver </w:t>
      </w:r>
      <w:r w:rsidR="00542611">
        <w:t xml:space="preserve">at </w:t>
      </w:r>
      <w:r w:rsidR="00A05F11">
        <w:t xml:space="preserve">76 percent of </w:t>
      </w:r>
      <w:r w:rsidR="00542611">
        <w:t xml:space="preserve">the </w:t>
      </w:r>
      <w:r w:rsidR="00A05F11">
        <w:t>total</w:t>
      </w:r>
      <w:r w:rsidR="00542611">
        <w:t>.</w:t>
      </w:r>
    </w:p>
    <w:p w14:paraId="4012BB6D" w14:textId="08ED8F3B" w:rsidR="001D11BE" w:rsidRDefault="00960863" w:rsidP="0053229C">
      <w:pPr>
        <w:pStyle w:val="USBullet1"/>
      </w:pPr>
      <w:r>
        <w:t>F</w:t>
      </w:r>
      <w:r w:rsidR="0042619E">
        <w:t>iscal costs</w:t>
      </w:r>
      <w:r w:rsidR="00E46472">
        <w:t xml:space="preserve"> </w:t>
      </w:r>
      <w:r>
        <w:t>estimated at</w:t>
      </w:r>
      <w:r w:rsidR="00D03F9B">
        <w:t xml:space="preserve"> over $800 million</w:t>
      </w:r>
      <w:r>
        <w:t>,</w:t>
      </w:r>
      <w:r w:rsidR="00D03F9B">
        <w:t xml:space="preserve"> </w:t>
      </w:r>
      <w:r w:rsidR="00E46472">
        <w:t>include</w:t>
      </w:r>
      <w:r w:rsidR="006864DF">
        <w:t xml:space="preserve"> </w:t>
      </w:r>
      <w:r w:rsidR="00EB4F9F">
        <w:t>$</w:t>
      </w:r>
      <w:r w:rsidR="002F2C30">
        <w:t>439</w:t>
      </w:r>
      <w:r w:rsidR="00F54B3D">
        <w:t xml:space="preserve"> </w:t>
      </w:r>
      <w:r w:rsidR="00D03F9B">
        <w:t>m</w:t>
      </w:r>
      <w:r w:rsidR="00F54B3D">
        <w:t>illion</w:t>
      </w:r>
      <w:r w:rsidR="00EB4F9F">
        <w:t xml:space="preserve"> for</w:t>
      </w:r>
      <w:r w:rsidR="00E42B14">
        <w:t xml:space="preserve"> </w:t>
      </w:r>
      <w:r w:rsidR="002C5C7B">
        <w:t>Vote</w:t>
      </w:r>
      <w:r w:rsidR="00E42B14">
        <w:t xml:space="preserve"> </w:t>
      </w:r>
      <w:r w:rsidR="002C5C7B">
        <w:t>H</w:t>
      </w:r>
      <w:r w:rsidR="00E42B14">
        <w:t>ealth</w:t>
      </w:r>
      <w:r w:rsidR="000D4A5F">
        <w:t xml:space="preserve"> and </w:t>
      </w:r>
      <w:r w:rsidR="00F677CF">
        <w:t>$</w:t>
      </w:r>
      <w:r w:rsidR="005070D4">
        <w:t>327</w:t>
      </w:r>
      <w:r w:rsidR="00F54B3D">
        <w:t xml:space="preserve"> </w:t>
      </w:r>
      <w:r w:rsidR="00D03F9B">
        <w:t>m</w:t>
      </w:r>
      <w:r w:rsidR="00F54B3D">
        <w:t>illion</w:t>
      </w:r>
      <w:r w:rsidR="00F677CF">
        <w:t xml:space="preserve"> for</w:t>
      </w:r>
      <w:r w:rsidR="00F677CF" w:rsidRPr="00F677CF">
        <w:t xml:space="preserve"> </w:t>
      </w:r>
      <w:r w:rsidR="005125DB">
        <w:t xml:space="preserve">Vote </w:t>
      </w:r>
      <w:r w:rsidR="00F677CF" w:rsidRPr="00F677CF">
        <w:t>ACC</w:t>
      </w:r>
      <w:r w:rsidR="000D4A5F">
        <w:t xml:space="preserve">. Due to major data and evidence limitations, only </w:t>
      </w:r>
      <w:r w:rsidR="00F677CF">
        <w:t>$</w:t>
      </w:r>
      <w:r w:rsidR="00250C9B">
        <w:t>42.7</w:t>
      </w:r>
      <w:r w:rsidR="00F54B3D">
        <w:t xml:space="preserve"> </w:t>
      </w:r>
      <w:r w:rsidR="00D03F9B">
        <w:t>m</w:t>
      </w:r>
      <w:r w:rsidR="00F54B3D">
        <w:t>illion</w:t>
      </w:r>
      <w:r w:rsidR="00F677CF">
        <w:t xml:space="preserve"> </w:t>
      </w:r>
      <w:r w:rsidR="000D4A5F">
        <w:t>in</w:t>
      </w:r>
      <w:r w:rsidR="002C5C7B">
        <w:t xml:space="preserve"> Vote Justice</w:t>
      </w:r>
      <w:r w:rsidR="000D4A5F">
        <w:t xml:space="preserve"> costs</w:t>
      </w:r>
      <w:r w:rsidR="00250C9B">
        <w:t xml:space="preserve"> </w:t>
      </w:r>
      <w:r w:rsidR="00D03F9B">
        <w:t xml:space="preserve">and </w:t>
      </w:r>
      <w:r w:rsidR="00F677CF">
        <w:t>$</w:t>
      </w:r>
      <w:r w:rsidR="004026C3">
        <w:t>1</w:t>
      </w:r>
      <w:r w:rsidR="00F54B3D">
        <w:t xml:space="preserve"> </w:t>
      </w:r>
      <w:r w:rsidR="00D03F9B">
        <w:t>m</w:t>
      </w:r>
      <w:r w:rsidR="00F54B3D">
        <w:t>illion</w:t>
      </w:r>
      <w:r w:rsidR="00F677CF">
        <w:t xml:space="preserve"> </w:t>
      </w:r>
      <w:r w:rsidR="000D4A5F">
        <w:t>in</w:t>
      </w:r>
      <w:r w:rsidR="00F677CF">
        <w:t xml:space="preserve"> Vote</w:t>
      </w:r>
      <w:r w:rsidR="002C5C7B">
        <w:t xml:space="preserve"> </w:t>
      </w:r>
      <w:r w:rsidR="00743C9E">
        <w:t>Social Development</w:t>
      </w:r>
      <w:r w:rsidR="000D4A5F">
        <w:t xml:space="preserve"> costs were estimated</w:t>
      </w:r>
      <w:r w:rsidR="00A92309">
        <w:t>. M</w:t>
      </w:r>
      <w:r w:rsidR="00871337">
        <w:t>ajor evidence gaps result</w:t>
      </w:r>
      <w:r w:rsidR="00A92309">
        <w:t>ed</w:t>
      </w:r>
      <w:r w:rsidR="00871337">
        <w:t xml:space="preserve"> in </w:t>
      </w:r>
      <w:r w:rsidR="00F54B3D">
        <w:t xml:space="preserve">the </w:t>
      </w:r>
      <w:r w:rsidR="00871337">
        <w:t>underestimation</w:t>
      </w:r>
      <w:r w:rsidR="00DC0AA4">
        <w:t xml:space="preserve"> of </w:t>
      </w:r>
      <w:r w:rsidR="00A01D07">
        <w:t>Justice and Social Development costs</w:t>
      </w:r>
      <w:r w:rsidR="0087015E">
        <w:t>.</w:t>
      </w:r>
    </w:p>
    <w:p w14:paraId="22C76499" w14:textId="7791A75B" w:rsidR="00713442" w:rsidRDefault="009D5FDC" w:rsidP="00E00016">
      <w:pPr>
        <w:pStyle w:val="USBodyText"/>
        <w:ind w:left="567"/>
      </w:pPr>
      <w:r>
        <w:t xml:space="preserve">Even with </w:t>
      </w:r>
      <w:r w:rsidR="00154C82">
        <w:t xml:space="preserve">significant </w:t>
      </w:r>
      <w:r w:rsidR="00713442">
        <w:t>costs excluded due to data gaps</w:t>
      </w:r>
      <w:r w:rsidR="00154C82">
        <w:t xml:space="preserve"> </w:t>
      </w:r>
      <w:r w:rsidR="008331D3">
        <w:t xml:space="preserve">and </w:t>
      </w:r>
      <w:r w:rsidR="00713442">
        <w:t xml:space="preserve">the use of </w:t>
      </w:r>
      <w:r w:rsidR="008331D3">
        <w:t xml:space="preserve">conservative approaches, </w:t>
      </w:r>
      <w:r w:rsidR="007B0A52">
        <w:t xml:space="preserve">the costs of alcohol harms </w:t>
      </w:r>
      <w:r w:rsidR="00713442">
        <w:t>in New Zealand remain</w:t>
      </w:r>
      <w:r w:rsidR="007B0A52">
        <w:t xml:space="preserve"> substantial</w:t>
      </w:r>
      <w:r w:rsidR="00E829B3">
        <w:t xml:space="preserve"> and warrant </w:t>
      </w:r>
      <w:r w:rsidR="0006435A">
        <w:t>prioritisation from a policy and programme perspective</w:t>
      </w:r>
      <w:r w:rsidR="002A5E58">
        <w:t xml:space="preserve">. </w:t>
      </w:r>
    </w:p>
    <w:p w14:paraId="5347F5DF" w14:textId="70F50B70" w:rsidR="00AD7399" w:rsidRDefault="0053229C" w:rsidP="00E00016">
      <w:pPr>
        <w:pStyle w:val="USBodyText"/>
        <w:ind w:left="567"/>
      </w:pPr>
      <w:r>
        <w:t>Important n</w:t>
      </w:r>
      <w:r w:rsidR="005D7DDF">
        <w:t xml:space="preserve">ew research has shed light on </w:t>
      </w:r>
      <w:r>
        <w:t>significant</w:t>
      </w:r>
      <w:r w:rsidR="005D7DDF">
        <w:t xml:space="preserve"> concerns, but </w:t>
      </w:r>
      <w:r w:rsidR="009272AC">
        <w:t>more research is needed</w:t>
      </w:r>
      <w:r w:rsidR="00651872">
        <w:t xml:space="preserve"> to better understand and quantify </w:t>
      </w:r>
      <w:r w:rsidR="00D455D5">
        <w:t>alcohol harm</w:t>
      </w:r>
      <w:r w:rsidR="004C001C">
        <w:t xml:space="preserve"> </w:t>
      </w:r>
      <w:r w:rsidR="00891F91">
        <w:t>in areas of concern fo</w:t>
      </w:r>
      <w:r w:rsidR="00FD2665">
        <w:t xml:space="preserve">r communities that are most affected. </w:t>
      </w:r>
      <w:r w:rsidR="00A54DC8">
        <w:t xml:space="preserve">Statistics show that </w:t>
      </w:r>
      <w:r w:rsidR="004F7289">
        <w:t>Māori</w:t>
      </w:r>
      <w:r w:rsidR="00F60E2F">
        <w:t xml:space="preserve"> experience </w:t>
      </w:r>
      <w:r w:rsidR="001975EF">
        <w:t>disproportionate harms</w:t>
      </w:r>
      <w:r w:rsidR="00232648">
        <w:t xml:space="preserve"> from alcohol</w:t>
      </w:r>
      <w:r w:rsidR="00F54B3D">
        <w:t>,</w:t>
      </w:r>
      <w:r w:rsidR="008A3347">
        <w:t xml:space="preserve"> </w:t>
      </w:r>
      <w:r w:rsidR="00A54DC8">
        <w:t>but</w:t>
      </w:r>
      <w:r w:rsidR="008A3347">
        <w:t xml:space="preserve"> many costs to </w:t>
      </w:r>
      <w:r>
        <w:t>whānau</w:t>
      </w:r>
      <w:r w:rsidR="008A3347">
        <w:t xml:space="preserve"> and communities are not </w:t>
      </w:r>
      <w:r w:rsidR="006A3B64">
        <w:t xml:space="preserve">captured in the available data. </w:t>
      </w:r>
    </w:p>
    <w:p w14:paraId="69285AA5" w14:textId="2C2161AF" w:rsidR="00F677CF" w:rsidRDefault="00AD7399" w:rsidP="00E00016">
      <w:pPr>
        <w:pStyle w:val="USBodyText"/>
        <w:ind w:left="567"/>
      </w:pPr>
      <w:r>
        <w:t>S</w:t>
      </w:r>
      <w:r w:rsidR="00ED448A">
        <w:t>ome of the worst outcomes (</w:t>
      </w:r>
      <w:r w:rsidR="00313F3B">
        <w:t xml:space="preserve">persistent unemployment and welfare dependency, </w:t>
      </w:r>
      <w:r w:rsidR="00DC6279">
        <w:t>homelessness,</w:t>
      </w:r>
      <w:r w:rsidR="00A54DC8">
        <w:t xml:space="preserve"> and </w:t>
      </w:r>
      <w:r w:rsidR="00D50F12">
        <w:t>family harm</w:t>
      </w:r>
      <w:r w:rsidR="004F7289">
        <w:t>) are the least well described</w:t>
      </w:r>
      <w:r w:rsidR="00BD6FCD">
        <w:t xml:space="preserve"> by data and evidence.</w:t>
      </w:r>
      <w:r w:rsidR="00A40309">
        <w:t xml:space="preserve"> Lack of access to services, such as </w:t>
      </w:r>
      <w:r w:rsidR="00ED77A2">
        <w:t xml:space="preserve">family harm services, </w:t>
      </w:r>
      <w:r w:rsidR="00526C93">
        <w:t xml:space="preserve">mental health and </w:t>
      </w:r>
      <w:r w:rsidR="00ED77A2">
        <w:t xml:space="preserve">alcohol addiction services, and services for FASD artificially reduces measured </w:t>
      </w:r>
      <w:r>
        <w:t xml:space="preserve">fiscal </w:t>
      </w:r>
      <w:r w:rsidR="00ED77A2">
        <w:t>costs</w:t>
      </w:r>
      <w:r w:rsidR="006A3B64">
        <w:t xml:space="preserve"> and adds to the burden on New Zealand families and communities</w:t>
      </w:r>
      <w:r w:rsidR="00ED77A2">
        <w:t xml:space="preserve">. </w:t>
      </w:r>
      <w:r w:rsidR="00A40309">
        <w:t>Results should be interpreted in this context.</w:t>
      </w:r>
    </w:p>
    <w:p w14:paraId="00A94F30" w14:textId="3F97C6E2" w:rsidR="00BD6FCD" w:rsidRDefault="00BD6FCD" w:rsidP="00E00016">
      <w:pPr>
        <w:pStyle w:val="USBodyText"/>
        <w:ind w:left="567"/>
      </w:pPr>
      <w:r>
        <w:t xml:space="preserve">A cross-sectoral approach is needed to coordinate more comprehensive and </w:t>
      </w:r>
      <w:r w:rsidR="008F0776">
        <w:t xml:space="preserve">regularly updated evidence </w:t>
      </w:r>
      <w:r w:rsidR="008E4B2F">
        <w:t>from administrative data</w:t>
      </w:r>
      <w:r w:rsidR="005C3EBA">
        <w:t xml:space="preserve">. </w:t>
      </w:r>
      <w:r>
        <w:t xml:space="preserve">We </w:t>
      </w:r>
      <w:r w:rsidR="005C3EBA">
        <w:t xml:space="preserve">also </w:t>
      </w:r>
      <w:r>
        <w:t xml:space="preserve">recommend </w:t>
      </w:r>
      <w:r w:rsidR="00213D65">
        <w:t>portion</w:t>
      </w:r>
      <w:r w:rsidR="00247BC7">
        <w:t>s</w:t>
      </w:r>
      <w:r w:rsidR="00213D65">
        <w:t xml:space="preserve"> of </w:t>
      </w:r>
      <w:r>
        <w:t xml:space="preserve">the </w:t>
      </w:r>
      <w:r w:rsidR="00404C33">
        <w:t>A</w:t>
      </w:r>
      <w:r w:rsidR="005C3EBA">
        <w:t xml:space="preserve">lcohol </w:t>
      </w:r>
      <w:r w:rsidR="00404C33">
        <w:t>L</w:t>
      </w:r>
      <w:r w:rsidR="005C3EBA">
        <w:t xml:space="preserve">evy revenue </w:t>
      </w:r>
      <w:r w:rsidR="00213D65">
        <w:t>be used to fund</w:t>
      </w:r>
      <w:r w:rsidR="00247BC7">
        <w:t xml:space="preserve"> needed services as well as</w:t>
      </w:r>
      <w:r w:rsidR="00213D65">
        <w:t xml:space="preserve"> </w:t>
      </w:r>
      <w:r w:rsidR="00E86848">
        <w:t xml:space="preserve">ongoing </w:t>
      </w:r>
      <w:r w:rsidR="001C5CCF">
        <w:t xml:space="preserve">equity-focused </w:t>
      </w:r>
      <w:r w:rsidR="00E86848">
        <w:t>research into alcohol harms.</w:t>
      </w:r>
    </w:p>
    <w:p w14:paraId="76924955" w14:textId="3EA4738A" w:rsidR="00115B93" w:rsidRDefault="00115B93" w:rsidP="00115B93">
      <w:pPr>
        <w:pStyle w:val="ESHeading1"/>
      </w:pPr>
      <w:r>
        <w:lastRenderedPageBreak/>
        <w:t>Executive summary</w:t>
      </w:r>
    </w:p>
    <w:p w14:paraId="4D03B70B" w14:textId="51DF6319" w:rsidR="002F2833" w:rsidRDefault="00F82840" w:rsidP="002F2833">
      <w:pPr>
        <w:pStyle w:val="Heading4"/>
      </w:pPr>
      <w:bookmarkStart w:id="1" w:name="_Ref160456663"/>
      <w:bookmarkStart w:id="2" w:name="_Hlk156129037"/>
      <w:r>
        <w:t xml:space="preserve">This report was </w:t>
      </w:r>
      <w:r w:rsidR="0075396D">
        <w:t>commissioned in the context of a review of the Alcohol Levy</w:t>
      </w:r>
      <w:bookmarkEnd w:id="1"/>
    </w:p>
    <w:p w14:paraId="05605B72" w14:textId="61849CE7" w:rsidR="007638FF" w:rsidRDefault="009F2A06" w:rsidP="00200DE3">
      <w:pPr>
        <w:pStyle w:val="USBodyText"/>
      </w:pPr>
      <w:bookmarkStart w:id="3" w:name="_Hlk149060151"/>
      <w:r w:rsidRPr="009F2A06">
        <w:t xml:space="preserve">Manatū </w:t>
      </w:r>
      <w:proofErr w:type="spellStart"/>
      <w:r w:rsidRPr="009F2A06">
        <w:t>Hauora</w:t>
      </w:r>
      <w:r w:rsidR="00073C96">
        <w:t>|</w:t>
      </w:r>
      <w:r w:rsidRPr="009F2A06">
        <w:t>Ministry</w:t>
      </w:r>
      <w:proofErr w:type="spellEnd"/>
      <w:r w:rsidRPr="009F2A06">
        <w:t xml:space="preserve"> of Health</w:t>
      </w:r>
      <w:r>
        <w:t xml:space="preserve"> commissioned this report </w:t>
      </w:r>
      <w:r w:rsidR="00BE6C85">
        <w:t>as part of an independent review of the Alcohol Levy.</w:t>
      </w:r>
      <w:r w:rsidR="00EB76DB">
        <w:t xml:space="preserve"> </w:t>
      </w:r>
    </w:p>
    <w:bookmarkEnd w:id="2"/>
    <w:p w14:paraId="39E61DF4" w14:textId="078F7087" w:rsidR="00CC4D58" w:rsidRDefault="004310A7" w:rsidP="005C10B5">
      <w:pPr>
        <w:pStyle w:val="USBodyText"/>
      </w:pPr>
      <w:r>
        <w:t>T</w:t>
      </w:r>
      <w:r w:rsidR="007C51A5">
        <w:t>he primary objective</w:t>
      </w:r>
      <w:r w:rsidR="00042433">
        <w:t xml:space="preserve"> </w:t>
      </w:r>
      <w:r w:rsidR="00BB2DE2">
        <w:t>of</w:t>
      </w:r>
      <w:r>
        <w:t xml:space="preserve"> this report</w:t>
      </w:r>
      <w:r w:rsidR="00200DE3">
        <w:t xml:space="preserve"> </w:t>
      </w:r>
      <w:r w:rsidR="000303B8">
        <w:t xml:space="preserve">was to </w:t>
      </w:r>
      <w:r w:rsidR="0085760F">
        <w:t xml:space="preserve">support </w:t>
      </w:r>
      <w:r w:rsidR="00DB3200" w:rsidRPr="00DB3200">
        <w:t xml:space="preserve">Manatū Hauora </w:t>
      </w:r>
      <w:r w:rsidR="00DB3200">
        <w:t>in its consideration of future investment opportunities</w:t>
      </w:r>
      <w:r w:rsidR="00783A1F">
        <w:t>, specifically</w:t>
      </w:r>
      <w:r w:rsidR="001D177C">
        <w:t>:</w:t>
      </w:r>
      <w:r w:rsidR="00783A1F">
        <w:t xml:space="preserve"> </w:t>
      </w:r>
    </w:p>
    <w:p w14:paraId="07213281" w14:textId="5C043F95" w:rsidR="00CC4D58" w:rsidRDefault="00304C6D" w:rsidP="00CC4D58">
      <w:pPr>
        <w:pStyle w:val="USBullet1"/>
      </w:pPr>
      <w:r>
        <w:t xml:space="preserve">to </w:t>
      </w:r>
      <w:r w:rsidR="00042433">
        <w:t xml:space="preserve">gain </w:t>
      </w:r>
      <w:r w:rsidR="007C51A5">
        <w:t xml:space="preserve">a better understanding of the nature and scale of </w:t>
      </w:r>
      <w:r>
        <w:t>harms</w:t>
      </w:r>
      <w:r w:rsidR="007C51A5">
        <w:t xml:space="preserve"> that could be addressed through programmes and services funded by the </w:t>
      </w:r>
      <w:r w:rsidR="00AF05F9">
        <w:t>Alcohol L</w:t>
      </w:r>
      <w:r w:rsidR="007C51A5">
        <w:t>evy</w:t>
      </w:r>
    </w:p>
    <w:p w14:paraId="085C69A8" w14:textId="59332475" w:rsidR="007C51A5" w:rsidRDefault="00CC4D58" w:rsidP="00CC4D58">
      <w:pPr>
        <w:pStyle w:val="USBullet1"/>
      </w:pPr>
      <w:r>
        <w:t xml:space="preserve">to </w:t>
      </w:r>
      <w:r w:rsidR="005C10B5">
        <w:t>contribu</w:t>
      </w:r>
      <w:r>
        <w:t>te</w:t>
      </w:r>
      <w:r w:rsidR="005C10B5">
        <w:t xml:space="preserve"> (along with other evidence, including cost-effectiveness evidence) to </w:t>
      </w:r>
      <w:r w:rsidR="007C51A5">
        <w:t xml:space="preserve">the prioritisation of interventions, </w:t>
      </w:r>
      <w:r w:rsidR="00524A25">
        <w:t>both within the</w:t>
      </w:r>
      <w:r w:rsidR="007C51A5">
        <w:t xml:space="preserve"> health sector</w:t>
      </w:r>
      <w:r w:rsidR="00524A25">
        <w:t xml:space="preserve"> and </w:t>
      </w:r>
      <w:r w:rsidR="005D4B5C">
        <w:t>by</w:t>
      </w:r>
      <w:r w:rsidR="007C51A5">
        <w:t xml:space="preserve"> other agencies and organisations</w:t>
      </w:r>
      <w:r w:rsidR="005C10B5">
        <w:t>.</w:t>
      </w:r>
    </w:p>
    <w:p w14:paraId="3C2440B5" w14:textId="0FDE99EC" w:rsidR="007C51A5" w:rsidRDefault="007C51A5" w:rsidP="007C51A5">
      <w:pPr>
        <w:pStyle w:val="USBodyText"/>
      </w:pPr>
      <w:r>
        <w:t xml:space="preserve">A secondary objective was to offer information that could </w:t>
      </w:r>
      <w:r w:rsidDel="00AF05F9">
        <w:t xml:space="preserve">be used to inform a wide range of policy decisions, including </w:t>
      </w:r>
      <w:r w:rsidR="00AF05F9">
        <w:t>data collection and research decisions</w:t>
      </w:r>
      <w:r>
        <w:t>.</w:t>
      </w:r>
    </w:p>
    <w:bookmarkEnd w:id="3"/>
    <w:p w14:paraId="7E4FEA4B" w14:textId="6CA53288" w:rsidR="00177330" w:rsidRDefault="00372CD8" w:rsidP="002424A7">
      <w:pPr>
        <w:pStyle w:val="Heading4"/>
      </w:pPr>
      <w:r>
        <w:t xml:space="preserve">Our approach </w:t>
      </w:r>
      <w:r w:rsidR="00177330">
        <w:t xml:space="preserve">reflects the context and objectives of the </w:t>
      </w:r>
      <w:proofErr w:type="gramStart"/>
      <w:r w:rsidR="00177330">
        <w:t>report</w:t>
      </w:r>
      <w:proofErr w:type="gramEnd"/>
    </w:p>
    <w:p w14:paraId="4D1DFE1E" w14:textId="62BB6934" w:rsidR="00E441CE" w:rsidRDefault="00265FF5" w:rsidP="001B5426">
      <w:pPr>
        <w:pStyle w:val="USBodyText"/>
      </w:pPr>
      <w:r>
        <w:t>The estimation of costs of alcohol harms for this report</w:t>
      </w:r>
      <w:r w:rsidR="00FB2B52">
        <w:t xml:space="preserve"> reflects two important study design features that were agreed with Manat</w:t>
      </w:r>
      <w:r w:rsidR="005F52AE" w:rsidRPr="005F52AE">
        <w:t>ū</w:t>
      </w:r>
      <w:r w:rsidR="00FB2B52">
        <w:t xml:space="preserve"> Hauora</w:t>
      </w:r>
      <w:r w:rsidR="00E441CE">
        <w:t>:</w:t>
      </w:r>
    </w:p>
    <w:p w14:paraId="00DE494C" w14:textId="621275D0" w:rsidR="00E441CE" w:rsidRDefault="007D339E" w:rsidP="00E441CE">
      <w:pPr>
        <w:pStyle w:val="USBullet1"/>
      </w:pPr>
      <w:r>
        <w:t>A</w:t>
      </w:r>
      <w:r w:rsidR="00895A16">
        <w:t xml:space="preserve"> gross costs approach was taken, meaning any potential benefits are excluded from consideration</w:t>
      </w:r>
      <w:r w:rsidR="00AF05F9">
        <w:t>,</w:t>
      </w:r>
      <w:r w:rsidR="001D3AC3" w:rsidRPr="00CD19C4">
        <w:rPr>
          <w:rStyle w:val="FootnoteReference"/>
        </w:rPr>
        <w:footnoteReference w:id="2"/>
      </w:r>
      <w:r w:rsidR="005E3A2A">
        <w:t xml:space="preserve"> consistent with the role of the Alcohol Levy as a </w:t>
      </w:r>
      <w:r w:rsidR="000A2313">
        <w:t>cost recovery instrument designed to support programmes and services that address alcohol harms irrespective of any potential benefits associated with alcohol</w:t>
      </w:r>
      <w:r>
        <w:t xml:space="preserve">. </w:t>
      </w:r>
      <w:bookmarkStart w:id="4" w:name="_Hlk156294100"/>
      <w:r w:rsidR="00CC6468">
        <w:t xml:space="preserve">The Levy is very small and unlikely to influence </w:t>
      </w:r>
      <w:r w:rsidR="000E2F3E">
        <w:t>the demand for alcohol through its price</w:t>
      </w:r>
      <w:r w:rsidR="00AF05F9">
        <w:t>; instead, it targets</w:t>
      </w:r>
      <w:r w:rsidR="002F7CF4">
        <w:t xml:space="preserve"> other mechanisms that may reduce harm, </w:t>
      </w:r>
      <w:r w:rsidR="0014676D">
        <w:t>primarily influencing</w:t>
      </w:r>
      <w:r w:rsidR="00E9123E">
        <w:t xml:space="preserve"> demand</w:t>
      </w:r>
      <w:r w:rsidR="00371E35">
        <w:t xml:space="preserve"> and behaviour</w:t>
      </w:r>
      <w:r w:rsidR="00F4071A">
        <w:t xml:space="preserve"> through non-</w:t>
      </w:r>
      <w:r w:rsidR="00E27742">
        <w:t>p</w:t>
      </w:r>
      <w:r w:rsidR="00F4071A">
        <w:t xml:space="preserve">rice mechanisms </w:t>
      </w:r>
      <w:r w:rsidR="00E9123E">
        <w:t xml:space="preserve">such as </w:t>
      </w:r>
      <w:r w:rsidR="002F7CF4">
        <w:t>health promotion.</w:t>
      </w:r>
      <w:r w:rsidR="00110EBB">
        <w:t xml:space="preserve"> </w:t>
      </w:r>
    </w:p>
    <w:bookmarkEnd w:id="4"/>
    <w:p w14:paraId="1C8C0260" w14:textId="426C2E83" w:rsidR="00367ADE" w:rsidRDefault="007D339E" w:rsidP="00E441CE">
      <w:pPr>
        <w:pStyle w:val="USBullet1"/>
      </w:pPr>
      <w:r>
        <w:t>C</w:t>
      </w:r>
      <w:r w:rsidR="00815E44">
        <w:t xml:space="preserve">ritical evidence on </w:t>
      </w:r>
      <w:r w:rsidR="008E5E72">
        <w:t xml:space="preserve">the role of alcohol in harms was restricted to </w:t>
      </w:r>
      <w:r w:rsidR="00A65385">
        <w:t xml:space="preserve">recent </w:t>
      </w:r>
      <w:r w:rsidR="008E5E72">
        <w:t>New Zealand data and New Zealand studies</w:t>
      </w:r>
      <w:r w:rsidR="00B507EC">
        <w:t xml:space="preserve">, consistent with the approach of the Canadian Substance Use </w:t>
      </w:r>
      <w:r w:rsidR="00095FD8">
        <w:t>Costs and Harms (CSUCH) study</w:t>
      </w:r>
      <w:r w:rsidR="0032760C">
        <w:t xml:space="preserve"> which is seen as robust and </w:t>
      </w:r>
      <w:r w:rsidR="00BD4840">
        <w:t>world leading</w:t>
      </w:r>
      <w:r w:rsidR="00A65385">
        <w:t xml:space="preserve">. This means </w:t>
      </w:r>
      <w:r w:rsidR="00442795">
        <w:t>costs of harms where insufficient</w:t>
      </w:r>
      <w:r w:rsidR="00A65385">
        <w:t xml:space="preserve"> recent</w:t>
      </w:r>
      <w:r w:rsidR="00442795">
        <w:t xml:space="preserve"> local evidence was available were excluded</w:t>
      </w:r>
      <w:r w:rsidR="00A65385">
        <w:t xml:space="preserve"> from estimation</w:t>
      </w:r>
      <w:r w:rsidR="00442795">
        <w:t>,</w:t>
      </w:r>
      <w:r w:rsidR="001522CC">
        <w:t xml:space="preserve"> providing a clear </w:t>
      </w:r>
      <w:r w:rsidR="00E926AA">
        <w:t xml:space="preserve">indication of the </w:t>
      </w:r>
      <w:r w:rsidR="00A65385">
        <w:t xml:space="preserve">current state of the evidence and </w:t>
      </w:r>
      <w:r w:rsidR="00E926AA">
        <w:t>areas of need for data and future research</w:t>
      </w:r>
      <w:r w:rsidR="00303E0B">
        <w:t>.</w:t>
      </w:r>
    </w:p>
    <w:p w14:paraId="28A51FC5" w14:textId="4CD5794B" w:rsidR="00CE3E1A" w:rsidRDefault="00865514" w:rsidP="00562149">
      <w:pPr>
        <w:pStyle w:val="Heading4"/>
      </w:pPr>
      <w:r>
        <w:t>A s</w:t>
      </w:r>
      <w:r w:rsidR="00DE2F4C">
        <w:t xml:space="preserve">ocietal </w:t>
      </w:r>
      <w:r>
        <w:t>value</w:t>
      </w:r>
      <w:r w:rsidR="00DE2F4C">
        <w:t xml:space="preserve"> of increased risk of </w:t>
      </w:r>
      <w:r>
        <w:t xml:space="preserve">mortality and </w:t>
      </w:r>
      <w:r w:rsidR="00DE2F4C">
        <w:t xml:space="preserve">morbidity </w:t>
      </w:r>
      <w:r>
        <w:t>due to</w:t>
      </w:r>
      <w:r w:rsidR="00CE3E1A">
        <w:t xml:space="preserve"> alcohol provide</w:t>
      </w:r>
      <w:r>
        <w:t>s</w:t>
      </w:r>
      <w:r w:rsidR="00CE3E1A">
        <w:t xml:space="preserve"> </w:t>
      </w:r>
      <w:r w:rsidR="00316F41">
        <w:t xml:space="preserve">one way of estimating societal </w:t>
      </w:r>
      <w:proofErr w:type="gramStart"/>
      <w:r w:rsidR="00316F41">
        <w:t>costs</w:t>
      </w:r>
      <w:proofErr w:type="gramEnd"/>
    </w:p>
    <w:p w14:paraId="34B859E0" w14:textId="2CE7C9DC" w:rsidR="00CE190F" w:rsidRDefault="00052510" w:rsidP="00316F41">
      <w:pPr>
        <w:pStyle w:val="USBodyText"/>
      </w:pPr>
      <w:r>
        <w:t xml:space="preserve">The societal costs of alcohol span </w:t>
      </w:r>
      <w:r w:rsidR="00074649">
        <w:t>a wide range of impacts due to the ubiquitousness of alcohol in people’s lives and the wide range of consequences that alcohol consumption may have. This includes</w:t>
      </w:r>
      <w:r w:rsidR="0065666B">
        <w:t xml:space="preserve"> </w:t>
      </w:r>
      <w:r w:rsidR="00B7101F">
        <w:t xml:space="preserve">many </w:t>
      </w:r>
      <w:r w:rsidR="00227E36">
        <w:t xml:space="preserve">significant concerns for </w:t>
      </w:r>
      <w:r w:rsidR="00AF05F9">
        <w:t xml:space="preserve">the </w:t>
      </w:r>
      <w:r w:rsidR="00227E36">
        <w:t xml:space="preserve">government and the public, such as cancers, road crashes, crime, </w:t>
      </w:r>
      <w:r w:rsidR="00531159">
        <w:t xml:space="preserve">mental illness, suicide, and family harm. Many of these </w:t>
      </w:r>
      <w:r w:rsidR="008B1BD5">
        <w:t xml:space="preserve">impact drinkers and non-drinkers alike and </w:t>
      </w:r>
      <w:r w:rsidR="00531159">
        <w:t>have ripple effects</w:t>
      </w:r>
      <w:r w:rsidR="008B1BD5">
        <w:t xml:space="preserve"> affecting multiple sectors</w:t>
      </w:r>
      <w:r w:rsidR="007F5A6D">
        <w:t xml:space="preserve"> and even intergenerational outcomes. </w:t>
      </w:r>
    </w:p>
    <w:p w14:paraId="3F8E8DE2" w14:textId="2C010401" w:rsidR="00A32804" w:rsidRDefault="00851932" w:rsidP="00C62918">
      <w:pPr>
        <w:pStyle w:val="USBodyText"/>
      </w:pPr>
      <w:r>
        <w:lastRenderedPageBreak/>
        <w:t>D</w:t>
      </w:r>
      <w:r w:rsidR="00316F41">
        <w:t>isability</w:t>
      </w:r>
      <w:r w:rsidR="00D70AA7">
        <w:t>-</w:t>
      </w:r>
      <w:r w:rsidR="00316F41">
        <w:t xml:space="preserve">adjusted life years </w:t>
      </w:r>
      <w:r w:rsidR="00713AD8">
        <w:t>(DALYs)</w:t>
      </w:r>
      <w:r>
        <w:t xml:space="preserve"> are currently the only composite measure that offers a way of </w:t>
      </w:r>
      <w:r w:rsidR="00D23E4A">
        <w:t xml:space="preserve">understanding the broader impact of a </w:t>
      </w:r>
      <w:r w:rsidR="004D6572">
        <w:t>condition, illness or health risk on a population. They are commonly used in cost-of-illness studies to estimate the societal burden of disease</w:t>
      </w:r>
      <w:r w:rsidR="0063193B">
        <w:t>. DALY estimates for alcohol include DALYs</w:t>
      </w:r>
      <w:r w:rsidR="00713AD8">
        <w:t xml:space="preserve"> </w:t>
      </w:r>
      <w:r w:rsidR="00316F41">
        <w:t xml:space="preserve">attributed to </w:t>
      </w:r>
      <w:r w:rsidR="00DE2F4C">
        <w:t>impacts on the drinker</w:t>
      </w:r>
      <w:r w:rsidR="009A1133">
        <w:t xml:space="preserve"> </w:t>
      </w:r>
      <w:r w:rsidR="00911F37">
        <w:t xml:space="preserve">and </w:t>
      </w:r>
      <w:r w:rsidR="008814D6">
        <w:t xml:space="preserve">DALYs attributed to </w:t>
      </w:r>
      <w:proofErr w:type="spellStart"/>
      <w:r w:rsidR="00A32804" w:rsidRPr="00A32804">
        <w:t>fetal</w:t>
      </w:r>
      <w:proofErr w:type="spellEnd"/>
      <w:r w:rsidR="00A32804" w:rsidRPr="00A32804">
        <w:t xml:space="preserve"> alcohol spectrum disorder</w:t>
      </w:r>
      <w:r w:rsidR="00A32804">
        <w:t xml:space="preserve"> (FASD)</w:t>
      </w:r>
      <w:r w:rsidR="008814D6">
        <w:t xml:space="preserve"> </w:t>
      </w:r>
      <w:r w:rsidR="00DE2F4C">
        <w:t>–</w:t>
      </w:r>
      <w:r w:rsidR="008814D6">
        <w:t xml:space="preserve"> </w:t>
      </w:r>
      <w:r w:rsidR="00DE2F4C">
        <w:t xml:space="preserve">estimated to be </w:t>
      </w:r>
      <w:r w:rsidR="009A1133">
        <w:t xml:space="preserve">the </w:t>
      </w:r>
      <w:r w:rsidR="008814D6">
        <w:t>area of most</w:t>
      </w:r>
      <w:r w:rsidR="003D1631">
        <w:t xml:space="preserve"> harm </w:t>
      </w:r>
      <w:r w:rsidR="008814D6">
        <w:t>associated with others’ use of alcohol.</w:t>
      </w:r>
      <w:r w:rsidR="00FA77E1">
        <w:t xml:space="preserve"> </w:t>
      </w:r>
      <w:r w:rsidR="005A0E12">
        <w:t xml:space="preserve">Applying </w:t>
      </w:r>
      <w:r w:rsidR="008814D6">
        <w:t>monetary values to</w:t>
      </w:r>
      <w:r w:rsidR="005A0E12">
        <w:t xml:space="preserve"> </w:t>
      </w:r>
      <w:r w:rsidR="003D1631">
        <w:t>DALY estimates</w:t>
      </w:r>
      <w:r w:rsidR="00FA77E1">
        <w:t xml:space="preserve"> may reflect a </w:t>
      </w:r>
      <w:r w:rsidR="005A73B5">
        <w:t>broad range of underlying costs to society</w:t>
      </w:r>
      <w:r w:rsidR="0063193B">
        <w:t xml:space="preserve">. </w:t>
      </w:r>
    </w:p>
    <w:p w14:paraId="22304B1A" w14:textId="5A887143" w:rsidR="00316F41" w:rsidRDefault="00C62918" w:rsidP="00C62918">
      <w:pPr>
        <w:pStyle w:val="USBodyText"/>
      </w:pPr>
      <w:r>
        <w:t>Based on this measure</w:t>
      </w:r>
      <w:r w:rsidR="00A32804">
        <w:t xml:space="preserve"> and </w:t>
      </w:r>
      <w:r w:rsidR="006E4B44">
        <w:t>two alternative</w:t>
      </w:r>
      <w:r w:rsidR="001C5FC5">
        <w:t xml:space="preserve"> </w:t>
      </w:r>
      <w:r w:rsidR="00A32804">
        <w:t>value</w:t>
      </w:r>
      <w:r w:rsidR="006E4B44">
        <w:t>s</w:t>
      </w:r>
      <w:r w:rsidR="00A32804">
        <w:t xml:space="preserve"> suggested by the Treasury for use in public sector cost-benefit analysis</w:t>
      </w:r>
      <w:r w:rsidR="00BD64FC">
        <w:t xml:space="preserve"> using a similar composite benefit type (quality-adjusted life years (QALYs))</w:t>
      </w:r>
      <w:r w:rsidR="005A73B5">
        <w:t>,</w:t>
      </w:r>
      <w:r w:rsidR="00B014C6">
        <w:t xml:space="preserve"> the </w:t>
      </w:r>
      <w:r w:rsidR="000D1D3D">
        <w:t xml:space="preserve">total </w:t>
      </w:r>
      <w:r w:rsidR="00B014C6">
        <w:t xml:space="preserve">societal cost of alcohol </w:t>
      </w:r>
      <w:r w:rsidR="00E37AE1">
        <w:t xml:space="preserve">in 2023 </w:t>
      </w:r>
      <w:r w:rsidR="00933476">
        <w:t>would be</w:t>
      </w:r>
      <w:r w:rsidR="00E37AE1">
        <w:t xml:space="preserve"> </w:t>
      </w:r>
      <w:r w:rsidR="006E4B44">
        <w:t>between $</w:t>
      </w:r>
      <w:r w:rsidR="00F06108">
        <w:t xml:space="preserve">6.0 billion and $9.1 billion, with the latter value </w:t>
      </w:r>
      <w:r w:rsidR="009E13DA">
        <w:t xml:space="preserve">being </w:t>
      </w:r>
      <w:r w:rsidR="00373584">
        <w:t xml:space="preserve">based on the Value of a Statistical Life and, therefore, </w:t>
      </w:r>
      <w:r w:rsidR="009E13DA">
        <w:t>most comparable with previously published estimates. J</w:t>
      </w:r>
      <w:r w:rsidR="00C90C01">
        <w:t xml:space="preserve">ust over half of this cost </w:t>
      </w:r>
      <w:r w:rsidR="009E13DA">
        <w:t>is</w:t>
      </w:r>
      <w:r w:rsidR="00C90C01">
        <w:t xml:space="preserve"> associated with FASD</w:t>
      </w:r>
      <w:r w:rsidR="000B2C67">
        <w:t xml:space="preserve"> </w:t>
      </w:r>
      <w:r w:rsidR="00933476" w:rsidRPr="00933476">
        <w:t xml:space="preserve">(see </w:t>
      </w:r>
      <w:r w:rsidR="006E4D28">
        <w:fldChar w:fldCharType="begin"/>
      </w:r>
      <w:r w:rsidR="006E4D28">
        <w:instrText xml:space="preserve"> REF _Hlk156227738 \h </w:instrText>
      </w:r>
      <w:r w:rsidR="006E4D28">
        <w:fldChar w:fldCharType="separate"/>
      </w:r>
      <w:r w:rsidR="00AE166D" w:rsidRPr="00731CA6">
        <w:t>Figure </w:t>
      </w:r>
      <w:r w:rsidR="00AE166D">
        <w:rPr>
          <w:noProof/>
        </w:rPr>
        <w:t>1</w:t>
      </w:r>
      <w:r w:rsidR="006E4D28">
        <w:fldChar w:fldCharType="end"/>
      </w:r>
      <w:r w:rsidR="00933476" w:rsidRPr="00933476">
        <w:t xml:space="preserve"> below).</w:t>
      </w:r>
      <w:r w:rsidR="00933476">
        <w:t xml:space="preserve"> </w:t>
      </w:r>
    </w:p>
    <w:p w14:paraId="1D622B3D" w14:textId="564D2BF0" w:rsidR="00AB158B" w:rsidRDefault="00911F37" w:rsidP="009C26F5">
      <w:pPr>
        <w:pStyle w:val="FigureCaption"/>
      </w:pPr>
      <w:bookmarkStart w:id="5" w:name="_Hlk156227738"/>
      <w:bookmarkStart w:id="6" w:name="_Toc160633889"/>
      <w:r w:rsidRPr="00731CA6">
        <w:t>Figure </w:t>
      </w:r>
      <w:fldSimple w:instr=" SEQ Figure \* ARABIC ">
        <w:r w:rsidR="00AE166D">
          <w:rPr>
            <w:noProof/>
          </w:rPr>
          <w:t>1</w:t>
        </w:r>
      </w:fldSimple>
      <w:bookmarkEnd w:id="5"/>
      <w:r>
        <w:t xml:space="preserve"> </w:t>
      </w:r>
      <w:r w:rsidR="00AB158B">
        <w:t xml:space="preserve">Estimated </w:t>
      </w:r>
      <w:r w:rsidR="00DE2F4C">
        <w:t xml:space="preserve">total societal </w:t>
      </w:r>
      <w:r w:rsidR="00AB158B">
        <w:t xml:space="preserve">value of </w:t>
      </w:r>
      <w:r w:rsidR="004A07AB">
        <w:t>increased risk of mortality and morbidity</w:t>
      </w:r>
      <w:r w:rsidR="00AB158B">
        <w:t xml:space="preserve"> </w:t>
      </w:r>
      <w:r w:rsidR="004A07AB">
        <w:t xml:space="preserve">due to </w:t>
      </w:r>
      <w:proofErr w:type="gramStart"/>
      <w:r w:rsidR="004A07AB">
        <w:t>alcohol</w:t>
      </w:r>
      <w:bookmarkEnd w:id="6"/>
      <w:proofErr w:type="gramEnd"/>
    </w:p>
    <w:p w14:paraId="5A21864B" w14:textId="0A08F9A6" w:rsidR="00AB158B" w:rsidRDefault="00BD67A7" w:rsidP="009C26F5">
      <w:pPr>
        <w:pStyle w:val="CaptionSubheading"/>
      </w:pPr>
      <w:r>
        <w:t>$ m</w:t>
      </w:r>
      <w:r w:rsidR="00AB158B">
        <w:t>illions, 2023</w:t>
      </w:r>
    </w:p>
    <w:p w14:paraId="10EE1142" w14:textId="39FE3E5D" w:rsidR="00700572" w:rsidRDefault="00DE2F4C" w:rsidP="00833401">
      <w:pPr>
        <w:pStyle w:val="USSource"/>
        <w:spacing w:before="0" w:after="120"/>
      </w:pPr>
      <w:r>
        <w:rPr>
          <w:noProof/>
        </w:rPr>
        <w:drawing>
          <wp:inline distT="0" distB="0" distL="0" distR="0" wp14:anchorId="60576DC2" wp14:editId="5DFAA778">
            <wp:extent cx="3516630" cy="2621322"/>
            <wp:effectExtent l="0" t="0" r="7620" b="7620"/>
            <wp:docPr id="972195809" name="Picture 5" descr="The chart shows stacked bars representing the total societal value of increased mortality and morbidity due to alcohol. The first bar shows a low value consisting of approximately $3 billion each for the impacts on the drinker from own use of alcohol and the FASD impacts, for a total of $6 billion in societal value. The second bar shows a high value consisting of over $4 billion for the impacts on the drinker from own use of alcohol and nearly $5 billion for FASD, for a total of just over $9 bill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95809" name="Picture 5" descr="The chart shows stacked bars representing the total societal value of increased mortality and morbidity due to alcohol. The first bar shows a low value consisting of approximately $3 billion each for the impacts on the drinker from own use of alcohol and the FASD impacts, for a total of $6 billion in societal value. The second bar shows a high value consisting of over $4 billion for the impacts on the drinker from own use of alcohol and nearly $5 billion for FASD, for a total of just over $9 billion.">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1413" cy="2624887"/>
                    </a:xfrm>
                    <a:prstGeom prst="rect">
                      <a:avLst/>
                    </a:prstGeom>
                    <a:noFill/>
                  </pic:spPr>
                </pic:pic>
              </a:graphicData>
            </a:graphic>
          </wp:inline>
        </w:drawing>
      </w:r>
    </w:p>
    <w:p w14:paraId="54CD173F" w14:textId="7F6BD1FC" w:rsidR="00833401" w:rsidRDefault="00833401" w:rsidP="009E13DA">
      <w:pPr>
        <w:pStyle w:val="USSource"/>
        <w:spacing w:before="0" w:after="60"/>
      </w:pPr>
      <w:r>
        <w:t xml:space="preserve">FASD: </w:t>
      </w:r>
      <w:proofErr w:type="spellStart"/>
      <w:r>
        <w:t>Fetal</w:t>
      </w:r>
      <w:proofErr w:type="spellEnd"/>
      <w:r>
        <w:t xml:space="preserve"> </w:t>
      </w:r>
      <w:r w:rsidR="0059369A">
        <w:t>a</w:t>
      </w:r>
      <w:r>
        <w:t xml:space="preserve">lcohol </w:t>
      </w:r>
      <w:r w:rsidR="0059369A">
        <w:t>s</w:t>
      </w:r>
      <w:r>
        <w:t xml:space="preserve">pectrum </w:t>
      </w:r>
      <w:r w:rsidR="0059369A">
        <w:t>d</w:t>
      </w:r>
      <w:r>
        <w:t>isorder</w:t>
      </w:r>
    </w:p>
    <w:p w14:paraId="5329E1DB" w14:textId="76AC8DE9" w:rsidR="00AB158B" w:rsidRPr="00594C35" w:rsidRDefault="00AB158B" w:rsidP="009E13DA">
      <w:pPr>
        <w:pStyle w:val="USSource"/>
        <w:spacing w:before="60"/>
      </w:pPr>
      <w:r>
        <w:t>Source: NZIER</w:t>
      </w:r>
    </w:p>
    <w:p w14:paraId="3BC9FA9E" w14:textId="038A3D7D" w:rsidR="00EB5B22" w:rsidRPr="00594C35" w:rsidRDefault="00EB5B22" w:rsidP="008D24E6">
      <w:pPr>
        <w:pStyle w:val="USBodyText"/>
      </w:pPr>
      <w:r>
        <w:t xml:space="preserve">Previously published studies have indicated that, consistent with our result, </w:t>
      </w:r>
      <w:r w:rsidR="008D24E6">
        <w:t xml:space="preserve">the costs of harms from others’ alcohol use are likely to exceed the costs of </w:t>
      </w:r>
      <w:r w:rsidR="009E13DA">
        <w:t xml:space="preserve">impacts on drinkers </w:t>
      </w:r>
      <w:r w:rsidR="00094F3C">
        <w:t>as a result of their</w:t>
      </w:r>
      <w:r w:rsidR="009E13DA">
        <w:t xml:space="preserve"> </w:t>
      </w:r>
      <w:r w:rsidR="008D24E6">
        <w:t xml:space="preserve">own </w:t>
      </w:r>
      <w:r w:rsidR="00094F3C">
        <w:t>alcohol use</w:t>
      </w:r>
      <w:r w:rsidR="008D24E6">
        <w:t>.</w:t>
      </w:r>
    </w:p>
    <w:p w14:paraId="06C52943" w14:textId="0D50696E" w:rsidR="00EB0437" w:rsidRDefault="00EB0437" w:rsidP="00EB0437">
      <w:pPr>
        <w:pStyle w:val="Heading4"/>
      </w:pPr>
      <w:r>
        <w:t xml:space="preserve">Costs representing specific concerns to communities were separately estimated from a societal </w:t>
      </w:r>
      <w:proofErr w:type="gramStart"/>
      <w:r>
        <w:t>perspective</w:t>
      </w:r>
      <w:proofErr w:type="gramEnd"/>
    </w:p>
    <w:p w14:paraId="2CD616F0" w14:textId="24065177" w:rsidR="00EB0437" w:rsidRDefault="00EB0437" w:rsidP="00402756">
      <w:pPr>
        <w:pStyle w:val="USBodyText"/>
      </w:pPr>
      <w:r>
        <w:t xml:space="preserve">While </w:t>
      </w:r>
      <w:r w:rsidR="00137E82">
        <w:t xml:space="preserve">these costs are likely reflected </w:t>
      </w:r>
      <w:r w:rsidR="00577D87">
        <w:t>with</w:t>
      </w:r>
      <w:r w:rsidR="00137E82">
        <w:t xml:space="preserve">in </w:t>
      </w:r>
      <w:r w:rsidR="00B4791D">
        <w:t>the societal cost of al</w:t>
      </w:r>
      <w:r w:rsidR="00D4128F">
        <w:t>c</w:t>
      </w:r>
      <w:r w:rsidR="00B4791D">
        <w:t>ohol harms based</w:t>
      </w:r>
      <w:r w:rsidR="00D4128F">
        <w:t xml:space="preserve"> </w:t>
      </w:r>
      <w:r w:rsidR="00B4791D">
        <w:t xml:space="preserve">on increased risk of </w:t>
      </w:r>
      <w:r w:rsidR="00D4128F">
        <w:t>mortality and morbidity</w:t>
      </w:r>
      <w:r w:rsidR="00137E82">
        <w:t xml:space="preserve">, New Zealand communities </w:t>
      </w:r>
      <w:r w:rsidR="00402756">
        <w:t>have specific concerns regarding the impact of alcohol on road crashes, i</w:t>
      </w:r>
      <w:r>
        <w:t>ntimate partner violence (IPV)</w:t>
      </w:r>
      <w:r w:rsidR="00402756">
        <w:t>, and c</w:t>
      </w:r>
      <w:r>
        <w:t>hild maltreatment</w:t>
      </w:r>
      <w:r w:rsidR="000035FC">
        <w:t xml:space="preserve">, with recently published evidence supporting specific estimation of these costs from a societal perspective. Results are shown in </w:t>
      </w:r>
      <w:r w:rsidR="0019729D">
        <w:fldChar w:fldCharType="begin"/>
      </w:r>
      <w:r w:rsidR="0019729D">
        <w:instrText xml:space="preserve"> REF _Ref156216275 \h </w:instrText>
      </w:r>
      <w:r w:rsidR="0019729D">
        <w:fldChar w:fldCharType="separate"/>
      </w:r>
      <w:r w:rsidR="00AE166D" w:rsidRPr="00731CA6">
        <w:t xml:space="preserve">Table </w:t>
      </w:r>
      <w:r w:rsidR="00AE166D">
        <w:rPr>
          <w:noProof/>
        </w:rPr>
        <w:t>1</w:t>
      </w:r>
      <w:r w:rsidR="0019729D">
        <w:fldChar w:fldCharType="end"/>
      </w:r>
      <w:r w:rsidR="000035FC">
        <w:t xml:space="preserve"> below.</w:t>
      </w:r>
      <w:r w:rsidR="00386D2E">
        <w:t xml:space="preserve"> Note estimates for </w:t>
      </w:r>
      <w:r w:rsidR="008F15A1">
        <w:t xml:space="preserve">IPV and child maltreatment are likely underestimates due to the lack of evidence regarding the </w:t>
      </w:r>
      <w:r w:rsidR="008F15A1">
        <w:lastRenderedPageBreak/>
        <w:t xml:space="preserve">causal role of alcohol </w:t>
      </w:r>
      <w:r w:rsidR="005E23CD">
        <w:t xml:space="preserve">when criteria for alcohol use disorder and hazardous drinking are not met and the under-reporting of </w:t>
      </w:r>
      <w:r w:rsidR="00BF0B2F">
        <w:t>incidents</w:t>
      </w:r>
      <w:r w:rsidR="005E23CD">
        <w:t>.</w:t>
      </w:r>
    </w:p>
    <w:p w14:paraId="43F358FC" w14:textId="3DE23321" w:rsidR="008B0BAA" w:rsidRDefault="008B0BAA" w:rsidP="008B0BAA">
      <w:pPr>
        <w:pStyle w:val="TableCaption"/>
      </w:pPr>
      <w:bookmarkStart w:id="7" w:name="_Ref156216275"/>
      <w:bookmarkStart w:id="8" w:name="_Toc160633908"/>
      <w:r w:rsidRPr="00731CA6">
        <w:t xml:space="preserve">Table </w:t>
      </w:r>
      <w:fldSimple w:instr=" SEQ Table \* ARABIC ">
        <w:r w:rsidR="00AE166D">
          <w:rPr>
            <w:noProof/>
          </w:rPr>
          <w:t>1</w:t>
        </w:r>
      </w:fldSimple>
      <w:bookmarkEnd w:id="7"/>
      <w:r>
        <w:rPr>
          <w:noProof/>
        </w:rPr>
        <w:t xml:space="preserve"> </w:t>
      </w:r>
      <w:r>
        <w:t>Estimates of key concerns</w:t>
      </w:r>
      <w:r w:rsidR="00580CE5">
        <w:t xml:space="preserve"> within the total societal cost of alcohol </w:t>
      </w:r>
      <w:proofErr w:type="gramStart"/>
      <w:r w:rsidR="00580CE5">
        <w:t>harms</w:t>
      </w:r>
      <w:bookmarkEnd w:id="8"/>
      <w:proofErr w:type="gramEnd"/>
    </w:p>
    <w:p w14:paraId="4DD9AF45" w14:textId="653031E3" w:rsidR="008B0BAA" w:rsidRPr="008B0BAA" w:rsidRDefault="008B0BAA" w:rsidP="00926C6A">
      <w:pPr>
        <w:pStyle w:val="CaptionSubheading"/>
      </w:pPr>
      <w:r>
        <w:t xml:space="preserve">$ millions, rounded to </w:t>
      </w:r>
      <w:r w:rsidR="00AF05F9">
        <w:t xml:space="preserve">the </w:t>
      </w:r>
      <w:r>
        <w:t xml:space="preserve">nearest </w:t>
      </w:r>
      <w:proofErr w:type="gramStart"/>
      <w:r>
        <w:t>million</w:t>
      </w:r>
      <w:proofErr w:type="gramEnd"/>
    </w:p>
    <w:tbl>
      <w:tblPr>
        <w:tblStyle w:val="TableDefault"/>
        <w:tblW w:w="0" w:type="auto"/>
        <w:tblLook w:val="04A0" w:firstRow="1" w:lastRow="0" w:firstColumn="1" w:lastColumn="0" w:noHBand="0" w:noVBand="1"/>
      </w:tblPr>
      <w:tblGrid>
        <w:gridCol w:w="1559"/>
        <w:gridCol w:w="1418"/>
        <w:gridCol w:w="5243"/>
      </w:tblGrid>
      <w:tr w:rsidR="0040696A" w14:paraId="02592C32" w14:textId="77777777" w:rsidTr="0003047C">
        <w:trPr>
          <w:cnfStyle w:val="100000000000" w:firstRow="1" w:lastRow="0" w:firstColumn="0" w:lastColumn="0" w:oddVBand="0" w:evenVBand="0" w:oddHBand="0" w:evenHBand="0" w:firstRowFirstColumn="0" w:firstRowLastColumn="0" w:lastRowFirstColumn="0" w:lastRowLastColumn="0"/>
        </w:trPr>
        <w:tc>
          <w:tcPr>
            <w:tcW w:w="1559" w:type="dxa"/>
          </w:tcPr>
          <w:p w14:paraId="1698E88C" w14:textId="01DE5806" w:rsidR="00CD64D3" w:rsidRPr="002F2A52" w:rsidRDefault="00591E76" w:rsidP="00D75C05">
            <w:pPr>
              <w:pStyle w:val="TSTableHeadingWhite-TopRow"/>
            </w:pPr>
            <w:r w:rsidRPr="002F2A52">
              <w:t>Key alcohol harm</w:t>
            </w:r>
          </w:p>
        </w:tc>
        <w:tc>
          <w:tcPr>
            <w:tcW w:w="1418" w:type="dxa"/>
          </w:tcPr>
          <w:p w14:paraId="031E09AC" w14:textId="2A2AD78D" w:rsidR="00CD64D3" w:rsidRPr="002F2A52" w:rsidRDefault="00591E76" w:rsidP="00D75C05">
            <w:pPr>
              <w:pStyle w:val="TSTableHeadingWhite-TopRow"/>
            </w:pPr>
            <w:r w:rsidRPr="002F2A52">
              <w:t>Estimated value</w:t>
            </w:r>
          </w:p>
        </w:tc>
        <w:tc>
          <w:tcPr>
            <w:tcW w:w="5243" w:type="dxa"/>
          </w:tcPr>
          <w:p w14:paraId="3265B18D" w14:textId="60E6FFC7" w:rsidR="00CD64D3" w:rsidRPr="002F2A52" w:rsidRDefault="00591E76" w:rsidP="00D75C05">
            <w:pPr>
              <w:pStyle w:val="TSTableHeadingWhite-TopRow"/>
            </w:pPr>
            <w:r w:rsidRPr="002F2A52">
              <w:t>Certainty of estimate</w:t>
            </w:r>
          </w:p>
        </w:tc>
      </w:tr>
      <w:tr w:rsidR="0040696A" w14:paraId="57744530" w14:textId="77777777" w:rsidTr="0003047C">
        <w:tc>
          <w:tcPr>
            <w:tcW w:w="1559" w:type="dxa"/>
          </w:tcPr>
          <w:p w14:paraId="32012699" w14:textId="30675E98" w:rsidR="00CD64D3" w:rsidRPr="00926C6A" w:rsidRDefault="008B0BAA" w:rsidP="00D75C05">
            <w:pPr>
              <w:pStyle w:val="TSBodyText"/>
            </w:pPr>
            <w:r w:rsidRPr="00926C6A">
              <w:t>Intimate partner violence (IPV)</w:t>
            </w:r>
          </w:p>
        </w:tc>
        <w:tc>
          <w:tcPr>
            <w:tcW w:w="1418" w:type="dxa"/>
          </w:tcPr>
          <w:p w14:paraId="71328A68" w14:textId="6C5E1587" w:rsidR="00CD64D3" w:rsidRPr="00926C6A" w:rsidRDefault="00812D47" w:rsidP="00D75C05">
            <w:pPr>
              <w:pStyle w:val="TSBodyText"/>
              <w:ind w:right="530"/>
              <w:jc w:val="right"/>
            </w:pPr>
            <w:r>
              <w:t>2</w:t>
            </w:r>
            <w:r w:rsidR="006A652E">
              <w:t>8</w:t>
            </w:r>
            <w:r w:rsidR="009106FE">
              <w:t>1</w:t>
            </w:r>
          </w:p>
        </w:tc>
        <w:tc>
          <w:tcPr>
            <w:tcW w:w="5243" w:type="dxa"/>
          </w:tcPr>
          <w:p w14:paraId="3AF4ABEC" w14:textId="3C8E6B4D" w:rsidR="00CD64D3" w:rsidRPr="00926C6A" w:rsidRDefault="00F90205" w:rsidP="00D75C05">
            <w:pPr>
              <w:pStyle w:val="TSBodyText"/>
            </w:pPr>
            <w:r w:rsidRPr="00926C6A">
              <w:t xml:space="preserve">Low to moderate: Conservative scenario prevalence but based on old unit costs, attribution based on a single NZ study. Cost attributable to alcohol use disorder only (potential underestimation). Many costs of IPV </w:t>
            </w:r>
            <w:r w:rsidR="00AF05F9">
              <w:t xml:space="preserve">are </w:t>
            </w:r>
            <w:r w:rsidRPr="00926C6A">
              <w:t>also reflected in other cost estimates.</w:t>
            </w:r>
          </w:p>
        </w:tc>
      </w:tr>
      <w:tr w:rsidR="0040696A" w14:paraId="3740F41A" w14:textId="77777777" w:rsidTr="0003047C">
        <w:trPr>
          <w:cnfStyle w:val="000000010000" w:firstRow="0" w:lastRow="0" w:firstColumn="0" w:lastColumn="0" w:oddVBand="0" w:evenVBand="0" w:oddHBand="0" w:evenHBand="1" w:firstRowFirstColumn="0" w:firstRowLastColumn="0" w:lastRowFirstColumn="0" w:lastRowLastColumn="0"/>
        </w:trPr>
        <w:tc>
          <w:tcPr>
            <w:tcW w:w="1559" w:type="dxa"/>
          </w:tcPr>
          <w:p w14:paraId="228F3514" w14:textId="265BFBB3" w:rsidR="00CD64D3" w:rsidRPr="00926C6A" w:rsidRDefault="008B0BAA" w:rsidP="00D75C05">
            <w:pPr>
              <w:pStyle w:val="TSBodyText"/>
            </w:pPr>
            <w:r w:rsidRPr="00926C6A">
              <w:t>Child maltreatment</w:t>
            </w:r>
          </w:p>
        </w:tc>
        <w:tc>
          <w:tcPr>
            <w:tcW w:w="1418" w:type="dxa"/>
          </w:tcPr>
          <w:p w14:paraId="6AF416A8" w14:textId="3F465116" w:rsidR="00CD64D3" w:rsidRPr="00926C6A" w:rsidRDefault="0040696A" w:rsidP="00D75C05">
            <w:pPr>
              <w:pStyle w:val="TSBodyText"/>
              <w:ind w:right="530"/>
              <w:jc w:val="right"/>
            </w:pPr>
            <w:r w:rsidRPr="00926C6A">
              <w:t>74</w:t>
            </w:r>
          </w:p>
        </w:tc>
        <w:tc>
          <w:tcPr>
            <w:tcW w:w="5243" w:type="dxa"/>
          </w:tcPr>
          <w:p w14:paraId="3116156E" w14:textId="1703FB25" w:rsidR="00CD64D3" w:rsidRPr="00926C6A" w:rsidRDefault="0040696A" w:rsidP="00D75C05">
            <w:pPr>
              <w:pStyle w:val="TSBodyText"/>
            </w:pPr>
            <w:r w:rsidRPr="00926C6A">
              <w:t xml:space="preserve">Low to moderate: </w:t>
            </w:r>
            <w:r w:rsidR="00A658DF" w:rsidRPr="00926C6A">
              <w:t>Conservative scenario prevalence but based on old unit costs, attribution based on a single NZ study. Cost attributable to hazardous drinking only (potential underestimation).</w:t>
            </w:r>
          </w:p>
        </w:tc>
      </w:tr>
      <w:tr w:rsidR="0040696A" w14:paraId="692BFDC6" w14:textId="77777777" w:rsidTr="0003047C">
        <w:tc>
          <w:tcPr>
            <w:tcW w:w="1559" w:type="dxa"/>
          </w:tcPr>
          <w:p w14:paraId="51E16CCD" w14:textId="58942FE8" w:rsidR="00CD64D3" w:rsidRPr="00926C6A" w:rsidRDefault="008B0BAA" w:rsidP="00D75C05">
            <w:pPr>
              <w:pStyle w:val="TSBodyText"/>
            </w:pPr>
            <w:r w:rsidRPr="00926C6A">
              <w:t>Road crashes</w:t>
            </w:r>
          </w:p>
        </w:tc>
        <w:tc>
          <w:tcPr>
            <w:tcW w:w="1418" w:type="dxa"/>
          </w:tcPr>
          <w:p w14:paraId="5017C8C4" w14:textId="04911D18" w:rsidR="00CD64D3" w:rsidRPr="00926C6A" w:rsidRDefault="0040696A" w:rsidP="00D75C05">
            <w:pPr>
              <w:pStyle w:val="TSBodyText"/>
              <w:ind w:right="530"/>
              <w:jc w:val="right"/>
            </w:pPr>
            <w:r w:rsidRPr="00926C6A">
              <w:t>2,095</w:t>
            </w:r>
          </w:p>
        </w:tc>
        <w:tc>
          <w:tcPr>
            <w:tcW w:w="5243" w:type="dxa"/>
          </w:tcPr>
          <w:p w14:paraId="3B7DEE4E" w14:textId="11CDFFC8" w:rsidR="00CD64D3" w:rsidRPr="00926C6A" w:rsidRDefault="00C24BCB" w:rsidP="00D75C05">
            <w:pPr>
              <w:pStyle w:val="TSBodyText"/>
            </w:pPr>
            <w:r>
              <w:t>Moderate</w:t>
            </w:r>
            <w:r w:rsidRPr="00C24BCB">
              <w:t>: Moderate certainty regarding attribution and counterfactual/ value related to loss of life/quality of life (the major component).</w:t>
            </w:r>
          </w:p>
        </w:tc>
      </w:tr>
      <w:tr w:rsidR="00591E76" w14:paraId="1A7DF538" w14:textId="77777777" w:rsidTr="0003047C">
        <w:trPr>
          <w:cnfStyle w:val="000000010000" w:firstRow="0" w:lastRow="0" w:firstColumn="0" w:lastColumn="0" w:oddVBand="0" w:evenVBand="0" w:oddHBand="0" w:evenHBand="1" w:firstRowFirstColumn="0" w:firstRowLastColumn="0" w:lastRowFirstColumn="0" w:lastRowLastColumn="0"/>
        </w:trPr>
        <w:tc>
          <w:tcPr>
            <w:tcW w:w="1559" w:type="dxa"/>
          </w:tcPr>
          <w:p w14:paraId="4CD388CA" w14:textId="7A75BFFA" w:rsidR="00591E76" w:rsidRPr="002F2A52" w:rsidRDefault="00591E76" w:rsidP="00D75C05">
            <w:pPr>
              <w:pStyle w:val="TSBodyText"/>
              <w:rPr>
                <w:b/>
                <w:bCs/>
              </w:rPr>
            </w:pPr>
            <w:r w:rsidRPr="002F2A52">
              <w:rPr>
                <w:b/>
                <w:bCs/>
              </w:rPr>
              <w:t>Total</w:t>
            </w:r>
            <w:r w:rsidR="00812D47" w:rsidRPr="002F2A52">
              <w:rPr>
                <w:b/>
                <w:bCs/>
              </w:rPr>
              <w:t xml:space="preserve"> societal</w:t>
            </w:r>
            <w:r w:rsidRPr="002F2A52">
              <w:rPr>
                <w:b/>
                <w:bCs/>
              </w:rPr>
              <w:t xml:space="preserve"> cost of key alcohol harms</w:t>
            </w:r>
          </w:p>
        </w:tc>
        <w:tc>
          <w:tcPr>
            <w:tcW w:w="1418" w:type="dxa"/>
          </w:tcPr>
          <w:p w14:paraId="6A337F47" w14:textId="52106327" w:rsidR="00591E76" w:rsidRPr="002F2A52" w:rsidRDefault="00D346F0" w:rsidP="00D75C05">
            <w:pPr>
              <w:pStyle w:val="TSBodyText"/>
              <w:ind w:right="530"/>
              <w:jc w:val="right"/>
              <w:rPr>
                <w:b/>
                <w:bCs/>
              </w:rPr>
            </w:pPr>
            <w:r w:rsidRPr="002F2A52">
              <w:rPr>
                <w:b/>
                <w:bCs/>
              </w:rPr>
              <w:t>2,4</w:t>
            </w:r>
            <w:r w:rsidR="003F50DB">
              <w:rPr>
                <w:b/>
                <w:bCs/>
              </w:rPr>
              <w:t>50</w:t>
            </w:r>
          </w:p>
        </w:tc>
        <w:tc>
          <w:tcPr>
            <w:tcW w:w="5243" w:type="dxa"/>
          </w:tcPr>
          <w:p w14:paraId="54A6B516" w14:textId="16AD1356" w:rsidR="00591E76" w:rsidRPr="00591E76" w:rsidRDefault="00FC495C" w:rsidP="00D75C05">
            <w:pPr>
              <w:pStyle w:val="TSBodyText"/>
            </w:pPr>
            <w:r>
              <w:t>Moderate</w:t>
            </w:r>
            <w:r w:rsidR="00474E14">
              <w:t xml:space="preserve"> certainty</w:t>
            </w:r>
            <w:r>
              <w:t xml:space="preserve">: Greater certainty regarding road crash costs and likely underestimate of IPV and child maltreatment due to </w:t>
            </w:r>
            <w:r w:rsidR="0048212E">
              <w:t xml:space="preserve">the </w:t>
            </w:r>
            <w:r w:rsidR="00926C6A">
              <w:t>exclusion of cases where alcohol use disorder and hazardous drinking were not a factor.</w:t>
            </w:r>
          </w:p>
        </w:tc>
      </w:tr>
    </w:tbl>
    <w:p w14:paraId="6397D718" w14:textId="50D04ECF" w:rsidR="000035FC" w:rsidRDefault="00926C6A" w:rsidP="00926C6A">
      <w:pPr>
        <w:pStyle w:val="USSource"/>
      </w:pPr>
      <w:r>
        <w:t>Source: NZIER</w:t>
      </w:r>
    </w:p>
    <w:p w14:paraId="23C34A18" w14:textId="77777777" w:rsidR="00B72B24" w:rsidRDefault="00B72B24" w:rsidP="00B72B24">
      <w:pPr>
        <w:pStyle w:val="Heading4"/>
      </w:pPr>
      <w:r>
        <w:t xml:space="preserve">The value of productivity losses was estimated across a range of alcohol-related </w:t>
      </w:r>
      <w:proofErr w:type="gramStart"/>
      <w:r>
        <w:t>causes</w:t>
      </w:r>
      <w:proofErr w:type="gramEnd"/>
    </w:p>
    <w:p w14:paraId="15FE444D" w14:textId="2D7D97A0" w:rsidR="00B72B24" w:rsidRDefault="00BF0B2F" w:rsidP="00B72B24">
      <w:pPr>
        <w:pStyle w:val="USBodyText"/>
      </w:pPr>
      <w:r>
        <w:t xml:space="preserve">Previous and overseas reports have found productivity losses associated with alcohol to be a </w:t>
      </w:r>
      <w:r w:rsidR="00920F8A">
        <w:t xml:space="preserve">major contributor to overall costs. </w:t>
      </w:r>
      <w:r w:rsidR="00B72B24">
        <w:t xml:space="preserve">Concerns about productivity losses, which may also be reflected within the </w:t>
      </w:r>
      <w:r w:rsidR="00CA6376">
        <w:t xml:space="preserve">values used to </w:t>
      </w:r>
      <w:r w:rsidR="00B72B24">
        <w:t xml:space="preserve">estimate </w:t>
      </w:r>
      <w:r w:rsidR="00CA6376">
        <w:t xml:space="preserve">the cost of </w:t>
      </w:r>
      <w:proofErr w:type="gramStart"/>
      <w:r w:rsidR="00CA6376">
        <w:t>alcohol-attributable</w:t>
      </w:r>
      <w:proofErr w:type="gramEnd"/>
      <w:r w:rsidR="00CA6376">
        <w:t xml:space="preserve"> DALYs</w:t>
      </w:r>
      <w:r w:rsidR="00FE4630">
        <w:t>, warrant separate consideration of these indirect societal costs</w:t>
      </w:r>
      <w:r w:rsidR="00920F8A">
        <w:t>. Productivity losses</w:t>
      </w:r>
      <w:r w:rsidR="008D0ED2">
        <w:t xml:space="preserve"> may be associated with short spells of impairment</w:t>
      </w:r>
      <w:r w:rsidR="00D65AC1">
        <w:t xml:space="preserve"> or absence from work, </w:t>
      </w:r>
      <w:r w:rsidR="008D0ED2">
        <w:t xml:space="preserve">long term </w:t>
      </w:r>
      <w:r w:rsidR="00D65AC1">
        <w:t>disability or death</w:t>
      </w:r>
      <w:r w:rsidR="00FE4630">
        <w:t>. Based on recent New Zealand data and evidence, in 2023</w:t>
      </w:r>
      <w:r w:rsidR="0048212E">
        <w:t>,</w:t>
      </w:r>
      <w:r w:rsidR="00891646">
        <w:t xml:space="preserve"> these costs are estimated to be </w:t>
      </w:r>
      <w:r w:rsidR="008D0ED2">
        <w:t>up to $</w:t>
      </w:r>
      <w:r w:rsidR="00920F8A">
        <w:t>4 billion</w:t>
      </w:r>
      <w:r w:rsidR="008D0ED2">
        <w:t>, as shown in the table below.</w:t>
      </w:r>
      <w:r w:rsidR="00920F8A">
        <w:t xml:space="preserve"> However, there is significant uncertainty regarding this estimate</w:t>
      </w:r>
      <w:r w:rsidR="00EA03B1">
        <w:t>.</w:t>
      </w:r>
      <w:r w:rsidR="00920F8A">
        <w:t xml:space="preserve"> </w:t>
      </w:r>
    </w:p>
    <w:p w14:paraId="2C225ABA" w14:textId="3979D483" w:rsidR="00646CCC" w:rsidRDefault="00646CCC">
      <w:pPr>
        <w:spacing w:after="160" w:line="259" w:lineRule="auto"/>
      </w:pPr>
      <w:r>
        <w:br w:type="page"/>
      </w:r>
    </w:p>
    <w:p w14:paraId="393E0235" w14:textId="370EF612" w:rsidR="00577F63" w:rsidRDefault="008B0BAA" w:rsidP="00577F63">
      <w:pPr>
        <w:pStyle w:val="TableCaption"/>
      </w:pPr>
      <w:bookmarkStart w:id="9" w:name="_Hlk156134887"/>
      <w:bookmarkStart w:id="10" w:name="_Toc160633909"/>
      <w:bookmarkStart w:id="11" w:name="_Hlk156136296"/>
      <w:r w:rsidRPr="00731CA6">
        <w:lastRenderedPageBreak/>
        <w:t xml:space="preserve">Table </w:t>
      </w:r>
      <w:fldSimple w:instr=" SEQ Table \* ARABIC ">
        <w:r w:rsidR="00AE166D">
          <w:rPr>
            <w:noProof/>
          </w:rPr>
          <w:t>2</w:t>
        </w:r>
      </w:fldSimple>
      <w:r>
        <w:rPr>
          <w:noProof/>
        </w:rPr>
        <w:t xml:space="preserve"> </w:t>
      </w:r>
      <w:r w:rsidR="00577F63">
        <w:t xml:space="preserve">Estimates </w:t>
      </w:r>
      <w:bookmarkEnd w:id="9"/>
      <w:r w:rsidR="00577F63">
        <w:t xml:space="preserve">of </w:t>
      </w:r>
      <w:r w:rsidR="00B34D1A">
        <w:t xml:space="preserve">costs of productivity losses due to </w:t>
      </w:r>
      <w:proofErr w:type="gramStart"/>
      <w:r w:rsidR="00B34D1A">
        <w:t>alcohol</w:t>
      </w:r>
      <w:bookmarkEnd w:id="10"/>
      <w:proofErr w:type="gramEnd"/>
    </w:p>
    <w:p w14:paraId="5A1538B5" w14:textId="0E867F9C" w:rsidR="00B34D1A" w:rsidRPr="00B34D1A" w:rsidRDefault="00B34D1A" w:rsidP="0080137D">
      <w:pPr>
        <w:pStyle w:val="CaptionSubheading"/>
      </w:pPr>
      <w:r>
        <w:t>$ millions</w:t>
      </w:r>
      <w:r w:rsidR="0080137D">
        <w:t xml:space="preserve">, rounded to </w:t>
      </w:r>
      <w:r w:rsidR="00BD27CC">
        <w:t xml:space="preserve">the </w:t>
      </w:r>
      <w:r w:rsidR="0080137D">
        <w:t xml:space="preserve">nearest </w:t>
      </w:r>
      <w:proofErr w:type="gramStart"/>
      <w:r w:rsidR="0080137D">
        <w:t>million</w:t>
      </w:r>
      <w:proofErr w:type="gramEnd"/>
    </w:p>
    <w:tbl>
      <w:tblPr>
        <w:tblStyle w:val="TableDefault"/>
        <w:tblW w:w="8363" w:type="dxa"/>
        <w:tblLayout w:type="fixed"/>
        <w:tblLook w:val="04A0" w:firstRow="1" w:lastRow="0" w:firstColumn="1" w:lastColumn="0" w:noHBand="0" w:noVBand="1"/>
      </w:tblPr>
      <w:tblGrid>
        <w:gridCol w:w="2835"/>
        <w:gridCol w:w="1134"/>
        <w:gridCol w:w="4394"/>
      </w:tblGrid>
      <w:tr w:rsidR="0080137D" w14:paraId="5E48E730" w14:textId="77777777" w:rsidTr="00681B31">
        <w:trPr>
          <w:cnfStyle w:val="100000000000" w:firstRow="1" w:lastRow="0" w:firstColumn="0" w:lastColumn="0" w:oddVBand="0" w:evenVBand="0" w:oddHBand="0" w:evenHBand="0" w:firstRowFirstColumn="0" w:firstRowLastColumn="0" w:lastRowFirstColumn="0" w:lastRowLastColumn="0"/>
        </w:trPr>
        <w:tc>
          <w:tcPr>
            <w:tcW w:w="2835" w:type="dxa"/>
          </w:tcPr>
          <w:p w14:paraId="0F4A3E9D" w14:textId="1A974593" w:rsidR="00D65AC1" w:rsidRPr="002F2A52" w:rsidRDefault="00577F63" w:rsidP="00D75C05">
            <w:pPr>
              <w:pStyle w:val="TSTableHeadingWhite-TopRow"/>
            </w:pPr>
            <w:r w:rsidRPr="002F2A52">
              <w:t>Cause of productivity loss</w:t>
            </w:r>
          </w:p>
        </w:tc>
        <w:tc>
          <w:tcPr>
            <w:tcW w:w="1134" w:type="dxa"/>
          </w:tcPr>
          <w:p w14:paraId="2E50CF46" w14:textId="62409BAF" w:rsidR="00D65AC1" w:rsidRPr="002F2A52" w:rsidRDefault="00681B31" w:rsidP="00D75C05">
            <w:pPr>
              <w:pStyle w:val="TSTableHeadingWhite-TopRow"/>
              <w:jc w:val="center"/>
            </w:pPr>
            <w:r>
              <w:t xml:space="preserve">Cost </w:t>
            </w:r>
            <w:r w:rsidR="00D75C05">
              <w:t>e</w:t>
            </w:r>
            <w:r w:rsidR="00577F63" w:rsidRPr="002F2A52">
              <w:t>stimate</w:t>
            </w:r>
          </w:p>
        </w:tc>
        <w:tc>
          <w:tcPr>
            <w:tcW w:w="4394" w:type="dxa"/>
          </w:tcPr>
          <w:p w14:paraId="6D2C79C8" w14:textId="0DC6CBFF" w:rsidR="00D65AC1" w:rsidRPr="002F2A52" w:rsidRDefault="00577F63" w:rsidP="00D75C05">
            <w:pPr>
              <w:pStyle w:val="TSTableHeadingWhite-TopRow"/>
            </w:pPr>
            <w:r w:rsidRPr="002F2A52">
              <w:t>Certainty</w:t>
            </w:r>
            <w:r w:rsidR="008B0BAA" w:rsidRPr="002F2A52">
              <w:t xml:space="preserve"> of estimate</w:t>
            </w:r>
          </w:p>
        </w:tc>
      </w:tr>
      <w:tr w:rsidR="00926C6A" w14:paraId="73BFC3DF" w14:textId="77777777" w:rsidTr="00D75C05">
        <w:tc>
          <w:tcPr>
            <w:tcW w:w="2835" w:type="dxa"/>
          </w:tcPr>
          <w:p w14:paraId="2DDA0E41" w14:textId="01418FA2" w:rsidR="00507DF4" w:rsidRPr="0080137D" w:rsidRDefault="00B34D1A" w:rsidP="00D75C05">
            <w:pPr>
              <w:pStyle w:val="TSBodyText"/>
            </w:pPr>
            <w:r w:rsidRPr="0080137D">
              <w:t>H</w:t>
            </w:r>
            <w:r w:rsidR="00507DF4" w:rsidRPr="0080137D">
              <w:t>ospitalisation for alcohol</w:t>
            </w:r>
            <w:r w:rsidR="00FE6529">
              <w:t>-</w:t>
            </w:r>
            <w:r w:rsidR="00507DF4" w:rsidRPr="0080137D">
              <w:t xml:space="preserve">attributable conditions and injuries </w:t>
            </w:r>
          </w:p>
        </w:tc>
        <w:tc>
          <w:tcPr>
            <w:tcW w:w="1134" w:type="dxa"/>
            <w:tcMar>
              <w:right w:w="284" w:type="dxa"/>
            </w:tcMar>
          </w:tcPr>
          <w:p w14:paraId="2161AA15" w14:textId="2BBF416C" w:rsidR="00507DF4" w:rsidRPr="0080137D" w:rsidRDefault="00507DF4" w:rsidP="00D75C05">
            <w:pPr>
              <w:pStyle w:val="TSBodyText"/>
              <w:ind w:right="103"/>
              <w:jc w:val="right"/>
            </w:pPr>
            <w:r w:rsidRPr="0080137D">
              <w:t>13</w:t>
            </w:r>
          </w:p>
        </w:tc>
        <w:tc>
          <w:tcPr>
            <w:tcW w:w="4394" w:type="dxa"/>
          </w:tcPr>
          <w:p w14:paraId="3AC6B2A2" w14:textId="3001DE2A" w:rsidR="00507DF4" w:rsidRPr="0080137D" w:rsidRDefault="001B5D27" w:rsidP="00D75C05">
            <w:pPr>
              <w:pStyle w:val="TSBodyText"/>
            </w:pPr>
            <w:r w:rsidRPr="001B5D27">
              <w:t>Moderate: High certainty of underlying attribution (see above)</w:t>
            </w:r>
            <w:r w:rsidR="00C43518">
              <w:t xml:space="preserve"> but</w:t>
            </w:r>
            <w:r w:rsidRPr="001B5D27">
              <w:t xml:space="preserve"> </w:t>
            </w:r>
            <w:r w:rsidR="00681B31">
              <w:t xml:space="preserve">low </w:t>
            </w:r>
            <w:r w:rsidRPr="001B5D27">
              <w:t xml:space="preserve">certainty </w:t>
            </w:r>
            <w:r w:rsidR="00681B31">
              <w:t>of</w:t>
            </w:r>
            <w:r w:rsidRPr="001B5D27">
              <w:t xml:space="preserve"> counterfactual productivity.</w:t>
            </w:r>
          </w:p>
        </w:tc>
      </w:tr>
      <w:tr w:rsidR="0080137D" w14:paraId="242FDB84" w14:textId="77777777" w:rsidTr="00D75C05">
        <w:trPr>
          <w:cnfStyle w:val="000000010000" w:firstRow="0" w:lastRow="0" w:firstColumn="0" w:lastColumn="0" w:oddVBand="0" w:evenVBand="0" w:oddHBand="0" w:evenHBand="1" w:firstRowFirstColumn="0" w:firstRowLastColumn="0" w:lastRowFirstColumn="0" w:lastRowLastColumn="0"/>
        </w:trPr>
        <w:tc>
          <w:tcPr>
            <w:tcW w:w="2835" w:type="dxa"/>
          </w:tcPr>
          <w:p w14:paraId="1ECA25BE" w14:textId="73A65F4A" w:rsidR="00507DF4" w:rsidRPr="0080137D" w:rsidRDefault="00B34D1A" w:rsidP="00D75C05">
            <w:pPr>
              <w:pStyle w:val="TSBodyText"/>
            </w:pPr>
            <w:r w:rsidRPr="0080137D">
              <w:t>P</w:t>
            </w:r>
            <w:r w:rsidR="00507DF4" w:rsidRPr="0080137D">
              <w:t>remature mortality from alcohol-attributable conditions and injuries</w:t>
            </w:r>
          </w:p>
        </w:tc>
        <w:tc>
          <w:tcPr>
            <w:tcW w:w="1134" w:type="dxa"/>
            <w:tcMar>
              <w:right w:w="284" w:type="dxa"/>
            </w:tcMar>
          </w:tcPr>
          <w:p w14:paraId="4C16BADF" w14:textId="4B3C2510" w:rsidR="00507DF4" w:rsidRPr="0080137D" w:rsidRDefault="00507DF4" w:rsidP="00D75C05">
            <w:pPr>
              <w:pStyle w:val="TSBodyText"/>
              <w:ind w:right="103"/>
              <w:jc w:val="right"/>
            </w:pPr>
            <w:r w:rsidRPr="0080137D">
              <w:t>385</w:t>
            </w:r>
          </w:p>
        </w:tc>
        <w:tc>
          <w:tcPr>
            <w:tcW w:w="4394" w:type="dxa"/>
          </w:tcPr>
          <w:p w14:paraId="1F0BD67A" w14:textId="7893AFAD" w:rsidR="00507DF4" w:rsidRPr="0080137D" w:rsidRDefault="00883C6A" w:rsidP="00D75C05">
            <w:pPr>
              <w:pStyle w:val="TSBodyText"/>
            </w:pPr>
            <w:r w:rsidRPr="00883C6A">
              <w:t xml:space="preserve">Moderate: High certainty of underlying attribution (see above), </w:t>
            </w:r>
            <w:r w:rsidR="00681B31">
              <w:t xml:space="preserve">low </w:t>
            </w:r>
            <w:r w:rsidRPr="00883C6A">
              <w:t xml:space="preserve">certainty </w:t>
            </w:r>
            <w:r w:rsidR="00681B31">
              <w:t>of</w:t>
            </w:r>
            <w:r w:rsidRPr="00883C6A">
              <w:t xml:space="preserve"> counterfactual productivity.</w:t>
            </w:r>
          </w:p>
        </w:tc>
      </w:tr>
      <w:tr w:rsidR="00926C6A" w14:paraId="4546A671" w14:textId="77777777" w:rsidTr="00D75C05">
        <w:tc>
          <w:tcPr>
            <w:tcW w:w="2835" w:type="dxa"/>
          </w:tcPr>
          <w:p w14:paraId="5B051E95" w14:textId="50A28A93" w:rsidR="00507DF4" w:rsidRPr="0080137D" w:rsidRDefault="00B34D1A" w:rsidP="00D75C05">
            <w:pPr>
              <w:pStyle w:val="TSBodyText"/>
            </w:pPr>
            <w:r w:rsidRPr="0080137D">
              <w:t>L</w:t>
            </w:r>
            <w:r w:rsidR="00507DF4" w:rsidRPr="0080137D">
              <w:t>ong-term disability from alcohol-attributable injuries</w:t>
            </w:r>
          </w:p>
        </w:tc>
        <w:tc>
          <w:tcPr>
            <w:tcW w:w="1134" w:type="dxa"/>
            <w:tcMar>
              <w:right w:w="284" w:type="dxa"/>
            </w:tcMar>
          </w:tcPr>
          <w:p w14:paraId="6E732CD7" w14:textId="473D8C38" w:rsidR="00507DF4" w:rsidRPr="0080137D" w:rsidRDefault="00507DF4" w:rsidP="00D75C05">
            <w:pPr>
              <w:pStyle w:val="TSBodyText"/>
              <w:ind w:right="103"/>
              <w:jc w:val="right"/>
            </w:pPr>
            <w:r w:rsidRPr="0080137D">
              <w:t>423</w:t>
            </w:r>
          </w:p>
        </w:tc>
        <w:tc>
          <w:tcPr>
            <w:tcW w:w="4394" w:type="dxa"/>
          </w:tcPr>
          <w:p w14:paraId="538C37D4" w14:textId="5C34A20D" w:rsidR="00507DF4" w:rsidRPr="0080137D" w:rsidRDefault="00C43518" w:rsidP="00D75C05">
            <w:pPr>
              <w:pStyle w:val="TSBodyText"/>
            </w:pPr>
            <w:r w:rsidRPr="00C43518">
              <w:t>Moderate to high: Moderate to high certainty of underlying attribution</w:t>
            </w:r>
            <w:r w:rsidR="00B03BB9">
              <w:t xml:space="preserve"> and</w:t>
            </w:r>
            <w:r w:rsidRPr="00C43518">
              <w:t xml:space="preserve"> counterfactual.</w:t>
            </w:r>
          </w:p>
        </w:tc>
      </w:tr>
      <w:tr w:rsidR="0080137D" w14:paraId="214C5D7C" w14:textId="77777777" w:rsidTr="00D75C05">
        <w:trPr>
          <w:cnfStyle w:val="000000010000" w:firstRow="0" w:lastRow="0" w:firstColumn="0" w:lastColumn="0" w:oddVBand="0" w:evenVBand="0" w:oddHBand="0" w:evenHBand="1" w:firstRowFirstColumn="0" w:firstRowLastColumn="0" w:lastRowFirstColumn="0" w:lastRowLastColumn="0"/>
        </w:trPr>
        <w:tc>
          <w:tcPr>
            <w:tcW w:w="2835" w:type="dxa"/>
          </w:tcPr>
          <w:p w14:paraId="426C2281" w14:textId="06AB0A70" w:rsidR="00507DF4" w:rsidRPr="0080137D" w:rsidRDefault="00B34D1A" w:rsidP="00D75C05">
            <w:pPr>
              <w:pStyle w:val="TSBodyText"/>
            </w:pPr>
            <w:r w:rsidRPr="0080137D">
              <w:t>I</w:t>
            </w:r>
            <w:r w:rsidR="00507DF4" w:rsidRPr="0080137D">
              <w:t xml:space="preserve">ncarceration for alcohol-attributable crime </w:t>
            </w:r>
          </w:p>
        </w:tc>
        <w:tc>
          <w:tcPr>
            <w:tcW w:w="1134" w:type="dxa"/>
            <w:tcMar>
              <w:right w:w="284" w:type="dxa"/>
            </w:tcMar>
          </w:tcPr>
          <w:p w14:paraId="49748674" w14:textId="6ABC26C7" w:rsidR="00507DF4" w:rsidRPr="0080137D" w:rsidRDefault="0080137D" w:rsidP="00D75C05">
            <w:pPr>
              <w:pStyle w:val="TSBodyText"/>
              <w:ind w:right="103"/>
              <w:jc w:val="right"/>
            </w:pPr>
            <w:r>
              <w:t>5</w:t>
            </w:r>
          </w:p>
        </w:tc>
        <w:tc>
          <w:tcPr>
            <w:tcW w:w="4394" w:type="dxa"/>
          </w:tcPr>
          <w:p w14:paraId="1656F6F2" w14:textId="7F4DF8C4" w:rsidR="00507DF4" w:rsidRPr="0080137D" w:rsidRDefault="007E0BA6" w:rsidP="00D75C05">
            <w:pPr>
              <w:pStyle w:val="TSBodyText"/>
            </w:pPr>
            <w:r w:rsidRPr="007E0BA6">
              <w:t>Moderate: Moderate certainty of attribution (consistent with incarceration costs), conservative counterfactual.</w:t>
            </w:r>
          </w:p>
        </w:tc>
      </w:tr>
      <w:tr w:rsidR="00926C6A" w14:paraId="105C1D31" w14:textId="77777777" w:rsidTr="00D75C05">
        <w:tc>
          <w:tcPr>
            <w:tcW w:w="2835" w:type="dxa"/>
          </w:tcPr>
          <w:p w14:paraId="09AB2109" w14:textId="4F28940E" w:rsidR="00507DF4" w:rsidRPr="0080137D" w:rsidRDefault="00B34D1A" w:rsidP="00D75C05">
            <w:pPr>
              <w:pStyle w:val="TSBodyText"/>
            </w:pPr>
            <w:r w:rsidRPr="0080137D">
              <w:t>A</w:t>
            </w:r>
            <w:r w:rsidR="00507DF4" w:rsidRPr="0080137D">
              <w:t xml:space="preserve">lcohol-related absenteeism and presenteeism in the workplace </w:t>
            </w:r>
          </w:p>
        </w:tc>
        <w:tc>
          <w:tcPr>
            <w:tcW w:w="1134" w:type="dxa"/>
            <w:tcMar>
              <w:right w:w="284" w:type="dxa"/>
            </w:tcMar>
          </w:tcPr>
          <w:p w14:paraId="051F1896" w14:textId="72ED3D3E" w:rsidR="00507DF4" w:rsidRPr="0080137D" w:rsidRDefault="00507DF4" w:rsidP="00D75C05">
            <w:pPr>
              <w:pStyle w:val="TSBodyText"/>
              <w:ind w:right="103"/>
              <w:jc w:val="right"/>
            </w:pPr>
            <w:r w:rsidRPr="0080137D">
              <w:t>3</w:t>
            </w:r>
            <w:r w:rsidR="006977DE">
              <w:t>,</w:t>
            </w:r>
            <w:r w:rsidRPr="0080137D">
              <w:t>012</w:t>
            </w:r>
          </w:p>
        </w:tc>
        <w:tc>
          <w:tcPr>
            <w:tcW w:w="4394" w:type="dxa"/>
          </w:tcPr>
          <w:p w14:paraId="14FEDC74" w14:textId="577C648D" w:rsidR="00507DF4" w:rsidRPr="0080137D" w:rsidRDefault="006977DE" w:rsidP="00D75C05">
            <w:pPr>
              <w:pStyle w:val="TSBodyText"/>
            </w:pPr>
            <w:r w:rsidRPr="006977DE">
              <w:t>Low: Prevalence based on a single, small NZ study, uncertainty regarding impact and counterfactual</w:t>
            </w:r>
            <w:r>
              <w:t>.</w:t>
            </w:r>
          </w:p>
        </w:tc>
      </w:tr>
      <w:tr w:rsidR="0080137D" w14:paraId="5A0DCA7B" w14:textId="77777777" w:rsidTr="00D75C05">
        <w:trPr>
          <w:cnfStyle w:val="000000010000" w:firstRow="0" w:lastRow="0" w:firstColumn="0" w:lastColumn="0" w:oddVBand="0" w:evenVBand="0" w:oddHBand="0" w:evenHBand="1" w:firstRowFirstColumn="0" w:firstRowLastColumn="0" w:lastRowFirstColumn="0" w:lastRowLastColumn="0"/>
        </w:trPr>
        <w:tc>
          <w:tcPr>
            <w:tcW w:w="2835" w:type="dxa"/>
          </w:tcPr>
          <w:p w14:paraId="38D8AC7B" w14:textId="13B70391" w:rsidR="00507DF4" w:rsidRPr="0080137D" w:rsidRDefault="00B34D1A" w:rsidP="00D75C05">
            <w:pPr>
              <w:pStyle w:val="TSBodyText"/>
            </w:pPr>
            <w:r w:rsidRPr="0080137D">
              <w:t>I</w:t>
            </w:r>
            <w:r w:rsidR="00507DF4" w:rsidRPr="0080137D">
              <w:t xml:space="preserve">mpairment associated with </w:t>
            </w:r>
            <w:proofErr w:type="spellStart"/>
            <w:r w:rsidR="00507DF4" w:rsidRPr="0080137D">
              <w:t>fetal</w:t>
            </w:r>
            <w:proofErr w:type="spellEnd"/>
            <w:r w:rsidR="00507DF4" w:rsidRPr="0080137D">
              <w:t xml:space="preserve"> alcohol </w:t>
            </w:r>
            <w:r w:rsidR="006E3932">
              <w:t>spectrum</w:t>
            </w:r>
            <w:r w:rsidR="00507DF4" w:rsidRPr="0080137D">
              <w:t xml:space="preserve"> disorder (FASD)</w:t>
            </w:r>
          </w:p>
        </w:tc>
        <w:tc>
          <w:tcPr>
            <w:tcW w:w="1134" w:type="dxa"/>
            <w:tcMar>
              <w:right w:w="284" w:type="dxa"/>
            </w:tcMar>
          </w:tcPr>
          <w:p w14:paraId="6B5DAFB1" w14:textId="68D33A2C" w:rsidR="00507DF4" w:rsidRPr="0080137D" w:rsidRDefault="00507DF4" w:rsidP="00D75C05">
            <w:pPr>
              <w:pStyle w:val="TSBodyText"/>
              <w:ind w:right="103"/>
              <w:jc w:val="right"/>
            </w:pPr>
            <w:r w:rsidRPr="0080137D">
              <w:t>134</w:t>
            </w:r>
          </w:p>
        </w:tc>
        <w:tc>
          <w:tcPr>
            <w:tcW w:w="4394" w:type="dxa"/>
          </w:tcPr>
          <w:p w14:paraId="0429FE4F" w14:textId="4FEDA018" w:rsidR="00507DF4" w:rsidRPr="00AC03C1" w:rsidRDefault="00AC03C1" w:rsidP="00D75C05">
            <w:pPr>
              <w:pStyle w:val="TSBodyText"/>
            </w:pPr>
            <w:r w:rsidRPr="00AC03C1">
              <w:t>Moderate: 100% certainty of attribution, uncertainty around prevalence,</w:t>
            </w:r>
            <w:r w:rsidR="006E3932">
              <w:t xml:space="preserve"> assumed</w:t>
            </w:r>
            <w:r w:rsidRPr="00AC03C1">
              <w:t xml:space="preserve"> impairment.</w:t>
            </w:r>
          </w:p>
        </w:tc>
      </w:tr>
      <w:tr w:rsidR="00926C6A" w14:paraId="23330423" w14:textId="77777777" w:rsidTr="00D75C05">
        <w:tc>
          <w:tcPr>
            <w:tcW w:w="2835" w:type="dxa"/>
          </w:tcPr>
          <w:p w14:paraId="2D94CBB8" w14:textId="7354067F" w:rsidR="00577F63" w:rsidRPr="009D1A40" w:rsidRDefault="00577F63" w:rsidP="00D75C05">
            <w:pPr>
              <w:pStyle w:val="TSBodyText"/>
              <w:rPr>
                <w:b/>
                <w:bCs/>
              </w:rPr>
            </w:pPr>
            <w:r w:rsidRPr="009D1A40">
              <w:rPr>
                <w:b/>
                <w:bCs/>
              </w:rPr>
              <w:t>Total productivity losses</w:t>
            </w:r>
            <w:r w:rsidR="00EA03B1">
              <w:rPr>
                <w:b/>
                <w:bCs/>
              </w:rPr>
              <w:t>*</w:t>
            </w:r>
            <w:r w:rsidRPr="009D1A40">
              <w:rPr>
                <w:b/>
                <w:bCs/>
              </w:rPr>
              <w:t xml:space="preserve"> </w:t>
            </w:r>
          </w:p>
        </w:tc>
        <w:tc>
          <w:tcPr>
            <w:tcW w:w="1134" w:type="dxa"/>
            <w:tcMar>
              <w:right w:w="284" w:type="dxa"/>
            </w:tcMar>
          </w:tcPr>
          <w:p w14:paraId="40582A69" w14:textId="6860FC3B" w:rsidR="00577F63" w:rsidRPr="009D1A40" w:rsidRDefault="00577F63" w:rsidP="00D75C05">
            <w:pPr>
              <w:pStyle w:val="TSBodyText"/>
              <w:ind w:right="103"/>
              <w:jc w:val="right"/>
              <w:rPr>
                <w:b/>
                <w:bCs/>
              </w:rPr>
            </w:pPr>
            <w:r w:rsidRPr="009D1A40">
              <w:rPr>
                <w:b/>
                <w:bCs/>
              </w:rPr>
              <w:t>3</w:t>
            </w:r>
            <w:r w:rsidR="00AC03C1" w:rsidRPr="009D1A40">
              <w:rPr>
                <w:b/>
                <w:bCs/>
              </w:rPr>
              <w:t>,</w:t>
            </w:r>
            <w:r w:rsidRPr="009D1A40">
              <w:rPr>
                <w:b/>
                <w:bCs/>
              </w:rPr>
              <w:t>9</w:t>
            </w:r>
            <w:r w:rsidR="00576EB6">
              <w:rPr>
                <w:b/>
                <w:bCs/>
              </w:rPr>
              <w:t>72</w:t>
            </w:r>
          </w:p>
        </w:tc>
        <w:tc>
          <w:tcPr>
            <w:tcW w:w="4394" w:type="dxa"/>
          </w:tcPr>
          <w:p w14:paraId="115FCC73" w14:textId="701AF8B8" w:rsidR="00577F63" w:rsidRPr="00AC03C1" w:rsidRDefault="007265BB" w:rsidP="00D75C05">
            <w:pPr>
              <w:pStyle w:val="TSBodyText"/>
            </w:pPr>
            <w:r>
              <w:t xml:space="preserve">Low to moderate: </w:t>
            </w:r>
            <w:r w:rsidR="001F3420">
              <w:t xml:space="preserve">Low to moderate </w:t>
            </w:r>
            <w:r w:rsidR="001A19A2" w:rsidRPr="00AC03C1">
              <w:t>certainty due to shortcomings of the human capital approach</w:t>
            </w:r>
            <w:r w:rsidR="00ED7764" w:rsidRPr="00AC03C1">
              <w:t xml:space="preserve"> and the methods </w:t>
            </w:r>
            <w:r w:rsidR="0060787C">
              <w:t xml:space="preserve">used by the </w:t>
            </w:r>
            <w:r w:rsidR="00ED7764" w:rsidRPr="00AC03C1">
              <w:t>study that provided the major cost.</w:t>
            </w:r>
          </w:p>
        </w:tc>
      </w:tr>
    </w:tbl>
    <w:p w14:paraId="45B84056" w14:textId="785E449B" w:rsidR="00EA03B1" w:rsidRDefault="00EA03B1" w:rsidP="00EA03B1">
      <w:pPr>
        <w:pStyle w:val="USSource"/>
        <w:spacing w:after="120"/>
      </w:pPr>
      <w:r>
        <w:t>*</w:t>
      </w:r>
      <w:r w:rsidRPr="00EA03B1">
        <w:t xml:space="preserve"> Total excludes productivity losses due to hospitalisation due to potential heavy overlap with workplace absenteeism estimate.</w:t>
      </w:r>
    </w:p>
    <w:p w14:paraId="417A128D" w14:textId="798A324A" w:rsidR="00CD64D3" w:rsidRDefault="0080137D" w:rsidP="008B0BAA">
      <w:pPr>
        <w:pStyle w:val="USSource"/>
      </w:pPr>
      <w:r>
        <w:t>Source: NZIER</w:t>
      </w:r>
    </w:p>
    <w:bookmarkEnd w:id="11"/>
    <w:p w14:paraId="00078E8E" w14:textId="57416324" w:rsidR="00562149" w:rsidRDefault="00562149" w:rsidP="00562149">
      <w:pPr>
        <w:pStyle w:val="Heading4"/>
      </w:pPr>
      <w:r>
        <w:t>Results</w:t>
      </w:r>
      <w:r w:rsidR="00543FA1">
        <w:t xml:space="preserve"> in key areas of </w:t>
      </w:r>
      <w:r w:rsidR="002A1436">
        <w:t>government expenditure</w:t>
      </w:r>
      <w:r w:rsidR="00EC4DE7">
        <w:t xml:space="preserve"> are limited but show a major impact on the health </w:t>
      </w:r>
      <w:proofErr w:type="gramStart"/>
      <w:r w:rsidR="00EC4DE7">
        <w:t>sector</w:t>
      </w:r>
      <w:proofErr w:type="gramEnd"/>
    </w:p>
    <w:p w14:paraId="486B27E6" w14:textId="56306347" w:rsidR="007F635D" w:rsidRDefault="00543FA1" w:rsidP="007F635D">
      <w:pPr>
        <w:pStyle w:val="USBodyText"/>
      </w:pPr>
      <w:r>
        <w:t xml:space="preserve">To understand the impact of </w:t>
      </w:r>
      <w:r w:rsidR="00B031C3">
        <w:t xml:space="preserve">alcohol on </w:t>
      </w:r>
      <w:r w:rsidR="00FB4711">
        <w:t>government expenditure, a</w:t>
      </w:r>
      <w:r w:rsidR="002F5AD0">
        <w:t xml:space="preserve"> range of costs have been estimated</w:t>
      </w:r>
      <w:r w:rsidR="002A1436">
        <w:t xml:space="preserve"> from a government perspective.</w:t>
      </w:r>
      <w:r w:rsidR="00D1202D">
        <w:t xml:space="preserve"> These results show a major impact on the health system</w:t>
      </w:r>
      <w:r w:rsidR="007D634F">
        <w:t>,</w:t>
      </w:r>
      <w:r w:rsidR="00D1202D">
        <w:t xml:space="preserve"> with costs of at least $</w:t>
      </w:r>
      <w:r w:rsidR="00784130">
        <w:t>766</w:t>
      </w:r>
      <w:r w:rsidR="00BE6A98">
        <w:t xml:space="preserve"> million in 2023</w:t>
      </w:r>
      <w:r w:rsidR="00784130">
        <w:t xml:space="preserve"> (including ACC costs)</w:t>
      </w:r>
      <w:r w:rsidR="001072DA">
        <w:t>. In total</w:t>
      </w:r>
      <w:r w:rsidR="007D634F">
        <w:t>,</w:t>
      </w:r>
      <w:r w:rsidR="001072DA">
        <w:t xml:space="preserve"> $810 million in government costs were estimated</w:t>
      </w:r>
      <w:r w:rsidR="007D634F">
        <w:t xml:space="preserve">; </w:t>
      </w:r>
      <w:r w:rsidR="007E3E56">
        <w:t>however</w:t>
      </w:r>
      <w:r w:rsidR="007D634F">
        <w:t>,</w:t>
      </w:r>
      <w:r w:rsidR="007E3E56">
        <w:t xml:space="preserve"> this is likely to be an underestimate of the true cost of alcohol to </w:t>
      </w:r>
      <w:r w:rsidR="007D634F">
        <w:t xml:space="preserve">the </w:t>
      </w:r>
      <w:r w:rsidR="007E3E56">
        <w:t xml:space="preserve">government due to a lack of recent resource and cost data permitting </w:t>
      </w:r>
      <w:r w:rsidR="00F77B3A">
        <w:t>full estimation of justice sector costs and a lack of evidence regarding the a</w:t>
      </w:r>
      <w:r w:rsidR="002F6619">
        <w:t xml:space="preserve">ttribution of social sector costs, including </w:t>
      </w:r>
      <w:r w:rsidR="000B1ECB">
        <w:t xml:space="preserve">jobseeker and other </w:t>
      </w:r>
      <w:r w:rsidR="002F6619">
        <w:t>benefits, to alcohol.</w:t>
      </w:r>
      <w:r w:rsidR="00BE6A98">
        <w:t xml:space="preserve"> </w:t>
      </w:r>
      <w:r w:rsidR="002F6619">
        <w:t>S</w:t>
      </w:r>
      <w:r w:rsidR="00BE6A98">
        <w:t xml:space="preserve">ee </w:t>
      </w:r>
      <w:r w:rsidR="007D634F">
        <w:fldChar w:fldCharType="begin"/>
      </w:r>
      <w:r w:rsidR="007D634F">
        <w:instrText xml:space="preserve"> REF _Ref160439444 \h </w:instrText>
      </w:r>
      <w:r w:rsidR="007D634F">
        <w:fldChar w:fldCharType="separate"/>
      </w:r>
      <w:r w:rsidR="00AE166D" w:rsidRPr="00731CA6">
        <w:t xml:space="preserve">Table </w:t>
      </w:r>
      <w:r w:rsidR="00AE166D">
        <w:rPr>
          <w:noProof/>
        </w:rPr>
        <w:t>3</w:t>
      </w:r>
      <w:r w:rsidR="007D634F">
        <w:fldChar w:fldCharType="end"/>
      </w:r>
      <w:r w:rsidR="00BE6A98">
        <w:t xml:space="preserve"> below</w:t>
      </w:r>
      <w:r w:rsidR="002F6619">
        <w:t xml:space="preserve"> for the results of this estimation</w:t>
      </w:r>
      <w:r w:rsidR="00BE6A98">
        <w:t>.</w:t>
      </w:r>
    </w:p>
    <w:p w14:paraId="6494BCEF" w14:textId="6848EDD0" w:rsidR="00646CCC" w:rsidRDefault="00646CCC">
      <w:pPr>
        <w:spacing w:after="160" w:line="259" w:lineRule="auto"/>
      </w:pPr>
      <w:r>
        <w:br w:type="page"/>
      </w:r>
    </w:p>
    <w:p w14:paraId="1465427E" w14:textId="4BFAC504" w:rsidR="00C15B17" w:rsidRDefault="00C15B17" w:rsidP="00C15B17">
      <w:pPr>
        <w:pStyle w:val="TableCaption"/>
      </w:pPr>
      <w:bookmarkStart w:id="12" w:name="_Ref160439444"/>
      <w:bookmarkStart w:id="13" w:name="_Hlk156134872"/>
      <w:bookmarkStart w:id="14" w:name="_Toc160633910"/>
      <w:r w:rsidRPr="00731CA6">
        <w:lastRenderedPageBreak/>
        <w:t xml:space="preserve">Table </w:t>
      </w:r>
      <w:fldSimple w:instr=" SEQ Table \* ARABIC ">
        <w:r w:rsidR="00AE166D">
          <w:rPr>
            <w:noProof/>
          </w:rPr>
          <w:t>3</w:t>
        </w:r>
      </w:fldSimple>
      <w:bookmarkEnd w:id="12"/>
      <w:r>
        <w:rPr>
          <w:noProof/>
        </w:rPr>
        <w:t xml:space="preserve"> </w:t>
      </w:r>
      <w:bookmarkEnd w:id="13"/>
      <w:r>
        <w:t xml:space="preserve">Estimated costs </w:t>
      </w:r>
      <w:r w:rsidR="00FB7262">
        <w:t xml:space="preserve">to </w:t>
      </w:r>
      <w:r w:rsidR="007D634F">
        <w:t xml:space="preserve">the </w:t>
      </w:r>
      <w:r w:rsidR="00FB7262">
        <w:t xml:space="preserve">government due to </w:t>
      </w:r>
      <w:r>
        <w:t xml:space="preserve">alcohol </w:t>
      </w:r>
      <w:proofErr w:type="gramStart"/>
      <w:r>
        <w:t>harms</w:t>
      </w:r>
      <w:bookmarkEnd w:id="14"/>
      <w:proofErr w:type="gramEnd"/>
    </w:p>
    <w:p w14:paraId="53E19ACD" w14:textId="20345DBD" w:rsidR="00EC4DE7" w:rsidRPr="00B34D1A" w:rsidRDefault="00EC4DE7" w:rsidP="00EC4DE7">
      <w:pPr>
        <w:pStyle w:val="CaptionSubheading"/>
      </w:pPr>
      <w:r>
        <w:t xml:space="preserve">$ millions, rounded to </w:t>
      </w:r>
      <w:r w:rsidR="00BD27CC">
        <w:t xml:space="preserve">the </w:t>
      </w:r>
      <w:r>
        <w:t xml:space="preserve">nearest </w:t>
      </w:r>
      <w:proofErr w:type="gramStart"/>
      <w:r>
        <w:t>million</w:t>
      </w:r>
      <w:proofErr w:type="gramEnd"/>
    </w:p>
    <w:tbl>
      <w:tblPr>
        <w:tblStyle w:val="TableDefault"/>
        <w:tblW w:w="8222" w:type="dxa"/>
        <w:tblLook w:val="04A0" w:firstRow="1" w:lastRow="0" w:firstColumn="1" w:lastColumn="0" w:noHBand="0" w:noVBand="1"/>
      </w:tblPr>
      <w:tblGrid>
        <w:gridCol w:w="2409"/>
        <w:gridCol w:w="1051"/>
        <w:gridCol w:w="4762"/>
      </w:tblGrid>
      <w:tr w:rsidR="003E72C5" w14:paraId="78506BF1" w14:textId="77777777" w:rsidTr="003853E2">
        <w:trPr>
          <w:cnfStyle w:val="100000000000" w:firstRow="1" w:lastRow="0" w:firstColumn="0" w:lastColumn="0" w:oddVBand="0" w:evenVBand="0" w:oddHBand="0" w:evenHBand="0" w:firstRowFirstColumn="0" w:firstRowLastColumn="0" w:lastRowFirstColumn="0" w:lastRowLastColumn="0"/>
        </w:trPr>
        <w:tc>
          <w:tcPr>
            <w:tcW w:w="2409" w:type="dxa"/>
          </w:tcPr>
          <w:p w14:paraId="10FC9420" w14:textId="23ABE805" w:rsidR="00EC4DE7" w:rsidRPr="002F2A52" w:rsidRDefault="00FB7262" w:rsidP="00FE6529">
            <w:pPr>
              <w:pStyle w:val="TSTableHeadingWhite-TopRow"/>
            </w:pPr>
            <w:r w:rsidRPr="002F2A52">
              <w:t xml:space="preserve">Vote and </w:t>
            </w:r>
            <w:r w:rsidR="00750DE9" w:rsidRPr="002F2A52">
              <w:t>component</w:t>
            </w:r>
          </w:p>
        </w:tc>
        <w:tc>
          <w:tcPr>
            <w:tcW w:w="1051" w:type="dxa"/>
          </w:tcPr>
          <w:p w14:paraId="44CB4772" w14:textId="77777777" w:rsidR="00EC4DE7" w:rsidRPr="002F2A52" w:rsidRDefault="00EC4DE7" w:rsidP="00FE6529">
            <w:pPr>
              <w:pStyle w:val="TSTableHeadingWhite-TopRow"/>
            </w:pPr>
            <w:r w:rsidRPr="002F2A52">
              <w:t>Estimated value</w:t>
            </w:r>
          </w:p>
        </w:tc>
        <w:tc>
          <w:tcPr>
            <w:tcW w:w="4762" w:type="dxa"/>
          </w:tcPr>
          <w:p w14:paraId="4580C69E" w14:textId="77777777" w:rsidR="00EC4DE7" w:rsidRPr="002F2A52" w:rsidRDefault="00EC4DE7" w:rsidP="00FE6529">
            <w:pPr>
              <w:pStyle w:val="TSTableHeadingWhite-TopRow"/>
            </w:pPr>
            <w:r w:rsidRPr="002F2A52">
              <w:t>Certainty of estimate</w:t>
            </w:r>
          </w:p>
        </w:tc>
      </w:tr>
      <w:tr w:rsidR="003853E2" w:rsidRPr="00FE6529" w14:paraId="79408962" w14:textId="77777777" w:rsidTr="003853E2">
        <w:tc>
          <w:tcPr>
            <w:tcW w:w="2409" w:type="dxa"/>
            <w:shd w:val="clear" w:color="auto" w:fill="auto"/>
          </w:tcPr>
          <w:p w14:paraId="3B31B962" w14:textId="7EC7D26E" w:rsidR="00750DE9" w:rsidRPr="00FE6529" w:rsidRDefault="00750DE9" w:rsidP="00FE6529">
            <w:pPr>
              <w:pStyle w:val="TSBodyText"/>
              <w:rPr>
                <w:b/>
                <w:bCs/>
              </w:rPr>
            </w:pPr>
            <w:r w:rsidRPr="00FE6529">
              <w:rPr>
                <w:b/>
                <w:bCs/>
              </w:rPr>
              <w:t>Health</w:t>
            </w:r>
            <w:r w:rsidR="001F4F43" w:rsidRPr="00FE6529">
              <w:rPr>
                <w:b/>
                <w:bCs/>
              </w:rPr>
              <w:t xml:space="preserve"> and ACC</w:t>
            </w:r>
          </w:p>
        </w:tc>
        <w:tc>
          <w:tcPr>
            <w:tcW w:w="1051" w:type="dxa"/>
            <w:shd w:val="clear" w:color="auto" w:fill="auto"/>
          </w:tcPr>
          <w:p w14:paraId="7DA1C0D6" w14:textId="77777777" w:rsidR="00750DE9" w:rsidRPr="00FE6529" w:rsidRDefault="00750DE9" w:rsidP="00FE6529">
            <w:pPr>
              <w:pStyle w:val="TSBodyText"/>
              <w:rPr>
                <w:b/>
                <w:bCs/>
              </w:rPr>
            </w:pPr>
          </w:p>
        </w:tc>
        <w:tc>
          <w:tcPr>
            <w:tcW w:w="4762" w:type="dxa"/>
            <w:shd w:val="clear" w:color="auto" w:fill="auto"/>
          </w:tcPr>
          <w:p w14:paraId="416FCE0C" w14:textId="77777777" w:rsidR="00750DE9" w:rsidRPr="00FE6529" w:rsidRDefault="00750DE9" w:rsidP="00FE6529">
            <w:pPr>
              <w:pStyle w:val="TSBodyText"/>
              <w:rPr>
                <w:b/>
                <w:bCs/>
              </w:rPr>
            </w:pPr>
          </w:p>
        </w:tc>
      </w:tr>
      <w:tr w:rsidR="006904C4" w14:paraId="5DF412AC" w14:textId="77777777" w:rsidTr="003853E2">
        <w:trPr>
          <w:cnfStyle w:val="000000010000" w:firstRow="0" w:lastRow="0" w:firstColumn="0" w:lastColumn="0" w:oddVBand="0" w:evenVBand="0" w:oddHBand="0" w:evenHBand="1" w:firstRowFirstColumn="0" w:firstRowLastColumn="0" w:lastRowFirstColumn="0" w:lastRowLastColumn="0"/>
        </w:trPr>
        <w:tc>
          <w:tcPr>
            <w:tcW w:w="2409" w:type="dxa"/>
          </w:tcPr>
          <w:p w14:paraId="404A06DE" w14:textId="71DD9E1C" w:rsidR="00EC4DE7" w:rsidRPr="0080137D" w:rsidRDefault="00EC4DE7" w:rsidP="00FE6529">
            <w:pPr>
              <w:pStyle w:val="TSBodyText"/>
            </w:pPr>
            <w:r w:rsidRPr="0080137D">
              <w:t xml:space="preserve">Hospitalisation for </w:t>
            </w:r>
            <w:r w:rsidR="000255AC" w:rsidRPr="0080137D">
              <w:t>alcohol</w:t>
            </w:r>
            <w:r w:rsidR="000255AC">
              <w:t>-</w:t>
            </w:r>
            <w:r w:rsidRPr="0080137D">
              <w:t xml:space="preserve">attributable conditions and injuries </w:t>
            </w:r>
          </w:p>
        </w:tc>
        <w:tc>
          <w:tcPr>
            <w:tcW w:w="1051" w:type="dxa"/>
          </w:tcPr>
          <w:p w14:paraId="72F65879" w14:textId="050E7E8B" w:rsidR="00EC4DE7" w:rsidRPr="0080137D" w:rsidRDefault="00750DE9" w:rsidP="00FE6529">
            <w:pPr>
              <w:pStyle w:val="TSBodyText"/>
            </w:pPr>
            <w:r>
              <w:t>337</w:t>
            </w:r>
          </w:p>
        </w:tc>
        <w:tc>
          <w:tcPr>
            <w:tcW w:w="4762" w:type="dxa"/>
          </w:tcPr>
          <w:p w14:paraId="6FAD1463" w14:textId="27400BF5" w:rsidR="00EC4DE7" w:rsidRPr="0080137D" w:rsidRDefault="0014578D" w:rsidP="00FE6529">
            <w:pPr>
              <w:pStyle w:val="TSBodyText"/>
            </w:pPr>
            <w:r w:rsidRPr="0014578D">
              <w:t>High: Local, recent, AAFs* estimated using established methods and robust data.</w:t>
            </w:r>
            <w:r w:rsidR="003A2A21">
              <w:t xml:space="preserve"> (Estimate includes ACC funded hospitalisations)</w:t>
            </w:r>
          </w:p>
        </w:tc>
      </w:tr>
      <w:tr w:rsidR="00750DE9" w14:paraId="14312F77" w14:textId="77777777" w:rsidTr="003853E2">
        <w:tc>
          <w:tcPr>
            <w:tcW w:w="2409" w:type="dxa"/>
          </w:tcPr>
          <w:p w14:paraId="777D424C" w14:textId="2FA542BF" w:rsidR="00EC4DE7" w:rsidRPr="0080137D" w:rsidRDefault="0014578D" w:rsidP="00FE6529">
            <w:pPr>
              <w:pStyle w:val="TSBodyText"/>
            </w:pPr>
            <w:r>
              <w:t xml:space="preserve">Emergency </w:t>
            </w:r>
            <w:r w:rsidR="007F39D3">
              <w:t>services:</w:t>
            </w:r>
            <w:r>
              <w:t xml:space="preserve"> </w:t>
            </w:r>
            <w:r w:rsidR="007F39D3">
              <w:t xml:space="preserve">emergency </w:t>
            </w:r>
            <w:r>
              <w:t>department (ED)</w:t>
            </w:r>
            <w:r w:rsidR="007F39D3">
              <w:t xml:space="preserve"> and</w:t>
            </w:r>
            <w:r>
              <w:t xml:space="preserve"> ambulance </w:t>
            </w:r>
            <w:r w:rsidR="00B970CD">
              <w:t>callouts</w:t>
            </w:r>
            <w:r>
              <w:t xml:space="preserve"> resulting in ED visits</w:t>
            </w:r>
          </w:p>
        </w:tc>
        <w:tc>
          <w:tcPr>
            <w:tcW w:w="1051" w:type="dxa"/>
          </w:tcPr>
          <w:p w14:paraId="1B655A71" w14:textId="42F60029" w:rsidR="00EC4DE7" w:rsidRPr="0080137D" w:rsidRDefault="00B970CD" w:rsidP="00FE6529">
            <w:pPr>
              <w:pStyle w:val="TSBodyText"/>
            </w:pPr>
            <w:r>
              <w:t>102</w:t>
            </w:r>
          </w:p>
        </w:tc>
        <w:tc>
          <w:tcPr>
            <w:tcW w:w="4762" w:type="dxa"/>
          </w:tcPr>
          <w:p w14:paraId="1A4B6C35" w14:textId="1E8864B7" w:rsidR="00EC4DE7" w:rsidRPr="0080137D" w:rsidRDefault="00B970CD" w:rsidP="00FE6529">
            <w:pPr>
              <w:pStyle w:val="TSBodyText"/>
            </w:pPr>
            <w:r w:rsidRPr="00B970CD">
              <w:t xml:space="preserve">Low: Reliance on ED staff reporting events as “alcohol related”. True cost may be significantly higher due to the long-term role of alcohol in health conditions and the unobservable role of other people’s drinking in injuries. Higher confidence regarding </w:t>
            </w:r>
            <w:r w:rsidR="00420C43">
              <w:t xml:space="preserve">the </w:t>
            </w:r>
            <w:r w:rsidRPr="00B970CD">
              <w:t>subset associated with acute inpatient events ($19m).</w:t>
            </w:r>
          </w:p>
        </w:tc>
      </w:tr>
      <w:tr w:rsidR="003853E2" w14:paraId="5A241CCF" w14:textId="77777777" w:rsidTr="003853E2">
        <w:trPr>
          <w:cnfStyle w:val="000000010000" w:firstRow="0" w:lastRow="0" w:firstColumn="0" w:lastColumn="0" w:oddVBand="0" w:evenVBand="0" w:oddHBand="0" w:evenHBand="1" w:firstRowFirstColumn="0" w:firstRowLastColumn="0" w:lastRowFirstColumn="0" w:lastRowLastColumn="0"/>
        </w:trPr>
        <w:tc>
          <w:tcPr>
            <w:tcW w:w="2409" w:type="dxa"/>
          </w:tcPr>
          <w:p w14:paraId="1451476B" w14:textId="3F68DE11" w:rsidR="00732CE0" w:rsidRPr="006800C9" w:rsidRDefault="001F4F43" w:rsidP="00FE6529">
            <w:pPr>
              <w:pStyle w:val="TSBodyText"/>
            </w:pPr>
            <w:r>
              <w:t>ACC c</w:t>
            </w:r>
            <w:r w:rsidR="001A3B3A" w:rsidRPr="006800C9">
              <w:t>ompensation of workers with long-term disability attributable to alcohol</w:t>
            </w:r>
          </w:p>
        </w:tc>
        <w:tc>
          <w:tcPr>
            <w:tcW w:w="1051" w:type="dxa"/>
          </w:tcPr>
          <w:p w14:paraId="0D2D97C2" w14:textId="23BD5440" w:rsidR="00732CE0" w:rsidRPr="0080137D" w:rsidRDefault="00F11492" w:rsidP="00FE6529">
            <w:pPr>
              <w:pStyle w:val="TSBodyText"/>
            </w:pPr>
            <w:r>
              <w:t>327</w:t>
            </w:r>
          </w:p>
        </w:tc>
        <w:tc>
          <w:tcPr>
            <w:tcW w:w="4762" w:type="dxa"/>
          </w:tcPr>
          <w:p w14:paraId="2923B6AF" w14:textId="7839A316" w:rsidR="00732CE0" w:rsidRPr="00C43518" w:rsidRDefault="00F11492" w:rsidP="00FE6529">
            <w:pPr>
              <w:pStyle w:val="TSBodyText"/>
            </w:pPr>
            <w:r>
              <w:t>H</w:t>
            </w:r>
            <w:r w:rsidRPr="00F11492">
              <w:t xml:space="preserve">igh: </w:t>
            </w:r>
            <w:r>
              <w:t>Goo</w:t>
            </w:r>
            <w:r w:rsidRPr="00F11492">
              <w:t xml:space="preserve">d alignment of ACC data with AAFs for injuries. </w:t>
            </w:r>
          </w:p>
        </w:tc>
      </w:tr>
      <w:tr w:rsidR="001F4F43" w:rsidRPr="00A666D3" w14:paraId="592D8750" w14:textId="77777777" w:rsidTr="003853E2">
        <w:tc>
          <w:tcPr>
            <w:tcW w:w="2409" w:type="dxa"/>
          </w:tcPr>
          <w:p w14:paraId="6D9D0111" w14:textId="1E913B3B" w:rsidR="001F4F43" w:rsidRPr="00A666D3" w:rsidRDefault="001F4F43" w:rsidP="00FE6529">
            <w:pPr>
              <w:pStyle w:val="TSBodyText"/>
              <w:rPr>
                <w:b/>
                <w:bCs/>
              </w:rPr>
            </w:pPr>
            <w:r w:rsidRPr="00A666D3">
              <w:rPr>
                <w:b/>
                <w:bCs/>
              </w:rPr>
              <w:t>Total Health and ACC</w:t>
            </w:r>
          </w:p>
        </w:tc>
        <w:tc>
          <w:tcPr>
            <w:tcW w:w="1051" w:type="dxa"/>
          </w:tcPr>
          <w:p w14:paraId="3B3ED962" w14:textId="726D3427" w:rsidR="001F4F43" w:rsidRPr="00A666D3" w:rsidRDefault="00B434F9" w:rsidP="00FE6529">
            <w:pPr>
              <w:pStyle w:val="TSBodyText"/>
              <w:rPr>
                <w:b/>
                <w:bCs/>
              </w:rPr>
            </w:pPr>
            <w:r w:rsidRPr="00A666D3">
              <w:rPr>
                <w:b/>
                <w:bCs/>
              </w:rPr>
              <w:t>76</w:t>
            </w:r>
            <w:r w:rsidR="001F4F43" w:rsidRPr="00A666D3">
              <w:rPr>
                <w:b/>
                <w:bCs/>
              </w:rPr>
              <w:t>6</w:t>
            </w:r>
          </w:p>
        </w:tc>
        <w:tc>
          <w:tcPr>
            <w:tcW w:w="4762" w:type="dxa"/>
          </w:tcPr>
          <w:p w14:paraId="75264B8E" w14:textId="01547338" w:rsidR="001F4F43" w:rsidRPr="00A666D3" w:rsidRDefault="001F4F43" w:rsidP="00FE6529">
            <w:pPr>
              <w:pStyle w:val="TSBodyText"/>
              <w:rPr>
                <w:b/>
                <w:bCs/>
              </w:rPr>
            </w:pPr>
            <w:r w:rsidRPr="00A666D3">
              <w:rPr>
                <w:b/>
                <w:bCs/>
              </w:rPr>
              <w:t xml:space="preserve">Moderate: True cost may be significantly higher due to </w:t>
            </w:r>
            <w:r w:rsidR="00A666D3">
              <w:rPr>
                <w:b/>
                <w:bCs/>
              </w:rPr>
              <w:t xml:space="preserve">the </w:t>
            </w:r>
            <w:r w:rsidRPr="00A666D3">
              <w:rPr>
                <w:b/>
                <w:bCs/>
              </w:rPr>
              <w:t>exclusion of key cost areas (outpatient services and mental health services) due to data and evidence gaps.</w:t>
            </w:r>
          </w:p>
        </w:tc>
      </w:tr>
      <w:tr w:rsidR="001F4F43" w:rsidRPr="00A666D3" w14:paraId="4629E3F3" w14:textId="77777777" w:rsidTr="003853E2">
        <w:trPr>
          <w:cnfStyle w:val="000000010000" w:firstRow="0" w:lastRow="0" w:firstColumn="0" w:lastColumn="0" w:oddVBand="0" w:evenVBand="0" w:oddHBand="0" w:evenHBand="1" w:firstRowFirstColumn="0" w:firstRowLastColumn="0" w:lastRowFirstColumn="0" w:lastRowLastColumn="0"/>
        </w:trPr>
        <w:tc>
          <w:tcPr>
            <w:tcW w:w="2409" w:type="dxa"/>
          </w:tcPr>
          <w:p w14:paraId="7A322C0A" w14:textId="52C9176A" w:rsidR="00F11492" w:rsidRPr="00A666D3" w:rsidRDefault="00EA65C9" w:rsidP="00FE6529">
            <w:pPr>
              <w:pStyle w:val="TSBodyText"/>
              <w:rPr>
                <w:b/>
                <w:bCs/>
              </w:rPr>
            </w:pPr>
            <w:r w:rsidRPr="00A666D3">
              <w:rPr>
                <w:b/>
                <w:bCs/>
              </w:rPr>
              <w:t>Social Development</w:t>
            </w:r>
          </w:p>
        </w:tc>
        <w:tc>
          <w:tcPr>
            <w:tcW w:w="1051" w:type="dxa"/>
          </w:tcPr>
          <w:p w14:paraId="71D08127" w14:textId="77777777" w:rsidR="00F11492" w:rsidRPr="00A666D3" w:rsidRDefault="00F11492" w:rsidP="00FE6529">
            <w:pPr>
              <w:pStyle w:val="TSBodyText"/>
              <w:rPr>
                <w:b/>
                <w:bCs/>
              </w:rPr>
            </w:pPr>
          </w:p>
        </w:tc>
        <w:tc>
          <w:tcPr>
            <w:tcW w:w="4762" w:type="dxa"/>
          </w:tcPr>
          <w:p w14:paraId="66F7A961" w14:textId="77777777" w:rsidR="00F11492" w:rsidRPr="00A666D3" w:rsidRDefault="00F11492" w:rsidP="00FE6529">
            <w:pPr>
              <w:pStyle w:val="TSBodyText"/>
              <w:rPr>
                <w:b/>
                <w:bCs/>
              </w:rPr>
            </w:pPr>
          </w:p>
        </w:tc>
      </w:tr>
      <w:tr w:rsidR="006904C4" w14:paraId="51175CCF" w14:textId="77777777" w:rsidTr="003853E2">
        <w:tc>
          <w:tcPr>
            <w:tcW w:w="2409" w:type="dxa"/>
            <w:tcBorders>
              <w:bottom w:val="nil"/>
            </w:tcBorders>
          </w:tcPr>
          <w:p w14:paraId="22D484ED" w14:textId="07D3EA62" w:rsidR="00F11492" w:rsidRPr="00F11492" w:rsidRDefault="00F11492" w:rsidP="00FE6529">
            <w:pPr>
              <w:pStyle w:val="TSBodyText"/>
            </w:pPr>
            <w:r>
              <w:t>Disability benefit and child disability allowance for disabilities attributable to alcohol</w:t>
            </w:r>
          </w:p>
        </w:tc>
        <w:tc>
          <w:tcPr>
            <w:tcW w:w="1051" w:type="dxa"/>
            <w:tcBorders>
              <w:bottom w:val="nil"/>
            </w:tcBorders>
          </w:tcPr>
          <w:p w14:paraId="4DFC4ABE" w14:textId="777E553D" w:rsidR="00F11492" w:rsidRDefault="00F11492" w:rsidP="00FE6529">
            <w:pPr>
              <w:pStyle w:val="TSBodyText"/>
            </w:pPr>
            <w:r>
              <w:t>1</w:t>
            </w:r>
          </w:p>
        </w:tc>
        <w:tc>
          <w:tcPr>
            <w:tcW w:w="4762" w:type="dxa"/>
            <w:tcBorders>
              <w:bottom w:val="nil"/>
            </w:tcBorders>
          </w:tcPr>
          <w:p w14:paraId="62CC4246" w14:textId="5C9AA0DF" w:rsidR="00F11492" w:rsidRDefault="00790A6E" w:rsidP="00FE6529">
            <w:pPr>
              <w:pStyle w:val="TSBodyText"/>
            </w:pPr>
            <w:r>
              <w:t xml:space="preserve">Low to moderate: Estimated attribution to alcohol based on survey data and AAFs for </w:t>
            </w:r>
            <w:r w:rsidR="00FD79CA">
              <w:t>alcohol-</w:t>
            </w:r>
            <w:r w:rsidR="00A852CE">
              <w:t>attributable injuries.</w:t>
            </w:r>
            <w:r w:rsidR="00B422B9">
              <w:t xml:space="preserve"> </w:t>
            </w:r>
            <w:r w:rsidR="00CE343C" w:rsidRPr="00CE343C">
              <w:t>Likely underestimate</w:t>
            </w:r>
            <w:r w:rsidR="00AC28E4">
              <w:t>d</w:t>
            </w:r>
            <w:r w:rsidR="00CE343C" w:rsidRPr="00CE343C">
              <w:t xml:space="preserve"> due to a wide range of benefits unable to be attributed to alcohol attributable disability.</w:t>
            </w:r>
          </w:p>
        </w:tc>
      </w:tr>
      <w:tr w:rsidR="003A2A21" w:rsidRPr="00A666D3" w14:paraId="7E166FE2" w14:textId="77777777" w:rsidTr="003853E2">
        <w:trPr>
          <w:cnfStyle w:val="000000010000" w:firstRow="0" w:lastRow="0" w:firstColumn="0" w:lastColumn="0" w:oddVBand="0" w:evenVBand="0" w:oddHBand="0" w:evenHBand="1" w:firstRowFirstColumn="0" w:firstRowLastColumn="0" w:lastRowFirstColumn="0" w:lastRowLastColumn="0"/>
        </w:trPr>
        <w:tc>
          <w:tcPr>
            <w:tcW w:w="2409" w:type="dxa"/>
            <w:tcBorders>
              <w:bottom w:val="nil"/>
            </w:tcBorders>
          </w:tcPr>
          <w:p w14:paraId="3EB1DAF7" w14:textId="637EF046" w:rsidR="003A2A21" w:rsidRPr="00A666D3" w:rsidRDefault="003A2A21" w:rsidP="00FE6529">
            <w:pPr>
              <w:pStyle w:val="TSBodyText"/>
              <w:rPr>
                <w:b/>
                <w:bCs/>
              </w:rPr>
            </w:pPr>
            <w:r w:rsidRPr="00A666D3">
              <w:rPr>
                <w:b/>
                <w:bCs/>
              </w:rPr>
              <w:t>Total Social Development</w:t>
            </w:r>
          </w:p>
        </w:tc>
        <w:tc>
          <w:tcPr>
            <w:tcW w:w="1051" w:type="dxa"/>
            <w:tcBorders>
              <w:bottom w:val="nil"/>
            </w:tcBorders>
          </w:tcPr>
          <w:p w14:paraId="482A1AF5" w14:textId="17D4A8D7" w:rsidR="003A2A21" w:rsidRPr="00A666D3" w:rsidRDefault="003A2A21" w:rsidP="00FE6529">
            <w:pPr>
              <w:pStyle w:val="TSBodyText"/>
              <w:rPr>
                <w:b/>
                <w:bCs/>
              </w:rPr>
            </w:pPr>
            <w:r w:rsidRPr="00A666D3">
              <w:rPr>
                <w:b/>
                <w:bCs/>
              </w:rPr>
              <w:t>1</w:t>
            </w:r>
          </w:p>
        </w:tc>
        <w:tc>
          <w:tcPr>
            <w:tcW w:w="4762" w:type="dxa"/>
            <w:tcBorders>
              <w:bottom w:val="nil"/>
            </w:tcBorders>
          </w:tcPr>
          <w:p w14:paraId="1259120E" w14:textId="497C84C9" w:rsidR="003A2A21" w:rsidRPr="00A666D3" w:rsidRDefault="003A2A21" w:rsidP="00FE6529">
            <w:pPr>
              <w:pStyle w:val="TSBodyText"/>
              <w:rPr>
                <w:b/>
                <w:bCs/>
              </w:rPr>
            </w:pPr>
            <w:r w:rsidRPr="00A666D3">
              <w:rPr>
                <w:b/>
                <w:bCs/>
              </w:rPr>
              <w:t>Low: True Social Development cost may be significantly higher due to alcohol’s potential role in broader welfare dependency and other Social Development costs unable to be estimated due to evidence gaps.</w:t>
            </w:r>
          </w:p>
        </w:tc>
      </w:tr>
      <w:tr w:rsidR="006904C4" w:rsidRPr="00A666D3" w14:paraId="69FB4AB5" w14:textId="77777777" w:rsidTr="003853E2">
        <w:tc>
          <w:tcPr>
            <w:tcW w:w="2409" w:type="dxa"/>
            <w:shd w:val="clear" w:color="auto" w:fill="auto"/>
          </w:tcPr>
          <w:p w14:paraId="757499A9" w14:textId="30AFBFC6" w:rsidR="00C06E9A" w:rsidRPr="00A666D3" w:rsidRDefault="00C06E9A" w:rsidP="00FE6529">
            <w:pPr>
              <w:pStyle w:val="TSBodyText"/>
              <w:rPr>
                <w:b/>
                <w:bCs/>
              </w:rPr>
            </w:pPr>
            <w:r w:rsidRPr="00A666D3">
              <w:rPr>
                <w:b/>
                <w:bCs/>
              </w:rPr>
              <w:t>Justice</w:t>
            </w:r>
          </w:p>
        </w:tc>
        <w:tc>
          <w:tcPr>
            <w:tcW w:w="1051" w:type="dxa"/>
            <w:shd w:val="clear" w:color="auto" w:fill="auto"/>
          </w:tcPr>
          <w:p w14:paraId="1537EEF8" w14:textId="77777777" w:rsidR="00C06E9A" w:rsidRPr="00A666D3" w:rsidRDefault="00C06E9A" w:rsidP="00FE6529">
            <w:pPr>
              <w:pStyle w:val="TSBodyText"/>
              <w:rPr>
                <w:b/>
                <w:bCs/>
              </w:rPr>
            </w:pPr>
          </w:p>
        </w:tc>
        <w:tc>
          <w:tcPr>
            <w:tcW w:w="4762" w:type="dxa"/>
            <w:shd w:val="clear" w:color="auto" w:fill="auto"/>
          </w:tcPr>
          <w:p w14:paraId="1DD75C43" w14:textId="77777777" w:rsidR="00C06E9A" w:rsidRPr="00A666D3" w:rsidRDefault="00C06E9A" w:rsidP="00FE6529">
            <w:pPr>
              <w:pStyle w:val="TSBodyText"/>
              <w:rPr>
                <w:b/>
                <w:bCs/>
              </w:rPr>
            </w:pPr>
          </w:p>
        </w:tc>
      </w:tr>
      <w:tr w:rsidR="006904C4" w14:paraId="50A1A2B2" w14:textId="77777777" w:rsidTr="003853E2">
        <w:trPr>
          <w:cnfStyle w:val="000000010000" w:firstRow="0" w:lastRow="0" w:firstColumn="0" w:lastColumn="0" w:oddVBand="0" w:evenVBand="0" w:oddHBand="0" w:evenHBand="1" w:firstRowFirstColumn="0" w:firstRowLastColumn="0" w:lastRowFirstColumn="0" w:lastRowLastColumn="0"/>
        </w:trPr>
        <w:tc>
          <w:tcPr>
            <w:tcW w:w="2409" w:type="dxa"/>
            <w:tcBorders>
              <w:bottom w:val="single" w:sz="6" w:space="0" w:color="0094C5" w:themeColor="accent1"/>
            </w:tcBorders>
          </w:tcPr>
          <w:p w14:paraId="4D79609C" w14:textId="3C05EBDD" w:rsidR="00C06E9A" w:rsidRDefault="00D31A49" w:rsidP="00FE6529">
            <w:pPr>
              <w:pStyle w:val="TSBodyText"/>
            </w:pPr>
            <w:r>
              <w:t>Incarceration for alcohol-attributable crime</w:t>
            </w:r>
          </w:p>
        </w:tc>
        <w:tc>
          <w:tcPr>
            <w:tcW w:w="1051" w:type="dxa"/>
          </w:tcPr>
          <w:p w14:paraId="447C192A" w14:textId="732E1A3A" w:rsidR="00C06E9A" w:rsidRPr="0080137D" w:rsidRDefault="00D31A49" w:rsidP="00FE6529">
            <w:pPr>
              <w:pStyle w:val="TSBodyText"/>
            </w:pPr>
            <w:r>
              <w:t>41</w:t>
            </w:r>
          </w:p>
        </w:tc>
        <w:tc>
          <w:tcPr>
            <w:tcW w:w="4762" w:type="dxa"/>
          </w:tcPr>
          <w:p w14:paraId="67DE2796" w14:textId="21B6D089" w:rsidR="00C06E9A" w:rsidRPr="00C43518" w:rsidRDefault="00D31A49" w:rsidP="00FE6529">
            <w:pPr>
              <w:pStyle w:val="TSBodyText"/>
            </w:pPr>
            <w:r w:rsidRPr="00D31A49">
              <w:t xml:space="preserve">Moderate: Attribution based on a single, recent NZ study, some uncertainty regarding </w:t>
            </w:r>
            <w:r w:rsidR="00FD79CA">
              <w:t xml:space="preserve">the </w:t>
            </w:r>
            <w:r w:rsidRPr="00D31A49">
              <w:t xml:space="preserve">application of </w:t>
            </w:r>
            <w:r>
              <w:t xml:space="preserve">study </w:t>
            </w:r>
            <w:r w:rsidRPr="00D31A49">
              <w:t>estimates to data.</w:t>
            </w:r>
          </w:p>
        </w:tc>
      </w:tr>
      <w:tr w:rsidR="00E06E3A" w14:paraId="222333D8" w14:textId="77777777" w:rsidTr="003853E2">
        <w:tc>
          <w:tcPr>
            <w:tcW w:w="2409" w:type="dxa"/>
            <w:tcBorders>
              <w:bottom w:val="nil"/>
            </w:tcBorders>
            <w:shd w:val="clear" w:color="auto" w:fill="auto"/>
          </w:tcPr>
          <w:p w14:paraId="6EED71FE" w14:textId="1A500CA7" w:rsidR="00D31A49" w:rsidRDefault="00732CE0" w:rsidP="00FE6529">
            <w:pPr>
              <w:pStyle w:val="TSBodyText"/>
            </w:pPr>
            <w:r w:rsidRPr="00732CE0">
              <w:t>Services and programmes to address family harms</w:t>
            </w:r>
            <w:r w:rsidR="00533A2D">
              <w:t xml:space="preserve"> </w:t>
            </w:r>
          </w:p>
        </w:tc>
        <w:tc>
          <w:tcPr>
            <w:tcW w:w="1051" w:type="dxa"/>
            <w:tcBorders>
              <w:bottom w:val="nil"/>
            </w:tcBorders>
            <w:shd w:val="clear" w:color="auto" w:fill="auto"/>
          </w:tcPr>
          <w:p w14:paraId="263B17C8" w14:textId="7D7619D3" w:rsidR="00D31A49" w:rsidRDefault="00732CE0" w:rsidP="00FE6529">
            <w:pPr>
              <w:pStyle w:val="TSBodyText"/>
            </w:pPr>
            <w:r>
              <w:t>2</w:t>
            </w:r>
          </w:p>
        </w:tc>
        <w:tc>
          <w:tcPr>
            <w:tcW w:w="4762" w:type="dxa"/>
            <w:tcBorders>
              <w:bottom w:val="nil"/>
            </w:tcBorders>
            <w:shd w:val="clear" w:color="auto" w:fill="auto"/>
          </w:tcPr>
          <w:p w14:paraId="440C2CE5" w14:textId="32FEF4D7" w:rsidR="00D31A49" w:rsidRPr="00D31A49" w:rsidRDefault="005B0039" w:rsidP="00FE6529">
            <w:pPr>
              <w:pStyle w:val="TSBodyText"/>
            </w:pPr>
            <w:r>
              <w:t>Low</w:t>
            </w:r>
            <w:r w:rsidR="00732CE0" w:rsidRPr="00732CE0">
              <w:t xml:space="preserve">: </w:t>
            </w:r>
            <w:r w:rsidR="00533A2D">
              <w:t>Estimate based on</w:t>
            </w:r>
            <w:r>
              <w:t xml:space="preserve"> services addressing family harms only. </w:t>
            </w:r>
            <w:r w:rsidR="00732CE0" w:rsidRPr="00732CE0">
              <w:t>Unclear how causal attribution applies within the programme context.</w:t>
            </w:r>
            <w:r>
              <w:t xml:space="preserve"> </w:t>
            </w:r>
          </w:p>
        </w:tc>
      </w:tr>
      <w:tr w:rsidR="006904C4" w:rsidRPr="00A666D3" w14:paraId="41387522" w14:textId="77777777" w:rsidTr="003853E2">
        <w:trPr>
          <w:cnfStyle w:val="000000010000" w:firstRow="0" w:lastRow="0" w:firstColumn="0" w:lastColumn="0" w:oddVBand="0" w:evenVBand="0" w:oddHBand="0" w:evenHBand="1" w:firstRowFirstColumn="0" w:firstRowLastColumn="0" w:lastRowFirstColumn="0" w:lastRowLastColumn="0"/>
        </w:trPr>
        <w:tc>
          <w:tcPr>
            <w:tcW w:w="2409" w:type="dxa"/>
            <w:tcBorders>
              <w:bottom w:val="nil"/>
            </w:tcBorders>
          </w:tcPr>
          <w:p w14:paraId="7F69A3E5" w14:textId="758D80DD" w:rsidR="006904C4" w:rsidRPr="00A666D3" w:rsidRDefault="00961CE9" w:rsidP="00FE6529">
            <w:pPr>
              <w:pStyle w:val="TSBodyText"/>
              <w:rPr>
                <w:b/>
                <w:bCs/>
              </w:rPr>
            </w:pPr>
            <w:r w:rsidRPr="00A666D3">
              <w:rPr>
                <w:b/>
                <w:bCs/>
              </w:rPr>
              <w:t>Total Justice</w:t>
            </w:r>
          </w:p>
        </w:tc>
        <w:tc>
          <w:tcPr>
            <w:tcW w:w="1051" w:type="dxa"/>
            <w:tcBorders>
              <w:bottom w:val="nil"/>
            </w:tcBorders>
          </w:tcPr>
          <w:p w14:paraId="12C194C3" w14:textId="5A069855" w:rsidR="006904C4" w:rsidRPr="00A666D3" w:rsidRDefault="00FD79CA" w:rsidP="00FE6529">
            <w:pPr>
              <w:pStyle w:val="TSBodyText"/>
              <w:rPr>
                <w:b/>
                <w:bCs/>
              </w:rPr>
            </w:pPr>
            <w:r>
              <w:rPr>
                <w:b/>
                <w:bCs/>
              </w:rPr>
              <w:t>43</w:t>
            </w:r>
          </w:p>
        </w:tc>
        <w:tc>
          <w:tcPr>
            <w:tcW w:w="4762" w:type="dxa"/>
            <w:tcBorders>
              <w:bottom w:val="nil"/>
            </w:tcBorders>
          </w:tcPr>
          <w:p w14:paraId="2774A707" w14:textId="01EB6056" w:rsidR="006904C4" w:rsidRPr="00A666D3" w:rsidRDefault="00F1593F" w:rsidP="00FE6529">
            <w:pPr>
              <w:pStyle w:val="TSBodyText"/>
              <w:rPr>
                <w:b/>
                <w:bCs/>
              </w:rPr>
            </w:pPr>
            <w:r w:rsidRPr="00A666D3">
              <w:rPr>
                <w:b/>
                <w:bCs/>
              </w:rPr>
              <w:t xml:space="preserve">Low to Moderate: True Justice cost may be significantly higher due to </w:t>
            </w:r>
            <w:r w:rsidR="00712204" w:rsidRPr="00A666D3">
              <w:rPr>
                <w:b/>
                <w:bCs/>
              </w:rPr>
              <w:t xml:space="preserve">alcohol’s role in </w:t>
            </w:r>
            <w:r w:rsidR="00792CC5">
              <w:rPr>
                <w:b/>
                <w:bCs/>
              </w:rPr>
              <w:t>p</w:t>
            </w:r>
            <w:r w:rsidR="00FD79CA" w:rsidRPr="00A666D3">
              <w:rPr>
                <w:b/>
                <w:bCs/>
              </w:rPr>
              <w:t xml:space="preserve">olice </w:t>
            </w:r>
            <w:r w:rsidR="00712204" w:rsidRPr="00A666D3">
              <w:rPr>
                <w:b/>
                <w:bCs/>
              </w:rPr>
              <w:t>and court costs</w:t>
            </w:r>
            <w:r w:rsidR="00646CCC">
              <w:rPr>
                <w:b/>
                <w:bCs/>
              </w:rPr>
              <w:t>,</w:t>
            </w:r>
            <w:r w:rsidR="00712204" w:rsidRPr="00A666D3">
              <w:rPr>
                <w:b/>
                <w:bCs/>
              </w:rPr>
              <w:t xml:space="preserve"> which are not estimated due to evidence gaps.</w:t>
            </w:r>
          </w:p>
        </w:tc>
      </w:tr>
      <w:tr w:rsidR="001F4F43" w14:paraId="7DB1BE77" w14:textId="77777777" w:rsidTr="003853E2">
        <w:tc>
          <w:tcPr>
            <w:tcW w:w="2409" w:type="dxa"/>
            <w:shd w:val="clear" w:color="auto" w:fill="auto"/>
          </w:tcPr>
          <w:p w14:paraId="7D626B7A" w14:textId="3C9C5D92" w:rsidR="00EC4DE7" w:rsidRPr="00FD79CA" w:rsidRDefault="00EC4DE7" w:rsidP="00FE6529">
            <w:pPr>
              <w:pStyle w:val="TSBodyText"/>
              <w:rPr>
                <w:b/>
                <w:bCs/>
              </w:rPr>
            </w:pPr>
            <w:r w:rsidRPr="00FD79CA">
              <w:rPr>
                <w:b/>
                <w:bCs/>
              </w:rPr>
              <w:t xml:space="preserve">Total </w:t>
            </w:r>
            <w:r w:rsidR="00BD46E5" w:rsidRPr="00FD79CA">
              <w:rPr>
                <w:b/>
                <w:bCs/>
              </w:rPr>
              <w:t>government costs</w:t>
            </w:r>
            <w:r w:rsidRPr="00FD79CA">
              <w:rPr>
                <w:b/>
                <w:bCs/>
              </w:rPr>
              <w:t xml:space="preserve"> </w:t>
            </w:r>
          </w:p>
        </w:tc>
        <w:tc>
          <w:tcPr>
            <w:tcW w:w="1051" w:type="dxa"/>
            <w:shd w:val="clear" w:color="auto" w:fill="auto"/>
          </w:tcPr>
          <w:p w14:paraId="43C21B9C" w14:textId="07336033" w:rsidR="00EC4DE7" w:rsidRPr="00FD79CA" w:rsidRDefault="0008552F" w:rsidP="00FE6529">
            <w:pPr>
              <w:pStyle w:val="TSBodyText"/>
              <w:rPr>
                <w:b/>
                <w:bCs/>
              </w:rPr>
            </w:pPr>
            <w:r w:rsidRPr="00FD79CA">
              <w:rPr>
                <w:b/>
                <w:bCs/>
              </w:rPr>
              <w:t>810</w:t>
            </w:r>
          </w:p>
        </w:tc>
        <w:tc>
          <w:tcPr>
            <w:tcW w:w="4762" w:type="dxa"/>
            <w:shd w:val="clear" w:color="auto" w:fill="auto"/>
          </w:tcPr>
          <w:p w14:paraId="08AA05EB" w14:textId="78CCE8A7" w:rsidR="00EC4DE7" w:rsidRPr="00AC03C1" w:rsidRDefault="0008552F" w:rsidP="00FE6529">
            <w:pPr>
              <w:pStyle w:val="TSBodyText"/>
            </w:pPr>
            <w:r>
              <w:t>Moderate</w:t>
            </w:r>
            <w:r w:rsidR="00EC4DE7">
              <w:t xml:space="preserve">: </w:t>
            </w:r>
            <w:r w:rsidR="00EC4DE7" w:rsidRPr="00AC03C1">
              <w:t xml:space="preserve">High degree of certainty </w:t>
            </w:r>
            <w:r>
              <w:t xml:space="preserve">on </w:t>
            </w:r>
            <w:r w:rsidR="00EC4DE7" w:rsidRPr="00AC03C1">
              <w:t>the major cost</w:t>
            </w:r>
            <w:r>
              <w:t>s</w:t>
            </w:r>
            <w:r w:rsidR="00EC4DE7" w:rsidRPr="00AC03C1">
              <w:t xml:space="preserve"> in this category.</w:t>
            </w:r>
            <w:r w:rsidR="00F96015">
              <w:t xml:space="preserve"> Total is likely underestimate</w:t>
            </w:r>
            <w:r w:rsidR="00AB3FA8">
              <w:t>d</w:t>
            </w:r>
            <w:r w:rsidR="00F96015">
              <w:t xml:space="preserve"> due to </w:t>
            </w:r>
            <w:r w:rsidR="007911A1">
              <w:t xml:space="preserve">a </w:t>
            </w:r>
            <w:r w:rsidR="00F96015">
              <w:t xml:space="preserve">lack of data permitting estimation of up-to-date </w:t>
            </w:r>
            <w:r w:rsidR="000A642B">
              <w:t>J</w:t>
            </w:r>
            <w:r w:rsidR="00F96015">
              <w:t xml:space="preserve">ustice </w:t>
            </w:r>
            <w:r w:rsidR="000A642B">
              <w:t>and</w:t>
            </w:r>
            <w:r w:rsidR="001072DA">
              <w:t xml:space="preserve"> </w:t>
            </w:r>
            <w:r w:rsidR="008E5CAF">
              <w:t>Social Development</w:t>
            </w:r>
            <w:r w:rsidR="001072DA">
              <w:t xml:space="preserve"> costs</w:t>
            </w:r>
            <w:r w:rsidR="000A642B">
              <w:t xml:space="preserve"> as well as key health sector costs</w:t>
            </w:r>
            <w:r w:rsidR="001072DA">
              <w:t>.</w:t>
            </w:r>
          </w:p>
        </w:tc>
      </w:tr>
    </w:tbl>
    <w:p w14:paraId="66783ABB" w14:textId="74980472" w:rsidR="006800C9" w:rsidRPr="000E7666" w:rsidRDefault="006800C9" w:rsidP="009D1A40">
      <w:pPr>
        <w:pStyle w:val="USSource"/>
        <w:spacing w:after="0"/>
        <w:rPr>
          <w:szCs w:val="18"/>
        </w:rPr>
      </w:pPr>
      <w:r>
        <w:t>*AAFs=Alcohol</w:t>
      </w:r>
      <w:r w:rsidR="00FD79CA">
        <w:t>-</w:t>
      </w:r>
      <w:r>
        <w:t>attributable fractions estimate</w:t>
      </w:r>
      <w:r w:rsidR="000E7666">
        <w:t>d for health conditions and injuries</w:t>
      </w:r>
    </w:p>
    <w:p w14:paraId="26E4E0FB" w14:textId="65115F0C" w:rsidR="00EC4DE7" w:rsidRDefault="00EC4DE7" w:rsidP="00EC4DE7">
      <w:pPr>
        <w:pStyle w:val="USSource"/>
      </w:pPr>
      <w:r>
        <w:t>Source: NZIER</w:t>
      </w:r>
    </w:p>
    <w:p w14:paraId="11F4D30C" w14:textId="140DA046" w:rsidR="006660CC" w:rsidRDefault="006660CC" w:rsidP="003846D3">
      <w:pPr>
        <w:pStyle w:val="Heading4"/>
      </w:pPr>
      <w:bookmarkStart w:id="15" w:name="_Hlk152769995"/>
      <w:bookmarkStart w:id="16" w:name="_Hlk149059715"/>
      <w:r>
        <w:t xml:space="preserve">The estimates in this report cannot be </w:t>
      </w:r>
      <w:proofErr w:type="gramStart"/>
      <w:r>
        <w:t>aggregated</w:t>
      </w:r>
      <w:proofErr w:type="gramEnd"/>
    </w:p>
    <w:p w14:paraId="10FC180E" w14:textId="2C617972" w:rsidR="006660CC" w:rsidRDefault="006660CC" w:rsidP="00FE2067">
      <w:pPr>
        <w:pStyle w:val="USBodyText"/>
      </w:pPr>
      <w:r w:rsidRPr="00FE2067">
        <w:t xml:space="preserve">Due to the approach taken </w:t>
      </w:r>
      <w:r w:rsidR="003501B5" w:rsidRPr="00FE2067">
        <w:t xml:space="preserve">to estimate costs in this report, the range of estimates cannot be aggregated due to the risk of significant double-counting. </w:t>
      </w:r>
      <w:r w:rsidR="5BF946E5">
        <w:t xml:space="preserve">The highest risk of </w:t>
      </w:r>
      <w:proofErr w:type="gramStart"/>
      <w:r w:rsidR="5BF946E5">
        <w:t>double-counting</w:t>
      </w:r>
      <w:proofErr w:type="gramEnd"/>
      <w:r w:rsidR="5BF946E5">
        <w:t xml:space="preserve"> </w:t>
      </w:r>
      <w:r w:rsidR="5BF946E5">
        <w:lastRenderedPageBreak/>
        <w:t>occurs when combining societal value</w:t>
      </w:r>
      <w:r w:rsidR="276A8B23">
        <w:t>s</w:t>
      </w:r>
      <w:r w:rsidR="001C1744">
        <w:t xml:space="preserve">: The estimated </w:t>
      </w:r>
      <w:r w:rsidR="276A8B23">
        <w:t>societal value</w:t>
      </w:r>
      <w:r w:rsidR="5BF946E5">
        <w:t xml:space="preserve"> of increased mortality and morbidity risk</w:t>
      </w:r>
      <w:r w:rsidR="774A30CB">
        <w:t xml:space="preserve"> </w:t>
      </w:r>
      <w:r w:rsidR="001C1744">
        <w:t xml:space="preserve">represents the most comprehensive </w:t>
      </w:r>
      <w:r w:rsidR="00D40472">
        <w:t xml:space="preserve">estimate of total societal costs due to the valuation of these risks reflecting broad social and economic cost implications. </w:t>
      </w:r>
      <w:r w:rsidR="00642409">
        <w:t>The s</w:t>
      </w:r>
      <w:r w:rsidR="22B4D4E9">
        <w:t xml:space="preserve">pecific societal costs </w:t>
      </w:r>
      <w:r w:rsidR="00642409">
        <w:t>of</w:t>
      </w:r>
      <w:r w:rsidR="22B4D4E9">
        <w:t xml:space="preserve"> key alcohol concerns</w:t>
      </w:r>
      <w:r w:rsidR="00642409">
        <w:t xml:space="preserve"> separately estimated</w:t>
      </w:r>
      <w:r w:rsidR="22B4D4E9">
        <w:t xml:space="preserve"> </w:t>
      </w:r>
      <w:r w:rsidR="00F270E8">
        <w:t xml:space="preserve">also cannot be combined </w:t>
      </w:r>
      <w:r w:rsidR="22B4D4E9">
        <w:t xml:space="preserve">with productivity losses or </w:t>
      </w:r>
      <w:r w:rsidR="2E443934">
        <w:t xml:space="preserve">costs to government, since </w:t>
      </w:r>
      <w:r w:rsidR="00F270E8">
        <w:t xml:space="preserve">the societal costs estimated for these concerns </w:t>
      </w:r>
      <w:r w:rsidR="00367A4E">
        <w:t>reflect</w:t>
      </w:r>
      <w:r w:rsidR="2E443934">
        <w:t xml:space="preserve"> productivity </w:t>
      </w:r>
      <w:r w:rsidR="46188B69">
        <w:t>losses</w:t>
      </w:r>
      <w:r w:rsidR="2E443934">
        <w:t xml:space="preserve"> and</w:t>
      </w:r>
      <w:r w:rsidR="00367A4E">
        <w:t xml:space="preserve"> costs of</w:t>
      </w:r>
      <w:r w:rsidR="2E443934">
        <w:t xml:space="preserve"> government </w:t>
      </w:r>
      <w:r w:rsidR="6AF60048">
        <w:t>services and programmes</w:t>
      </w:r>
      <w:r w:rsidR="00FE2067" w:rsidRPr="00FE2067">
        <w:t>.</w:t>
      </w:r>
      <w:r w:rsidR="00B9701C">
        <w:t xml:space="preserve"> While some cost estimates where </w:t>
      </w:r>
      <w:r w:rsidR="0003047C">
        <w:t xml:space="preserve">there is </w:t>
      </w:r>
      <w:r w:rsidR="00B9701C">
        <w:t xml:space="preserve">no clear </w:t>
      </w:r>
      <w:r w:rsidR="0003047C">
        <w:t xml:space="preserve">connection to </w:t>
      </w:r>
      <w:r w:rsidR="00B9701C">
        <w:t>disease or</w:t>
      </w:r>
      <w:r w:rsidR="00606D52">
        <w:t xml:space="preserve"> </w:t>
      </w:r>
      <w:r w:rsidR="0003047C">
        <w:t xml:space="preserve">health </w:t>
      </w:r>
      <w:r w:rsidR="00606D52">
        <w:t>condition</w:t>
      </w:r>
      <w:r w:rsidR="00783A26">
        <w:t xml:space="preserve"> </w:t>
      </w:r>
      <w:r w:rsidR="00B73420">
        <w:t>(</w:t>
      </w:r>
      <w:proofErr w:type="gramStart"/>
      <w:r w:rsidR="00071980">
        <w:t>e.g.</w:t>
      </w:r>
      <w:proofErr w:type="gramEnd"/>
      <w:r w:rsidR="00B73420">
        <w:t xml:space="preserve"> </w:t>
      </w:r>
      <w:r w:rsidR="00976ECC">
        <w:t xml:space="preserve">incarceration costs, absenteeism and presenteeism costs) </w:t>
      </w:r>
      <w:r w:rsidR="00783A26">
        <w:t xml:space="preserve">may not be well reflected in societal values associated with morbidity and mortality risk, </w:t>
      </w:r>
      <w:r w:rsidR="00B73420">
        <w:t>this question represents a significant unknown.</w:t>
      </w:r>
    </w:p>
    <w:p w14:paraId="548BDE2F" w14:textId="4EC2604A" w:rsidR="003846D3" w:rsidRDefault="003846D3" w:rsidP="003846D3">
      <w:pPr>
        <w:pStyle w:val="Heading4"/>
      </w:pPr>
      <w:r>
        <w:t xml:space="preserve">Recently published research has improved the evidence base for alcohol </w:t>
      </w:r>
      <w:proofErr w:type="gramStart"/>
      <w:r>
        <w:t>harms</w:t>
      </w:r>
      <w:proofErr w:type="gramEnd"/>
    </w:p>
    <w:p w14:paraId="14D78DB0" w14:textId="47F5D2B8" w:rsidR="003846D3" w:rsidRDefault="003846D3" w:rsidP="003846D3">
      <w:pPr>
        <w:pStyle w:val="USBodyText"/>
      </w:pPr>
      <w:r>
        <w:t xml:space="preserve">For this report, key areas of concern for communities </w:t>
      </w:r>
      <w:r w:rsidR="00FD0703">
        <w:t xml:space="preserve">and government </w:t>
      </w:r>
      <w:r>
        <w:t>were able to be costed more accurately than in previous reports due to the recent emergence of New Zealand studies providing key evidence on:</w:t>
      </w:r>
    </w:p>
    <w:p w14:paraId="2C635FE5" w14:textId="77777777" w:rsidR="003846D3" w:rsidRDefault="003846D3" w:rsidP="003846D3">
      <w:pPr>
        <w:pStyle w:val="USBullet1"/>
        <w:spacing w:after="60"/>
      </w:pPr>
      <w:r>
        <w:t>the fractions of health conditions, diseases, injuries and mortality attributable to alcohol in the New Zealand context (alcohol-attributable fractions, or AAFs)</w:t>
      </w:r>
      <w:r w:rsidRPr="00CD19C4">
        <w:rPr>
          <w:rStyle w:val="FootnoteReference"/>
        </w:rPr>
        <w:footnoteReference w:id="3"/>
      </w:r>
    </w:p>
    <w:p w14:paraId="7B62AE8D" w14:textId="3CB35ED0" w:rsidR="003846D3" w:rsidRDefault="003846D3" w:rsidP="003846D3">
      <w:pPr>
        <w:pStyle w:val="USBullet1"/>
        <w:spacing w:after="60"/>
      </w:pPr>
      <w:r>
        <w:t xml:space="preserve">the prevalence of FASD and the productivity impairment associated with </w:t>
      </w:r>
      <w:proofErr w:type="gramStart"/>
      <w:r>
        <w:t>FASD</w:t>
      </w:r>
      <w:proofErr w:type="gramEnd"/>
    </w:p>
    <w:p w14:paraId="13CF59AD" w14:textId="77777777" w:rsidR="003846D3" w:rsidRDefault="003846D3" w:rsidP="003846D3">
      <w:pPr>
        <w:pStyle w:val="USBullet1"/>
        <w:spacing w:after="60"/>
      </w:pPr>
      <w:r>
        <w:t>the fraction of child maltreatment attributable to hazardous drinking</w:t>
      </w:r>
    </w:p>
    <w:p w14:paraId="14AFFE78" w14:textId="4BF7E6AE" w:rsidR="003846D3" w:rsidRDefault="003846D3" w:rsidP="003846D3">
      <w:pPr>
        <w:pStyle w:val="USBullet1"/>
        <w:spacing w:after="60"/>
      </w:pPr>
      <w:r>
        <w:t>the fraction of intimate partner violence attributable to alcohol</w:t>
      </w:r>
      <w:r w:rsidR="00FD0703">
        <w:t xml:space="preserve"> abuse</w:t>
      </w:r>
    </w:p>
    <w:p w14:paraId="3EC1F30C" w14:textId="77777777" w:rsidR="003846D3" w:rsidRDefault="003846D3" w:rsidP="003846D3">
      <w:pPr>
        <w:pStyle w:val="USBullet1"/>
        <w:spacing w:after="60"/>
      </w:pPr>
      <w:r>
        <w:t>the fraction of impulsive crime attributable to alcohol.</w:t>
      </w:r>
    </w:p>
    <w:p w14:paraId="48796FE4" w14:textId="77777777" w:rsidR="0003047C" w:rsidRPr="0003047C" w:rsidRDefault="0003047C" w:rsidP="0003047C">
      <w:pPr>
        <w:pStyle w:val="USPullQuoteBlue"/>
        <w:spacing w:before="240" w:after="240" w:line="240" w:lineRule="auto"/>
        <w:ind w:left="709" w:right="-170"/>
        <w:jc w:val="center"/>
        <w:rPr>
          <w:sz w:val="24"/>
          <w:szCs w:val="24"/>
        </w:rPr>
      </w:pPr>
      <w:r w:rsidRPr="0003047C">
        <w:rPr>
          <w:sz w:val="24"/>
          <w:szCs w:val="24"/>
        </w:rPr>
        <w:t>A key point to note is that while the level of certainty is not high for many of the estimates in this report, this is not an indication of low certainty of harm but rather low certainty regarding the accuracy of cost estimates. In many cases, the true cost of alcohol harm may be considerably higher than existing evidence can show.</w:t>
      </w:r>
    </w:p>
    <w:p w14:paraId="3195E8B4" w14:textId="77777777" w:rsidR="003846D3" w:rsidRDefault="003846D3" w:rsidP="003846D3">
      <w:pPr>
        <w:pStyle w:val="Heading4"/>
      </w:pPr>
      <w:r>
        <w:t xml:space="preserve">Despite areas of progress, the evidence base is not growing </w:t>
      </w:r>
      <w:proofErr w:type="gramStart"/>
      <w:r>
        <w:t>consistently</w:t>
      </w:r>
      <w:proofErr w:type="gramEnd"/>
    </w:p>
    <w:p w14:paraId="7BFBFF7E" w14:textId="48492D0D" w:rsidR="008A7FC7" w:rsidRDefault="003846D3" w:rsidP="003846D3">
      <w:pPr>
        <w:pStyle w:val="USBodyText"/>
      </w:pPr>
      <w:r>
        <w:t>While recent research has improved the evidence base for some areas of alcohol harm cost estimation, in many areas, the evidence base remains thin and major sources of uncertainty remai</w:t>
      </w:r>
      <w:r w:rsidR="008A7FC7">
        <w:t>n:</w:t>
      </w:r>
    </w:p>
    <w:p w14:paraId="5F0D16F5" w14:textId="0064952F" w:rsidR="003846D3" w:rsidRDefault="003846D3" w:rsidP="00133929">
      <w:pPr>
        <w:pStyle w:val="USBullet1"/>
      </w:pPr>
      <w:r>
        <w:t xml:space="preserve">The emergence of new local studies identifying causal attribution through the use of strong controls is promising, but further research is needed to build confidence in these estimates. </w:t>
      </w:r>
    </w:p>
    <w:p w14:paraId="14369F7B" w14:textId="3F6ACA7E" w:rsidR="003846D3" w:rsidRDefault="008A7FC7" w:rsidP="008A7FC7">
      <w:pPr>
        <w:pStyle w:val="USBullet1"/>
      </w:pPr>
      <w:r>
        <w:t>C</w:t>
      </w:r>
      <w:r w:rsidR="003846D3">
        <w:t>ritical information about the costs of responding to and addressing alcohol harms in New Zealand is lacking, with important reports that have informed previous estimates needing updating, particularly related to crime.</w:t>
      </w:r>
    </w:p>
    <w:p w14:paraId="0CE78887" w14:textId="593188DF" w:rsidR="008B5B06" w:rsidRDefault="008A7FC7" w:rsidP="0003047C">
      <w:pPr>
        <w:pStyle w:val="USBullet1"/>
      </w:pPr>
      <w:r>
        <w:t>Key areas of harm with costs to government and households</w:t>
      </w:r>
      <w:r w:rsidR="00A368D7">
        <w:t xml:space="preserve"> </w:t>
      </w:r>
      <w:r w:rsidR="00063C00">
        <w:t>lack</w:t>
      </w:r>
      <w:r w:rsidR="00A368D7">
        <w:t xml:space="preserve"> evidence to inform understanding of harm and e</w:t>
      </w:r>
      <w:r w:rsidR="00851BB3">
        <w:t>stimates of costs. These include the impact of alcohol on employment, welfare dependency</w:t>
      </w:r>
      <w:r w:rsidR="00D6358C">
        <w:t xml:space="preserve"> and homelessness.</w:t>
      </w:r>
    </w:p>
    <w:p w14:paraId="21E4D28C" w14:textId="52241B32" w:rsidR="00B436D8" w:rsidRPr="00AE11A0" w:rsidRDefault="0044581E" w:rsidP="00CC7528">
      <w:pPr>
        <w:pStyle w:val="Heading4"/>
        <w:rPr>
          <w:sz w:val="26"/>
          <w:szCs w:val="26"/>
        </w:rPr>
      </w:pPr>
      <w:r w:rsidRPr="00AE11A0">
        <w:rPr>
          <w:sz w:val="26"/>
          <w:szCs w:val="26"/>
        </w:rPr>
        <w:lastRenderedPageBreak/>
        <w:t xml:space="preserve">NZIER </w:t>
      </w:r>
      <w:proofErr w:type="gramStart"/>
      <w:r w:rsidR="0033618B" w:rsidRPr="00AE11A0">
        <w:rPr>
          <w:sz w:val="26"/>
          <w:szCs w:val="26"/>
        </w:rPr>
        <w:t>recommends</w:t>
      </w:r>
      <w:proofErr w:type="gramEnd"/>
    </w:p>
    <w:p w14:paraId="3E5054CB" w14:textId="5A75385B" w:rsidR="00E72914" w:rsidRDefault="00ED5047" w:rsidP="007E755C">
      <w:pPr>
        <w:pStyle w:val="USBodyText"/>
      </w:pPr>
      <w:r w:rsidRPr="00ED5047">
        <w:t>While estimates of the costs of harms allow for comparisons across different types of harm and a greater understanding of the social and economic impacts that may be associated with alcohol</w:t>
      </w:r>
      <w:r w:rsidR="00322680">
        <w:t xml:space="preserve"> consumption</w:t>
      </w:r>
      <w:r>
        <w:t>, s</w:t>
      </w:r>
      <w:r w:rsidR="00D37F7E">
        <w:t>tudies that inv</w:t>
      </w:r>
      <w:r w:rsidR="00E47BEF">
        <w:t>e</w:t>
      </w:r>
      <w:r w:rsidR="00D37F7E">
        <w:t>stigate the extent and cost of alcohol harms are always controversial</w:t>
      </w:r>
      <w:r w:rsidR="000049BD">
        <w:t xml:space="preserve">. </w:t>
      </w:r>
      <w:r w:rsidR="00C7299D">
        <w:t xml:space="preserve">Unresolved debates about inclusions, exclusions, methods, and data </w:t>
      </w:r>
      <w:r w:rsidR="00874A37">
        <w:t xml:space="preserve">signal the </w:t>
      </w:r>
      <w:r w:rsidR="00187C08">
        <w:t xml:space="preserve">inevitable </w:t>
      </w:r>
      <w:r w:rsidR="00874A37">
        <w:t xml:space="preserve">high degree of uncertainty around </w:t>
      </w:r>
      <w:r w:rsidR="00A45116">
        <w:t>results. T</w:t>
      </w:r>
      <w:r w:rsidR="00B80E91">
        <w:t xml:space="preserve">he evidence base continues to evolve with </w:t>
      </w:r>
      <w:r w:rsidR="00A00CA1">
        <w:t>major steps forward in some areas</w:t>
      </w:r>
      <w:r w:rsidR="002C4870">
        <w:t>,</w:t>
      </w:r>
      <w:r w:rsidR="00A00CA1">
        <w:t xml:space="preserve"> </w:t>
      </w:r>
      <w:r w:rsidR="00D731D5">
        <w:t>but</w:t>
      </w:r>
      <w:r w:rsidR="00A00CA1">
        <w:t xml:space="preserve"> </w:t>
      </w:r>
      <w:r w:rsidR="00E15A6E">
        <w:t xml:space="preserve">there remain </w:t>
      </w:r>
      <w:r w:rsidR="00A00CA1">
        <w:t>persistent</w:t>
      </w:r>
      <w:r w:rsidR="00A45116">
        <w:t>,</w:t>
      </w:r>
      <w:r w:rsidR="00A00CA1">
        <w:t xml:space="preserve"> or even growing</w:t>
      </w:r>
      <w:r w:rsidR="00D731D5">
        <w:t>,</w:t>
      </w:r>
      <w:r w:rsidR="00A00CA1">
        <w:t xml:space="preserve"> gaps in others. </w:t>
      </w:r>
    </w:p>
    <w:p w14:paraId="70F30115" w14:textId="3D9C8A70" w:rsidR="00E72914" w:rsidRDefault="00E72914" w:rsidP="00E72914">
      <w:pPr>
        <w:pStyle w:val="USBodyText"/>
      </w:pPr>
      <w:r>
        <w:t xml:space="preserve">Even where </w:t>
      </w:r>
      <w:r w:rsidR="00ED5047">
        <w:t xml:space="preserve">the evidence base for </w:t>
      </w:r>
      <w:r>
        <w:t>cost estimates</w:t>
      </w:r>
      <w:r w:rsidR="00ED5047">
        <w:t xml:space="preserve"> is more robust, decisions about the size of the </w:t>
      </w:r>
      <w:r w:rsidR="00134F4B">
        <w:t>Alcohol L</w:t>
      </w:r>
      <w:r w:rsidR="00ED5047">
        <w:t>evy and the activities it should fund require a broader set of information</w:t>
      </w:r>
      <w:r w:rsidR="00A41D32">
        <w:t xml:space="preserve">, including </w:t>
      </w:r>
      <w:r w:rsidR="00134F4B">
        <w:t xml:space="preserve">the </w:t>
      </w:r>
      <w:r w:rsidR="00A41D32">
        <w:t xml:space="preserve">cost-effectiveness of </w:t>
      </w:r>
      <w:r w:rsidR="00704B0D">
        <w:t xml:space="preserve">interventions and </w:t>
      </w:r>
      <w:r>
        <w:t>the priorities and aspirations of New Zealand communities.</w:t>
      </w:r>
    </w:p>
    <w:p w14:paraId="746F1D76" w14:textId="6070A13E" w:rsidR="00A50C3D" w:rsidRDefault="006E4D29" w:rsidP="007E755C">
      <w:pPr>
        <w:pStyle w:val="USBodyText"/>
      </w:pPr>
      <w:r>
        <w:t>NZIER recommends that</w:t>
      </w:r>
      <w:r w:rsidR="00A45116">
        <w:t xml:space="preserve"> </w:t>
      </w:r>
      <w:r w:rsidR="00730A81" w:rsidRPr="00730A81">
        <w:t xml:space="preserve">Manatū </w:t>
      </w:r>
      <w:proofErr w:type="spellStart"/>
      <w:r w:rsidR="00730A81" w:rsidRPr="00730A81">
        <w:t>Hauora</w:t>
      </w:r>
      <w:r w:rsidR="007F64B6">
        <w:t>|</w:t>
      </w:r>
      <w:r w:rsidR="00AE31E4">
        <w:t>Ministry</w:t>
      </w:r>
      <w:proofErr w:type="spellEnd"/>
      <w:r w:rsidR="00AE31E4">
        <w:t xml:space="preserve"> of Health</w:t>
      </w:r>
      <w:r>
        <w:t>:</w:t>
      </w:r>
    </w:p>
    <w:p w14:paraId="7D8A8D34" w14:textId="3E69892D" w:rsidR="00BD4867" w:rsidRDefault="009D3484" w:rsidP="006E4D29">
      <w:pPr>
        <w:pStyle w:val="USBullet1"/>
      </w:pPr>
      <w:r>
        <w:t xml:space="preserve">focus decisions regarding </w:t>
      </w:r>
      <w:r w:rsidR="008D6870">
        <w:t xml:space="preserve">the Alcohol Levy and </w:t>
      </w:r>
      <w:r w:rsidR="0056347E">
        <w:t xml:space="preserve">the </w:t>
      </w:r>
      <w:r w:rsidR="005524F9">
        <w:t>fu</w:t>
      </w:r>
      <w:r w:rsidR="0056347E">
        <w:t>n</w:t>
      </w:r>
      <w:r w:rsidR="005524F9">
        <w:t xml:space="preserve">ding of </w:t>
      </w:r>
      <w:r w:rsidR="008D6870">
        <w:t>services and programmes on evidence of impact</w:t>
      </w:r>
      <w:r w:rsidR="00D14AAA">
        <w:t xml:space="preserve">, </w:t>
      </w:r>
      <w:r w:rsidR="008D6870">
        <w:t>cost-effectiveness</w:t>
      </w:r>
      <w:r w:rsidR="00D14AAA">
        <w:t>,</w:t>
      </w:r>
      <w:r w:rsidR="00302084">
        <w:t xml:space="preserve"> and </w:t>
      </w:r>
      <w:r w:rsidR="00D14AAA">
        <w:t xml:space="preserve">scale of unmet </w:t>
      </w:r>
      <w:proofErr w:type="gramStart"/>
      <w:r w:rsidR="00D14AAA">
        <w:t>need</w:t>
      </w:r>
      <w:proofErr w:type="gramEnd"/>
    </w:p>
    <w:p w14:paraId="5504D834" w14:textId="77777777" w:rsidR="00D245D2" w:rsidRDefault="00D245D2" w:rsidP="00D245D2">
      <w:pPr>
        <w:pStyle w:val="USBullet1"/>
      </w:pPr>
      <w:r>
        <w:t>consider using a portion of the Alcohol Levy revenue or other funds to fund:</w:t>
      </w:r>
    </w:p>
    <w:p w14:paraId="35E72473" w14:textId="77777777" w:rsidR="00D245D2" w:rsidRDefault="00D245D2" w:rsidP="00D245D2">
      <w:pPr>
        <w:pStyle w:val="USBullet2"/>
      </w:pPr>
      <w:r>
        <w:t>a research programme to fill important evidence gaps regarding alcohol harms in New Zealand, potentially prioritising areas where insufficient recent evidence allows the problem to be quantified or valued, such as:</w:t>
      </w:r>
    </w:p>
    <w:p w14:paraId="7F6E1648" w14:textId="3977C80D" w:rsidR="00D245D2" w:rsidRDefault="00D245D2" w:rsidP="00D245D2">
      <w:pPr>
        <w:pStyle w:val="USBullet3"/>
      </w:pPr>
      <w:r>
        <w:t>health</w:t>
      </w:r>
      <w:r w:rsidR="00134F4B">
        <w:t>-</w:t>
      </w:r>
      <w:r>
        <w:t xml:space="preserve">related victim impacts of alcohol-attributable crime, such as injuries and mental health </w:t>
      </w:r>
      <w:proofErr w:type="gramStart"/>
      <w:r>
        <w:t>impacts</w:t>
      </w:r>
      <w:proofErr w:type="gramEnd"/>
      <w:r>
        <w:t xml:space="preserve"> </w:t>
      </w:r>
    </w:p>
    <w:p w14:paraId="3D59C570" w14:textId="77777777" w:rsidR="00D245D2" w:rsidRDefault="00D245D2" w:rsidP="00D245D2">
      <w:pPr>
        <w:pStyle w:val="USBullet3"/>
      </w:pPr>
      <w:r>
        <w:t>alcohol-attributable use of outpatient services, mental health services, and aged residential care</w:t>
      </w:r>
    </w:p>
    <w:p w14:paraId="37F82823" w14:textId="43425AA3" w:rsidR="00D245D2" w:rsidRDefault="00D245D2" w:rsidP="00D245D2">
      <w:pPr>
        <w:pStyle w:val="USBullet2"/>
      </w:pPr>
      <w:r>
        <w:t>activities that provide cost-effective solutions in areas w</w:t>
      </w:r>
      <w:r w:rsidR="00134F4B">
        <w:t>ith</w:t>
      </w:r>
      <w:r>
        <w:t xml:space="preserve"> strong causal attribution to alcohol.</w:t>
      </w:r>
    </w:p>
    <w:p w14:paraId="1436AC01" w14:textId="77777777" w:rsidR="00B52EB6" w:rsidRPr="00B52EB6" w:rsidRDefault="00B52EB6" w:rsidP="00B52EB6">
      <w:pPr>
        <w:pStyle w:val="USBullet1"/>
      </w:pPr>
      <w:r w:rsidRPr="00B52EB6">
        <w:t xml:space="preserve">collaborate with justice sector agencies, social sector agencies and the Ministry of Education to improve the evidence base regarding the non-health costs of alcohol </w:t>
      </w:r>
      <w:proofErr w:type="gramStart"/>
      <w:r w:rsidRPr="00B52EB6">
        <w:t>harms</w:t>
      </w:r>
      <w:proofErr w:type="gramEnd"/>
    </w:p>
    <w:p w14:paraId="4B1A107C" w14:textId="13739B50" w:rsidR="00721BA7" w:rsidRPr="00721BA7" w:rsidRDefault="00EE446E" w:rsidP="00326A6F">
      <w:pPr>
        <w:pStyle w:val="USBullet1"/>
      </w:pPr>
      <w:r w:rsidRPr="00EE446E">
        <w:t>consider using a portion of the Alcohol Levy revenue or other funds to address problems with a demonstrated strong causal attribution to alcohol, such as FASD</w:t>
      </w:r>
      <w:r w:rsidR="00134F4B">
        <w:t>,</w:t>
      </w:r>
      <w:r w:rsidRPr="00EE446E">
        <w:t xml:space="preserve"> where investment in diagnostic and therapeutic services is much needed (to improve outcomes, reduce the private burden of FASD, and help fill significant evidence gaps such as the prevalence of FASD in New Zealand), including in the youth justice system and the prison population.</w:t>
      </w:r>
      <w:bookmarkEnd w:id="15"/>
      <w:bookmarkEnd w:id="16"/>
    </w:p>
    <w:p w14:paraId="75542566" w14:textId="408C04D4" w:rsidR="00731CA6" w:rsidRPr="00731CA6" w:rsidRDefault="00731CA6" w:rsidP="00731CA6">
      <w:pPr>
        <w:pStyle w:val="USBodyText"/>
        <w:sectPr w:rsidR="00731CA6" w:rsidRPr="00731CA6" w:rsidSect="002E60DC">
          <w:headerReference w:type="even" r:id="rId23"/>
          <w:headerReference w:type="default" r:id="rId24"/>
          <w:footerReference w:type="default" r:id="rId25"/>
          <w:headerReference w:type="first" r:id="rId26"/>
          <w:pgSz w:w="11907" w:h="16839" w:code="9"/>
          <w:pgMar w:top="1701" w:right="1304" w:bottom="1361" w:left="1418" w:header="851" w:footer="851" w:gutter="0"/>
          <w:pgNumType w:fmt="lowerRoman" w:start="1"/>
          <w:cols w:space="708"/>
          <w:docGrid w:linePitch="360"/>
        </w:sectPr>
      </w:pPr>
    </w:p>
    <w:p w14:paraId="21512881" w14:textId="27FBF51B" w:rsidR="00DC354C" w:rsidRDefault="00DC354C" w:rsidP="00DC354C">
      <w:pPr>
        <w:pStyle w:val="HeadingContents"/>
      </w:pPr>
      <w:r>
        <w:lastRenderedPageBreak/>
        <w:t>Contents</w:t>
      </w:r>
    </w:p>
    <w:tbl>
      <w:tblPr>
        <w:tblStyle w:val="TableGridLight"/>
        <w:tblW w:w="9393" w:type="dxa"/>
        <w:tblInd w:w="0" w:type="dxa"/>
        <w:tblCellMar>
          <w:left w:w="0" w:type="dxa"/>
          <w:right w:w="0" w:type="dxa"/>
        </w:tblCellMar>
        <w:tblLook w:val="04A0" w:firstRow="1" w:lastRow="0" w:firstColumn="1" w:lastColumn="0" w:noHBand="0" w:noVBand="1"/>
      </w:tblPr>
      <w:tblGrid>
        <w:gridCol w:w="9393"/>
      </w:tblGrid>
      <w:tr w:rsidR="00DC354C" w14:paraId="3DB5D26C" w14:textId="77777777" w:rsidTr="001C0653">
        <w:tc>
          <w:tcPr>
            <w:tcW w:w="9393" w:type="dxa"/>
            <w:tcBorders>
              <w:top w:val="nil"/>
              <w:left w:val="nil"/>
              <w:bottom w:val="nil"/>
              <w:right w:val="nil"/>
            </w:tcBorders>
          </w:tcPr>
          <w:p w14:paraId="3B920F41" w14:textId="6EE1B743" w:rsidR="001D2404" w:rsidRDefault="00DC354C">
            <w:pPr>
              <w:pStyle w:val="TOC1"/>
              <w:rPr>
                <w:rFonts w:asciiTheme="minorHAnsi" w:eastAsiaTheme="minorEastAsia" w:hAnsiTheme="minorHAnsi"/>
                <w:noProof/>
                <w:kern w:val="2"/>
                <w:sz w:val="24"/>
                <w:szCs w:val="24"/>
                <w:lang w:eastAsia="en-NZ"/>
                <w14:ligatures w14:val="standardContextual"/>
              </w:rPr>
            </w:pPr>
            <w:r>
              <w:rPr>
                <w:color w:val="0094C5"/>
                <w:sz w:val="24"/>
              </w:rPr>
              <w:fldChar w:fldCharType="begin"/>
            </w:r>
            <w:r>
              <w:instrText xml:space="preserve"> TOC </w:instrText>
            </w:r>
            <w:r w:rsidR="00F175C3" w:rsidRPr="00774754">
              <w:instrText xml:space="preserve"> </w:instrText>
            </w:r>
            <w:r w:rsidR="004761CC">
              <w:instrText>\o "1-</w:instrText>
            </w:r>
            <w:r w:rsidR="00780A71">
              <w:instrText>2</w:instrText>
            </w:r>
            <w:r w:rsidR="004761CC">
              <w:instrText xml:space="preserve">" \t </w:instrText>
            </w:r>
            <w:r w:rsidR="00780A71">
              <w:instrText>\</w:instrText>
            </w:r>
            <w:r w:rsidR="00C005FA">
              <w:instrText>h</w:instrText>
            </w:r>
            <w:r w:rsidR="004761CC">
              <w:instrText>"</w:instrText>
            </w:r>
            <w:r>
              <w:instrText xml:space="preserve"> </w:instrText>
            </w:r>
            <w:r>
              <w:rPr>
                <w:color w:val="0094C5"/>
                <w:sz w:val="24"/>
              </w:rPr>
              <w:fldChar w:fldCharType="separate"/>
            </w:r>
            <w:hyperlink w:anchor="_Toc160633823" w:history="1">
              <w:r w:rsidR="001D2404" w:rsidRPr="00B33775">
                <w:rPr>
                  <w:rStyle w:val="Hyperlink"/>
                  <w:noProof/>
                </w:rPr>
                <w:t>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Background</w:t>
              </w:r>
              <w:r w:rsidR="001D2404">
                <w:rPr>
                  <w:noProof/>
                </w:rPr>
                <w:tab/>
              </w:r>
              <w:r w:rsidR="001D2404">
                <w:rPr>
                  <w:noProof/>
                </w:rPr>
                <w:fldChar w:fldCharType="begin"/>
              </w:r>
              <w:r w:rsidR="001D2404">
                <w:rPr>
                  <w:noProof/>
                </w:rPr>
                <w:instrText xml:space="preserve"> PAGEREF _Toc160633823 \h </w:instrText>
              </w:r>
              <w:r w:rsidR="001D2404">
                <w:rPr>
                  <w:noProof/>
                </w:rPr>
              </w:r>
              <w:r w:rsidR="001D2404">
                <w:rPr>
                  <w:noProof/>
                </w:rPr>
                <w:fldChar w:fldCharType="separate"/>
              </w:r>
              <w:r w:rsidR="00AE166D">
                <w:rPr>
                  <w:noProof/>
                </w:rPr>
                <w:t>1</w:t>
              </w:r>
              <w:r w:rsidR="001D2404">
                <w:rPr>
                  <w:noProof/>
                </w:rPr>
                <w:fldChar w:fldCharType="end"/>
              </w:r>
            </w:hyperlink>
          </w:p>
          <w:p w14:paraId="6D6008E0" w14:textId="196FC155"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24" w:history="1">
              <w:r w:rsidR="001D2404" w:rsidRPr="00B33775">
                <w:rPr>
                  <w:rStyle w:val="Hyperlink"/>
                  <w:noProof/>
                </w:rPr>
                <w:t>1.1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The Alcohol Levy has raised revenue to recover costs of addressing alcohol harms since 1978</w:t>
              </w:r>
              <w:r w:rsidR="001D2404">
                <w:rPr>
                  <w:noProof/>
                </w:rPr>
                <w:tab/>
              </w:r>
              <w:r w:rsidR="001D2404">
                <w:rPr>
                  <w:noProof/>
                </w:rPr>
                <w:fldChar w:fldCharType="begin"/>
              </w:r>
              <w:r w:rsidR="001D2404">
                <w:rPr>
                  <w:noProof/>
                </w:rPr>
                <w:instrText xml:space="preserve"> PAGEREF _Toc160633824 \h </w:instrText>
              </w:r>
              <w:r w:rsidR="001D2404">
                <w:rPr>
                  <w:noProof/>
                </w:rPr>
              </w:r>
              <w:r w:rsidR="001D2404">
                <w:rPr>
                  <w:noProof/>
                </w:rPr>
                <w:fldChar w:fldCharType="separate"/>
              </w:r>
              <w:r w:rsidR="00AE166D">
                <w:rPr>
                  <w:noProof/>
                </w:rPr>
                <w:t>1</w:t>
              </w:r>
              <w:r w:rsidR="001D2404">
                <w:rPr>
                  <w:noProof/>
                </w:rPr>
                <w:fldChar w:fldCharType="end"/>
              </w:r>
            </w:hyperlink>
          </w:p>
          <w:p w14:paraId="18417888" w14:textId="365B6964"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25" w:history="1">
              <w:r w:rsidR="001D2404" w:rsidRPr="00B33775">
                <w:rPr>
                  <w:rStyle w:val="Hyperlink"/>
                  <w:noProof/>
                </w:rPr>
                <w:t>1.2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The Pae Ora (Healthy Futures) Act 2022 changes the scope and context of the Levy</w:t>
              </w:r>
              <w:r w:rsidR="001D2404">
                <w:rPr>
                  <w:noProof/>
                </w:rPr>
                <w:tab/>
              </w:r>
              <w:r w:rsidR="001D2404">
                <w:rPr>
                  <w:noProof/>
                </w:rPr>
                <w:fldChar w:fldCharType="begin"/>
              </w:r>
              <w:r w:rsidR="001D2404">
                <w:rPr>
                  <w:noProof/>
                </w:rPr>
                <w:instrText xml:space="preserve"> PAGEREF _Toc160633825 \h </w:instrText>
              </w:r>
              <w:r w:rsidR="001D2404">
                <w:rPr>
                  <w:noProof/>
                </w:rPr>
              </w:r>
              <w:r w:rsidR="001D2404">
                <w:rPr>
                  <w:noProof/>
                </w:rPr>
                <w:fldChar w:fldCharType="separate"/>
              </w:r>
              <w:r w:rsidR="00AE166D">
                <w:rPr>
                  <w:noProof/>
                </w:rPr>
                <w:t>1</w:t>
              </w:r>
              <w:r w:rsidR="001D2404">
                <w:rPr>
                  <w:noProof/>
                </w:rPr>
                <w:fldChar w:fldCharType="end"/>
              </w:r>
            </w:hyperlink>
          </w:p>
          <w:p w14:paraId="22B9B653" w14:textId="161EFF3A"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26" w:history="1">
              <w:r w:rsidR="001D2404" w:rsidRPr="00B33775">
                <w:rPr>
                  <w:rStyle w:val="Hyperlink"/>
                  <w:noProof/>
                </w:rPr>
                <w:t>1.3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Why the interest in monetising alcohol harms?</w:t>
              </w:r>
              <w:r w:rsidR="001D2404">
                <w:rPr>
                  <w:noProof/>
                </w:rPr>
                <w:tab/>
              </w:r>
              <w:r w:rsidR="001D2404">
                <w:rPr>
                  <w:noProof/>
                </w:rPr>
                <w:fldChar w:fldCharType="begin"/>
              </w:r>
              <w:r w:rsidR="001D2404">
                <w:rPr>
                  <w:noProof/>
                </w:rPr>
                <w:instrText xml:space="preserve"> PAGEREF _Toc160633826 \h </w:instrText>
              </w:r>
              <w:r w:rsidR="001D2404">
                <w:rPr>
                  <w:noProof/>
                </w:rPr>
              </w:r>
              <w:r w:rsidR="001D2404">
                <w:rPr>
                  <w:noProof/>
                </w:rPr>
                <w:fldChar w:fldCharType="separate"/>
              </w:r>
              <w:r w:rsidR="00AE166D">
                <w:rPr>
                  <w:noProof/>
                </w:rPr>
                <w:t>2</w:t>
              </w:r>
              <w:r w:rsidR="001D2404">
                <w:rPr>
                  <w:noProof/>
                </w:rPr>
                <w:fldChar w:fldCharType="end"/>
              </w:r>
            </w:hyperlink>
          </w:p>
          <w:p w14:paraId="49945B7A" w14:textId="249126E8"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27" w:history="1">
              <w:r w:rsidR="001D2404" w:rsidRPr="00B33775">
                <w:rPr>
                  <w:rStyle w:val="Hyperlink"/>
                  <w:noProof/>
                </w:rPr>
                <w:t>1.4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The context and purpose of this report</w:t>
              </w:r>
              <w:r w:rsidR="001D2404">
                <w:rPr>
                  <w:noProof/>
                </w:rPr>
                <w:tab/>
              </w:r>
              <w:r w:rsidR="001D2404">
                <w:rPr>
                  <w:noProof/>
                </w:rPr>
                <w:fldChar w:fldCharType="begin"/>
              </w:r>
              <w:r w:rsidR="001D2404">
                <w:rPr>
                  <w:noProof/>
                </w:rPr>
                <w:instrText xml:space="preserve"> PAGEREF _Toc160633827 \h </w:instrText>
              </w:r>
              <w:r w:rsidR="001D2404">
                <w:rPr>
                  <w:noProof/>
                </w:rPr>
              </w:r>
              <w:r w:rsidR="001D2404">
                <w:rPr>
                  <w:noProof/>
                </w:rPr>
                <w:fldChar w:fldCharType="separate"/>
              </w:r>
              <w:r w:rsidR="00AE166D">
                <w:rPr>
                  <w:noProof/>
                </w:rPr>
                <w:t>2</w:t>
              </w:r>
              <w:r w:rsidR="001D2404">
                <w:rPr>
                  <w:noProof/>
                </w:rPr>
                <w:fldChar w:fldCharType="end"/>
              </w:r>
            </w:hyperlink>
          </w:p>
          <w:p w14:paraId="5B86428B" w14:textId="43868D93"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28" w:history="1">
              <w:r w:rsidR="001D2404" w:rsidRPr="00B33775">
                <w:rPr>
                  <w:rStyle w:val="Hyperlink"/>
                  <w:noProof/>
                </w:rPr>
                <w:t>1.5</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What we know about alcohol harms in New Zealand</w:t>
              </w:r>
              <w:r w:rsidR="001D2404">
                <w:rPr>
                  <w:noProof/>
                </w:rPr>
                <w:tab/>
              </w:r>
              <w:r w:rsidR="001D2404">
                <w:rPr>
                  <w:noProof/>
                </w:rPr>
                <w:fldChar w:fldCharType="begin"/>
              </w:r>
              <w:r w:rsidR="001D2404">
                <w:rPr>
                  <w:noProof/>
                </w:rPr>
                <w:instrText xml:space="preserve"> PAGEREF _Toc160633828 \h </w:instrText>
              </w:r>
              <w:r w:rsidR="001D2404">
                <w:rPr>
                  <w:noProof/>
                </w:rPr>
              </w:r>
              <w:r w:rsidR="001D2404">
                <w:rPr>
                  <w:noProof/>
                </w:rPr>
                <w:fldChar w:fldCharType="separate"/>
              </w:r>
              <w:r w:rsidR="00AE166D">
                <w:rPr>
                  <w:noProof/>
                </w:rPr>
                <w:t>3</w:t>
              </w:r>
              <w:r w:rsidR="001D2404">
                <w:rPr>
                  <w:noProof/>
                </w:rPr>
                <w:fldChar w:fldCharType="end"/>
              </w:r>
            </w:hyperlink>
          </w:p>
          <w:p w14:paraId="48B3A590" w14:textId="32920670"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29" w:history="1">
              <w:r w:rsidR="001D2404" w:rsidRPr="00B33775">
                <w:rPr>
                  <w:rStyle w:val="Hyperlink"/>
                  <w:noProof/>
                </w:rPr>
                <w:t>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Our approach</w:t>
              </w:r>
              <w:r w:rsidR="001D2404">
                <w:rPr>
                  <w:noProof/>
                </w:rPr>
                <w:tab/>
              </w:r>
              <w:r w:rsidR="001D2404">
                <w:rPr>
                  <w:noProof/>
                </w:rPr>
                <w:fldChar w:fldCharType="begin"/>
              </w:r>
              <w:r w:rsidR="001D2404">
                <w:rPr>
                  <w:noProof/>
                </w:rPr>
                <w:instrText xml:space="preserve"> PAGEREF _Toc160633829 \h </w:instrText>
              </w:r>
              <w:r w:rsidR="001D2404">
                <w:rPr>
                  <w:noProof/>
                </w:rPr>
              </w:r>
              <w:r w:rsidR="001D2404">
                <w:rPr>
                  <w:noProof/>
                </w:rPr>
                <w:fldChar w:fldCharType="separate"/>
              </w:r>
              <w:r w:rsidR="00AE166D">
                <w:rPr>
                  <w:noProof/>
                </w:rPr>
                <w:t>9</w:t>
              </w:r>
              <w:r w:rsidR="001D2404">
                <w:rPr>
                  <w:noProof/>
                </w:rPr>
                <w:fldChar w:fldCharType="end"/>
              </w:r>
            </w:hyperlink>
          </w:p>
          <w:p w14:paraId="2EE361B3" w14:textId="5564FAFA"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0" w:history="1">
              <w:r w:rsidR="001D2404" w:rsidRPr="00B33775">
                <w:rPr>
                  <w:rStyle w:val="Hyperlink"/>
                  <w:noProof/>
                </w:rPr>
                <w:t>2.1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Choice of approach</w:t>
              </w:r>
              <w:r w:rsidR="001D2404">
                <w:rPr>
                  <w:noProof/>
                </w:rPr>
                <w:tab/>
              </w:r>
              <w:r w:rsidR="001D2404">
                <w:rPr>
                  <w:noProof/>
                </w:rPr>
                <w:fldChar w:fldCharType="begin"/>
              </w:r>
              <w:r w:rsidR="001D2404">
                <w:rPr>
                  <w:noProof/>
                </w:rPr>
                <w:instrText xml:space="preserve"> PAGEREF _Toc160633830 \h </w:instrText>
              </w:r>
              <w:r w:rsidR="001D2404">
                <w:rPr>
                  <w:noProof/>
                </w:rPr>
              </w:r>
              <w:r w:rsidR="001D2404">
                <w:rPr>
                  <w:noProof/>
                </w:rPr>
                <w:fldChar w:fldCharType="separate"/>
              </w:r>
              <w:r w:rsidR="00AE166D">
                <w:rPr>
                  <w:noProof/>
                </w:rPr>
                <w:t>9</w:t>
              </w:r>
              <w:r w:rsidR="001D2404">
                <w:rPr>
                  <w:noProof/>
                </w:rPr>
                <w:fldChar w:fldCharType="end"/>
              </w:r>
            </w:hyperlink>
          </w:p>
          <w:p w14:paraId="6427E871" w14:textId="13DF76CB"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1" w:history="1">
              <w:r w:rsidR="001D2404" w:rsidRPr="00B33775">
                <w:rPr>
                  <w:rStyle w:val="Hyperlink"/>
                  <w:noProof/>
                </w:rPr>
                <w:t>2.2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Implications of approach</w:t>
              </w:r>
              <w:r w:rsidR="001D2404">
                <w:rPr>
                  <w:noProof/>
                </w:rPr>
                <w:tab/>
              </w:r>
              <w:r w:rsidR="001D2404">
                <w:rPr>
                  <w:noProof/>
                </w:rPr>
                <w:fldChar w:fldCharType="begin"/>
              </w:r>
              <w:r w:rsidR="001D2404">
                <w:rPr>
                  <w:noProof/>
                </w:rPr>
                <w:instrText xml:space="preserve"> PAGEREF _Toc160633831 \h </w:instrText>
              </w:r>
              <w:r w:rsidR="001D2404">
                <w:rPr>
                  <w:noProof/>
                </w:rPr>
              </w:r>
              <w:r w:rsidR="001D2404">
                <w:rPr>
                  <w:noProof/>
                </w:rPr>
                <w:fldChar w:fldCharType="separate"/>
              </w:r>
              <w:r w:rsidR="00AE166D">
                <w:rPr>
                  <w:noProof/>
                </w:rPr>
                <w:t>9</w:t>
              </w:r>
              <w:r w:rsidR="001D2404">
                <w:rPr>
                  <w:noProof/>
                </w:rPr>
                <w:fldChar w:fldCharType="end"/>
              </w:r>
            </w:hyperlink>
          </w:p>
          <w:p w14:paraId="6A0D1DC6" w14:textId="7F91FDE0"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2" w:history="1">
              <w:r w:rsidR="001D2404" w:rsidRPr="00B33775">
                <w:rPr>
                  <w:rStyle w:val="Hyperlink"/>
                  <w:noProof/>
                </w:rPr>
                <w:t>2.3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Data</w:t>
              </w:r>
              <w:r w:rsidR="001D2404">
                <w:rPr>
                  <w:noProof/>
                </w:rPr>
                <w:tab/>
              </w:r>
              <w:r w:rsidR="001D2404">
                <w:rPr>
                  <w:noProof/>
                </w:rPr>
                <w:fldChar w:fldCharType="begin"/>
              </w:r>
              <w:r w:rsidR="001D2404">
                <w:rPr>
                  <w:noProof/>
                </w:rPr>
                <w:instrText xml:space="preserve"> PAGEREF _Toc160633832 \h </w:instrText>
              </w:r>
              <w:r w:rsidR="001D2404">
                <w:rPr>
                  <w:noProof/>
                </w:rPr>
              </w:r>
              <w:r w:rsidR="001D2404">
                <w:rPr>
                  <w:noProof/>
                </w:rPr>
                <w:fldChar w:fldCharType="separate"/>
              </w:r>
              <w:r w:rsidR="00AE166D">
                <w:rPr>
                  <w:noProof/>
                </w:rPr>
                <w:t>11</w:t>
              </w:r>
              <w:r w:rsidR="001D2404">
                <w:rPr>
                  <w:noProof/>
                </w:rPr>
                <w:fldChar w:fldCharType="end"/>
              </w:r>
            </w:hyperlink>
          </w:p>
          <w:p w14:paraId="143C3642" w14:textId="1797E18D"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3" w:history="1">
              <w:r w:rsidR="001D2404" w:rsidRPr="00B33775">
                <w:rPr>
                  <w:rStyle w:val="Hyperlink"/>
                  <w:noProof/>
                </w:rPr>
                <w:t>2.4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Causal attribution</w:t>
              </w:r>
              <w:r w:rsidR="001D2404">
                <w:rPr>
                  <w:noProof/>
                </w:rPr>
                <w:tab/>
              </w:r>
              <w:r w:rsidR="001D2404">
                <w:rPr>
                  <w:noProof/>
                </w:rPr>
                <w:fldChar w:fldCharType="begin"/>
              </w:r>
              <w:r w:rsidR="001D2404">
                <w:rPr>
                  <w:noProof/>
                </w:rPr>
                <w:instrText xml:space="preserve"> PAGEREF _Toc160633833 \h </w:instrText>
              </w:r>
              <w:r w:rsidR="001D2404">
                <w:rPr>
                  <w:noProof/>
                </w:rPr>
              </w:r>
              <w:r w:rsidR="001D2404">
                <w:rPr>
                  <w:noProof/>
                </w:rPr>
                <w:fldChar w:fldCharType="separate"/>
              </w:r>
              <w:r w:rsidR="00AE166D">
                <w:rPr>
                  <w:noProof/>
                </w:rPr>
                <w:t>11</w:t>
              </w:r>
              <w:r w:rsidR="001D2404">
                <w:rPr>
                  <w:noProof/>
                </w:rPr>
                <w:fldChar w:fldCharType="end"/>
              </w:r>
            </w:hyperlink>
          </w:p>
          <w:p w14:paraId="64FA4915" w14:textId="0517D13E"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34" w:history="1">
              <w:r w:rsidR="001D2404" w:rsidRPr="00B33775">
                <w:rPr>
                  <w:rStyle w:val="Hyperlink"/>
                  <w:noProof/>
                </w:rPr>
                <w:t>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Increased risk of mortality and morbidity</w:t>
              </w:r>
              <w:r w:rsidR="001D2404">
                <w:rPr>
                  <w:noProof/>
                </w:rPr>
                <w:tab/>
              </w:r>
              <w:r w:rsidR="001D2404">
                <w:rPr>
                  <w:noProof/>
                </w:rPr>
                <w:fldChar w:fldCharType="begin"/>
              </w:r>
              <w:r w:rsidR="001D2404">
                <w:rPr>
                  <w:noProof/>
                </w:rPr>
                <w:instrText xml:space="preserve"> PAGEREF _Toc160633834 \h </w:instrText>
              </w:r>
              <w:r w:rsidR="001D2404">
                <w:rPr>
                  <w:noProof/>
                </w:rPr>
              </w:r>
              <w:r w:rsidR="001D2404">
                <w:rPr>
                  <w:noProof/>
                </w:rPr>
                <w:fldChar w:fldCharType="separate"/>
              </w:r>
              <w:r w:rsidR="00AE166D">
                <w:rPr>
                  <w:noProof/>
                </w:rPr>
                <w:t>12</w:t>
              </w:r>
              <w:r w:rsidR="001D2404">
                <w:rPr>
                  <w:noProof/>
                </w:rPr>
                <w:fldChar w:fldCharType="end"/>
              </w:r>
            </w:hyperlink>
          </w:p>
          <w:p w14:paraId="70D292ED" w14:textId="39E38EFE"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5" w:history="1">
              <w:r w:rsidR="001D2404" w:rsidRPr="00B33775">
                <w:rPr>
                  <w:rStyle w:val="Hyperlink"/>
                  <w:noProof/>
                </w:rPr>
                <w:t>3.1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Estimated value increased risk of mortality and morbidity due to alcohol consumption</w:t>
              </w:r>
              <w:r w:rsidR="001D2404">
                <w:rPr>
                  <w:noProof/>
                </w:rPr>
                <w:tab/>
              </w:r>
              <w:r w:rsidR="001D2404">
                <w:rPr>
                  <w:noProof/>
                </w:rPr>
                <w:fldChar w:fldCharType="begin"/>
              </w:r>
              <w:r w:rsidR="001D2404">
                <w:rPr>
                  <w:noProof/>
                </w:rPr>
                <w:instrText xml:space="preserve"> PAGEREF _Toc160633835 \h </w:instrText>
              </w:r>
              <w:r w:rsidR="001D2404">
                <w:rPr>
                  <w:noProof/>
                </w:rPr>
              </w:r>
              <w:r w:rsidR="001D2404">
                <w:rPr>
                  <w:noProof/>
                </w:rPr>
                <w:fldChar w:fldCharType="separate"/>
              </w:r>
              <w:r w:rsidR="00AE166D">
                <w:rPr>
                  <w:noProof/>
                </w:rPr>
                <w:t>13</w:t>
              </w:r>
              <w:r w:rsidR="001D2404">
                <w:rPr>
                  <w:noProof/>
                </w:rPr>
                <w:fldChar w:fldCharType="end"/>
              </w:r>
            </w:hyperlink>
          </w:p>
          <w:p w14:paraId="595B884E" w14:textId="6E76C51B"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6" w:history="1">
              <w:r w:rsidR="001D2404" w:rsidRPr="00B33775">
                <w:rPr>
                  <w:rStyle w:val="Hyperlink"/>
                  <w:noProof/>
                </w:rPr>
                <w:t>3.2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Estimated increased risk of mortality and morbidity due to alcohol use disorders</w:t>
              </w:r>
              <w:r w:rsidR="001D2404">
                <w:rPr>
                  <w:noProof/>
                </w:rPr>
                <w:tab/>
              </w:r>
              <w:r w:rsidR="001D2404">
                <w:rPr>
                  <w:noProof/>
                </w:rPr>
                <w:fldChar w:fldCharType="begin"/>
              </w:r>
              <w:r w:rsidR="001D2404">
                <w:rPr>
                  <w:noProof/>
                </w:rPr>
                <w:instrText xml:space="preserve"> PAGEREF _Toc160633836 \h </w:instrText>
              </w:r>
              <w:r w:rsidR="001D2404">
                <w:rPr>
                  <w:noProof/>
                </w:rPr>
              </w:r>
              <w:r w:rsidR="001D2404">
                <w:rPr>
                  <w:noProof/>
                </w:rPr>
                <w:fldChar w:fldCharType="separate"/>
              </w:r>
              <w:r w:rsidR="00AE166D">
                <w:rPr>
                  <w:noProof/>
                </w:rPr>
                <w:t>15</w:t>
              </w:r>
              <w:r w:rsidR="001D2404">
                <w:rPr>
                  <w:noProof/>
                </w:rPr>
                <w:fldChar w:fldCharType="end"/>
              </w:r>
            </w:hyperlink>
          </w:p>
          <w:p w14:paraId="2788FC11" w14:textId="59E13A11"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7" w:history="1">
              <w:r w:rsidR="001D2404" w:rsidRPr="00B33775">
                <w:rPr>
                  <w:rStyle w:val="Hyperlink"/>
                  <w:noProof/>
                </w:rPr>
                <w:t>3.3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Increased risk of mortality and morbidity due to others’ alcohol use</w:t>
              </w:r>
              <w:r w:rsidR="001D2404">
                <w:rPr>
                  <w:noProof/>
                </w:rPr>
                <w:tab/>
              </w:r>
              <w:r w:rsidR="001D2404">
                <w:rPr>
                  <w:noProof/>
                </w:rPr>
                <w:fldChar w:fldCharType="begin"/>
              </w:r>
              <w:r w:rsidR="001D2404">
                <w:rPr>
                  <w:noProof/>
                </w:rPr>
                <w:instrText xml:space="preserve"> PAGEREF _Toc160633837 \h </w:instrText>
              </w:r>
              <w:r w:rsidR="001D2404">
                <w:rPr>
                  <w:noProof/>
                </w:rPr>
              </w:r>
              <w:r w:rsidR="001D2404">
                <w:rPr>
                  <w:noProof/>
                </w:rPr>
                <w:fldChar w:fldCharType="separate"/>
              </w:r>
              <w:r w:rsidR="00AE166D">
                <w:rPr>
                  <w:noProof/>
                </w:rPr>
                <w:t>16</w:t>
              </w:r>
              <w:r w:rsidR="001D2404">
                <w:rPr>
                  <w:noProof/>
                </w:rPr>
                <w:fldChar w:fldCharType="end"/>
              </w:r>
            </w:hyperlink>
          </w:p>
          <w:p w14:paraId="4D3AE8F3" w14:textId="57EAE934"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8" w:history="1">
              <w:r w:rsidR="001D2404" w:rsidRPr="00B33775">
                <w:rPr>
                  <w:rStyle w:val="Hyperlink"/>
                  <w:noProof/>
                </w:rPr>
                <w:t>3.4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Estimated value of increased risk of mortality and morbidity due to others’ drinking</w:t>
              </w:r>
              <w:r w:rsidR="001D2404">
                <w:rPr>
                  <w:noProof/>
                </w:rPr>
                <w:tab/>
              </w:r>
              <w:r w:rsidR="001D2404">
                <w:rPr>
                  <w:noProof/>
                </w:rPr>
                <w:fldChar w:fldCharType="begin"/>
              </w:r>
              <w:r w:rsidR="001D2404">
                <w:rPr>
                  <w:noProof/>
                </w:rPr>
                <w:instrText xml:space="preserve"> PAGEREF _Toc160633838 \h </w:instrText>
              </w:r>
              <w:r w:rsidR="001D2404">
                <w:rPr>
                  <w:noProof/>
                </w:rPr>
              </w:r>
              <w:r w:rsidR="001D2404">
                <w:rPr>
                  <w:noProof/>
                </w:rPr>
                <w:fldChar w:fldCharType="separate"/>
              </w:r>
              <w:r w:rsidR="00AE166D">
                <w:rPr>
                  <w:noProof/>
                </w:rPr>
                <w:t>17</w:t>
              </w:r>
              <w:r w:rsidR="001D2404">
                <w:rPr>
                  <w:noProof/>
                </w:rPr>
                <w:fldChar w:fldCharType="end"/>
              </w:r>
            </w:hyperlink>
          </w:p>
          <w:p w14:paraId="680784C5" w14:textId="4EACFA26"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39" w:history="1">
              <w:r w:rsidR="001D2404" w:rsidRPr="00B33775">
                <w:rPr>
                  <w:rStyle w:val="Hyperlink"/>
                  <w:noProof/>
                </w:rPr>
                <w:t>3.5</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Total estimated value of increased risk of mortality and morbidity due to own and others’ alcohol consumption</w:t>
              </w:r>
              <w:r w:rsidR="001D2404">
                <w:rPr>
                  <w:noProof/>
                </w:rPr>
                <w:tab/>
              </w:r>
              <w:r w:rsidR="001D2404">
                <w:rPr>
                  <w:noProof/>
                </w:rPr>
                <w:fldChar w:fldCharType="begin"/>
              </w:r>
              <w:r w:rsidR="001D2404">
                <w:rPr>
                  <w:noProof/>
                </w:rPr>
                <w:instrText xml:space="preserve"> PAGEREF _Toc160633839 \h </w:instrText>
              </w:r>
              <w:r w:rsidR="001D2404">
                <w:rPr>
                  <w:noProof/>
                </w:rPr>
              </w:r>
              <w:r w:rsidR="001D2404">
                <w:rPr>
                  <w:noProof/>
                </w:rPr>
                <w:fldChar w:fldCharType="separate"/>
              </w:r>
              <w:r w:rsidR="00AE166D">
                <w:rPr>
                  <w:noProof/>
                </w:rPr>
                <w:t>18</w:t>
              </w:r>
              <w:r w:rsidR="001D2404">
                <w:rPr>
                  <w:noProof/>
                </w:rPr>
                <w:fldChar w:fldCharType="end"/>
              </w:r>
            </w:hyperlink>
          </w:p>
          <w:p w14:paraId="037D7940" w14:textId="3198B81B"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0" w:history="1">
              <w:r w:rsidR="001D2404" w:rsidRPr="00B33775">
                <w:rPr>
                  <w:rStyle w:val="Hyperlink"/>
                  <w:noProof/>
                </w:rPr>
                <w:t>3.6</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Limitations of estimates of the value of increased risk of mortality and morbidity due to alcohol consumption</w:t>
              </w:r>
              <w:r w:rsidR="001D2404">
                <w:rPr>
                  <w:noProof/>
                </w:rPr>
                <w:tab/>
              </w:r>
              <w:r w:rsidR="001D2404">
                <w:rPr>
                  <w:noProof/>
                </w:rPr>
                <w:fldChar w:fldCharType="begin"/>
              </w:r>
              <w:r w:rsidR="001D2404">
                <w:rPr>
                  <w:noProof/>
                </w:rPr>
                <w:instrText xml:space="preserve"> PAGEREF _Toc160633840 \h </w:instrText>
              </w:r>
              <w:r w:rsidR="001D2404">
                <w:rPr>
                  <w:noProof/>
                </w:rPr>
              </w:r>
              <w:r w:rsidR="001D2404">
                <w:rPr>
                  <w:noProof/>
                </w:rPr>
                <w:fldChar w:fldCharType="separate"/>
              </w:r>
              <w:r w:rsidR="00AE166D">
                <w:rPr>
                  <w:noProof/>
                </w:rPr>
                <w:t>18</w:t>
              </w:r>
              <w:r w:rsidR="001D2404">
                <w:rPr>
                  <w:noProof/>
                </w:rPr>
                <w:fldChar w:fldCharType="end"/>
              </w:r>
            </w:hyperlink>
          </w:p>
          <w:p w14:paraId="7FA12D24" w14:textId="6A638259"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41" w:history="1">
              <w:r w:rsidR="001D2404" w:rsidRPr="00B33775">
                <w:rPr>
                  <w:rStyle w:val="Hyperlink"/>
                  <w:noProof/>
                </w:rPr>
                <w:t>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Specific alcohol harms costs from a societal perspective</w:t>
              </w:r>
              <w:r w:rsidR="001D2404">
                <w:rPr>
                  <w:noProof/>
                </w:rPr>
                <w:tab/>
              </w:r>
              <w:r w:rsidR="001D2404">
                <w:rPr>
                  <w:noProof/>
                </w:rPr>
                <w:fldChar w:fldCharType="begin"/>
              </w:r>
              <w:r w:rsidR="001D2404">
                <w:rPr>
                  <w:noProof/>
                </w:rPr>
                <w:instrText xml:space="preserve"> PAGEREF _Toc160633841 \h </w:instrText>
              </w:r>
              <w:r w:rsidR="001D2404">
                <w:rPr>
                  <w:noProof/>
                </w:rPr>
              </w:r>
              <w:r w:rsidR="001D2404">
                <w:rPr>
                  <w:noProof/>
                </w:rPr>
                <w:fldChar w:fldCharType="separate"/>
              </w:r>
              <w:r w:rsidR="00AE166D">
                <w:rPr>
                  <w:noProof/>
                </w:rPr>
                <w:t>20</w:t>
              </w:r>
              <w:r w:rsidR="001D2404">
                <w:rPr>
                  <w:noProof/>
                </w:rPr>
                <w:fldChar w:fldCharType="end"/>
              </w:r>
            </w:hyperlink>
          </w:p>
          <w:p w14:paraId="654DB450" w14:textId="5475C449"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2" w:history="1">
              <w:r w:rsidR="001D2404" w:rsidRPr="00B33775">
                <w:rPr>
                  <w:rStyle w:val="Hyperlink"/>
                  <w:noProof/>
                </w:rPr>
                <w:t>4.1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Intimate partner violence</w:t>
              </w:r>
              <w:r w:rsidR="001D2404">
                <w:rPr>
                  <w:noProof/>
                </w:rPr>
                <w:tab/>
              </w:r>
              <w:r w:rsidR="001D2404">
                <w:rPr>
                  <w:noProof/>
                </w:rPr>
                <w:fldChar w:fldCharType="begin"/>
              </w:r>
              <w:r w:rsidR="001D2404">
                <w:rPr>
                  <w:noProof/>
                </w:rPr>
                <w:instrText xml:space="preserve"> PAGEREF _Toc160633842 \h </w:instrText>
              </w:r>
              <w:r w:rsidR="001D2404">
                <w:rPr>
                  <w:noProof/>
                </w:rPr>
              </w:r>
              <w:r w:rsidR="001D2404">
                <w:rPr>
                  <w:noProof/>
                </w:rPr>
                <w:fldChar w:fldCharType="separate"/>
              </w:r>
              <w:r w:rsidR="00AE166D">
                <w:rPr>
                  <w:noProof/>
                </w:rPr>
                <w:t>23</w:t>
              </w:r>
              <w:r w:rsidR="001D2404">
                <w:rPr>
                  <w:noProof/>
                </w:rPr>
                <w:fldChar w:fldCharType="end"/>
              </w:r>
            </w:hyperlink>
          </w:p>
          <w:p w14:paraId="710B532D" w14:textId="781F8A04"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3" w:history="1">
              <w:r w:rsidR="001D2404" w:rsidRPr="00B33775">
                <w:rPr>
                  <w:rStyle w:val="Hyperlink"/>
                  <w:noProof/>
                </w:rPr>
                <w:t>4.2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Child maltreatment</w:t>
              </w:r>
              <w:r w:rsidR="001D2404">
                <w:rPr>
                  <w:noProof/>
                </w:rPr>
                <w:tab/>
              </w:r>
              <w:r w:rsidR="001D2404">
                <w:rPr>
                  <w:noProof/>
                </w:rPr>
                <w:fldChar w:fldCharType="begin"/>
              </w:r>
              <w:r w:rsidR="001D2404">
                <w:rPr>
                  <w:noProof/>
                </w:rPr>
                <w:instrText xml:space="preserve"> PAGEREF _Toc160633843 \h </w:instrText>
              </w:r>
              <w:r w:rsidR="001D2404">
                <w:rPr>
                  <w:noProof/>
                </w:rPr>
              </w:r>
              <w:r w:rsidR="001D2404">
                <w:rPr>
                  <w:noProof/>
                </w:rPr>
                <w:fldChar w:fldCharType="separate"/>
              </w:r>
              <w:r w:rsidR="00AE166D">
                <w:rPr>
                  <w:noProof/>
                </w:rPr>
                <w:t>26</w:t>
              </w:r>
              <w:r w:rsidR="001D2404">
                <w:rPr>
                  <w:noProof/>
                </w:rPr>
                <w:fldChar w:fldCharType="end"/>
              </w:r>
            </w:hyperlink>
          </w:p>
          <w:p w14:paraId="5A82D7B0" w14:textId="7FFF7567"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4" w:history="1">
              <w:r w:rsidR="001D2404" w:rsidRPr="00B33775">
                <w:rPr>
                  <w:rStyle w:val="Hyperlink"/>
                  <w:noProof/>
                </w:rPr>
                <w:t>4.3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Road crashes</w:t>
              </w:r>
              <w:r w:rsidR="001D2404">
                <w:rPr>
                  <w:noProof/>
                </w:rPr>
                <w:tab/>
              </w:r>
              <w:r w:rsidR="001D2404">
                <w:rPr>
                  <w:noProof/>
                </w:rPr>
                <w:fldChar w:fldCharType="begin"/>
              </w:r>
              <w:r w:rsidR="001D2404">
                <w:rPr>
                  <w:noProof/>
                </w:rPr>
                <w:instrText xml:space="preserve"> PAGEREF _Toc160633844 \h </w:instrText>
              </w:r>
              <w:r w:rsidR="001D2404">
                <w:rPr>
                  <w:noProof/>
                </w:rPr>
              </w:r>
              <w:r w:rsidR="001D2404">
                <w:rPr>
                  <w:noProof/>
                </w:rPr>
                <w:fldChar w:fldCharType="separate"/>
              </w:r>
              <w:r w:rsidR="00AE166D">
                <w:rPr>
                  <w:noProof/>
                </w:rPr>
                <w:t>30</w:t>
              </w:r>
              <w:r w:rsidR="001D2404">
                <w:rPr>
                  <w:noProof/>
                </w:rPr>
                <w:fldChar w:fldCharType="end"/>
              </w:r>
            </w:hyperlink>
          </w:p>
          <w:p w14:paraId="68995BF8" w14:textId="10B8D795"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45" w:history="1">
              <w:r w:rsidR="001D2404" w:rsidRPr="00B33775">
                <w:rPr>
                  <w:rStyle w:val="Hyperlink"/>
                  <w:noProof/>
                </w:rPr>
                <w:t>5</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Health and disability system costs</w:t>
              </w:r>
              <w:r w:rsidR="001D2404">
                <w:rPr>
                  <w:noProof/>
                </w:rPr>
                <w:tab/>
              </w:r>
              <w:r w:rsidR="001D2404">
                <w:rPr>
                  <w:noProof/>
                </w:rPr>
                <w:fldChar w:fldCharType="begin"/>
              </w:r>
              <w:r w:rsidR="001D2404">
                <w:rPr>
                  <w:noProof/>
                </w:rPr>
                <w:instrText xml:space="preserve"> PAGEREF _Toc160633845 \h </w:instrText>
              </w:r>
              <w:r w:rsidR="001D2404">
                <w:rPr>
                  <w:noProof/>
                </w:rPr>
              </w:r>
              <w:r w:rsidR="001D2404">
                <w:rPr>
                  <w:noProof/>
                </w:rPr>
                <w:fldChar w:fldCharType="separate"/>
              </w:r>
              <w:r w:rsidR="00AE166D">
                <w:rPr>
                  <w:noProof/>
                </w:rPr>
                <w:t>37</w:t>
              </w:r>
              <w:r w:rsidR="001D2404">
                <w:rPr>
                  <w:noProof/>
                </w:rPr>
                <w:fldChar w:fldCharType="end"/>
              </w:r>
            </w:hyperlink>
          </w:p>
          <w:p w14:paraId="5E6A1B8C" w14:textId="2A1F8D5B"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6" w:history="1">
              <w:r w:rsidR="001D2404" w:rsidRPr="00B33775">
                <w:rPr>
                  <w:rStyle w:val="Hyperlink"/>
                  <w:noProof/>
                </w:rPr>
                <w:t>5.1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Inpatient hospitalisation attributable to alcohol</w:t>
              </w:r>
              <w:r w:rsidR="001D2404">
                <w:rPr>
                  <w:noProof/>
                </w:rPr>
                <w:tab/>
              </w:r>
              <w:r w:rsidR="001D2404">
                <w:rPr>
                  <w:noProof/>
                </w:rPr>
                <w:fldChar w:fldCharType="begin"/>
              </w:r>
              <w:r w:rsidR="001D2404">
                <w:rPr>
                  <w:noProof/>
                </w:rPr>
                <w:instrText xml:space="preserve"> PAGEREF _Toc160633846 \h </w:instrText>
              </w:r>
              <w:r w:rsidR="001D2404">
                <w:rPr>
                  <w:noProof/>
                </w:rPr>
              </w:r>
              <w:r w:rsidR="001D2404">
                <w:rPr>
                  <w:noProof/>
                </w:rPr>
                <w:fldChar w:fldCharType="separate"/>
              </w:r>
              <w:r w:rsidR="00AE166D">
                <w:rPr>
                  <w:noProof/>
                </w:rPr>
                <w:t>38</w:t>
              </w:r>
              <w:r w:rsidR="001D2404">
                <w:rPr>
                  <w:noProof/>
                </w:rPr>
                <w:fldChar w:fldCharType="end"/>
              </w:r>
            </w:hyperlink>
          </w:p>
          <w:p w14:paraId="27AFBDA0" w14:textId="6DF92511"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7" w:history="1">
              <w:r w:rsidR="001D2404" w:rsidRPr="00B33775">
                <w:rPr>
                  <w:rStyle w:val="Hyperlink"/>
                  <w:noProof/>
                </w:rPr>
                <w:t>5.2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Emergency departments experience a high burden attributable to alcohol</w:t>
              </w:r>
              <w:r w:rsidR="001D2404">
                <w:rPr>
                  <w:noProof/>
                </w:rPr>
                <w:tab/>
              </w:r>
              <w:r w:rsidR="001D2404">
                <w:rPr>
                  <w:noProof/>
                </w:rPr>
                <w:fldChar w:fldCharType="begin"/>
              </w:r>
              <w:r w:rsidR="001D2404">
                <w:rPr>
                  <w:noProof/>
                </w:rPr>
                <w:instrText xml:space="preserve"> PAGEREF _Toc160633847 \h </w:instrText>
              </w:r>
              <w:r w:rsidR="001D2404">
                <w:rPr>
                  <w:noProof/>
                </w:rPr>
              </w:r>
              <w:r w:rsidR="001D2404">
                <w:rPr>
                  <w:noProof/>
                </w:rPr>
                <w:fldChar w:fldCharType="separate"/>
              </w:r>
              <w:r w:rsidR="00AE166D">
                <w:rPr>
                  <w:noProof/>
                </w:rPr>
                <w:t>42</w:t>
              </w:r>
              <w:r w:rsidR="001D2404">
                <w:rPr>
                  <w:noProof/>
                </w:rPr>
                <w:fldChar w:fldCharType="end"/>
              </w:r>
            </w:hyperlink>
          </w:p>
          <w:p w14:paraId="1C0A6EF4" w14:textId="21B1ECFC"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8" w:history="1">
              <w:r w:rsidR="001D2404" w:rsidRPr="00B33775">
                <w:rPr>
                  <w:rStyle w:val="Hyperlink"/>
                  <w:noProof/>
                </w:rPr>
                <w:t>5.3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Evidence suggests no additional primary care costs are attributable to hazardous drinking</w:t>
              </w:r>
              <w:r w:rsidR="001D2404">
                <w:rPr>
                  <w:noProof/>
                </w:rPr>
                <w:tab/>
              </w:r>
              <w:r w:rsidR="001D2404">
                <w:rPr>
                  <w:noProof/>
                </w:rPr>
                <w:fldChar w:fldCharType="begin"/>
              </w:r>
              <w:r w:rsidR="001D2404">
                <w:rPr>
                  <w:noProof/>
                </w:rPr>
                <w:instrText xml:space="preserve"> PAGEREF _Toc160633848 \h </w:instrText>
              </w:r>
              <w:r w:rsidR="001D2404">
                <w:rPr>
                  <w:noProof/>
                </w:rPr>
              </w:r>
              <w:r w:rsidR="001D2404">
                <w:rPr>
                  <w:noProof/>
                </w:rPr>
                <w:fldChar w:fldCharType="separate"/>
              </w:r>
              <w:r w:rsidR="00AE166D">
                <w:rPr>
                  <w:noProof/>
                </w:rPr>
                <w:t>48</w:t>
              </w:r>
              <w:r w:rsidR="001D2404">
                <w:rPr>
                  <w:noProof/>
                </w:rPr>
                <w:fldChar w:fldCharType="end"/>
              </w:r>
            </w:hyperlink>
          </w:p>
          <w:p w14:paraId="574F5996" w14:textId="625F2C49"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49" w:history="1">
              <w:r w:rsidR="001D2404" w:rsidRPr="00B33775">
                <w:rPr>
                  <w:rStyle w:val="Hyperlink"/>
                  <w:noProof/>
                </w:rPr>
                <w:t>5.4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Disability-related costs to ACC</w:t>
              </w:r>
              <w:r w:rsidR="001D2404">
                <w:rPr>
                  <w:noProof/>
                </w:rPr>
                <w:tab/>
              </w:r>
              <w:r w:rsidR="001D2404">
                <w:rPr>
                  <w:noProof/>
                </w:rPr>
                <w:fldChar w:fldCharType="begin"/>
              </w:r>
              <w:r w:rsidR="001D2404">
                <w:rPr>
                  <w:noProof/>
                </w:rPr>
                <w:instrText xml:space="preserve"> PAGEREF _Toc160633849 \h </w:instrText>
              </w:r>
              <w:r w:rsidR="001D2404">
                <w:rPr>
                  <w:noProof/>
                </w:rPr>
              </w:r>
              <w:r w:rsidR="001D2404">
                <w:rPr>
                  <w:noProof/>
                </w:rPr>
                <w:fldChar w:fldCharType="separate"/>
              </w:r>
              <w:r w:rsidR="00AE166D">
                <w:rPr>
                  <w:noProof/>
                </w:rPr>
                <w:t>50</w:t>
              </w:r>
              <w:r w:rsidR="001D2404">
                <w:rPr>
                  <w:noProof/>
                </w:rPr>
                <w:fldChar w:fldCharType="end"/>
              </w:r>
            </w:hyperlink>
          </w:p>
          <w:p w14:paraId="1A2CAC42" w14:textId="4EDC6A00"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0" w:history="1">
              <w:r w:rsidR="001D2404" w:rsidRPr="00B33775">
                <w:rPr>
                  <w:rStyle w:val="Hyperlink"/>
                  <w:noProof/>
                </w:rPr>
                <w:t>5.5</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Limitations of estimates of health and disability system costs</w:t>
              </w:r>
              <w:r w:rsidR="001D2404">
                <w:rPr>
                  <w:noProof/>
                </w:rPr>
                <w:tab/>
              </w:r>
              <w:r w:rsidR="001D2404">
                <w:rPr>
                  <w:noProof/>
                </w:rPr>
                <w:fldChar w:fldCharType="begin"/>
              </w:r>
              <w:r w:rsidR="001D2404">
                <w:rPr>
                  <w:noProof/>
                </w:rPr>
                <w:instrText xml:space="preserve"> PAGEREF _Toc160633850 \h </w:instrText>
              </w:r>
              <w:r w:rsidR="001D2404">
                <w:rPr>
                  <w:noProof/>
                </w:rPr>
              </w:r>
              <w:r w:rsidR="001D2404">
                <w:rPr>
                  <w:noProof/>
                </w:rPr>
                <w:fldChar w:fldCharType="separate"/>
              </w:r>
              <w:r w:rsidR="00AE166D">
                <w:rPr>
                  <w:noProof/>
                </w:rPr>
                <w:t>52</w:t>
              </w:r>
              <w:r w:rsidR="001D2404">
                <w:rPr>
                  <w:noProof/>
                </w:rPr>
                <w:fldChar w:fldCharType="end"/>
              </w:r>
            </w:hyperlink>
          </w:p>
          <w:p w14:paraId="3ED90E82" w14:textId="10E3A9DA"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51" w:history="1">
              <w:r w:rsidR="001D2404" w:rsidRPr="00B33775">
                <w:rPr>
                  <w:rStyle w:val="Hyperlink"/>
                  <w:noProof/>
                </w:rPr>
                <w:t>6</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Justice sector costs of alcohol harms</w:t>
              </w:r>
              <w:r w:rsidR="001D2404">
                <w:rPr>
                  <w:noProof/>
                </w:rPr>
                <w:tab/>
              </w:r>
              <w:r w:rsidR="001D2404">
                <w:rPr>
                  <w:noProof/>
                </w:rPr>
                <w:fldChar w:fldCharType="begin"/>
              </w:r>
              <w:r w:rsidR="001D2404">
                <w:rPr>
                  <w:noProof/>
                </w:rPr>
                <w:instrText xml:space="preserve"> PAGEREF _Toc160633851 \h </w:instrText>
              </w:r>
              <w:r w:rsidR="001D2404">
                <w:rPr>
                  <w:noProof/>
                </w:rPr>
              </w:r>
              <w:r w:rsidR="001D2404">
                <w:rPr>
                  <w:noProof/>
                </w:rPr>
                <w:fldChar w:fldCharType="separate"/>
              </w:r>
              <w:r w:rsidR="00AE166D">
                <w:rPr>
                  <w:noProof/>
                </w:rPr>
                <w:t>55</w:t>
              </w:r>
              <w:r w:rsidR="001D2404">
                <w:rPr>
                  <w:noProof/>
                </w:rPr>
                <w:fldChar w:fldCharType="end"/>
              </w:r>
            </w:hyperlink>
          </w:p>
          <w:p w14:paraId="280E635A" w14:textId="251763C7"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2" w:history="1">
              <w:r w:rsidR="001D2404" w:rsidRPr="00B33775">
                <w:rPr>
                  <w:rStyle w:val="Hyperlink"/>
                  <w:noProof/>
                </w:rPr>
                <w:t>6.1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Attribution of crime to alcohol</w:t>
              </w:r>
              <w:r w:rsidR="001D2404">
                <w:rPr>
                  <w:noProof/>
                </w:rPr>
                <w:tab/>
              </w:r>
              <w:r w:rsidR="001D2404">
                <w:rPr>
                  <w:noProof/>
                </w:rPr>
                <w:fldChar w:fldCharType="begin"/>
              </w:r>
              <w:r w:rsidR="001D2404">
                <w:rPr>
                  <w:noProof/>
                </w:rPr>
                <w:instrText xml:space="preserve"> PAGEREF _Toc160633852 \h </w:instrText>
              </w:r>
              <w:r w:rsidR="001D2404">
                <w:rPr>
                  <w:noProof/>
                </w:rPr>
              </w:r>
              <w:r w:rsidR="001D2404">
                <w:rPr>
                  <w:noProof/>
                </w:rPr>
                <w:fldChar w:fldCharType="separate"/>
              </w:r>
              <w:r w:rsidR="00AE166D">
                <w:rPr>
                  <w:noProof/>
                </w:rPr>
                <w:t>58</w:t>
              </w:r>
              <w:r w:rsidR="001D2404">
                <w:rPr>
                  <w:noProof/>
                </w:rPr>
                <w:fldChar w:fldCharType="end"/>
              </w:r>
            </w:hyperlink>
          </w:p>
          <w:p w14:paraId="4B062A2B" w14:textId="0CE1FFCE"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3" w:history="1">
              <w:r w:rsidR="001D2404" w:rsidRPr="00B33775">
                <w:rPr>
                  <w:rStyle w:val="Hyperlink"/>
                  <w:noProof/>
                </w:rPr>
                <w:t>6.2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Evidence of alcohol-attributable costs of crime</w:t>
              </w:r>
              <w:r w:rsidR="001D2404">
                <w:rPr>
                  <w:noProof/>
                </w:rPr>
                <w:tab/>
              </w:r>
              <w:r w:rsidR="001D2404">
                <w:rPr>
                  <w:noProof/>
                </w:rPr>
                <w:fldChar w:fldCharType="begin"/>
              </w:r>
              <w:r w:rsidR="001D2404">
                <w:rPr>
                  <w:noProof/>
                </w:rPr>
                <w:instrText xml:space="preserve"> PAGEREF _Toc160633853 \h </w:instrText>
              </w:r>
              <w:r w:rsidR="001D2404">
                <w:rPr>
                  <w:noProof/>
                </w:rPr>
              </w:r>
              <w:r w:rsidR="001D2404">
                <w:rPr>
                  <w:noProof/>
                </w:rPr>
                <w:fldChar w:fldCharType="separate"/>
              </w:r>
              <w:r w:rsidR="00AE166D">
                <w:rPr>
                  <w:noProof/>
                </w:rPr>
                <w:t>59</w:t>
              </w:r>
              <w:r w:rsidR="001D2404">
                <w:rPr>
                  <w:noProof/>
                </w:rPr>
                <w:fldChar w:fldCharType="end"/>
              </w:r>
            </w:hyperlink>
          </w:p>
          <w:p w14:paraId="468C8F7C" w14:textId="2C7D6B02"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4" w:history="1">
              <w:r w:rsidR="001D2404" w:rsidRPr="00B33775">
                <w:rPr>
                  <w:rStyle w:val="Hyperlink"/>
                  <w:noProof/>
                </w:rPr>
                <w:t>6.3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Estimated costs to government of incarceration for alcohol-attributable crime</w:t>
              </w:r>
              <w:r w:rsidR="001D2404">
                <w:rPr>
                  <w:noProof/>
                </w:rPr>
                <w:tab/>
              </w:r>
              <w:r w:rsidR="001D2404">
                <w:rPr>
                  <w:noProof/>
                </w:rPr>
                <w:fldChar w:fldCharType="begin"/>
              </w:r>
              <w:r w:rsidR="001D2404">
                <w:rPr>
                  <w:noProof/>
                </w:rPr>
                <w:instrText xml:space="preserve"> PAGEREF _Toc160633854 \h </w:instrText>
              </w:r>
              <w:r w:rsidR="001D2404">
                <w:rPr>
                  <w:noProof/>
                </w:rPr>
              </w:r>
              <w:r w:rsidR="001D2404">
                <w:rPr>
                  <w:noProof/>
                </w:rPr>
                <w:fldChar w:fldCharType="separate"/>
              </w:r>
              <w:r w:rsidR="00AE166D">
                <w:rPr>
                  <w:noProof/>
                </w:rPr>
                <w:t>60</w:t>
              </w:r>
              <w:r w:rsidR="001D2404">
                <w:rPr>
                  <w:noProof/>
                </w:rPr>
                <w:fldChar w:fldCharType="end"/>
              </w:r>
            </w:hyperlink>
          </w:p>
          <w:p w14:paraId="1969560D" w14:textId="3B08BFC0"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5" w:history="1">
              <w:r w:rsidR="001D2404" w:rsidRPr="00B33775">
                <w:rPr>
                  <w:rStyle w:val="Hyperlink"/>
                  <w:noProof/>
                </w:rPr>
                <w:t>6.4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Estimated costs of programmes and services to address family harms</w:t>
              </w:r>
              <w:r w:rsidR="001D2404">
                <w:rPr>
                  <w:noProof/>
                </w:rPr>
                <w:tab/>
              </w:r>
              <w:r w:rsidR="001D2404">
                <w:rPr>
                  <w:noProof/>
                </w:rPr>
                <w:fldChar w:fldCharType="begin"/>
              </w:r>
              <w:r w:rsidR="001D2404">
                <w:rPr>
                  <w:noProof/>
                </w:rPr>
                <w:instrText xml:space="preserve"> PAGEREF _Toc160633855 \h </w:instrText>
              </w:r>
              <w:r w:rsidR="001D2404">
                <w:rPr>
                  <w:noProof/>
                </w:rPr>
              </w:r>
              <w:r w:rsidR="001D2404">
                <w:rPr>
                  <w:noProof/>
                </w:rPr>
                <w:fldChar w:fldCharType="separate"/>
              </w:r>
              <w:r w:rsidR="00AE166D">
                <w:rPr>
                  <w:noProof/>
                </w:rPr>
                <w:t>62</w:t>
              </w:r>
              <w:r w:rsidR="001D2404">
                <w:rPr>
                  <w:noProof/>
                </w:rPr>
                <w:fldChar w:fldCharType="end"/>
              </w:r>
            </w:hyperlink>
          </w:p>
          <w:p w14:paraId="7916E791" w14:textId="7439497E"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6" w:history="1">
              <w:r w:rsidR="001D2404" w:rsidRPr="00B33775">
                <w:rPr>
                  <w:rStyle w:val="Hyperlink"/>
                  <w:noProof/>
                </w:rPr>
                <w:t>6.5</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Funeral grants for victims of homicide</w:t>
              </w:r>
              <w:r w:rsidR="001D2404">
                <w:rPr>
                  <w:noProof/>
                </w:rPr>
                <w:tab/>
              </w:r>
              <w:r w:rsidR="001D2404">
                <w:rPr>
                  <w:noProof/>
                </w:rPr>
                <w:fldChar w:fldCharType="begin"/>
              </w:r>
              <w:r w:rsidR="001D2404">
                <w:rPr>
                  <w:noProof/>
                </w:rPr>
                <w:instrText xml:space="preserve"> PAGEREF _Toc160633856 \h </w:instrText>
              </w:r>
              <w:r w:rsidR="001D2404">
                <w:rPr>
                  <w:noProof/>
                </w:rPr>
              </w:r>
              <w:r w:rsidR="001D2404">
                <w:rPr>
                  <w:noProof/>
                </w:rPr>
                <w:fldChar w:fldCharType="separate"/>
              </w:r>
              <w:r w:rsidR="00AE166D">
                <w:rPr>
                  <w:noProof/>
                </w:rPr>
                <w:t>62</w:t>
              </w:r>
              <w:r w:rsidR="001D2404">
                <w:rPr>
                  <w:noProof/>
                </w:rPr>
                <w:fldChar w:fldCharType="end"/>
              </w:r>
            </w:hyperlink>
          </w:p>
          <w:p w14:paraId="7EBEA460" w14:textId="34571335"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7" w:history="1">
              <w:r w:rsidR="001D2404" w:rsidRPr="00B33775">
                <w:rPr>
                  <w:rStyle w:val="Hyperlink"/>
                  <w:noProof/>
                </w:rPr>
                <w:t>6.6</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Limitations of estimated justice sector costs of alcohol harms</w:t>
              </w:r>
              <w:r w:rsidR="001D2404">
                <w:rPr>
                  <w:noProof/>
                </w:rPr>
                <w:tab/>
              </w:r>
              <w:r w:rsidR="001D2404">
                <w:rPr>
                  <w:noProof/>
                </w:rPr>
                <w:fldChar w:fldCharType="begin"/>
              </w:r>
              <w:r w:rsidR="001D2404">
                <w:rPr>
                  <w:noProof/>
                </w:rPr>
                <w:instrText xml:space="preserve"> PAGEREF _Toc160633857 \h </w:instrText>
              </w:r>
              <w:r w:rsidR="001D2404">
                <w:rPr>
                  <w:noProof/>
                </w:rPr>
              </w:r>
              <w:r w:rsidR="001D2404">
                <w:rPr>
                  <w:noProof/>
                </w:rPr>
                <w:fldChar w:fldCharType="separate"/>
              </w:r>
              <w:r w:rsidR="00AE166D">
                <w:rPr>
                  <w:noProof/>
                </w:rPr>
                <w:t>62</w:t>
              </w:r>
              <w:r w:rsidR="001D2404">
                <w:rPr>
                  <w:noProof/>
                </w:rPr>
                <w:fldChar w:fldCharType="end"/>
              </w:r>
            </w:hyperlink>
          </w:p>
          <w:p w14:paraId="72B4FD12" w14:textId="12901DA6"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58" w:history="1">
              <w:r w:rsidR="001D2404" w:rsidRPr="00B33775">
                <w:rPr>
                  <w:rStyle w:val="Hyperlink"/>
                  <w:noProof/>
                </w:rPr>
                <w:t>7</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Victims of crime private costs</w:t>
              </w:r>
              <w:r w:rsidR="001D2404">
                <w:rPr>
                  <w:noProof/>
                </w:rPr>
                <w:tab/>
              </w:r>
              <w:r w:rsidR="001D2404">
                <w:rPr>
                  <w:noProof/>
                </w:rPr>
                <w:fldChar w:fldCharType="begin"/>
              </w:r>
              <w:r w:rsidR="001D2404">
                <w:rPr>
                  <w:noProof/>
                </w:rPr>
                <w:instrText xml:space="preserve"> PAGEREF _Toc160633858 \h </w:instrText>
              </w:r>
              <w:r w:rsidR="001D2404">
                <w:rPr>
                  <w:noProof/>
                </w:rPr>
              </w:r>
              <w:r w:rsidR="001D2404">
                <w:rPr>
                  <w:noProof/>
                </w:rPr>
                <w:fldChar w:fldCharType="separate"/>
              </w:r>
              <w:r w:rsidR="00AE166D">
                <w:rPr>
                  <w:noProof/>
                </w:rPr>
                <w:t>64</w:t>
              </w:r>
              <w:r w:rsidR="001D2404">
                <w:rPr>
                  <w:noProof/>
                </w:rPr>
                <w:fldChar w:fldCharType="end"/>
              </w:r>
            </w:hyperlink>
          </w:p>
          <w:p w14:paraId="245D81AB" w14:textId="28AB8563"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59" w:history="1">
              <w:r w:rsidR="001D2404" w:rsidRPr="00B33775">
                <w:rPr>
                  <w:rStyle w:val="Hyperlink"/>
                  <w:noProof/>
                </w:rPr>
                <w:t>7.1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Estimation of victims of crime private costs attributable to alcohol</w:t>
              </w:r>
              <w:r w:rsidR="001D2404">
                <w:rPr>
                  <w:noProof/>
                </w:rPr>
                <w:tab/>
              </w:r>
              <w:r w:rsidR="001D2404">
                <w:rPr>
                  <w:noProof/>
                </w:rPr>
                <w:fldChar w:fldCharType="begin"/>
              </w:r>
              <w:r w:rsidR="001D2404">
                <w:rPr>
                  <w:noProof/>
                </w:rPr>
                <w:instrText xml:space="preserve"> PAGEREF _Toc160633859 \h </w:instrText>
              </w:r>
              <w:r w:rsidR="001D2404">
                <w:rPr>
                  <w:noProof/>
                </w:rPr>
              </w:r>
              <w:r w:rsidR="001D2404">
                <w:rPr>
                  <w:noProof/>
                </w:rPr>
                <w:fldChar w:fldCharType="separate"/>
              </w:r>
              <w:r w:rsidR="00AE166D">
                <w:rPr>
                  <w:noProof/>
                </w:rPr>
                <w:t>66</w:t>
              </w:r>
              <w:r w:rsidR="001D2404">
                <w:rPr>
                  <w:noProof/>
                </w:rPr>
                <w:fldChar w:fldCharType="end"/>
              </w:r>
            </w:hyperlink>
          </w:p>
          <w:p w14:paraId="324446C7" w14:textId="5A951611"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0" w:history="1">
              <w:r w:rsidR="001D2404" w:rsidRPr="00B33775">
                <w:rPr>
                  <w:rStyle w:val="Hyperlink"/>
                  <w:noProof/>
                </w:rPr>
                <w:t>7.2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Limitations of the victims of crime private alcohol-attributable costs</w:t>
              </w:r>
              <w:r w:rsidR="001D2404">
                <w:rPr>
                  <w:noProof/>
                </w:rPr>
                <w:tab/>
              </w:r>
              <w:r w:rsidR="001D2404">
                <w:rPr>
                  <w:noProof/>
                </w:rPr>
                <w:fldChar w:fldCharType="begin"/>
              </w:r>
              <w:r w:rsidR="001D2404">
                <w:rPr>
                  <w:noProof/>
                </w:rPr>
                <w:instrText xml:space="preserve"> PAGEREF _Toc160633860 \h </w:instrText>
              </w:r>
              <w:r w:rsidR="001D2404">
                <w:rPr>
                  <w:noProof/>
                </w:rPr>
              </w:r>
              <w:r w:rsidR="001D2404">
                <w:rPr>
                  <w:noProof/>
                </w:rPr>
                <w:fldChar w:fldCharType="separate"/>
              </w:r>
              <w:r w:rsidR="00AE166D">
                <w:rPr>
                  <w:noProof/>
                </w:rPr>
                <w:t>67</w:t>
              </w:r>
              <w:r w:rsidR="001D2404">
                <w:rPr>
                  <w:noProof/>
                </w:rPr>
                <w:fldChar w:fldCharType="end"/>
              </w:r>
            </w:hyperlink>
          </w:p>
          <w:p w14:paraId="005C08FA" w14:textId="5693B6E7"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61" w:history="1">
              <w:r w:rsidR="001D2404" w:rsidRPr="00B33775">
                <w:rPr>
                  <w:rStyle w:val="Hyperlink"/>
                  <w:noProof/>
                </w:rPr>
                <w:t>8</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Social development sector costs</w:t>
              </w:r>
              <w:r w:rsidR="001D2404">
                <w:rPr>
                  <w:noProof/>
                </w:rPr>
                <w:tab/>
              </w:r>
              <w:r w:rsidR="001D2404">
                <w:rPr>
                  <w:noProof/>
                </w:rPr>
                <w:fldChar w:fldCharType="begin"/>
              </w:r>
              <w:r w:rsidR="001D2404">
                <w:rPr>
                  <w:noProof/>
                </w:rPr>
                <w:instrText xml:space="preserve"> PAGEREF _Toc160633861 \h </w:instrText>
              </w:r>
              <w:r w:rsidR="001D2404">
                <w:rPr>
                  <w:noProof/>
                </w:rPr>
              </w:r>
              <w:r w:rsidR="001D2404">
                <w:rPr>
                  <w:noProof/>
                </w:rPr>
                <w:fldChar w:fldCharType="separate"/>
              </w:r>
              <w:r w:rsidR="00AE166D">
                <w:rPr>
                  <w:noProof/>
                </w:rPr>
                <w:t>69</w:t>
              </w:r>
              <w:r w:rsidR="001D2404">
                <w:rPr>
                  <w:noProof/>
                </w:rPr>
                <w:fldChar w:fldCharType="end"/>
              </w:r>
            </w:hyperlink>
          </w:p>
          <w:p w14:paraId="65D119A3" w14:textId="5BBFBEBD"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2" w:history="1">
              <w:r w:rsidR="001D2404" w:rsidRPr="00B33775">
                <w:rPr>
                  <w:rStyle w:val="Hyperlink"/>
                  <w:noProof/>
                </w:rPr>
                <w:t>8.1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Disability benefits</w:t>
              </w:r>
              <w:r w:rsidR="001D2404">
                <w:rPr>
                  <w:noProof/>
                </w:rPr>
                <w:tab/>
              </w:r>
              <w:r w:rsidR="001D2404">
                <w:rPr>
                  <w:noProof/>
                </w:rPr>
                <w:fldChar w:fldCharType="begin"/>
              </w:r>
              <w:r w:rsidR="001D2404">
                <w:rPr>
                  <w:noProof/>
                </w:rPr>
                <w:instrText xml:space="preserve"> PAGEREF _Toc160633862 \h </w:instrText>
              </w:r>
              <w:r w:rsidR="001D2404">
                <w:rPr>
                  <w:noProof/>
                </w:rPr>
              </w:r>
              <w:r w:rsidR="001D2404">
                <w:rPr>
                  <w:noProof/>
                </w:rPr>
                <w:fldChar w:fldCharType="separate"/>
              </w:r>
              <w:r w:rsidR="00AE166D">
                <w:rPr>
                  <w:noProof/>
                </w:rPr>
                <w:t>69</w:t>
              </w:r>
              <w:r w:rsidR="001D2404">
                <w:rPr>
                  <w:noProof/>
                </w:rPr>
                <w:fldChar w:fldCharType="end"/>
              </w:r>
            </w:hyperlink>
          </w:p>
          <w:p w14:paraId="21D1729C" w14:textId="70EDA47B"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3" w:history="1">
              <w:r w:rsidR="001D2404" w:rsidRPr="00B33775">
                <w:rPr>
                  <w:rStyle w:val="Hyperlink"/>
                  <w:noProof/>
                </w:rPr>
                <w:t>8.2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Limitations of estimates of social development sector costs</w:t>
              </w:r>
              <w:r w:rsidR="001D2404">
                <w:rPr>
                  <w:noProof/>
                </w:rPr>
                <w:tab/>
              </w:r>
              <w:r w:rsidR="001D2404">
                <w:rPr>
                  <w:noProof/>
                </w:rPr>
                <w:fldChar w:fldCharType="begin"/>
              </w:r>
              <w:r w:rsidR="001D2404">
                <w:rPr>
                  <w:noProof/>
                </w:rPr>
                <w:instrText xml:space="preserve"> PAGEREF _Toc160633863 \h </w:instrText>
              </w:r>
              <w:r w:rsidR="001D2404">
                <w:rPr>
                  <w:noProof/>
                </w:rPr>
              </w:r>
              <w:r w:rsidR="001D2404">
                <w:rPr>
                  <w:noProof/>
                </w:rPr>
                <w:fldChar w:fldCharType="separate"/>
              </w:r>
              <w:r w:rsidR="00AE166D">
                <w:rPr>
                  <w:noProof/>
                </w:rPr>
                <w:t>70</w:t>
              </w:r>
              <w:r w:rsidR="001D2404">
                <w:rPr>
                  <w:noProof/>
                </w:rPr>
                <w:fldChar w:fldCharType="end"/>
              </w:r>
            </w:hyperlink>
          </w:p>
          <w:p w14:paraId="7B269E37" w14:textId="1459011A"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64" w:history="1">
              <w:r w:rsidR="001D2404" w:rsidRPr="00B33775">
                <w:rPr>
                  <w:rStyle w:val="Hyperlink"/>
                  <w:noProof/>
                </w:rPr>
                <w:t>9</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Productivity losses</w:t>
              </w:r>
              <w:r w:rsidR="001D2404">
                <w:rPr>
                  <w:noProof/>
                </w:rPr>
                <w:tab/>
              </w:r>
              <w:r w:rsidR="001D2404">
                <w:rPr>
                  <w:noProof/>
                </w:rPr>
                <w:fldChar w:fldCharType="begin"/>
              </w:r>
              <w:r w:rsidR="001D2404">
                <w:rPr>
                  <w:noProof/>
                </w:rPr>
                <w:instrText xml:space="preserve"> PAGEREF _Toc160633864 \h </w:instrText>
              </w:r>
              <w:r w:rsidR="001D2404">
                <w:rPr>
                  <w:noProof/>
                </w:rPr>
              </w:r>
              <w:r w:rsidR="001D2404">
                <w:rPr>
                  <w:noProof/>
                </w:rPr>
                <w:fldChar w:fldCharType="separate"/>
              </w:r>
              <w:r w:rsidR="00AE166D">
                <w:rPr>
                  <w:noProof/>
                </w:rPr>
                <w:t>72</w:t>
              </w:r>
              <w:r w:rsidR="001D2404">
                <w:rPr>
                  <w:noProof/>
                </w:rPr>
                <w:fldChar w:fldCharType="end"/>
              </w:r>
            </w:hyperlink>
          </w:p>
          <w:p w14:paraId="13909221" w14:textId="541B9F47"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5" w:history="1">
              <w:r w:rsidR="001D2404" w:rsidRPr="00B33775">
                <w:rPr>
                  <w:rStyle w:val="Hyperlink"/>
                  <w:noProof/>
                </w:rPr>
                <w:t>9.1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Premature deaths attributable to alcohol</w:t>
              </w:r>
              <w:r w:rsidR="001D2404">
                <w:rPr>
                  <w:noProof/>
                </w:rPr>
                <w:tab/>
              </w:r>
              <w:r w:rsidR="001D2404">
                <w:rPr>
                  <w:noProof/>
                </w:rPr>
                <w:fldChar w:fldCharType="begin"/>
              </w:r>
              <w:r w:rsidR="001D2404">
                <w:rPr>
                  <w:noProof/>
                </w:rPr>
                <w:instrText xml:space="preserve"> PAGEREF _Toc160633865 \h </w:instrText>
              </w:r>
              <w:r w:rsidR="001D2404">
                <w:rPr>
                  <w:noProof/>
                </w:rPr>
              </w:r>
              <w:r w:rsidR="001D2404">
                <w:rPr>
                  <w:noProof/>
                </w:rPr>
                <w:fldChar w:fldCharType="separate"/>
              </w:r>
              <w:r w:rsidR="00AE166D">
                <w:rPr>
                  <w:noProof/>
                </w:rPr>
                <w:t>72</w:t>
              </w:r>
              <w:r w:rsidR="001D2404">
                <w:rPr>
                  <w:noProof/>
                </w:rPr>
                <w:fldChar w:fldCharType="end"/>
              </w:r>
            </w:hyperlink>
          </w:p>
          <w:p w14:paraId="2C42B011" w14:textId="004561E5"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6" w:history="1">
              <w:r w:rsidR="001D2404" w:rsidRPr="00B33775">
                <w:rPr>
                  <w:rStyle w:val="Hyperlink"/>
                  <w:noProof/>
                </w:rPr>
                <w:t>9.2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Costs associated with lost productivity due to alcohol-attributable premature death</w:t>
              </w:r>
              <w:r w:rsidR="001D2404">
                <w:rPr>
                  <w:noProof/>
                </w:rPr>
                <w:tab/>
              </w:r>
              <w:r w:rsidR="001D2404">
                <w:rPr>
                  <w:noProof/>
                </w:rPr>
                <w:fldChar w:fldCharType="begin"/>
              </w:r>
              <w:r w:rsidR="001D2404">
                <w:rPr>
                  <w:noProof/>
                </w:rPr>
                <w:instrText xml:space="preserve"> PAGEREF _Toc160633866 \h </w:instrText>
              </w:r>
              <w:r w:rsidR="001D2404">
                <w:rPr>
                  <w:noProof/>
                </w:rPr>
              </w:r>
              <w:r w:rsidR="001D2404">
                <w:rPr>
                  <w:noProof/>
                </w:rPr>
                <w:fldChar w:fldCharType="separate"/>
              </w:r>
              <w:r w:rsidR="00AE166D">
                <w:rPr>
                  <w:noProof/>
                </w:rPr>
                <w:t>73</w:t>
              </w:r>
              <w:r w:rsidR="001D2404">
                <w:rPr>
                  <w:noProof/>
                </w:rPr>
                <w:fldChar w:fldCharType="end"/>
              </w:r>
            </w:hyperlink>
          </w:p>
          <w:p w14:paraId="156938DF" w14:textId="44FFE240"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7" w:history="1">
              <w:r w:rsidR="001D2404" w:rsidRPr="00B33775">
                <w:rPr>
                  <w:rStyle w:val="Hyperlink"/>
                  <w:noProof/>
                </w:rPr>
                <w:t>9.3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Lost productivity associated with hospitalisation for alcohol-related conditions</w:t>
              </w:r>
              <w:r w:rsidR="001D2404">
                <w:rPr>
                  <w:noProof/>
                </w:rPr>
                <w:tab/>
              </w:r>
              <w:r w:rsidR="001D2404">
                <w:rPr>
                  <w:noProof/>
                </w:rPr>
                <w:fldChar w:fldCharType="begin"/>
              </w:r>
              <w:r w:rsidR="001D2404">
                <w:rPr>
                  <w:noProof/>
                </w:rPr>
                <w:instrText xml:space="preserve"> PAGEREF _Toc160633867 \h </w:instrText>
              </w:r>
              <w:r w:rsidR="001D2404">
                <w:rPr>
                  <w:noProof/>
                </w:rPr>
              </w:r>
              <w:r w:rsidR="001D2404">
                <w:rPr>
                  <w:noProof/>
                </w:rPr>
                <w:fldChar w:fldCharType="separate"/>
              </w:r>
              <w:r w:rsidR="00AE166D">
                <w:rPr>
                  <w:noProof/>
                </w:rPr>
                <w:t>74</w:t>
              </w:r>
              <w:r w:rsidR="001D2404">
                <w:rPr>
                  <w:noProof/>
                </w:rPr>
                <w:fldChar w:fldCharType="end"/>
              </w:r>
            </w:hyperlink>
          </w:p>
          <w:p w14:paraId="00B77B70" w14:textId="7B6BE84C"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8" w:history="1">
              <w:r w:rsidR="001D2404" w:rsidRPr="00B33775">
                <w:rPr>
                  <w:rStyle w:val="Hyperlink"/>
                  <w:noProof/>
                </w:rPr>
                <w:t>9.4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Lost productivity associated with alcohol-attributable injuries and disability</w:t>
              </w:r>
              <w:r w:rsidR="001D2404">
                <w:rPr>
                  <w:noProof/>
                </w:rPr>
                <w:tab/>
              </w:r>
              <w:r w:rsidR="001D2404">
                <w:rPr>
                  <w:noProof/>
                </w:rPr>
                <w:fldChar w:fldCharType="begin"/>
              </w:r>
              <w:r w:rsidR="001D2404">
                <w:rPr>
                  <w:noProof/>
                </w:rPr>
                <w:instrText xml:space="preserve"> PAGEREF _Toc160633868 \h </w:instrText>
              </w:r>
              <w:r w:rsidR="001D2404">
                <w:rPr>
                  <w:noProof/>
                </w:rPr>
              </w:r>
              <w:r w:rsidR="001D2404">
                <w:rPr>
                  <w:noProof/>
                </w:rPr>
                <w:fldChar w:fldCharType="separate"/>
              </w:r>
              <w:r w:rsidR="00AE166D">
                <w:rPr>
                  <w:noProof/>
                </w:rPr>
                <w:t>75</w:t>
              </w:r>
              <w:r w:rsidR="001D2404">
                <w:rPr>
                  <w:noProof/>
                </w:rPr>
                <w:fldChar w:fldCharType="end"/>
              </w:r>
            </w:hyperlink>
          </w:p>
          <w:p w14:paraId="1A07228D" w14:textId="38D29DBB"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69" w:history="1">
              <w:r w:rsidR="001D2404" w:rsidRPr="00B33775">
                <w:rPr>
                  <w:rStyle w:val="Hyperlink"/>
                  <w:noProof/>
                </w:rPr>
                <w:t>9.5</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Productivity losses due to incarceration</w:t>
              </w:r>
              <w:r w:rsidR="001D2404">
                <w:rPr>
                  <w:noProof/>
                </w:rPr>
                <w:tab/>
              </w:r>
              <w:r w:rsidR="001D2404">
                <w:rPr>
                  <w:noProof/>
                </w:rPr>
                <w:fldChar w:fldCharType="begin"/>
              </w:r>
              <w:r w:rsidR="001D2404">
                <w:rPr>
                  <w:noProof/>
                </w:rPr>
                <w:instrText xml:space="preserve"> PAGEREF _Toc160633869 \h </w:instrText>
              </w:r>
              <w:r w:rsidR="001D2404">
                <w:rPr>
                  <w:noProof/>
                </w:rPr>
              </w:r>
              <w:r w:rsidR="001D2404">
                <w:rPr>
                  <w:noProof/>
                </w:rPr>
                <w:fldChar w:fldCharType="separate"/>
              </w:r>
              <w:r w:rsidR="00AE166D">
                <w:rPr>
                  <w:noProof/>
                </w:rPr>
                <w:t>76</w:t>
              </w:r>
              <w:r w:rsidR="001D2404">
                <w:rPr>
                  <w:noProof/>
                </w:rPr>
                <w:fldChar w:fldCharType="end"/>
              </w:r>
            </w:hyperlink>
          </w:p>
          <w:p w14:paraId="1EC52ACE" w14:textId="474FD204"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0" w:history="1">
              <w:r w:rsidR="001D2404" w:rsidRPr="00B33775">
                <w:rPr>
                  <w:rStyle w:val="Hyperlink"/>
                  <w:noProof/>
                </w:rPr>
                <w:t>9.6</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Lost productivity associated with alcohol-attributable absenteeism and presenteeism</w:t>
              </w:r>
              <w:r w:rsidR="001D2404">
                <w:rPr>
                  <w:noProof/>
                </w:rPr>
                <w:tab/>
              </w:r>
              <w:r w:rsidR="001D2404">
                <w:rPr>
                  <w:noProof/>
                </w:rPr>
                <w:fldChar w:fldCharType="begin"/>
              </w:r>
              <w:r w:rsidR="001D2404">
                <w:rPr>
                  <w:noProof/>
                </w:rPr>
                <w:instrText xml:space="preserve"> PAGEREF _Toc160633870 \h </w:instrText>
              </w:r>
              <w:r w:rsidR="001D2404">
                <w:rPr>
                  <w:noProof/>
                </w:rPr>
              </w:r>
              <w:r w:rsidR="001D2404">
                <w:rPr>
                  <w:noProof/>
                </w:rPr>
                <w:fldChar w:fldCharType="separate"/>
              </w:r>
              <w:r w:rsidR="00AE166D">
                <w:rPr>
                  <w:noProof/>
                </w:rPr>
                <w:t>78</w:t>
              </w:r>
              <w:r w:rsidR="001D2404">
                <w:rPr>
                  <w:noProof/>
                </w:rPr>
                <w:fldChar w:fldCharType="end"/>
              </w:r>
            </w:hyperlink>
          </w:p>
          <w:p w14:paraId="0D07ECEE" w14:textId="097D7B02"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1" w:history="1">
              <w:r w:rsidR="001D2404" w:rsidRPr="00B33775">
                <w:rPr>
                  <w:rStyle w:val="Hyperlink"/>
                  <w:noProof/>
                </w:rPr>
                <w:t>9.7</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Lost productivity associated with impairment from fetal alcohol spectrum disorder</w:t>
              </w:r>
              <w:r w:rsidR="001D2404">
                <w:rPr>
                  <w:noProof/>
                </w:rPr>
                <w:tab/>
              </w:r>
              <w:r w:rsidR="001D2404">
                <w:rPr>
                  <w:noProof/>
                </w:rPr>
                <w:fldChar w:fldCharType="begin"/>
              </w:r>
              <w:r w:rsidR="001D2404">
                <w:rPr>
                  <w:noProof/>
                </w:rPr>
                <w:instrText xml:space="preserve"> PAGEREF _Toc160633871 \h </w:instrText>
              </w:r>
              <w:r w:rsidR="001D2404">
                <w:rPr>
                  <w:noProof/>
                </w:rPr>
              </w:r>
              <w:r w:rsidR="001D2404">
                <w:rPr>
                  <w:noProof/>
                </w:rPr>
                <w:fldChar w:fldCharType="separate"/>
              </w:r>
              <w:r w:rsidR="00AE166D">
                <w:rPr>
                  <w:noProof/>
                </w:rPr>
                <w:t>80</w:t>
              </w:r>
              <w:r w:rsidR="001D2404">
                <w:rPr>
                  <w:noProof/>
                </w:rPr>
                <w:fldChar w:fldCharType="end"/>
              </w:r>
            </w:hyperlink>
          </w:p>
          <w:p w14:paraId="04191841" w14:textId="3A55C1BA"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2" w:history="1">
              <w:r w:rsidR="001D2404" w:rsidRPr="00B33775">
                <w:rPr>
                  <w:rStyle w:val="Hyperlink"/>
                  <w:noProof/>
                </w:rPr>
                <w:t>9.8</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Limitations of estimates of productivity losses</w:t>
              </w:r>
              <w:r w:rsidR="001D2404">
                <w:rPr>
                  <w:noProof/>
                </w:rPr>
                <w:tab/>
              </w:r>
              <w:r w:rsidR="001D2404">
                <w:rPr>
                  <w:noProof/>
                </w:rPr>
                <w:fldChar w:fldCharType="begin"/>
              </w:r>
              <w:r w:rsidR="001D2404">
                <w:rPr>
                  <w:noProof/>
                </w:rPr>
                <w:instrText xml:space="preserve"> PAGEREF _Toc160633872 \h </w:instrText>
              </w:r>
              <w:r w:rsidR="001D2404">
                <w:rPr>
                  <w:noProof/>
                </w:rPr>
              </w:r>
              <w:r w:rsidR="001D2404">
                <w:rPr>
                  <w:noProof/>
                </w:rPr>
                <w:fldChar w:fldCharType="separate"/>
              </w:r>
              <w:r w:rsidR="00AE166D">
                <w:rPr>
                  <w:noProof/>
                </w:rPr>
                <w:t>87</w:t>
              </w:r>
              <w:r w:rsidR="001D2404">
                <w:rPr>
                  <w:noProof/>
                </w:rPr>
                <w:fldChar w:fldCharType="end"/>
              </w:r>
            </w:hyperlink>
          </w:p>
          <w:p w14:paraId="51C430C5" w14:textId="1D46CD50"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73" w:history="1">
              <w:r w:rsidR="001D2404" w:rsidRPr="00B33775">
                <w:rPr>
                  <w:rStyle w:val="Hyperlink"/>
                  <w:noProof/>
                </w:rPr>
                <w:t>10</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Summary of results</w:t>
              </w:r>
              <w:r w:rsidR="001D2404">
                <w:rPr>
                  <w:noProof/>
                </w:rPr>
                <w:tab/>
              </w:r>
              <w:r w:rsidR="001D2404">
                <w:rPr>
                  <w:noProof/>
                </w:rPr>
                <w:fldChar w:fldCharType="begin"/>
              </w:r>
              <w:r w:rsidR="001D2404">
                <w:rPr>
                  <w:noProof/>
                </w:rPr>
                <w:instrText xml:space="preserve"> PAGEREF _Toc160633873 \h </w:instrText>
              </w:r>
              <w:r w:rsidR="001D2404">
                <w:rPr>
                  <w:noProof/>
                </w:rPr>
              </w:r>
              <w:r w:rsidR="001D2404">
                <w:rPr>
                  <w:noProof/>
                </w:rPr>
                <w:fldChar w:fldCharType="separate"/>
              </w:r>
              <w:r w:rsidR="00AE166D">
                <w:rPr>
                  <w:noProof/>
                </w:rPr>
                <w:t>88</w:t>
              </w:r>
              <w:r w:rsidR="001D2404">
                <w:rPr>
                  <w:noProof/>
                </w:rPr>
                <w:fldChar w:fldCharType="end"/>
              </w:r>
            </w:hyperlink>
          </w:p>
          <w:p w14:paraId="6E8FCBC5" w14:textId="56D24F22"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4" w:history="1">
              <w:r w:rsidR="001D2404" w:rsidRPr="00B33775">
                <w:rPr>
                  <w:rStyle w:val="Hyperlink"/>
                  <w:noProof/>
                </w:rPr>
                <w:t>10.1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Aggregation and double-counting risks</w:t>
              </w:r>
              <w:r w:rsidR="001D2404">
                <w:rPr>
                  <w:noProof/>
                </w:rPr>
                <w:tab/>
              </w:r>
              <w:r w:rsidR="001D2404">
                <w:rPr>
                  <w:noProof/>
                </w:rPr>
                <w:fldChar w:fldCharType="begin"/>
              </w:r>
              <w:r w:rsidR="001D2404">
                <w:rPr>
                  <w:noProof/>
                </w:rPr>
                <w:instrText xml:space="preserve"> PAGEREF _Toc160633874 \h </w:instrText>
              </w:r>
              <w:r w:rsidR="001D2404">
                <w:rPr>
                  <w:noProof/>
                </w:rPr>
              </w:r>
              <w:r w:rsidR="001D2404">
                <w:rPr>
                  <w:noProof/>
                </w:rPr>
                <w:fldChar w:fldCharType="separate"/>
              </w:r>
              <w:r w:rsidR="00AE166D">
                <w:rPr>
                  <w:noProof/>
                </w:rPr>
                <w:t>90</w:t>
              </w:r>
              <w:r w:rsidR="001D2404">
                <w:rPr>
                  <w:noProof/>
                </w:rPr>
                <w:fldChar w:fldCharType="end"/>
              </w:r>
            </w:hyperlink>
          </w:p>
          <w:p w14:paraId="1D8930C4" w14:textId="7D50DF71"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75" w:history="1">
              <w:r w:rsidR="001D2404" w:rsidRPr="00B33775">
                <w:rPr>
                  <w:rStyle w:val="Hyperlink"/>
                  <w:noProof/>
                </w:rPr>
                <w:t>11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Further considerations</w:t>
              </w:r>
              <w:r w:rsidR="001D2404">
                <w:rPr>
                  <w:noProof/>
                </w:rPr>
                <w:tab/>
              </w:r>
              <w:r w:rsidR="001D2404">
                <w:rPr>
                  <w:noProof/>
                </w:rPr>
                <w:fldChar w:fldCharType="begin"/>
              </w:r>
              <w:r w:rsidR="001D2404">
                <w:rPr>
                  <w:noProof/>
                </w:rPr>
                <w:instrText xml:space="preserve"> PAGEREF _Toc160633875 \h </w:instrText>
              </w:r>
              <w:r w:rsidR="001D2404">
                <w:rPr>
                  <w:noProof/>
                </w:rPr>
              </w:r>
              <w:r w:rsidR="001D2404">
                <w:rPr>
                  <w:noProof/>
                </w:rPr>
                <w:fldChar w:fldCharType="separate"/>
              </w:r>
              <w:r w:rsidR="00AE166D">
                <w:rPr>
                  <w:noProof/>
                </w:rPr>
                <w:t>92</w:t>
              </w:r>
              <w:r w:rsidR="001D2404">
                <w:rPr>
                  <w:noProof/>
                </w:rPr>
                <w:fldChar w:fldCharType="end"/>
              </w:r>
            </w:hyperlink>
          </w:p>
          <w:p w14:paraId="33208DC5" w14:textId="5DE93815"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6" w:history="1">
              <w:r w:rsidR="001D2404" w:rsidRPr="00B33775">
                <w:rPr>
                  <w:rStyle w:val="Hyperlink"/>
                  <w:noProof/>
                </w:rPr>
                <w:t>11.1</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Harms to others are a challenge to identify and are likely underestimated</w:t>
              </w:r>
              <w:r w:rsidR="001D2404">
                <w:rPr>
                  <w:noProof/>
                </w:rPr>
                <w:tab/>
              </w:r>
              <w:r w:rsidR="001D2404">
                <w:rPr>
                  <w:noProof/>
                </w:rPr>
                <w:fldChar w:fldCharType="begin"/>
              </w:r>
              <w:r w:rsidR="001D2404">
                <w:rPr>
                  <w:noProof/>
                </w:rPr>
                <w:instrText xml:space="preserve"> PAGEREF _Toc160633876 \h </w:instrText>
              </w:r>
              <w:r w:rsidR="001D2404">
                <w:rPr>
                  <w:noProof/>
                </w:rPr>
              </w:r>
              <w:r w:rsidR="001D2404">
                <w:rPr>
                  <w:noProof/>
                </w:rPr>
                <w:fldChar w:fldCharType="separate"/>
              </w:r>
              <w:r w:rsidR="00AE166D">
                <w:rPr>
                  <w:noProof/>
                </w:rPr>
                <w:t>92</w:t>
              </w:r>
              <w:r w:rsidR="001D2404">
                <w:rPr>
                  <w:noProof/>
                </w:rPr>
                <w:fldChar w:fldCharType="end"/>
              </w:r>
            </w:hyperlink>
          </w:p>
          <w:p w14:paraId="02EB8BBF" w14:textId="06E65299"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7" w:history="1">
              <w:r w:rsidR="001D2404" w:rsidRPr="00B33775">
                <w:rPr>
                  <w:rStyle w:val="Hyperlink"/>
                  <w:noProof/>
                </w:rPr>
                <w:t>11.2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Disaggregation by ethnicity is rarely possible and not always desirable, but private costs are expected to be higher for Māori</w:t>
              </w:r>
              <w:r w:rsidR="001D2404">
                <w:rPr>
                  <w:noProof/>
                </w:rPr>
                <w:tab/>
              </w:r>
              <w:r w:rsidR="001D2404">
                <w:rPr>
                  <w:noProof/>
                </w:rPr>
                <w:fldChar w:fldCharType="begin"/>
              </w:r>
              <w:r w:rsidR="001D2404">
                <w:rPr>
                  <w:noProof/>
                </w:rPr>
                <w:instrText xml:space="preserve"> PAGEREF _Toc160633877 \h </w:instrText>
              </w:r>
              <w:r w:rsidR="001D2404">
                <w:rPr>
                  <w:noProof/>
                </w:rPr>
              </w:r>
              <w:r w:rsidR="001D2404">
                <w:rPr>
                  <w:noProof/>
                </w:rPr>
                <w:fldChar w:fldCharType="separate"/>
              </w:r>
              <w:r w:rsidR="00AE166D">
                <w:rPr>
                  <w:noProof/>
                </w:rPr>
                <w:t>92</w:t>
              </w:r>
              <w:r w:rsidR="001D2404">
                <w:rPr>
                  <w:noProof/>
                </w:rPr>
                <w:fldChar w:fldCharType="end"/>
              </w:r>
            </w:hyperlink>
          </w:p>
          <w:p w14:paraId="215CD550" w14:textId="669FB517"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8" w:history="1">
              <w:r w:rsidR="001D2404" w:rsidRPr="00B33775">
                <w:rPr>
                  <w:rStyle w:val="Hyperlink"/>
                  <w:noProof/>
                </w:rPr>
                <w:t>11.3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The strength of the evidence base for costs of alcohol harms indicates a need for ongoing research and a cross-sectoral approach</w:t>
              </w:r>
              <w:r w:rsidR="001D2404">
                <w:rPr>
                  <w:noProof/>
                </w:rPr>
                <w:tab/>
              </w:r>
              <w:r w:rsidR="001D2404">
                <w:rPr>
                  <w:noProof/>
                </w:rPr>
                <w:fldChar w:fldCharType="begin"/>
              </w:r>
              <w:r w:rsidR="001D2404">
                <w:rPr>
                  <w:noProof/>
                </w:rPr>
                <w:instrText xml:space="preserve"> PAGEREF _Toc160633878 \h </w:instrText>
              </w:r>
              <w:r w:rsidR="001D2404">
                <w:rPr>
                  <w:noProof/>
                </w:rPr>
              </w:r>
              <w:r w:rsidR="001D2404">
                <w:rPr>
                  <w:noProof/>
                </w:rPr>
                <w:fldChar w:fldCharType="separate"/>
              </w:r>
              <w:r w:rsidR="00AE166D">
                <w:rPr>
                  <w:noProof/>
                </w:rPr>
                <w:t>93</w:t>
              </w:r>
              <w:r w:rsidR="001D2404">
                <w:rPr>
                  <w:noProof/>
                </w:rPr>
                <w:fldChar w:fldCharType="end"/>
              </w:r>
            </w:hyperlink>
          </w:p>
          <w:p w14:paraId="01701704" w14:textId="65648545" w:rsidR="001D2404" w:rsidRDefault="00000000">
            <w:pPr>
              <w:pStyle w:val="TOC2"/>
              <w:rPr>
                <w:rFonts w:asciiTheme="minorHAnsi" w:eastAsiaTheme="minorEastAsia" w:hAnsiTheme="minorHAnsi"/>
                <w:noProof/>
                <w:kern w:val="2"/>
                <w:sz w:val="24"/>
                <w:szCs w:val="24"/>
                <w:lang w:eastAsia="en-NZ"/>
                <w14:ligatures w14:val="standardContextual"/>
              </w:rPr>
            </w:pPr>
            <w:hyperlink w:anchor="_Toc160633879" w:history="1">
              <w:r w:rsidR="001D2404" w:rsidRPr="00B33775">
                <w:rPr>
                  <w:rStyle w:val="Hyperlink"/>
                  <w:noProof/>
                </w:rPr>
                <w:t>11.4</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Making use of this report</w:t>
              </w:r>
              <w:r w:rsidR="001D2404">
                <w:rPr>
                  <w:noProof/>
                </w:rPr>
                <w:tab/>
              </w:r>
              <w:r w:rsidR="001D2404">
                <w:rPr>
                  <w:noProof/>
                </w:rPr>
                <w:fldChar w:fldCharType="begin"/>
              </w:r>
              <w:r w:rsidR="001D2404">
                <w:rPr>
                  <w:noProof/>
                </w:rPr>
                <w:instrText xml:space="preserve"> PAGEREF _Toc160633879 \h </w:instrText>
              </w:r>
              <w:r w:rsidR="001D2404">
                <w:rPr>
                  <w:noProof/>
                </w:rPr>
              </w:r>
              <w:r w:rsidR="001D2404">
                <w:rPr>
                  <w:noProof/>
                </w:rPr>
                <w:fldChar w:fldCharType="separate"/>
              </w:r>
              <w:r w:rsidR="00AE166D">
                <w:rPr>
                  <w:noProof/>
                </w:rPr>
                <w:t>94</w:t>
              </w:r>
              <w:r w:rsidR="001D2404">
                <w:rPr>
                  <w:noProof/>
                </w:rPr>
                <w:fldChar w:fldCharType="end"/>
              </w:r>
            </w:hyperlink>
          </w:p>
          <w:p w14:paraId="442F9A5E" w14:textId="736BB556"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80" w:history="1">
              <w:r w:rsidR="001D2404" w:rsidRPr="00B33775">
                <w:rPr>
                  <w:rStyle w:val="Hyperlink"/>
                  <w:noProof/>
                </w:rPr>
                <w:t>12</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Recommendations</w:t>
              </w:r>
              <w:r w:rsidR="001D2404">
                <w:rPr>
                  <w:noProof/>
                </w:rPr>
                <w:tab/>
              </w:r>
              <w:r w:rsidR="001D2404">
                <w:rPr>
                  <w:noProof/>
                </w:rPr>
                <w:fldChar w:fldCharType="begin"/>
              </w:r>
              <w:r w:rsidR="001D2404">
                <w:rPr>
                  <w:noProof/>
                </w:rPr>
                <w:instrText xml:space="preserve"> PAGEREF _Toc160633880 \h </w:instrText>
              </w:r>
              <w:r w:rsidR="001D2404">
                <w:rPr>
                  <w:noProof/>
                </w:rPr>
              </w:r>
              <w:r w:rsidR="001D2404">
                <w:rPr>
                  <w:noProof/>
                </w:rPr>
                <w:fldChar w:fldCharType="separate"/>
              </w:r>
              <w:r w:rsidR="00AE166D">
                <w:rPr>
                  <w:noProof/>
                </w:rPr>
                <w:t>97</w:t>
              </w:r>
              <w:r w:rsidR="001D2404">
                <w:rPr>
                  <w:noProof/>
                </w:rPr>
                <w:fldChar w:fldCharType="end"/>
              </w:r>
            </w:hyperlink>
          </w:p>
          <w:p w14:paraId="7141DE8A" w14:textId="76E5C3B6" w:rsidR="001D2404" w:rsidRDefault="00000000">
            <w:pPr>
              <w:pStyle w:val="TOC1"/>
              <w:rPr>
                <w:rFonts w:asciiTheme="minorHAnsi" w:eastAsiaTheme="minorEastAsia" w:hAnsiTheme="minorHAnsi"/>
                <w:noProof/>
                <w:kern w:val="2"/>
                <w:sz w:val="24"/>
                <w:szCs w:val="24"/>
                <w:lang w:eastAsia="en-NZ"/>
                <w14:ligatures w14:val="standardContextual"/>
              </w:rPr>
            </w:pPr>
            <w:hyperlink w:anchor="_Toc160633881" w:history="1">
              <w:r w:rsidR="001D2404" w:rsidRPr="00B33775">
                <w:rPr>
                  <w:rStyle w:val="Hyperlink"/>
                  <w:noProof/>
                </w:rPr>
                <w:t>13</w:t>
              </w:r>
              <w:r w:rsidR="001D2404">
                <w:rPr>
                  <w:rFonts w:asciiTheme="minorHAnsi" w:eastAsiaTheme="minorEastAsia" w:hAnsiTheme="minorHAnsi"/>
                  <w:noProof/>
                  <w:kern w:val="2"/>
                  <w:sz w:val="24"/>
                  <w:szCs w:val="24"/>
                  <w:lang w:eastAsia="en-NZ"/>
                  <w14:ligatures w14:val="standardContextual"/>
                </w:rPr>
                <w:tab/>
              </w:r>
              <w:r w:rsidR="001D2404" w:rsidRPr="00B33775">
                <w:rPr>
                  <w:rStyle w:val="Hyperlink"/>
                  <w:noProof/>
                </w:rPr>
                <w:t>References</w:t>
              </w:r>
              <w:r w:rsidR="001D2404">
                <w:rPr>
                  <w:noProof/>
                </w:rPr>
                <w:tab/>
              </w:r>
              <w:r w:rsidR="001D2404">
                <w:rPr>
                  <w:noProof/>
                </w:rPr>
                <w:fldChar w:fldCharType="begin"/>
              </w:r>
              <w:r w:rsidR="001D2404">
                <w:rPr>
                  <w:noProof/>
                </w:rPr>
                <w:instrText xml:space="preserve"> PAGEREF _Toc160633881 \h </w:instrText>
              </w:r>
              <w:r w:rsidR="001D2404">
                <w:rPr>
                  <w:noProof/>
                </w:rPr>
              </w:r>
              <w:r w:rsidR="001D2404">
                <w:rPr>
                  <w:noProof/>
                </w:rPr>
                <w:fldChar w:fldCharType="separate"/>
              </w:r>
              <w:r w:rsidR="00AE166D">
                <w:rPr>
                  <w:noProof/>
                </w:rPr>
                <w:t>98</w:t>
              </w:r>
              <w:r w:rsidR="001D2404">
                <w:rPr>
                  <w:noProof/>
                </w:rPr>
                <w:fldChar w:fldCharType="end"/>
              </w:r>
            </w:hyperlink>
          </w:p>
          <w:p w14:paraId="6924A409" w14:textId="07034A00" w:rsidR="00DC354C" w:rsidRPr="007C21B3" w:rsidRDefault="00DC354C" w:rsidP="00DD5977">
            <w:pPr>
              <w:pStyle w:val="USWhiteSpace"/>
              <w:rPr>
                <w:sz w:val="2"/>
                <w:szCs w:val="2"/>
              </w:rPr>
            </w:pPr>
            <w:r>
              <w:fldChar w:fldCharType="end"/>
            </w:r>
          </w:p>
        </w:tc>
      </w:tr>
      <w:tr w:rsidR="001A3EDE" w:rsidRPr="001A3EDE" w14:paraId="789FB8C9" w14:textId="77777777">
        <w:tc>
          <w:tcPr>
            <w:tcW w:w="9393" w:type="dxa"/>
            <w:tcBorders>
              <w:top w:val="nil"/>
              <w:left w:val="nil"/>
              <w:bottom w:val="nil"/>
              <w:right w:val="nil"/>
            </w:tcBorders>
          </w:tcPr>
          <w:p w14:paraId="7CA59DB2" w14:textId="26FF908B" w:rsidR="001A3EDE" w:rsidRPr="001A3EDE" w:rsidRDefault="001A3EDE" w:rsidP="00356907">
            <w:pPr>
              <w:pStyle w:val="HeadingContents-TablesFigures"/>
              <w:spacing w:before="240"/>
            </w:pPr>
            <w:r w:rsidRPr="008B544F">
              <w:lastRenderedPageBreak/>
              <w:t>Appendices</w:t>
            </w:r>
          </w:p>
        </w:tc>
      </w:tr>
      <w:tr w:rsidR="00F337D4" w14:paraId="6B11DF02" w14:textId="77777777" w:rsidTr="001C0653">
        <w:tc>
          <w:tcPr>
            <w:tcW w:w="9393" w:type="dxa"/>
            <w:tcBorders>
              <w:top w:val="nil"/>
              <w:left w:val="nil"/>
              <w:bottom w:val="nil"/>
              <w:right w:val="nil"/>
            </w:tcBorders>
          </w:tcPr>
          <w:p w14:paraId="260D6F9B" w14:textId="6B56464A" w:rsidR="004A56D4" w:rsidRDefault="00D454F0">
            <w:pPr>
              <w:pStyle w:val="TOC6"/>
              <w:rPr>
                <w:rFonts w:asciiTheme="minorHAnsi" w:eastAsiaTheme="minorEastAsia" w:hAnsiTheme="minorHAnsi"/>
                <w:noProof/>
                <w:kern w:val="2"/>
                <w:sz w:val="24"/>
                <w:szCs w:val="24"/>
                <w:lang w:eastAsia="en-NZ"/>
                <w14:ligatures w14:val="standardContextual"/>
              </w:rPr>
            </w:pPr>
            <w:r>
              <w:rPr>
                <w:color w:val="0094C5"/>
                <w:sz w:val="24"/>
              </w:rPr>
              <w:fldChar w:fldCharType="begin"/>
            </w:r>
            <w:r>
              <w:instrText xml:space="preserve"> TOC  </w:instrText>
            </w:r>
            <w:r w:rsidR="00F175C3">
              <w:instrText xml:space="preserve"> </w:instrText>
            </w:r>
            <w:r w:rsidR="004761CC">
              <w:instrText>\o "6</w:instrText>
            </w:r>
            <w:r w:rsidR="00780A71">
              <w:instrText>-6</w:instrText>
            </w:r>
            <w:r w:rsidR="004761CC">
              <w:instrText xml:space="preserve">" \t </w:instrText>
            </w:r>
            <w:r w:rsidR="00780A71">
              <w:instrText>\</w:instrText>
            </w:r>
            <w:r w:rsidR="00C005FA">
              <w:instrText>h</w:instrText>
            </w:r>
            <w:r w:rsidR="004761CC">
              <w:instrText>"</w:instrText>
            </w:r>
            <w:r>
              <w:instrText xml:space="preserve"> </w:instrText>
            </w:r>
            <w:r>
              <w:rPr>
                <w:color w:val="0094C5"/>
                <w:sz w:val="24"/>
              </w:rPr>
              <w:fldChar w:fldCharType="separate"/>
            </w:r>
            <w:hyperlink w:anchor="_Toc160633882" w:history="1">
              <w:r w:rsidR="004A56D4" w:rsidRPr="00453B37">
                <w:rPr>
                  <w:rStyle w:val="Hyperlink"/>
                  <w:noProof/>
                </w:rPr>
                <w:t>Appendix A Our approach in more detail</w:t>
              </w:r>
              <w:r w:rsidR="004A56D4">
                <w:rPr>
                  <w:noProof/>
                </w:rPr>
                <w:tab/>
              </w:r>
              <w:r w:rsidR="004A56D4">
                <w:rPr>
                  <w:noProof/>
                </w:rPr>
                <w:fldChar w:fldCharType="begin"/>
              </w:r>
              <w:r w:rsidR="004A56D4">
                <w:rPr>
                  <w:noProof/>
                </w:rPr>
                <w:instrText xml:space="preserve"> PAGEREF _Toc160633882 \h </w:instrText>
              </w:r>
              <w:r w:rsidR="004A56D4">
                <w:rPr>
                  <w:noProof/>
                </w:rPr>
              </w:r>
              <w:r w:rsidR="004A56D4">
                <w:rPr>
                  <w:noProof/>
                </w:rPr>
                <w:fldChar w:fldCharType="separate"/>
              </w:r>
              <w:r w:rsidR="00AE166D">
                <w:rPr>
                  <w:noProof/>
                </w:rPr>
                <w:t>104</w:t>
              </w:r>
              <w:r w:rsidR="004A56D4">
                <w:rPr>
                  <w:noProof/>
                </w:rPr>
                <w:fldChar w:fldCharType="end"/>
              </w:r>
            </w:hyperlink>
          </w:p>
          <w:p w14:paraId="6C7F4175" w14:textId="37329F7F" w:rsidR="004A56D4" w:rsidRDefault="00000000">
            <w:pPr>
              <w:pStyle w:val="TOC6"/>
              <w:rPr>
                <w:rFonts w:asciiTheme="minorHAnsi" w:eastAsiaTheme="minorEastAsia" w:hAnsiTheme="minorHAnsi"/>
                <w:noProof/>
                <w:kern w:val="2"/>
                <w:sz w:val="24"/>
                <w:szCs w:val="24"/>
                <w:lang w:eastAsia="en-NZ"/>
                <w14:ligatures w14:val="standardContextual"/>
              </w:rPr>
            </w:pPr>
            <w:hyperlink w:anchor="_Toc160633883" w:history="1">
              <w:r w:rsidR="004A56D4" w:rsidRPr="00453B37">
                <w:rPr>
                  <w:rStyle w:val="Hyperlink"/>
                  <w:noProof/>
                </w:rPr>
                <w:t>Appendix B Comparison of relevant cost of alcohol studies</w:t>
              </w:r>
              <w:r w:rsidR="004A56D4">
                <w:rPr>
                  <w:noProof/>
                </w:rPr>
                <w:tab/>
              </w:r>
              <w:r w:rsidR="004A56D4">
                <w:rPr>
                  <w:noProof/>
                </w:rPr>
                <w:fldChar w:fldCharType="begin"/>
              </w:r>
              <w:r w:rsidR="004A56D4">
                <w:rPr>
                  <w:noProof/>
                </w:rPr>
                <w:instrText xml:space="preserve"> PAGEREF _Toc160633883 \h </w:instrText>
              </w:r>
              <w:r w:rsidR="004A56D4">
                <w:rPr>
                  <w:noProof/>
                </w:rPr>
              </w:r>
              <w:r w:rsidR="004A56D4">
                <w:rPr>
                  <w:noProof/>
                </w:rPr>
                <w:fldChar w:fldCharType="separate"/>
              </w:r>
              <w:r w:rsidR="00AE166D">
                <w:rPr>
                  <w:noProof/>
                </w:rPr>
                <w:t>110</w:t>
              </w:r>
              <w:r w:rsidR="004A56D4">
                <w:rPr>
                  <w:noProof/>
                </w:rPr>
                <w:fldChar w:fldCharType="end"/>
              </w:r>
            </w:hyperlink>
          </w:p>
          <w:p w14:paraId="68FF0F86" w14:textId="09826EA8" w:rsidR="004A56D4" w:rsidRDefault="00000000">
            <w:pPr>
              <w:pStyle w:val="TOC6"/>
              <w:rPr>
                <w:rFonts w:asciiTheme="minorHAnsi" w:eastAsiaTheme="minorEastAsia" w:hAnsiTheme="minorHAnsi"/>
                <w:noProof/>
                <w:kern w:val="2"/>
                <w:sz w:val="24"/>
                <w:szCs w:val="24"/>
                <w:lang w:eastAsia="en-NZ"/>
                <w14:ligatures w14:val="standardContextual"/>
              </w:rPr>
            </w:pPr>
            <w:hyperlink w:anchor="_Toc160633884" w:history="1">
              <w:r w:rsidR="004A56D4" w:rsidRPr="00453B37">
                <w:rPr>
                  <w:rStyle w:val="Hyperlink"/>
                  <w:noProof/>
                </w:rPr>
                <w:t>Appendix C Methods for estimation of productivity losses</w:t>
              </w:r>
              <w:r w:rsidR="004A56D4">
                <w:rPr>
                  <w:noProof/>
                </w:rPr>
                <w:tab/>
              </w:r>
              <w:r w:rsidR="004A56D4">
                <w:rPr>
                  <w:noProof/>
                </w:rPr>
                <w:fldChar w:fldCharType="begin"/>
              </w:r>
              <w:r w:rsidR="004A56D4">
                <w:rPr>
                  <w:noProof/>
                </w:rPr>
                <w:instrText xml:space="preserve"> PAGEREF _Toc160633884 \h </w:instrText>
              </w:r>
              <w:r w:rsidR="004A56D4">
                <w:rPr>
                  <w:noProof/>
                </w:rPr>
              </w:r>
              <w:r w:rsidR="004A56D4">
                <w:rPr>
                  <w:noProof/>
                </w:rPr>
                <w:fldChar w:fldCharType="separate"/>
              </w:r>
              <w:r w:rsidR="00AE166D">
                <w:rPr>
                  <w:noProof/>
                </w:rPr>
                <w:t>112</w:t>
              </w:r>
              <w:r w:rsidR="004A56D4">
                <w:rPr>
                  <w:noProof/>
                </w:rPr>
                <w:fldChar w:fldCharType="end"/>
              </w:r>
            </w:hyperlink>
          </w:p>
          <w:p w14:paraId="1C0388C9" w14:textId="6E984A2D" w:rsidR="004A56D4" w:rsidRDefault="00000000">
            <w:pPr>
              <w:pStyle w:val="TOC6"/>
              <w:rPr>
                <w:rFonts w:asciiTheme="minorHAnsi" w:eastAsiaTheme="minorEastAsia" w:hAnsiTheme="minorHAnsi"/>
                <w:noProof/>
                <w:kern w:val="2"/>
                <w:sz w:val="24"/>
                <w:szCs w:val="24"/>
                <w:lang w:eastAsia="en-NZ"/>
                <w14:ligatures w14:val="standardContextual"/>
              </w:rPr>
            </w:pPr>
            <w:hyperlink w:anchor="_Toc160633885" w:history="1">
              <w:r w:rsidR="004A56D4" w:rsidRPr="00453B37">
                <w:rPr>
                  <w:rStyle w:val="Hyperlink"/>
                  <w:noProof/>
                </w:rPr>
                <w:t>Appendix D Health-adjusted life years</w:t>
              </w:r>
              <w:r w:rsidR="004A56D4">
                <w:rPr>
                  <w:noProof/>
                </w:rPr>
                <w:tab/>
              </w:r>
              <w:r w:rsidR="004A56D4">
                <w:rPr>
                  <w:noProof/>
                </w:rPr>
                <w:fldChar w:fldCharType="begin"/>
              </w:r>
              <w:r w:rsidR="004A56D4">
                <w:rPr>
                  <w:noProof/>
                </w:rPr>
                <w:instrText xml:space="preserve"> PAGEREF _Toc160633885 \h </w:instrText>
              </w:r>
              <w:r w:rsidR="004A56D4">
                <w:rPr>
                  <w:noProof/>
                </w:rPr>
              </w:r>
              <w:r w:rsidR="004A56D4">
                <w:rPr>
                  <w:noProof/>
                </w:rPr>
                <w:fldChar w:fldCharType="separate"/>
              </w:r>
              <w:r w:rsidR="00AE166D">
                <w:rPr>
                  <w:noProof/>
                </w:rPr>
                <w:t>114</w:t>
              </w:r>
              <w:r w:rsidR="004A56D4">
                <w:rPr>
                  <w:noProof/>
                </w:rPr>
                <w:fldChar w:fldCharType="end"/>
              </w:r>
            </w:hyperlink>
          </w:p>
          <w:p w14:paraId="4EA33939" w14:textId="58A21F62" w:rsidR="004A56D4" w:rsidRDefault="00000000">
            <w:pPr>
              <w:pStyle w:val="TOC6"/>
              <w:rPr>
                <w:rFonts w:asciiTheme="minorHAnsi" w:eastAsiaTheme="minorEastAsia" w:hAnsiTheme="minorHAnsi"/>
                <w:noProof/>
                <w:kern w:val="2"/>
                <w:sz w:val="24"/>
                <w:szCs w:val="24"/>
                <w:lang w:eastAsia="en-NZ"/>
                <w14:ligatures w14:val="standardContextual"/>
              </w:rPr>
            </w:pPr>
            <w:hyperlink w:anchor="_Toc160633886" w:history="1">
              <w:r w:rsidR="004A56D4" w:rsidRPr="00453B37">
                <w:rPr>
                  <w:rStyle w:val="Hyperlink"/>
                  <w:noProof/>
                </w:rPr>
                <w:t>Appendix E ICD-10 codes for alcohol-attributable and partially attributable conditions</w:t>
              </w:r>
              <w:r w:rsidR="004A56D4">
                <w:rPr>
                  <w:noProof/>
                </w:rPr>
                <w:tab/>
              </w:r>
              <w:r w:rsidR="004A56D4">
                <w:rPr>
                  <w:noProof/>
                </w:rPr>
                <w:fldChar w:fldCharType="begin"/>
              </w:r>
              <w:r w:rsidR="004A56D4">
                <w:rPr>
                  <w:noProof/>
                </w:rPr>
                <w:instrText xml:space="preserve"> PAGEREF _Toc160633886 \h </w:instrText>
              </w:r>
              <w:r w:rsidR="004A56D4">
                <w:rPr>
                  <w:noProof/>
                </w:rPr>
              </w:r>
              <w:r w:rsidR="004A56D4">
                <w:rPr>
                  <w:noProof/>
                </w:rPr>
                <w:fldChar w:fldCharType="separate"/>
              </w:r>
              <w:r w:rsidR="00AE166D">
                <w:rPr>
                  <w:noProof/>
                </w:rPr>
                <w:t>116</w:t>
              </w:r>
              <w:r w:rsidR="004A56D4">
                <w:rPr>
                  <w:noProof/>
                </w:rPr>
                <w:fldChar w:fldCharType="end"/>
              </w:r>
            </w:hyperlink>
          </w:p>
          <w:p w14:paraId="66D70E01" w14:textId="7667DCC7" w:rsidR="004A56D4" w:rsidRDefault="00000000">
            <w:pPr>
              <w:pStyle w:val="TOC6"/>
              <w:rPr>
                <w:rFonts w:asciiTheme="minorHAnsi" w:eastAsiaTheme="minorEastAsia" w:hAnsiTheme="minorHAnsi"/>
                <w:noProof/>
                <w:kern w:val="2"/>
                <w:sz w:val="24"/>
                <w:szCs w:val="24"/>
                <w:lang w:eastAsia="en-NZ"/>
                <w14:ligatures w14:val="standardContextual"/>
              </w:rPr>
            </w:pPr>
            <w:hyperlink w:anchor="_Toc160633887" w:history="1">
              <w:r w:rsidR="004A56D4" w:rsidRPr="00453B37">
                <w:rPr>
                  <w:rStyle w:val="Hyperlink"/>
                  <w:noProof/>
                </w:rPr>
                <w:t>Appendix F Classification of crimes</w:t>
              </w:r>
              <w:r w:rsidR="004A56D4">
                <w:rPr>
                  <w:noProof/>
                </w:rPr>
                <w:tab/>
              </w:r>
              <w:r w:rsidR="004A56D4">
                <w:rPr>
                  <w:noProof/>
                </w:rPr>
                <w:fldChar w:fldCharType="begin"/>
              </w:r>
              <w:r w:rsidR="004A56D4">
                <w:rPr>
                  <w:noProof/>
                </w:rPr>
                <w:instrText xml:space="preserve"> PAGEREF _Toc160633887 \h </w:instrText>
              </w:r>
              <w:r w:rsidR="004A56D4">
                <w:rPr>
                  <w:noProof/>
                </w:rPr>
              </w:r>
              <w:r w:rsidR="004A56D4">
                <w:rPr>
                  <w:noProof/>
                </w:rPr>
                <w:fldChar w:fldCharType="separate"/>
              </w:r>
              <w:r w:rsidR="00AE166D">
                <w:rPr>
                  <w:noProof/>
                </w:rPr>
                <w:t>117</w:t>
              </w:r>
              <w:r w:rsidR="004A56D4">
                <w:rPr>
                  <w:noProof/>
                </w:rPr>
                <w:fldChar w:fldCharType="end"/>
              </w:r>
            </w:hyperlink>
          </w:p>
          <w:p w14:paraId="63413572" w14:textId="1AAFE3E5" w:rsidR="004A56D4" w:rsidRDefault="00000000">
            <w:pPr>
              <w:pStyle w:val="TOC6"/>
              <w:rPr>
                <w:rFonts w:asciiTheme="minorHAnsi" w:eastAsiaTheme="minorEastAsia" w:hAnsiTheme="minorHAnsi"/>
                <w:noProof/>
                <w:kern w:val="2"/>
                <w:sz w:val="24"/>
                <w:szCs w:val="24"/>
                <w:lang w:eastAsia="en-NZ"/>
                <w14:ligatures w14:val="standardContextual"/>
              </w:rPr>
            </w:pPr>
            <w:hyperlink w:anchor="_Toc160633888" w:history="1">
              <w:r w:rsidR="004A56D4" w:rsidRPr="00453B37">
                <w:rPr>
                  <w:rStyle w:val="Hyperlink"/>
                  <w:noProof/>
                </w:rPr>
                <w:t>Appendix G Evidence gaps in costs of alcohol harms</w:t>
              </w:r>
              <w:r w:rsidR="004A56D4">
                <w:rPr>
                  <w:noProof/>
                </w:rPr>
                <w:tab/>
              </w:r>
              <w:r w:rsidR="004A56D4">
                <w:rPr>
                  <w:noProof/>
                </w:rPr>
                <w:fldChar w:fldCharType="begin"/>
              </w:r>
              <w:r w:rsidR="004A56D4">
                <w:rPr>
                  <w:noProof/>
                </w:rPr>
                <w:instrText xml:space="preserve"> PAGEREF _Toc160633888 \h </w:instrText>
              </w:r>
              <w:r w:rsidR="004A56D4">
                <w:rPr>
                  <w:noProof/>
                </w:rPr>
              </w:r>
              <w:r w:rsidR="004A56D4">
                <w:rPr>
                  <w:noProof/>
                </w:rPr>
                <w:fldChar w:fldCharType="separate"/>
              </w:r>
              <w:r w:rsidR="00AE166D">
                <w:rPr>
                  <w:noProof/>
                </w:rPr>
                <w:t>121</w:t>
              </w:r>
              <w:r w:rsidR="004A56D4">
                <w:rPr>
                  <w:noProof/>
                </w:rPr>
                <w:fldChar w:fldCharType="end"/>
              </w:r>
            </w:hyperlink>
          </w:p>
          <w:p w14:paraId="65C90000" w14:textId="57AC44A2" w:rsidR="00F337D4" w:rsidRPr="00D454F0" w:rsidRDefault="00D454F0" w:rsidP="001A3EDE">
            <w:pPr>
              <w:pStyle w:val="USWhiteSpace"/>
            </w:pPr>
            <w:r>
              <w:fldChar w:fldCharType="end"/>
            </w:r>
          </w:p>
        </w:tc>
      </w:tr>
      <w:tr w:rsidR="00DD5977" w14:paraId="22FA035A" w14:textId="77777777" w:rsidTr="001C0653">
        <w:tc>
          <w:tcPr>
            <w:tcW w:w="9393" w:type="dxa"/>
            <w:tcBorders>
              <w:top w:val="nil"/>
              <w:left w:val="nil"/>
              <w:bottom w:val="nil"/>
              <w:right w:val="nil"/>
            </w:tcBorders>
          </w:tcPr>
          <w:p w14:paraId="03565B52" w14:textId="76D7FB89" w:rsidR="00DD5977" w:rsidRPr="00DD5977" w:rsidRDefault="00DD5977" w:rsidP="001A3EDE">
            <w:pPr>
              <w:pStyle w:val="HeadingContents-TablesFigures"/>
              <w:spacing w:before="240"/>
            </w:pPr>
            <w:r w:rsidRPr="00DD5977">
              <w:t>Figures</w:t>
            </w:r>
          </w:p>
        </w:tc>
      </w:tr>
      <w:tr w:rsidR="00F8197C" w14:paraId="1F7CC8EA" w14:textId="77777777" w:rsidTr="001C0653">
        <w:tc>
          <w:tcPr>
            <w:tcW w:w="9393" w:type="dxa"/>
            <w:tcBorders>
              <w:top w:val="nil"/>
              <w:left w:val="nil"/>
              <w:bottom w:val="nil"/>
              <w:right w:val="nil"/>
            </w:tcBorders>
          </w:tcPr>
          <w:p w14:paraId="2472F34F" w14:textId="2146C383" w:rsidR="004A56D4" w:rsidRDefault="00F8197C">
            <w:pPr>
              <w:pStyle w:val="TableofFigures"/>
              <w:rPr>
                <w:rFonts w:asciiTheme="minorHAnsi" w:eastAsiaTheme="minorEastAsia" w:hAnsiTheme="minorHAnsi"/>
                <w:noProof/>
                <w:kern w:val="2"/>
                <w:sz w:val="24"/>
                <w:szCs w:val="24"/>
                <w:lang w:eastAsia="en-NZ"/>
                <w14:ligatures w14:val="standardContextual"/>
              </w:rPr>
            </w:pPr>
            <w:r w:rsidRPr="007828EA">
              <w:fldChar w:fldCharType="begin"/>
            </w:r>
            <w:r w:rsidRPr="007828EA">
              <w:instrText xml:space="preserve"> TOC </w:instrText>
            </w:r>
            <w:r w:rsidR="007C21B3" w:rsidRPr="007828EA">
              <w:rPr>
                <w:noProof/>
                <w:lang w:val="en-US"/>
              </w:rPr>
              <w:instrText xml:space="preserve">\h \z </w:instrText>
            </w:r>
            <w:r w:rsidRPr="007828EA">
              <w:instrText xml:space="preserve">\c "Figure" </w:instrText>
            </w:r>
            <w:r w:rsidRPr="007828EA">
              <w:fldChar w:fldCharType="separate"/>
            </w:r>
            <w:hyperlink w:anchor="_Toc160633889" w:history="1">
              <w:r w:rsidR="004A56D4" w:rsidRPr="00783233">
                <w:rPr>
                  <w:rStyle w:val="Hyperlink"/>
                  <w:noProof/>
                </w:rPr>
                <w:t>Figure 1 Estimated total societal value of increased risk of mortality and morbidity due to alcohol</w:t>
              </w:r>
              <w:r w:rsidR="004A56D4">
                <w:rPr>
                  <w:noProof/>
                  <w:webHidden/>
                </w:rPr>
                <w:tab/>
              </w:r>
              <w:r w:rsidR="004A56D4">
                <w:rPr>
                  <w:noProof/>
                  <w:webHidden/>
                </w:rPr>
                <w:fldChar w:fldCharType="begin"/>
              </w:r>
              <w:r w:rsidR="004A56D4">
                <w:rPr>
                  <w:noProof/>
                  <w:webHidden/>
                </w:rPr>
                <w:instrText xml:space="preserve"> PAGEREF _Toc160633889 \h </w:instrText>
              </w:r>
              <w:r w:rsidR="004A56D4">
                <w:rPr>
                  <w:noProof/>
                  <w:webHidden/>
                </w:rPr>
              </w:r>
              <w:r w:rsidR="004A56D4">
                <w:rPr>
                  <w:noProof/>
                  <w:webHidden/>
                </w:rPr>
                <w:fldChar w:fldCharType="separate"/>
              </w:r>
              <w:r w:rsidR="00AE166D">
                <w:rPr>
                  <w:noProof/>
                  <w:webHidden/>
                </w:rPr>
                <w:t>iii</w:t>
              </w:r>
              <w:r w:rsidR="004A56D4">
                <w:rPr>
                  <w:noProof/>
                  <w:webHidden/>
                </w:rPr>
                <w:fldChar w:fldCharType="end"/>
              </w:r>
            </w:hyperlink>
          </w:p>
          <w:p w14:paraId="68ECD751" w14:textId="1F59A9AF"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0" w:history="1">
              <w:r w:rsidR="004A56D4" w:rsidRPr="00783233">
                <w:rPr>
                  <w:rStyle w:val="Hyperlink"/>
                  <w:noProof/>
                </w:rPr>
                <w:t>Figure 2 Alcohol affordability in New Zealand</w:t>
              </w:r>
              <w:r w:rsidR="004A56D4">
                <w:rPr>
                  <w:noProof/>
                  <w:webHidden/>
                </w:rPr>
                <w:tab/>
              </w:r>
              <w:r w:rsidR="004A56D4">
                <w:rPr>
                  <w:noProof/>
                  <w:webHidden/>
                </w:rPr>
                <w:fldChar w:fldCharType="begin"/>
              </w:r>
              <w:r w:rsidR="004A56D4">
                <w:rPr>
                  <w:noProof/>
                  <w:webHidden/>
                </w:rPr>
                <w:instrText xml:space="preserve"> PAGEREF _Toc160633890 \h </w:instrText>
              </w:r>
              <w:r w:rsidR="004A56D4">
                <w:rPr>
                  <w:noProof/>
                  <w:webHidden/>
                </w:rPr>
              </w:r>
              <w:r w:rsidR="004A56D4">
                <w:rPr>
                  <w:noProof/>
                  <w:webHidden/>
                </w:rPr>
                <w:fldChar w:fldCharType="separate"/>
              </w:r>
              <w:r w:rsidR="00AE166D">
                <w:rPr>
                  <w:noProof/>
                  <w:webHidden/>
                </w:rPr>
                <w:t>5</w:t>
              </w:r>
              <w:r w:rsidR="004A56D4">
                <w:rPr>
                  <w:noProof/>
                  <w:webHidden/>
                </w:rPr>
                <w:fldChar w:fldCharType="end"/>
              </w:r>
            </w:hyperlink>
          </w:p>
          <w:p w14:paraId="610D326A" w14:textId="28C48948"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1" w:history="1">
              <w:r w:rsidR="004A56D4" w:rsidRPr="00783233">
                <w:rPr>
                  <w:rStyle w:val="Hyperlink"/>
                  <w:noProof/>
                </w:rPr>
                <w:t>Figure 3 DALYs per 100,000 people due to alcohol use disorders</w:t>
              </w:r>
              <w:r w:rsidR="004A56D4">
                <w:rPr>
                  <w:noProof/>
                  <w:webHidden/>
                </w:rPr>
                <w:tab/>
              </w:r>
              <w:r w:rsidR="004A56D4">
                <w:rPr>
                  <w:noProof/>
                  <w:webHidden/>
                </w:rPr>
                <w:fldChar w:fldCharType="begin"/>
              </w:r>
              <w:r w:rsidR="004A56D4">
                <w:rPr>
                  <w:noProof/>
                  <w:webHidden/>
                </w:rPr>
                <w:instrText xml:space="preserve"> PAGEREF _Toc160633891 \h </w:instrText>
              </w:r>
              <w:r w:rsidR="004A56D4">
                <w:rPr>
                  <w:noProof/>
                  <w:webHidden/>
                </w:rPr>
              </w:r>
              <w:r w:rsidR="004A56D4">
                <w:rPr>
                  <w:noProof/>
                  <w:webHidden/>
                </w:rPr>
                <w:fldChar w:fldCharType="separate"/>
              </w:r>
              <w:r w:rsidR="00AE166D">
                <w:rPr>
                  <w:noProof/>
                  <w:webHidden/>
                </w:rPr>
                <w:t>7</w:t>
              </w:r>
              <w:r w:rsidR="004A56D4">
                <w:rPr>
                  <w:noProof/>
                  <w:webHidden/>
                </w:rPr>
                <w:fldChar w:fldCharType="end"/>
              </w:r>
            </w:hyperlink>
          </w:p>
          <w:p w14:paraId="5253ED3D" w14:textId="4298E80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2" w:history="1">
              <w:r w:rsidR="004A56D4" w:rsidRPr="00783233">
                <w:rPr>
                  <w:rStyle w:val="Hyperlink"/>
                  <w:noProof/>
                </w:rPr>
                <w:t>Figure 4 Breakdown of the total estimated value of increased risk of mortality and morbidity due to own alcohol consumption in New Zealand</w:t>
              </w:r>
              <w:r w:rsidR="004A56D4">
                <w:rPr>
                  <w:noProof/>
                  <w:webHidden/>
                </w:rPr>
                <w:tab/>
              </w:r>
              <w:r w:rsidR="004A56D4">
                <w:rPr>
                  <w:noProof/>
                  <w:webHidden/>
                </w:rPr>
                <w:fldChar w:fldCharType="begin"/>
              </w:r>
              <w:r w:rsidR="004A56D4">
                <w:rPr>
                  <w:noProof/>
                  <w:webHidden/>
                </w:rPr>
                <w:instrText xml:space="preserve"> PAGEREF _Toc160633892 \h </w:instrText>
              </w:r>
              <w:r w:rsidR="004A56D4">
                <w:rPr>
                  <w:noProof/>
                  <w:webHidden/>
                </w:rPr>
              </w:r>
              <w:r w:rsidR="004A56D4">
                <w:rPr>
                  <w:noProof/>
                  <w:webHidden/>
                </w:rPr>
                <w:fldChar w:fldCharType="separate"/>
              </w:r>
              <w:r w:rsidR="00AE166D">
                <w:rPr>
                  <w:noProof/>
                  <w:webHidden/>
                </w:rPr>
                <w:t>16</w:t>
              </w:r>
              <w:r w:rsidR="004A56D4">
                <w:rPr>
                  <w:noProof/>
                  <w:webHidden/>
                </w:rPr>
                <w:fldChar w:fldCharType="end"/>
              </w:r>
            </w:hyperlink>
          </w:p>
          <w:p w14:paraId="78C12A1A" w14:textId="63077930"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3" w:history="1">
              <w:r w:rsidR="004A56D4" w:rsidRPr="00783233">
                <w:rPr>
                  <w:rStyle w:val="Hyperlink"/>
                  <w:noProof/>
                </w:rPr>
                <w:t>Figure 5 Breakdown of the total estimated value of increased risk of mortality and morbidity due to alcohol in New Zealand, including FASD</w:t>
              </w:r>
              <w:r w:rsidR="004A56D4">
                <w:rPr>
                  <w:noProof/>
                  <w:webHidden/>
                </w:rPr>
                <w:tab/>
              </w:r>
              <w:r w:rsidR="004A56D4">
                <w:rPr>
                  <w:noProof/>
                  <w:webHidden/>
                </w:rPr>
                <w:fldChar w:fldCharType="begin"/>
              </w:r>
              <w:r w:rsidR="004A56D4">
                <w:rPr>
                  <w:noProof/>
                  <w:webHidden/>
                </w:rPr>
                <w:instrText xml:space="preserve"> PAGEREF _Toc160633893 \h </w:instrText>
              </w:r>
              <w:r w:rsidR="004A56D4">
                <w:rPr>
                  <w:noProof/>
                  <w:webHidden/>
                </w:rPr>
              </w:r>
              <w:r w:rsidR="004A56D4">
                <w:rPr>
                  <w:noProof/>
                  <w:webHidden/>
                </w:rPr>
                <w:fldChar w:fldCharType="separate"/>
              </w:r>
              <w:r w:rsidR="00AE166D">
                <w:rPr>
                  <w:noProof/>
                  <w:webHidden/>
                </w:rPr>
                <w:t>18</w:t>
              </w:r>
              <w:r w:rsidR="004A56D4">
                <w:rPr>
                  <w:noProof/>
                  <w:webHidden/>
                </w:rPr>
                <w:fldChar w:fldCharType="end"/>
              </w:r>
            </w:hyperlink>
          </w:p>
          <w:p w14:paraId="25792BB2" w14:textId="7859A84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4" w:history="1">
              <w:r w:rsidR="004A56D4" w:rsidRPr="00783233">
                <w:rPr>
                  <w:rStyle w:val="Hyperlink"/>
                  <w:noProof/>
                </w:rPr>
                <w:t>Figure 6 Trends in charges for offences against the Family Violence Act 2018</w:t>
              </w:r>
              <w:r w:rsidR="004A56D4">
                <w:rPr>
                  <w:noProof/>
                  <w:webHidden/>
                </w:rPr>
                <w:tab/>
              </w:r>
              <w:r w:rsidR="004A56D4">
                <w:rPr>
                  <w:noProof/>
                  <w:webHidden/>
                </w:rPr>
                <w:fldChar w:fldCharType="begin"/>
              </w:r>
              <w:r w:rsidR="004A56D4">
                <w:rPr>
                  <w:noProof/>
                  <w:webHidden/>
                </w:rPr>
                <w:instrText xml:space="preserve"> PAGEREF _Toc160633894 \h </w:instrText>
              </w:r>
              <w:r w:rsidR="004A56D4">
                <w:rPr>
                  <w:noProof/>
                  <w:webHidden/>
                </w:rPr>
              </w:r>
              <w:r w:rsidR="004A56D4">
                <w:rPr>
                  <w:noProof/>
                  <w:webHidden/>
                </w:rPr>
                <w:fldChar w:fldCharType="separate"/>
              </w:r>
              <w:r w:rsidR="00AE166D">
                <w:rPr>
                  <w:noProof/>
                  <w:webHidden/>
                </w:rPr>
                <w:t>22</w:t>
              </w:r>
              <w:r w:rsidR="004A56D4">
                <w:rPr>
                  <w:noProof/>
                  <w:webHidden/>
                </w:rPr>
                <w:fldChar w:fldCharType="end"/>
              </w:r>
            </w:hyperlink>
          </w:p>
          <w:p w14:paraId="348E1612" w14:textId="7116A9BE"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5" w:history="1">
              <w:r w:rsidR="004A56D4" w:rsidRPr="00783233">
                <w:rPr>
                  <w:rStyle w:val="Hyperlink"/>
                  <w:noProof/>
                </w:rPr>
                <w:t>Figure 7 Number of children and young people with a substantiated abuse or neglect finding</w:t>
              </w:r>
              <w:r w:rsidR="004A56D4">
                <w:rPr>
                  <w:noProof/>
                  <w:webHidden/>
                </w:rPr>
                <w:tab/>
              </w:r>
              <w:r w:rsidR="004A56D4">
                <w:rPr>
                  <w:noProof/>
                  <w:webHidden/>
                </w:rPr>
                <w:fldChar w:fldCharType="begin"/>
              </w:r>
              <w:r w:rsidR="004A56D4">
                <w:rPr>
                  <w:noProof/>
                  <w:webHidden/>
                </w:rPr>
                <w:instrText xml:space="preserve"> PAGEREF _Toc160633895 \h </w:instrText>
              </w:r>
              <w:r w:rsidR="004A56D4">
                <w:rPr>
                  <w:noProof/>
                  <w:webHidden/>
                </w:rPr>
              </w:r>
              <w:r w:rsidR="004A56D4">
                <w:rPr>
                  <w:noProof/>
                  <w:webHidden/>
                </w:rPr>
                <w:fldChar w:fldCharType="separate"/>
              </w:r>
              <w:r w:rsidR="00AE166D">
                <w:rPr>
                  <w:noProof/>
                  <w:webHidden/>
                </w:rPr>
                <w:t>27</w:t>
              </w:r>
              <w:r w:rsidR="004A56D4">
                <w:rPr>
                  <w:noProof/>
                  <w:webHidden/>
                </w:rPr>
                <w:fldChar w:fldCharType="end"/>
              </w:r>
            </w:hyperlink>
          </w:p>
          <w:p w14:paraId="49F1722D" w14:textId="3A846D3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6" w:history="1">
              <w:r w:rsidR="004A56D4" w:rsidRPr="00783233">
                <w:rPr>
                  <w:rStyle w:val="Hyperlink"/>
                  <w:noProof/>
                </w:rPr>
                <w:t>Figure 8 Prevalence of abuse or neglect based on substantiated cases</w:t>
              </w:r>
              <w:r w:rsidR="004A56D4">
                <w:rPr>
                  <w:noProof/>
                  <w:webHidden/>
                </w:rPr>
                <w:tab/>
              </w:r>
              <w:r w:rsidR="004A56D4">
                <w:rPr>
                  <w:noProof/>
                  <w:webHidden/>
                </w:rPr>
                <w:fldChar w:fldCharType="begin"/>
              </w:r>
              <w:r w:rsidR="004A56D4">
                <w:rPr>
                  <w:noProof/>
                  <w:webHidden/>
                </w:rPr>
                <w:instrText xml:space="preserve"> PAGEREF _Toc160633896 \h </w:instrText>
              </w:r>
              <w:r w:rsidR="004A56D4">
                <w:rPr>
                  <w:noProof/>
                  <w:webHidden/>
                </w:rPr>
              </w:r>
              <w:r w:rsidR="004A56D4">
                <w:rPr>
                  <w:noProof/>
                  <w:webHidden/>
                </w:rPr>
                <w:fldChar w:fldCharType="separate"/>
              </w:r>
              <w:r w:rsidR="00AE166D">
                <w:rPr>
                  <w:noProof/>
                  <w:webHidden/>
                </w:rPr>
                <w:t>27</w:t>
              </w:r>
              <w:r w:rsidR="004A56D4">
                <w:rPr>
                  <w:noProof/>
                  <w:webHidden/>
                </w:rPr>
                <w:fldChar w:fldCharType="end"/>
              </w:r>
            </w:hyperlink>
          </w:p>
          <w:p w14:paraId="4EB606AF" w14:textId="36C7AD8A"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7" w:history="1">
              <w:r w:rsidR="004A56D4" w:rsidRPr="00783233">
                <w:rPr>
                  <w:rStyle w:val="Hyperlink"/>
                  <w:noProof/>
                </w:rPr>
                <w:t>Figure 9 Driver alcohol and/or drugs as contributing factors in fatal crashes</w:t>
              </w:r>
              <w:r w:rsidR="004A56D4">
                <w:rPr>
                  <w:noProof/>
                  <w:webHidden/>
                </w:rPr>
                <w:tab/>
              </w:r>
              <w:r w:rsidR="004A56D4">
                <w:rPr>
                  <w:noProof/>
                  <w:webHidden/>
                </w:rPr>
                <w:fldChar w:fldCharType="begin"/>
              </w:r>
              <w:r w:rsidR="004A56D4">
                <w:rPr>
                  <w:noProof/>
                  <w:webHidden/>
                </w:rPr>
                <w:instrText xml:space="preserve"> PAGEREF _Toc160633897 \h </w:instrText>
              </w:r>
              <w:r w:rsidR="004A56D4">
                <w:rPr>
                  <w:noProof/>
                  <w:webHidden/>
                </w:rPr>
              </w:r>
              <w:r w:rsidR="004A56D4">
                <w:rPr>
                  <w:noProof/>
                  <w:webHidden/>
                </w:rPr>
                <w:fldChar w:fldCharType="separate"/>
              </w:r>
              <w:r w:rsidR="00AE166D">
                <w:rPr>
                  <w:noProof/>
                  <w:webHidden/>
                </w:rPr>
                <w:t>32</w:t>
              </w:r>
              <w:r w:rsidR="004A56D4">
                <w:rPr>
                  <w:noProof/>
                  <w:webHidden/>
                </w:rPr>
                <w:fldChar w:fldCharType="end"/>
              </w:r>
            </w:hyperlink>
          </w:p>
          <w:p w14:paraId="382B355A" w14:textId="6DBC86BA"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8" w:history="1">
              <w:r w:rsidR="004A56D4" w:rsidRPr="00783233">
                <w:rPr>
                  <w:rStyle w:val="Hyperlink"/>
                  <w:noProof/>
                </w:rPr>
                <w:t>Figure 10 Share of alcohol-attributable bed days by age group</w:t>
              </w:r>
              <w:r w:rsidR="004A56D4">
                <w:rPr>
                  <w:noProof/>
                  <w:webHidden/>
                </w:rPr>
                <w:tab/>
              </w:r>
              <w:r w:rsidR="004A56D4">
                <w:rPr>
                  <w:noProof/>
                  <w:webHidden/>
                </w:rPr>
                <w:fldChar w:fldCharType="begin"/>
              </w:r>
              <w:r w:rsidR="004A56D4">
                <w:rPr>
                  <w:noProof/>
                  <w:webHidden/>
                </w:rPr>
                <w:instrText xml:space="preserve"> PAGEREF _Toc160633898 \h </w:instrText>
              </w:r>
              <w:r w:rsidR="004A56D4">
                <w:rPr>
                  <w:noProof/>
                  <w:webHidden/>
                </w:rPr>
              </w:r>
              <w:r w:rsidR="004A56D4">
                <w:rPr>
                  <w:noProof/>
                  <w:webHidden/>
                </w:rPr>
                <w:fldChar w:fldCharType="separate"/>
              </w:r>
              <w:r w:rsidR="00AE166D">
                <w:rPr>
                  <w:noProof/>
                  <w:webHidden/>
                </w:rPr>
                <w:t>40</w:t>
              </w:r>
              <w:r w:rsidR="004A56D4">
                <w:rPr>
                  <w:noProof/>
                  <w:webHidden/>
                </w:rPr>
                <w:fldChar w:fldCharType="end"/>
              </w:r>
            </w:hyperlink>
          </w:p>
          <w:p w14:paraId="6CAA8600" w14:textId="588CFF3B"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899" w:history="1">
              <w:r w:rsidR="004A56D4" w:rsidRPr="00783233">
                <w:rPr>
                  <w:rStyle w:val="Hyperlink"/>
                  <w:noProof/>
                </w:rPr>
                <w:t>Figure 11 Share of alcohol-attributable inpatient cost by age group</w:t>
              </w:r>
              <w:r w:rsidR="004A56D4">
                <w:rPr>
                  <w:noProof/>
                  <w:webHidden/>
                </w:rPr>
                <w:tab/>
              </w:r>
              <w:r w:rsidR="004A56D4">
                <w:rPr>
                  <w:noProof/>
                  <w:webHidden/>
                </w:rPr>
                <w:fldChar w:fldCharType="begin"/>
              </w:r>
              <w:r w:rsidR="004A56D4">
                <w:rPr>
                  <w:noProof/>
                  <w:webHidden/>
                </w:rPr>
                <w:instrText xml:space="preserve"> PAGEREF _Toc160633899 \h </w:instrText>
              </w:r>
              <w:r w:rsidR="004A56D4">
                <w:rPr>
                  <w:noProof/>
                  <w:webHidden/>
                </w:rPr>
              </w:r>
              <w:r w:rsidR="004A56D4">
                <w:rPr>
                  <w:noProof/>
                  <w:webHidden/>
                </w:rPr>
                <w:fldChar w:fldCharType="separate"/>
              </w:r>
              <w:r w:rsidR="00AE166D">
                <w:rPr>
                  <w:noProof/>
                  <w:webHidden/>
                </w:rPr>
                <w:t>42</w:t>
              </w:r>
              <w:r w:rsidR="004A56D4">
                <w:rPr>
                  <w:noProof/>
                  <w:webHidden/>
                </w:rPr>
                <w:fldChar w:fldCharType="end"/>
              </w:r>
            </w:hyperlink>
          </w:p>
          <w:p w14:paraId="64E392B4" w14:textId="0A1354A8"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0" w:history="1">
              <w:r w:rsidR="004A56D4" w:rsidRPr="00783233">
                <w:rPr>
                  <w:rStyle w:val="Hyperlink"/>
                  <w:noProof/>
                </w:rPr>
                <w:t>Figure 12 Rates of Emergency Department staff-recorded “Yes or Unknown” and “Yes” for the involvement of alcohol in youth ED presentations</w:t>
              </w:r>
              <w:r w:rsidR="004A56D4">
                <w:rPr>
                  <w:noProof/>
                  <w:webHidden/>
                </w:rPr>
                <w:tab/>
              </w:r>
              <w:r w:rsidR="004A56D4">
                <w:rPr>
                  <w:noProof/>
                  <w:webHidden/>
                </w:rPr>
                <w:fldChar w:fldCharType="begin"/>
              </w:r>
              <w:r w:rsidR="004A56D4">
                <w:rPr>
                  <w:noProof/>
                  <w:webHidden/>
                </w:rPr>
                <w:instrText xml:space="preserve"> PAGEREF _Toc160633900 \h </w:instrText>
              </w:r>
              <w:r w:rsidR="004A56D4">
                <w:rPr>
                  <w:noProof/>
                  <w:webHidden/>
                </w:rPr>
              </w:r>
              <w:r w:rsidR="004A56D4">
                <w:rPr>
                  <w:noProof/>
                  <w:webHidden/>
                </w:rPr>
                <w:fldChar w:fldCharType="separate"/>
              </w:r>
              <w:r w:rsidR="00AE166D">
                <w:rPr>
                  <w:noProof/>
                  <w:webHidden/>
                </w:rPr>
                <w:t>44</w:t>
              </w:r>
              <w:r w:rsidR="004A56D4">
                <w:rPr>
                  <w:noProof/>
                  <w:webHidden/>
                </w:rPr>
                <w:fldChar w:fldCharType="end"/>
              </w:r>
            </w:hyperlink>
          </w:p>
          <w:p w14:paraId="097FE207" w14:textId="72EBCE88"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1" w:history="1">
              <w:r w:rsidR="004A56D4" w:rsidRPr="00783233">
                <w:rPr>
                  <w:rStyle w:val="Hyperlink"/>
                  <w:noProof/>
                </w:rPr>
                <w:t>Figure 13 Average alcohol-attributable fractions of injuries by age group</w:t>
              </w:r>
              <w:r w:rsidR="004A56D4">
                <w:rPr>
                  <w:noProof/>
                  <w:webHidden/>
                </w:rPr>
                <w:tab/>
              </w:r>
              <w:r w:rsidR="004A56D4">
                <w:rPr>
                  <w:noProof/>
                  <w:webHidden/>
                </w:rPr>
                <w:fldChar w:fldCharType="begin"/>
              </w:r>
              <w:r w:rsidR="004A56D4">
                <w:rPr>
                  <w:noProof/>
                  <w:webHidden/>
                </w:rPr>
                <w:instrText xml:space="preserve"> PAGEREF _Toc160633901 \h </w:instrText>
              </w:r>
              <w:r w:rsidR="004A56D4">
                <w:rPr>
                  <w:noProof/>
                  <w:webHidden/>
                </w:rPr>
              </w:r>
              <w:r w:rsidR="004A56D4">
                <w:rPr>
                  <w:noProof/>
                  <w:webHidden/>
                </w:rPr>
                <w:fldChar w:fldCharType="separate"/>
              </w:r>
              <w:r w:rsidR="00AE166D">
                <w:rPr>
                  <w:noProof/>
                  <w:webHidden/>
                </w:rPr>
                <w:t>51</w:t>
              </w:r>
              <w:r w:rsidR="004A56D4">
                <w:rPr>
                  <w:noProof/>
                  <w:webHidden/>
                </w:rPr>
                <w:fldChar w:fldCharType="end"/>
              </w:r>
            </w:hyperlink>
          </w:p>
          <w:p w14:paraId="0A0EE9D5" w14:textId="6D5E3F01"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2" w:history="1">
              <w:r w:rsidR="004A56D4" w:rsidRPr="00783233">
                <w:rPr>
                  <w:rStyle w:val="Hyperlink"/>
                  <w:noProof/>
                </w:rPr>
                <w:t>Figure 14 Prison population by offence type*</w:t>
              </w:r>
              <w:r w:rsidR="004A56D4">
                <w:rPr>
                  <w:noProof/>
                  <w:webHidden/>
                </w:rPr>
                <w:tab/>
              </w:r>
              <w:r w:rsidR="004A56D4">
                <w:rPr>
                  <w:noProof/>
                  <w:webHidden/>
                </w:rPr>
                <w:fldChar w:fldCharType="begin"/>
              </w:r>
              <w:r w:rsidR="004A56D4">
                <w:rPr>
                  <w:noProof/>
                  <w:webHidden/>
                </w:rPr>
                <w:instrText xml:space="preserve"> PAGEREF _Toc160633902 \h </w:instrText>
              </w:r>
              <w:r w:rsidR="004A56D4">
                <w:rPr>
                  <w:noProof/>
                  <w:webHidden/>
                </w:rPr>
              </w:r>
              <w:r w:rsidR="004A56D4">
                <w:rPr>
                  <w:noProof/>
                  <w:webHidden/>
                </w:rPr>
                <w:fldChar w:fldCharType="separate"/>
              </w:r>
              <w:r w:rsidR="00AE166D">
                <w:rPr>
                  <w:noProof/>
                  <w:webHidden/>
                </w:rPr>
                <w:t>56</w:t>
              </w:r>
              <w:r w:rsidR="004A56D4">
                <w:rPr>
                  <w:noProof/>
                  <w:webHidden/>
                </w:rPr>
                <w:fldChar w:fldCharType="end"/>
              </w:r>
            </w:hyperlink>
          </w:p>
          <w:p w14:paraId="792D4833" w14:textId="55CB001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3" w:history="1">
              <w:r w:rsidR="004A56D4" w:rsidRPr="00783233">
                <w:rPr>
                  <w:rStyle w:val="Hyperlink"/>
                  <w:noProof/>
                </w:rPr>
                <w:t>Figure 15 Percentage of detainees who had consumed alcohol prior to their arrest</w:t>
              </w:r>
              <w:r w:rsidR="004A56D4">
                <w:rPr>
                  <w:noProof/>
                  <w:webHidden/>
                </w:rPr>
                <w:tab/>
              </w:r>
              <w:r w:rsidR="004A56D4">
                <w:rPr>
                  <w:noProof/>
                  <w:webHidden/>
                </w:rPr>
                <w:fldChar w:fldCharType="begin"/>
              </w:r>
              <w:r w:rsidR="004A56D4">
                <w:rPr>
                  <w:noProof/>
                  <w:webHidden/>
                </w:rPr>
                <w:instrText xml:space="preserve"> PAGEREF _Toc160633903 \h </w:instrText>
              </w:r>
              <w:r w:rsidR="004A56D4">
                <w:rPr>
                  <w:noProof/>
                  <w:webHidden/>
                </w:rPr>
              </w:r>
              <w:r w:rsidR="004A56D4">
                <w:rPr>
                  <w:noProof/>
                  <w:webHidden/>
                </w:rPr>
                <w:fldChar w:fldCharType="separate"/>
              </w:r>
              <w:r w:rsidR="00AE166D">
                <w:rPr>
                  <w:noProof/>
                  <w:webHidden/>
                </w:rPr>
                <w:t>57</w:t>
              </w:r>
              <w:r w:rsidR="004A56D4">
                <w:rPr>
                  <w:noProof/>
                  <w:webHidden/>
                </w:rPr>
                <w:fldChar w:fldCharType="end"/>
              </w:r>
            </w:hyperlink>
          </w:p>
          <w:p w14:paraId="5937B2BA" w14:textId="363B204D"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4" w:history="1">
              <w:r w:rsidR="004A56D4" w:rsidRPr="00783233">
                <w:rPr>
                  <w:rStyle w:val="Hyperlink"/>
                  <w:noProof/>
                </w:rPr>
                <w:t>Figure 16 Mean number of standard alcoholic drinks consumed at the time of arrest by location, 2010–2016</w:t>
              </w:r>
              <w:r w:rsidR="004A56D4">
                <w:rPr>
                  <w:noProof/>
                  <w:webHidden/>
                </w:rPr>
                <w:tab/>
              </w:r>
              <w:r w:rsidR="004A56D4">
                <w:rPr>
                  <w:noProof/>
                  <w:webHidden/>
                </w:rPr>
                <w:fldChar w:fldCharType="begin"/>
              </w:r>
              <w:r w:rsidR="004A56D4">
                <w:rPr>
                  <w:noProof/>
                  <w:webHidden/>
                </w:rPr>
                <w:instrText xml:space="preserve"> PAGEREF _Toc160633904 \h </w:instrText>
              </w:r>
              <w:r w:rsidR="004A56D4">
                <w:rPr>
                  <w:noProof/>
                  <w:webHidden/>
                </w:rPr>
              </w:r>
              <w:r w:rsidR="004A56D4">
                <w:rPr>
                  <w:noProof/>
                  <w:webHidden/>
                </w:rPr>
                <w:fldChar w:fldCharType="separate"/>
              </w:r>
              <w:r w:rsidR="00AE166D">
                <w:rPr>
                  <w:noProof/>
                  <w:webHidden/>
                </w:rPr>
                <w:t>57</w:t>
              </w:r>
              <w:r w:rsidR="004A56D4">
                <w:rPr>
                  <w:noProof/>
                  <w:webHidden/>
                </w:rPr>
                <w:fldChar w:fldCharType="end"/>
              </w:r>
            </w:hyperlink>
          </w:p>
          <w:p w14:paraId="48D0807B" w14:textId="2CEB728E"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5" w:history="1">
              <w:r w:rsidR="004A56D4" w:rsidRPr="00783233">
                <w:rPr>
                  <w:rStyle w:val="Hyperlink"/>
                  <w:noProof/>
                </w:rPr>
                <w:t>Figure 17 Percent of adults reporting they have been a victim of crime by ethnicity</w:t>
              </w:r>
              <w:r w:rsidR="004A56D4">
                <w:rPr>
                  <w:noProof/>
                  <w:webHidden/>
                </w:rPr>
                <w:tab/>
              </w:r>
              <w:r w:rsidR="004A56D4">
                <w:rPr>
                  <w:noProof/>
                  <w:webHidden/>
                </w:rPr>
                <w:fldChar w:fldCharType="begin"/>
              </w:r>
              <w:r w:rsidR="004A56D4">
                <w:rPr>
                  <w:noProof/>
                  <w:webHidden/>
                </w:rPr>
                <w:instrText xml:space="preserve"> PAGEREF _Toc160633905 \h </w:instrText>
              </w:r>
              <w:r w:rsidR="004A56D4">
                <w:rPr>
                  <w:noProof/>
                  <w:webHidden/>
                </w:rPr>
              </w:r>
              <w:r w:rsidR="004A56D4">
                <w:rPr>
                  <w:noProof/>
                  <w:webHidden/>
                </w:rPr>
                <w:fldChar w:fldCharType="separate"/>
              </w:r>
              <w:r w:rsidR="00AE166D">
                <w:rPr>
                  <w:noProof/>
                  <w:webHidden/>
                </w:rPr>
                <w:t>64</w:t>
              </w:r>
              <w:r w:rsidR="004A56D4">
                <w:rPr>
                  <w:noProof/>
                  <w:webHidden/>
                </w:rPr>
                <w:fldChar w:fldCharType="end"/>
              </w:r>
            </w:hyperlink>
          </w:p>
          <w:p w14:paraId="01DDD2A4" w14:textId="2B16E14D"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6" w:history="1">
              <w:r w:rsidR="004A56D4" w:rsidRPr="00783233">
                <w:rPr>
                  <w:rStyle w:val="Hyperlink"/>
                  <w:noProof/>
                </w:rPr>
                <w:t>Figure 18 Percent of adults reporting they have been a victim of crime, by number of occurrences</w:t>
              </w:r>
              <w:r w:rsidR="004A56D4">
                <w:rPr>
                  <w:noProof/>
                  <w:webHidden/>
                </w:rPr>
                <w:tab/>
              </w:r>
              <w:r w:rsidR="004A56D4">
                <w:rPr>
                  <w:noProof/>
                  <w:webHidden/>
                </w:rPr>
                <w:fldChar w:fldCharType="begin"/>
              </w:r>
              <w:r w:rsidR="004A56D4">
                <w:rPr>
                  <w:noProof/>
                  <w:webHidden/>
                </w:rPr>
                <w:instrText xml:space="preserve"> PAGEREF _Toc160633906 \h </w:instrText>
              </w:r>
              <w:r w:rsidR="004A56D4">
                <w:rPr>
                  <w:noProof/>
                  <w:webHidden/>
                </w:rPr>
              </w:r>
              <w:r w:rsidR="004A56D4">
                <w:rPr>
                  <w:noProof/>
                  <w:webHidden/>
                </w:rPr>
                <w:fldChar w:fldCharType="separate"/>
              </w:r>
              <w:r w:rsidR="00AE166D">
                <w:rPr>
                  <w:noProof/>
                  <w:webHidden/>
                </w:rPr>
                <w:t>65</w:t>
              </w:r>
              <w:r w:rsidR="004A56D4">
                <w:rPr>
                  <w:noProof/>
                  <w:webHidden/>
                </w:rPr>
                <w:fldChar w:fldCharType="end"/>
              </w:r>
            </w:hyperlink>
          </w:p>
          <w:p w14:paraId="35E69CE5" w14:textId="2694A25A"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7" w:history="1">
              <w:r w:rsidR="004A56D4" w:rsidRPr="00783233">
                <w:rPr>
                  <w:rStyle w:val="Hyperlink"/>
                  <w:noProof/>
                </w:rPr>
                <w:t>Figure 19 Estimates of the prevalence of FASD in New Zealand</w:t>
              </w:r>
              <w:r w:rsidR="004A56D4">
                <w:rPr>
                  <w:noProof/>
                  <w:webHidden/>
                </w:rPr>
                <w:tab/>
              </w:r>
              <w:r w:rsidR="004A56D4">
                <w:rPr>
                  <w:noProof/>
                  <w:webHidden/>
                </w:rPr>
                <w:fldChar w:fldCharType="begin"/>
              </w:r>
              <w:r w:rsidR="004A56D4">
                <w:rPr>
                  <w:noProof/>
                  <w:webHidden/>
                </w:rPr>
                <w:instrText xml:space="preserve"> PAGEREF _Toc160633907 \h </w:instrText>
              </w:r>
              <w:r w:rsidR="004A56D4">
                <w:rPr>
                  <w:noProof/>
                  <w:webHidden/>
                </w:rPr>
              </w:r>
              <w:r w:rsidR="004A56D4">
                <w:rPr>
                  <w:noProof/>
                  <w:webHidden/>
                </w:rPr>
                <w:fldChar w:fldCharType="separate"/>
              </w:r>
              <w:r w:rsidR="00AE166D">
                <w:rPr>
                  <w:noProof/>
                  <w:webHidden/>
                </w:rPr>
                <w:t>82</w:t>
              </w:r>
              <w:r w:rsidR="004A56D4">
                <w:rPr>
                  <w:noProof/>
                  <w:webHidden/>
                </w:rPr>
                <w:fldChar w:fldCharType="end"/>
              </w:r>
            </w:hyperlink>
          </w:p>
          <w:p w14:paraId="2F16F9E0" w14:textId="6B1DC353" w:rsidR="00F8197C" w:rsidRPr="007828EA" w:rsidRDefault="00F8197C" w:rsidP="00DD5977">
            <w:pPr>
              <w:pStyle w:val="USWhiteSpace"/>
              <w:rPr>
                <w:noProof/>
                <w:sz w:val="2"/>
                <w:szCs w:val="2"/>
                <w:lang w:val="en-US"/>
              </w:rPr>
            </w:pPr>
            <w:r w:rsidRPr="007828EA">
              <w:fldChar w:fldCharType="end"/>
            </w:r>
          </w:p>
        </w:tc>
      </w:tr>
      <w:tr w:rsidR="00DD5977" w14:paraId="24E78F10" w14:textId="77777777" w:rsidTr="001C0653">
        <w:tc>
          <w:tcPr>
            <w:tcW w:w="9393" w:type="dxa"/>
            <w:tcBorders>
              <w:top w:val="nil"/>
              <w:left w:val="nil"/>
              <w:bottom w:val="nil"/>
              <w:right w:val="nil"/>
            </w:tcBorders>
          </w:tcPr>
          <w:p w14:paraId="113477E0" w14:textId="13EC83AC" w:rsidR="00DD5977" w:rsidRPr="00DD5977" w:rsidRDefault="00DD5977" w:rsidP="001A3EDE">
            <w:pPr>
              <w:pStyle w:val="HeadingContents-TablesFigures"/>
              <w:spacing w:before="240"/>
            </w:pPr>
            <w:r>
              <w:lastRenderedPageBreak/>
              <w:t>Tables</w:t>
            </w:r>
          </w:p>
        </w:tc>
      </w:tr>
      <w:tr w:rsidR="00F8197C" w14:paraId="2DD2EF8D" w14:textId="77777777" w:rsidTr="001C0653">
        <w:tc>
          <w:tcPr>
            <w:tcW w:w="9393" w:type="dxa"/>
            <w:tcBorders>
              <w:top w:val="nil"/>
              <w:left w:val="nil"/>
              <w:bottom w:val="nil"/>
              <w:right w:val="nil"/>
            </w:tcBorders>
          </w:tcPr>
          <w:p w14:paraId="7776AEAA" w14:textId="3FB87578" w:rsidR="004A56D4" w:rsidRDefault="00F8197C">
            <w:pPr>
              <w:pStyle w:val="TableofFigures"/>
              <w:rPr>
                <w:rFonts w:asciiTheme="minorHAnsi" w:eastAsiaTheme="minorEastAsia" w:hAnsiTheme="minorHAnsi"/>
                <w:noProof/>
                <w:kern w:val="2"/>
                <w:sz w:val="24"/>
                <w:szCs w:val="24"/>
                <w:lang w:eastAsia="en-NZ"/>
                <w14:ligatures w14:val="standardContextual"/>
              </w:rPr>
            </w:pPr>
            <w:r>
              <w:rPr>
                <w:b/>
                <w:bCs/>
                <w:noProof/>
                <w:lang w:val="en-US"/>
              </w:rPr>
              <w:fldChar w:fldCharType="begin"/>
            </w:r>
            <w:r>
              <w:rPr>
                <w:b/>
                <w:bCs/>
                <w:noProof/>
                <w:lang w:val="en-US"/>
              </w:rPr>
              <w:instrText xml:space="preserve"> TOC </w:instrText>
            </w:r>
            <w:r w:rsidR="007C21B3">
              <w:rPr>
                <w:b/>
                <w:bCs/>
                <w:noProof/>
                <w:lang w:val="en-US"/>
              </w:rPr>
              <w:instrText xml:space="preserve">\h \z </w:instrText>
            </w:r>
            <w:r>
              <w:rPr>
                <w:b/>
                <w:bCs/>
                <w:noProof/>
                <w:lang w:val="en-US"/>
              </w:rPr>
              <w:instrText>\c "Table</w:instrText>
            </w:r>
            <w:r w:rsidR="00C005FA">
              <w:rPr>
                <w:b/>
                <w:bCs/>
                <w:noProof/>
                <w:lang w:val="en-US"/>
              </w:rPr>
              <w:instrText>"</w:instrText>
            </w:r>
            <w:r>
              <w:rPr>
                <w:b/>
                <w:bCs/>
                <w:noProof/>
                <w:lang w:val="en-US"/>
              </w:rPr>
              <w:instrText xml:space="preserve"> </w:instrText>
            </w:r>
            <w:r>
              <w:rPr>
                <w:b/>
                <w:bCs/>
                <w:noProof/>
                <w:lang w:val="en-US"/>
              </w:rPr>
              <w:fldChar w:fldCharType="separate"/>
            </w:r>
            <w:hyperlink w:anchor="_Toc160633908" w:history="1">
              <w:r w:rsidR="004A56D4" w:rsidRPr="002576FE">
                <w:rPr>
                  <w:rStyle w:val="Hyperlink"/>
                  <w:noProof/>
                </w:rPr>
                <w:t>Table 1 Estimates of key concerns within the total societal cost of alcohol harms</w:t>
              </w:r>
              <w:r w:rsidR="004A56D4">
                <w:rPr>
                  <w:noProof/>
                  <w:webHidden/>
                </w:rPr>
                <w:tab/>
              </w:r>
              <w:r w:rsidR="004A56D4">
                <w:rPr>
                  <w:noProof/>
                  <w:webHidden/>
                </w:rPr>
                <w:fldChar w:fldCharType="begin"/>
              </w:r>
              <w:r w:rsidR="004A56D4">
                <w:rPr>
                  <w:noProof/>
                  <w:webHidden/>
                </w:rPr>
                <w:instrText xml:space="preserve"> PAGEREF _Toc160633908 \h </w:instrText>
              </w:r>
              <w:r w:rsidR="004A56D4">
                <w:rPr>
                  <w:noProof/>
                  <w:webHidden/>
                </w:rPr>
              </w:r>
              <w:r w:rsidR="004A56D4">
                <w:rPr>
                  <w:noProof/>
                  <w:webHidden/>
                </w:rPr>
                <w:fldChar w:fldCharType="separate"/>
              </w:r>
              <w:r w:rsidR="00AE166D">
                <w:rPr>
                  <w:noProof/>
                  <w:webHidden/>
                </w:rPr>
                <w:t>iv</w:t>
              </w:r>
              <w:r w:rsidR="004A56D4">
                <w:rPr>
                  <w:noProof/>
                  <w:webHidden/>
                </w:rPr>
                <w:fldChar w:fldCharType="end"/>
              </w:r>
            </w:hyperlink>
          </w:p>
          <w:p w14:paraId="1F17A399" w14:textId="0A04136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09" w:history="1">
              <w:r w:rsidR="004A56D4" w:rsidRPr="002576FE">
                <w:rPr>
                  <w:rStyle w:val="Hyperlink"/>
                  <w:noProof/>
                </w:rPr>
                <w:t>Table 2 Estimates of costs of productivity losses due to alcohol</w:t>
              </w:r>
              <w:r w:rsidR="004A56D4">
                <w:rPr>
                  <w:noProof/>
                  <w:webHidden/>
                </w:rPr>
                <w:tab/>
              </w:r>
              <w:r w:rsidR="004A56D4">
                <w:rPr>
                  <w:noProof/>
                  <w:webHidden/>
                </w:rPr>
                <w:fldChar w:fldCharType="begin"/>
              </w:r>
              <w:r w:rsidR="004A56D4">
                <w:rPr>
                  <w:noProof/>
                  <w:webHidden/>
                </w:rPr>
                <w:instrText xml:space="preserve"> PAGEREF _Toc160633909 \h </w:instrText>
              </w:r>
              <w:r w:rsidR="004A56D4">
                <w:rPr>
                  <w:noProof/>
                  <w:webHidden/>
                </w:rPr>
              </w:r>
              <w:r w:rsidR="004A56D4">
                <w:rPr>
                  <w:noProof/>
                  <w:webHidden/>
                </w:rPr>
                <w:fldChar w:fldCharType="separate"/>
              </w:r>
              <w:r w:rsidR="00AE166D">
                <w:rPr>
                  <w:noProof/>
                  <w:webHidden/>
                </w:rPr>
                <w:t>v</w:t>
              </w:r>
              <w:r w:rsidR="004A56D4">
                <w:rPr>
                  <w:noProof/>
                  <w:webHidden/>
                </w:rPr>
                <w:fldChar w:fldCharType="end"/>
              </w:r>
            </w:hyperlink>
          </w:p>
          <w:p w14:paraId="68EBF787" w14:textId="4B66318A"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0" w:history="1">
              <w:r w:rsidR="004A56D4" w:rsidRPr="002576FE">
                <w:rPr>
                  <w:rStyle w:val="Hyperlink"/>
                  <w:noProof/>
                </w:rPr>
                <w:t>Table 3 Estimated costs to the government due to alcohol harms</w:t>
              </w:r>
              <w:r w:rsidR="004A56D4">
                <w:rPr>
                  <w:noProof/>
                  <w:webHidden/>
                </w:rPr>
                <w:tab/>
              </w:r>
              <w:r w:rsidR="004A56D4">
                <w:rPr>
                  <w:noProof/>
                  <w:webHidden/>
                </w:rPr>
                <w:fldChar w:fldCharType="begin"/>
              </w:r>
              <w:r w:rsidR="004A56D4">
                <w:rPr>
                  <w:noProof/>
                  <w:webHidden/>
                </w:rPr>
                <w:instrText xml:space="preserve"> PAGEREF _Toc160633910 \h </w:instrText>
              </w:r>
              <w:r w:rsidR="004A56D4">
                <w:rPr>
                  <w:noProof/>
                  <w:webHidden/>
                </w:rPr>
              </w:r>
              <w:r w:rsidR="004A56D4">
                <w:rPr>
                  <w:noProof/>
                  <w:webHidden/>
                </w:rPr>
                <w:fldChar w:fldCharType="separate"/>
              </w:r>
              <w:r w:rsidR="00AE166D">
                <w:rPr>
                  <w:noProof/>
                  <w:webHidden/>
                </w:rPr>
                <w:t>vi</w:t>
              </w:r>
              <w:r w:rsidR="004A56D4">
                <w:rPr>
                  <w:noProof/>
                  <w:webHidden/>
                </w:rPr>
                <w:fldChar w:fldCharType="end"/>
              </w:r>
            </w:hyperlink>
          </w:p>
          <w:p w14:paraId="3F83D2CE" w14:textId="22C59DC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1" w:history="1">
              <w:r w:rsidR="004A56D4" w:rsidRPr="002576FE">
                <w:rPr>
                  <w:rStyle w:val="Hyperlink"/>
                  <w:noProof/>
                </w:rPr>
                <w:t>Table 4 DALY rates attributable to alcohol consumption by age group</w:t>
              </w:r>
              <w:r w:rsidR="004A56D4">
                <w:rPr>
                  <w:noProof/>
                  <w:webHidden/>
                </w:rPr>
                <w:tab/>
              </w:r>
              <w:r w:rsidR="004A56D4">
                <w:rPr>
                  <w:noProof/>
                  <w:webHidden/>
                </w:rPr>
                <w:fldChar w:fldCharType="begin"/>
              </w:r>
              <w:r w:rsidR="004A56D4">
                <w:rPr>
                  <w:noProof/>
                  <w:webHidden/>
                </w:rPr>
                <w:instrText xml:space="preserve"> PAGEREF _Toc160633911 \h </w:instrText>
              </w:r>
              <w:r w:rsidR="004A56D4">
                <w:rPr>
                  <w:noProof/>
                  <w:webHidden/>
                </w:rPr>
              </w:r>
              <w:r w:rsidR="004A56D4">
                <w:rPr>
                  <w:noProof/>
                  <w:webHidden/>
                </w:rPr>
                <w:fldChar w:fldCharType="separate"/>
              </w:r>
              <w:r w:rsidR="00AE166D">
                <w:rPr>
                  <w:noProof/>
                  <w:webHidden/>
                </w:rPr>
                <w:t>13</w:t>
              </w:r>
              <w:r w:rsidR="004A56D4">
                <w:rPr>
                  <w:noProof/>
                  <w:webHidden/>
                </w:rPr>
                <w:fldChar w:fldCharType="end"/>
              </w:r>
            </w:hyperlink>
          </w:p>
          <w:p w14:paraId="3F3AFDBB" w14:textId="3EE2175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2" w:history="1">
              <w:r w:rsidR="004A56D4" w:rsidRPr="002576FE">
                <w:rPr>
                  <w:rStyle w:val="Hyperlink"/>
                  <w:noProof/>
                </w:rPr>
                <w:t>Table 5 DALYs attributable to alcohol consumption by age group and total</w:t>
              </w:r>
              <w:r w:rsidR="004A56D4">
                <w:rPr>
                  <w:noProof/>
                  <w:webHidden/>
                </w:rPr>
                <w:tab/>
              </w:r>
              <w:r w:rsidR="004A56D4">
                <w:rPr>
                  <w:noProof/>
                  <w:webHidden/>
                </w:rPr>
                <w:fldChar w:fldCharType="begin"/>
              </w:r>
              <w:r w:rsidR="004A56D4">
                <w:rPr>
                  <w:noProof/>
                  <w:webHidden/>
                </w:rPr>
                <w:instrText xml:space="preserve"> PAGEREF _Toc160633912 \h </w:instrText>
              </w:r>
              <w:r w:rsidR="004A56D4">
                <w:rPr>
                  <w:noProof/>
                  <w:webHidden/>
                </w:rPr>
              </w:r>
              <w:r w:rsidR="004A56D4">
                <w:rPr>
                  <w:noProof/>
                  <w:webHidden/>
                </w:rPr>
                <w:fldChar w:fldCharType="separate"/>
              </w:r>
              <w:r w:rsidR="00AE166D">
                <w:rPr>
                  <w:noProof/>
                  <w:webHidden/>
                </w:rPr>
                <w:t>13</w:t>
              </w:r>
              <w:r w:rsidR="004A56D4">
                <w:rPr>
                  <w:noProof/>
                  <w:webHidden/>
                </w:rPr>
                <w:fldChar w:fldCharType="end"/>
              </w:r>
            </w:hyperlink>
          </w:p>
          <w:p w14:paraId="5524C10E" w14:textId="5830A7A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3" w:history="1">
              <w:r w:rsidR="004A56D4" w:rsidRPr="002576FE">
                <w:rPr>
                  <w:rStyle w:val="Hyperlink"/>
                  <w:noProof/>
                </w:rPr>
                <w:t>Table 6 Total value of increased risk of mortality and morbidity due to alcohol consumption</w:t>
              </w:r>
              <w:r w:rsidR="004A56D4">
                <w:rPr>
                  <w:noProof/>
                  <w:webHidden/>
                </w:rPr>
                <w:tab/>
              </w:r>
              <w:r w:rsidR="004A56D4">
                <w:rPr>
                  <w:noProof/>
                  <w:webHidden/>
                </w:rPr>
                <w:fldChar w:fldCharType="begin"/>
              </w:r>
              <w:r w:rsidR="004A56D4">
                <w:rPr>
                  <w:noProof/>
                  <w:webHidden/>
                </w:rPr>
                <w:instrText xml:space="preserve"> PAGEREF _Toc160633913 \h </w:instrText>
              </w:r>
              <w:r w:rsidR="004A56D4">
                <w:rPr>
                  <w:noProof/>
                  <w:webHidden/>
                </w:rPr>
              </w:r>
              <w:r w:rsidR="004A56D4">
                <w:rPr>
                  <w:noProof/>
                  <w:webHidden/>
                </w:rPr>
                <w:fldChar w:fldCharType="separate"/>
              </w:r>
              <w:r w:rsidR="00AE166D">
                <w:rPr>
                  <w:noProof/>
                  <w:webHidden/>
                </w:rPr>
                <w:t>14</w:t>
              </w:r>
              <w:r w:rsidR="004A56D4">
                <w:rPr>
                  <w:noProof/>
                  <w:webHidden/>
                </w:rPr>
                <w:fldChar w:fldCharType="end"/>
              </w:r>
            </w:hyperlink>
          </w:p>
          <w:p w14:paraId="7E0F12EB" w14:textId="4F8E76E8"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4" w:history="1">
              <w:r w:rsidR="004A56D4" w:rsidRPr="002576FE">
                <w:rPr>
                  <w:rStyle w:val="Hyperlink"/>
                  <w:noProof/>
                </w:rPr>
                <w:t>Table 7 DALY rates from alcohol use disorders</w:t>
              </w:r>
              <w:r w:rsidR="004A56D4">
                <w:rPr>
                  <w:noProof/>
                  <w:webHidden/>
                </w:rPr>
                <w:tab/>
              </w:r>
              <w:r w:rsidR="004A56D4">
                <w:rPr>
                  <w:noProof/>
                  <w:webHidden/>
                </w:rPr>
                <w:fldChar w:fldCharType="begin"/>
              </w:r>
              <w:r w:rsidR="004A56D4">
                <w:rPr>
                  <w:noProof/>
                  <w:webHidden/>
                </w:rPr>
                <w:instrText xml:space="preserve"> PAGEREF _Toc160633914 \h </w:instrText>
              </w:r>
              <w:r w:rsidR="004A56D4">
                <w:rPr>
                  <w:noProof/>
                  <w:webHidden/>
                </w:rPr>
              </w:r>
              <w:r w:rsidR="004A56D4">
                <w:rPr>
                  <w:noProof/>
                  <w:webHidden/>
                </w:rPr>
                <w:fldChar w:fldCharType="separate"/>
              </w:r>
              <w:r w:rsidR="00AE166D">
                <w:rPr>
                  <w:noProof/>
                  <w:webHidden/>
                </w:rPr>
                <w:t>14</w:t>
              </w:r>
              <w:r w:rsidR="004A56D4">
                <w:rPr>
                  <w:noProof/>
                  <w:webHidden/>
                </w:rPr>
                <w:fldChar w:fldCharType="end"/>
              </w:r>
            </w:hyperlink>
          </w:p>
          <w:p w14:paraId="2355C399" w14:textId="3B6B7BB1"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5" w:history="1">
              <w:r w:rsidR="004A56D4" w:rsidRPr="002576FE">
                <w:rPr>
                  <w:rStyle w:val="Hyperlink"/>
                  <w:noProof/>
                </w:rPr>
                <w:t>Table 8 DALYs from alcohol use disorders</w:t>
              </w:r>
              <w:r w:rsidR="004A56D4">
                <w:rPr>
                  <w:noProof/>
                  <w:webHidden/>
                </w:rPr>
                <w:tab/>
              </w:r>
              <w:r w:rsidR="004A56D4">
                <w:rPr>
                  <w:noProof/>
                  <w:webHidden/>
                </w:rPr>
                <w:fldChar w:fldCharType="begin"/>
              </w:r>
              <w:r w:rsidR="004A56D4">
                <w:rPr>
                  <w:noProof/>
                  <w:webHidden/>
                </w:rPr>
                <w:instrText xml:space="preserve"> PAGEREF _Toc160633915 \h </w:instrText>
              </w:r>
              <w:r w:rsidR="004A56D4">
                <w:rPr>
                  <w:noProof/>
                  <w:webHidden/>
                </w:rPr>
              </w:r>
              <w:r w:rsidR="004A56D4">
                <w:rPr>
                  <w:noProof/>
                  <w:webHidden/>
                </w:rPr>
                <w:fldChar w:fldCharType="separate"/>
              </w:r>
              <w:r w:rsidR="00AE166D">
                <w:rPr>
                  <w:noProof/>
                  <w:webHidden/>
                </w:rPr>
                <w:t>15</w:t>
              </w:r>
              <w:r w:rsidR="004A56D4">
                <w:rPr>
                  <w:noProof/>
                  <w:webHidden/>
                </w:rPr>
                <w:fldChar w:fldCharType="end"/>
              </w:r>
            </w:hyperlink>
          </w:p>
          <w:p w14:paraId="2C3D92BC" w14:textId="16AA6B90"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6" w:history="1">
              <w:r w:rsidR="004A56D4" w:rsidRPr="002576FE">
                <w:rPr>
                  <w:rStyle w:val="Hyperlink"/>
                  <w:noProof/>
                </w:rPr>
                <w:t>Table 9 Total value of increased risk of mortality and morbidity due to alcohol use disorders</w:t>
              </w:r>
              <w:r w:rsidR="004A56D4">
                <w:rPr>
                  <w:noProof/>
                  <w:webHidden/>
                </w:rPr>
                <w:tab/>
              </w:r>
              <w:r w:rsidR="004A56D4">
                <w:rPr>
                  <w:noProof/>
                  <w:webHidden/>
                </w:rPr>
                <w:fldChar w:fldCharType="begin"/>
              </w:r>
              <w:r w:rsidR="004A56D4">
                <w:rPr>
                  <w:noProof/>
                  <w:webHidden/>
                </w:rPr>
                <w:instrText xml:space="preserve"> PAGEREF _Toc160633916 \h </w:instrText>
              </w:r>
              <w:r w:rsidR="004A56D4">
                <w:rPr>
                  <w:noProof/>
                  <w:webHidden/>
                </w:rPr>
              </w:r>
              <w:r w:rsidR="004A56D4">
                <w:rPr>
                  <w:noProof/>
                  <w:webHidden/>
                </w:rPr>
                <w:fldChar w:fldCharType="separate"/>
              </w:r>
              <w:r w:rsidR="00AE166D">
                <w:rPr>
                  <w:noProof/>
                  <w:webHidden/>
                </w:rPr>
                <w:t>15</w:t>
              </w:r>
              <w:r w:rsidR="004A56D4">
                <w:rPr>
                  <w:noProof/>
                  <w:webHidden/>
                </w:rPr>
                <w:fldChar w:fldCharType="end"/>
              </w:r>
            </w:hyperlink>
          </w:p>
          <w:p w14:paraId="5132FB15" w14:textId="01CA4478"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7" w:history="1">
              <w:r w:rsidR="004A56D4" w:rsidRPr="002576FE">
                <w:rPr>
                  <w:rStyle w:val="Hyperlink"/>
                  <w:noProof/>
                </w:rPr>
                <w:t>Table 10 DALYs attributable to others’ alcohol consumption</w:t>
              </w:r>
              <w:r w:rsidR="004A56D4">
                <w:rPr>
                  <w:noProof/>
                  <w:webHidden/>
                </w:rPr>
                <w:tab/>
              </w:r>
              <w:r w:rsidR="004A56D4">
                <w:rPr>
                  <w:noProof/>
                  <w:webHidden/>
                </w:rPr>
                <w:fldChar w:fldCharType="begin"/>
              </w:r>
              <w:r w:rsidR="004A56D4">
                <w:rPr>
                  <w:noProof/>
                  <w:webHidden/>
                </w:rPr>
                <w:instrText xml:space="preserve"> PAGEREF _Toc160633917 \h </w:instrText>
              </w:r>
              <w:r w:rsidR="004A56D4">
                <w:rPr>
                  <w:noProof/>
                  <w:webHidden/>
                </w:rPr>
              </w:r>
              <w:r w:rsidR="004A56D4">
                <w:rPr>
                  <w:noProof/>
                  <w:webHidden/>
                </w:rPr>
                <w:fldChar w:fldCharType="separate"/>
              </w:r>
              <w:r w:rsidR="00AE166D">
                <w:rPr>
                  <w:noProof/>
                  <w:webHidden/>
                </w:rPr>
                <w:t>17</w:t>
              </w:r>
              <w:r w:rsidR="004A56D4">
                <w:rPr>
                  <w:noProof/>
                  <w:webHidden/>
                </w:rPr>
                <w:fldChar w:fldCharType="end"/>
              </w:r>
            </w:hyperlink>
          </w:p>
          <w:p w14:paraId="2BD724BB" w14:textId="7AB9C0A4"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8" w:history="1">
              <w:r w:rsidR="004A56D4" w:rsidRPr="002576FE">
                <w:rPr>
                  <w:rStyle w:val="Hyperlink"/>
                  <w:noProof/>
                </w:rPr>
                <w:t>Table 11 Total value of increased risk of mortality and morbidity associated with FASD</w:t>
              </w:r>
              <w:r w:rsidR="004A56D4">
                <w:rPr>
                  <w:noProof/>
                  <w:webHidden/>
                </w:rPr>
                <w:tab/>
              </w:r>
              <w:r w:rsidR="004A56D4">
                <w:rPr>
                  <w:noProof/>
                  <w:webHidden/>
                </w:rPr>
                <w:fldChar w:fldCharType="begin"/>
              </w:r>
              <w:r w:rsidR="004A56D4">
                <w:rPr>
                  <w:noProof/>
                  <w:webHidden/>
                </w:rPr>
                <w:instrText xml:space="preserve"> PAGEREF _Toc160633918 \h </w:instrText>
              </w:r>
              <w:r w:rsidR="004A56D4">
                <w:rPr>
                  <w:noProof/>
                  <w:webHidden/>
                </w:rPr>
              </w:r>
              <w:r w:rsidR="004A56D4">
                <w:rPr>
                  <w:noProof/>
                  <w:webHidden/>
                </w:rPr>
                <w:fldChar w:fldCharType="separate"/>
              </w:r>
              <w:r w:rsidR="00AE166D">
                <w:rPr>
                  <w:noProof/>
                  <w:webHidden/>
                </w:rPr>
                <w:t>17</w:t>
              </w:r>
              <w:r w:rsidR="004A56D4">
                <w:rPr>
                  <w:noProof/>
                  <w:webHidden/>
                </w:rPr>
                <w:fldChar w:fldCharType="end"/>
              </w:r>
            </w:hyperlink>
          </w:p>
          <w:p w14:paraId="77A8D413" w14:textId="4ACD8AE2"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19" w:history="1">
              <w:r w:rsidR="004A56D4" w:rsidRPr="002576FE">
                <w:rPr>
                  <w:rStyle w:val="Hyperlink"/>
                  <w:noProof/>
                </w:rPr>
                <w:t>Table 12 Charges for offences against the Family Violence Act 2018</w:t>
              </w:r>
              <w:r w:rsidR="004A56D4">
                <w:rPr>
                  <w:noProof/>
                  <w:webHidden/>
                </w:rPr>
                <w:tab/>
              </w:r>
              <w:r w:rsidR="004A56D4">
                <w:rPr>
                  <w:noProof/>
                  <w:webHidden/>
                </w:rPr>
                <w:fldChar w:fldCharType="begin"/>
              </w:r>
              <w:r w:rsidR="004A56D4">
                <w:rPr>
                  <w:noProof/>
                  <w:webHidden/>
                </w:rPr>
                <w:instrText xml:space="preserve"> PAGEREF _Toc160633919 \h </w:instrText>
              </w:r>
              <w:r w:rsidR="004A56D4">
                <w:rPr>
                  <w:noProof/>
                  <w:webHidden/>
                </w:rPr>
              </w:r>
              <w:r w:rsidR="004A56D4">
                <w:rPr>
                  <w:noProof/>
                  <w:webHidden/>
                </w:rPr>
                <w:fldChar w:fldCharType="separate"/>
              </w:r>
              <w:r w:rsidR="00AE166D">
                <w:rPr>
                  <w:noProof/>
                  <w:webHidden/>
                </w:rPr>
                <w:t>22</w:t>
              </w:r>
              <w:r w:rsidR="004A56D4">
                <w:rPr>
                  <w:noProof/>
                  <w:webHidden/>
                </w:rPr>
                <w:fldChar w:fldCharType="end"/>
              </w:r>
            </w:hyperlink>
          </w:p>
          <w:p w14:paraId="22DCDB4F" w14:textId="59DBECA1"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0" w:history="1">
              <w:r w:rsidR="004A56D4" w:rsidRPr="002576FE">
                <w:rPr>
                  <w:rStyle w:val="Hyperlink"/>
                  <w:noProof/>
                </w:rPr>
                <w:t>Table 13 Estimated total societal cost of IPV</w:t>
              </w:r>
              <w:r w:rsidR="004A56D4">
                <w:rPr>
                  <w:noProof/>
                  <w:webHidden/>
                </w:rPr>
                <w:tab/>
              </w:r>
              <w:r w:rsidR="004A56D4">
                <w:rPr>
                  <w:noProof/>
                  <w:webHidden/>
                </w:rPr>
                <w:fldChar w:fldCharType="begin"/>
              </w:r>
              <w:r w:rsidR="004A56D4">
                <w:rPr>
                  <w:noProof/>
                  <w:webHidden/>
                </w:rPr>
                <w:instrText xml:space="preserve"> PAGEREF _Toc160633920 \h </w:instrText>
              </w:r>
              <w:r w:rsidR="004A56D4">
                <w:rPr>
                  <w:noProof/>
                  <w:webHidden/>
                </w:rPr>
              </w:r>
              <w:r w:rsidR="004A56D4">
                <w:rPr>
                  <w:noProof/>
                  <w:webHidden/>
                </w:rPr>
                <w:fldChar w:fldCharType="separate"/>
              </w:r>
              <w:r w:rsidR="00AE166D">
                <w:rPr>
                  <w:noProof/>
                  <w:webHidden/>
                </w:rPr>
                <w:t>25</w:t>
              </w:r>
              <w:r w:rsidR="004A56D4">
                <w:rPr>
                  <w:noProof/>
                  <w:webHidden/>
                </w:rPr>
                <w:fldChar w:fldCharType="end"/>
              </w:r>
            </w:hyperlink>
          </w:p>
          <w:p w14:paraId="0DD629AA" w14:textId="73616820"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1" w:history="1">
              <w:r w:rsidR="004A56D4" w:rsidRPr="002576FE">
                <w:rPr>
                  <w:rStyle w:val="Hyperlink"/>
                  <w:noProof/>
                </w:rPr>
                <w:t>Table 14 Estimation of the cost of alcohol-attributable child maltreatment</w:t>
              </w:r>
              <w:r w:rsidR="004A56D4">
                <w:rPr>
                  <w:noProof/>
                  <w:webHidden/>
                </w:rPr>
                <w:tab/>
              </w:r>
              <w:r w:rsidR="004A56D4">
                <w:rPr>
                  <w:noProof/>
                  <w:webHidden/>
                </w:rPr>
                <w:fldChar w:fldCharType="begin"/>
              </w:r>
              <w:r w:rsidR="004A56D4">
                <w:rPr>
                  <w:noProof/>
                  <w:webHidden/>
                </w:rPr>
                <w:instrText xml:space="preserve"> PAGEREF _Toc160633921 \h </w:instrText>
              </w:r>
              <w:r w:rsidR="004A56D4">
                <w:rPr>
                  <w:noProof/>
                  <w:webHidden/>
                </w:rPr>
              </w:r>
              <w:r w:rsidR="004A56D4">
                <w:rPr>
                  <w:noProof/>
                  <w:webHidden/>
                </w:rPr>
                <w:fldChar w:fldCharType="separate"/>
              </w:r>
              <w:r w:rsidR="00AE166D">
                <w:rPr>
                  <w:noProof/>
                  <w:webHidden/>
                </w:rPr>
                <w:t>29</w:t>
              </w:r>
              <w:r w:rsidR="004A56D4">
                <w:rPr>
                  <w:noProof/>
                  <w:webHidden/>
                </w:rPr>
                <w:fldChar w:fldCharType="end"/>
              </w:r>
            </w:hyperlink>
          </w:p>
          <w:p w14:paraId="6C090891" w14:textId="2BBAB85A"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2" w:history="1">
              <w:r w:rsidR="004A56D4" w:rsidRPr="002576FE">
                <w:rPr>
                  <w:rStyle w:val="Hyperlink"/>
                  <w:noProof/>
                </w:rPr>
                <w:t>Table 15 Driving under the influence (DUI) data</w:t>
              </w:r>
              <w:r w:rsidR="004A56D4">
                <w:rPr>
                  <w:noProof/>
                  <w:webHidden/>
                </w:rPr>
                <w:tab/>
              </w:r>
              <w:r w:rsidR="004A56D4">
                <w:rPr>
                  <w:noProof/>
                  <w:webHidden/>
                </w:rPr>
                <w:fldChar w:fldCharType="begin"/>
              </w:r>
              <w:r w:rsidR="004A56D4">
                <w:rPr>
                  <w:noProof/>
                  <w:webHidden/>
                </w:rPr>
                <w:instrText xml:space="preserve"> PAGEREF _Toc160633922 \h </w:instrText>
              </w:r>
              <w:r w:rsidR="004A56D4">
                <w:rPr>
                  <w:noProof/>
                  <w:webHidden/>
                </w:rPr>
              </w:r>
              <w:r w:rsidR="004A56D4">
                <w:rPr>
                  <w:noProof/>
                  <w:webHidden/>
                </w:rPr>
                <w:fldChar w:fldCharType="separate"/>
              </w:r>
              <w:r w:rsidR="00AE166D">
                <w:rPr>
                  <w:noProof/>
                  <w:webHidden/>
                </w:rPr>
                <w:t>31</w:t>
              </w:r>
              <w:r w:rsidR="004A56D4">
                <w:rPr>
                  <w:noProof/>
                  <w:webHidden/>
                </w:rPr>
                <w:fldChar w:fldCharType="end"/>
              </w:r>
            </w:hyperlink>
          </w:p>
          <w:p w14:paraId="319A8A27" w14:textId="505138D3"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3" w:history="1">
              <w:r w:rsidR="004A56D4" w:rsidRPr="002576FE">
                <w:rPr>
                  <w:rStyle w:val="Hyperlink"/>
                  <w:noProof/>
                </w:rPr>
                <w:t>Table 16 Estimation of alcohol-attributable fatal vehicle crashes</w:t>
              </w:r>
              <w:r w:rsidR="004A56D4">
                <w:rPr>
                  <w:noProof/>
                  <w:webHidden/>
                </w:rPr>
                <w:tab/>
              </w:r>
              <w:r w:rsidR="004A56D4">
                <w:rPr>
                  <w:noProof/>
                  <w:webHidden/>
                </w:rPr>
                <w:fldChar w:fldCharType="begin"/>
              </w:r>
              <w:r w:rsidR="004A56D4">
                <w:rPr>
                  <w:noProof/>
                  <w:webHidden/>
                </w:rPr>
                <w:instrText xml:space="preserve"> PAGEREF _Toc160633923 \h </w:instrText>
              </w:r>
              <w:r w:rsidR="004A56D4">
                <w:rPr>
                  <w:noProof/>
                  <w:webHidden/>
                </w:rPr>
              </w:r>
              <w:r w:rsidR="004A56D4">
                <w:rPr>
                  <w:noProof/>
                  <w:webHidden/>
                </w:rPr>
                <w:fldChar w:fldCharType="separate"/>
              </w:r>
              <w:r w:rsidR="00AE166D">
                <w:rPr>
                  <w:noProof/>
                  <w:webHidden/>
                </w:rPr>
                <w:t>32</w:t>
              </w:r>
              <w:r w:rsidR="004A56D4">
                <w:rPr>
                  <w:noProof/>
                  <w:webHidden/>
                </w:rPr>
                <w:fldChar w:fldCharType="end"/>
              </w:r>
            </w:hyperlink>
          </w:p>
          <w:p w14:paraId="10B2CE2A" w14:textId="644AEB64"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4" w:history="1">
              <w:r w:rsidR="004A56D4" w:rsidRPr="002576FE">
                <w:rPr>
                  <w:rStyle w:val="Hyperlink"/>
                  <w:noProof/>
                </w:rPr>
                <w:t>Table 17 Estimation of alcohol-attributable serious and minor injury vehicle crashes</w:t>
              </w:r>
              <w:r w:rsidR="004A56D4">
                <w:rPr>
                  <w:noProof/>
                  <w:webHidden/>
                </w:rPr>
                <w:tab/>
              </w:r>
              <w:r w:rsidR="004A56D4">
                <w:rPr>
                  <w:noProof/>
                  <w:webHidden/>
                </w:rPr>
                <w:fldChar w:fldCharType="begin"/>
              </w:r>
              <w:r w:rsidR="004A56D4">
                <w:rPr>
                  <w:noProof/>
                  <w:webHidden/>
                </w:rPr>
                <w:instrText xml:space="preserve"> PAGEREF _Toc160633924 \h </w:instrText>
              </w:r>
              <w:r w:rsidR="004A56D4">
                <w:rPr>
                  <w:noProof/>
                  <w:webHidden/>
                </w:rPr>
              </w:r>
              <w:r w:rsidR="004A56D4">
                <w:rPr>
                  <w:noProof/>
                  <w:webHidden/>
                </w:rPr>
                <w:fldChar w:fldCharType="separate"/>
              </w:r>
              <w:r w:rsidR="00AE166D">
                <w:rPr>
                  <w:noProof/>
                  <w:webHidden/>
                </w:rPr>
                <w:t>33</w:t>
              </w:r>
              <w:r w:rsidR="004A56D4">
                <w:rPr>
                  <w:noProof/>
                  <w:webHidden/>
                </w:rPr>
                <w:fldChar w:fldCharType="end"/>
              </w:r>
            </w:hyperlink>
          </w:p>
          <w:p w14:paraId="369BEC7D" w14:textId="795103C6"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5" w:history="1">
              <w:r w:rsidR="004A56D4" w:rsidRPr="002576FE">
                <w:rPr>
                  <w:rStyle w:val="Hyperlink"/>
                  <w:noProof/>
                </w:rPr>
                <w:t>Table 18 Average social cost of a vehicle crash by severity and cost component</w:t>
              </w:r>
              <w:r w:rsidR="004A56D4">
                <w:rPr>
                  <w:noProof/>
                  <w:webHidden/>
                </w:rPr>
                <w:tab/>
              </w:r>
              <w:r w:rsidR="004A56D4">
                <w:rPr>
                  <w:noProof/>
                  <w:webHidden/>
                </w:rPr>
                <w:fldChar w:fldCharType="begin"/>
              </w:r>
              <w:r w:rsidR="004A56D4">
                <w:rPr>
                  <w:noProof/>
                  <w:webHidden/>
                </w:rPr>
                <w:instrText xml:space="preserve"> PAGEREF _Toc160633925 \h </w:instrText>
              </w:r>
              <w:r w:rsidR="004A56D4">
                <w:rPr>
                  <w:noProof/>
                  <w:webHidden/>
                </w:rPr>
              </w:r>
              <w:r w:rsidR="004A56D4">
                <w:rPr>
                  <w:noProof/>
                  <w:webHidden/>
                </w:rPr>
                <w:fldChar w:fldCharType="separate"/>
              </w:r>
              <w:r w:rsidR="00AE166D">
                <w:rPr>
                  <w:noProof/>
                  <w:webHidden/>
                </w:rPr>
                <w:t>33</w:t>
              </w:r>
              <w:r w:rsidR="004A56D4">
                <w:rPr>
                  <w:noProof/>
                  <w:webHidden/>
                </w:rPr>
                <w:fldChar w:fldCharType="end"/>
              </w:r>
            </w:hyperlink>
          </w:p>
          <w:p w14:paraId="16CC38FA" w14:textId="19631E54"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6" w:history="1">
              <w:r w:rsidR="004A56D4" w:rsidRPr="002576FE">
                <w:rPr>
                  <w:rStyle w:val="Hyperlink"/>
                  <w:noProof/>
                </w:rPr>
                <w:t>Table 19 Total estimated alcohol-attributable cost of road crashes by the severity of crash and cost component</w:t>
              </w:r>
              <w:r w:rsidR="004A56D4">
                <w:rPr>
                  <w:noProof/>
                  <w:webHidden/>
                </w:rPr>
                <w:tab/>
              </w:r>
              <w:r w:rsidR="004A56D4">
                <w:rPr>
                  <w:noProof/>
                  <w:webHidden/>
                </w:rPr>
                <w:fldChar w:fldCharType="begin"/>
              </w:r>
              <w:r w:rsidR="004A56D4">
                <w:rPr>
                  <w:noProof/>
                  <w:webHidden/>
                </w:rPr>
                <w:instrText xml:space="preserve"> PAGEREF _Toc160633926 \h </w:instrText>
              </w:r>
              <w:r w:rsidR="004A56D4">
                <w:rPr>
                  <w:noProof/>
                  <w:webHidden/>
                </w:rPr>
              </w:r>
              <w:r w:rsidR="004A56D4">
                <w:rPr>
                  <w:noProof/>
                  <w:webHidden/>
                </w:rPr>
                <w:fldChar w:fldCharType="separate"/>
              </w:r>
              <w:r w:rsidR="00AE166D">
                <w:rPr>
                  <w:noProof/>
                  <w:webHidden/>
                </w:rPr>
                <w:t>35</w:t>
              </w:r>
              <w:r w:rsidR="004A56D4">
                <w:rPr>
                  <w:noProof/>
                  <w:webHidden/>
                </w:rPr>
                <w:fldChar w:fldCharType="end"/>
              </w:r>
            </w:hyperlink>
          </w:p>
          <w:p w14:paraId="33B27FD3" w14:textId="34C3375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7" w:history="1">
              <w:r w:rsidR="004A56D4" w:rsidRPr="002576FE">
                <w:rPr>
                  <w:rStyle w:val="Hyperlink"/>
                  <w:noProof/>
                </w:rPr>
                <w:t>Table 20 Total inpatient bed days attributable to alcohol</w:t>
              </w:r>
              <w:r w:rsidR="004A56D4">
                <w:rPr>
                  <w:noProof/>
                  <w:webHidden/>
                </w:rPr>
                <w:tab/>
              </w:r>
              <w:r w:rsidR="004A56D4">
                <w:rPr>
                  <w:noProof/>
                  <w:webHidden/>
                </w:rPr>
                <w:fldChar w:fldCharType="begin"/>
              </w:r>
              <w:r w:rsidR="004A56D4">
                <w:rPr>
                  <w:noProof/>
                  <w:webHidden/>
                </w:rPr>
                <w:instrText xml:space="preserve"> PAGEREF _Toc160633927 \h </w:instrText>
              </w:r>
              <w:r w:rsidR="004A56D4">
                <w:rPr>
                  <w:noProof/>
                  <w:webHidden/>
                </w:rPr>
              </w:r>
              <w:r w:rsidR="004A56D4">
                <w:rPr>
                  <w:noProof/>
                  <w:webHidden/>
                </w:rPr>
                <w:fldChar w:fldCharType="separate"/>
              </w:r>
              <w:r w:rsidR="00AE166D">
                <w:rPr>
                  <w:noProof/>
                  <w:webHidden/>
                </w:rPr>
                <w:t>39</w:t>
              </w:r>
              <w:r w:rsidR="004A56D4">
                <w:rPr>
                  <w:noProof/>
                  <w:webHidden/>
                </w:rPr>
                <w:fldChar w:fldCharType="end"/>
              </w:r>
            </w:hyperlink>
          </w:p>
          <w:p w14:paraId="61DE938C" w14:textId="521559FE"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8" w:history="1">
              <w:r w:rsidR="004A56D4" w:rsidRPr="002576FE">
                <w:rPr>
                  <w:rStyle w:val="Hyperlink"/>
                  <w:noProof/>
                </w:rPr>
                <w:t xml:space="preserve">Table </w:t>
              </w:r>
              <w:r w:rsidR="004A56D4" w:rsidRPr="002576FE">
                <w:rPr>
                  <w:rStyle w:val="Hyperlink"/>
                  <w:bCs/>
                  <w:noProof/>
                </w:rPr>
                <w:t>21 Total bed days attributable to alcohol by ethnicity</w:t>
              </w:r>
              <w:r w:rsidR="004A56D4">
                <w:rPr>
                  <w:noProof/>
                  <w:webHidden/>
                </w:rPr>
                <w:tab/>
              </w:r>
              <w:r w:rsidR="004A56D4">
                <w:rPr>
                  <w:noProof/>
                  <w:webHidden/>
                </w:rPr>
                <w:fldChar w:fldCharType="begin"/>
              </w:r>
              <w:r w:rsidR="004A56D4">
                <w:rPr>
                  <w:noProof/>
                  <w:webHidden/>
                </w:rPr>
                <w:instrText xml:space="preserve"> PAGEREF _Toc160633928 \h </w:instrText>
              </w:r>
              <w:r w:rsidR="004A56D4">
                <w:rPr>
                  <w:noProof/>
                  <w:webHidden/>
                </w:rPr>
              </w:r>
              <w:r w:rsidR="004A56D4">
                <w:rPr>
                  <w:noProof/>
                  <w:webHidden/>
                </w:rPr>
                <w:fldChar w:fldCharType="separate"/>
              </w:r>
              <w:r w:rsidR="00AE166D">
                <w:rPr>
                  <w:noProof/>
                  <w:webHidden/>
                </w:rPr>
                <w:t>39</w:t>
              </w:r>
              <w:r w:rsidR="004A56D4">
                <w:rPr>
                  <w:noProof/>
                  <w:webHidden/>
                </w:rPr>
                <w:fldChar w:fldCharType="end"/>
              </w:r>
            </w:hyperlink>
          </w:p>
          <w:p w14:paraId="32CF5028" w14:textId="2B47C4BB"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29" w:history="1">
              <w:r w:rsidR="004A56D4" w:rsidRPr="002576FE">
                <w:rPr>
                  <w:rStyle w:val="Hyperlink"/>
                  <w:noProof/>
                </w:rPr>
                <w:t xml:space="preserve">Table </w:t>
              </w:r>
              <w:r w:rsidR="004A56D4" w:rsidRPr="002576FE">
                <w:rPr>
                  <w:rStyle w:val="Hyperlink"/>
                  <w:bCs/>
                  <w:noProof/>
                </w:rPr>
                <w:t>22 Total bed days attributable to alcohol by age group</w:t>
              </w:r>
              <w:r w:rsidR="004A56D4">
                <w:rPr>
                  <w:noProof/>
                  <w:webHidden/>
                </w:rPr>
                <w:tab/>
              </w:r>
              <w:r w:rsidR="004A56D4">
                <w:rPr>
                  <w:noProof/>
                  <w:webHidden/>
                </w:rPr>
                <w:fldChar w:fldCharType="begin"/>
              </w:r>
              <w:r w:rsidR="004A56D4">
                <w:rPr>
                  <w:noProof/>
                  <w:webHidden/>
                </w:rPr>
                <w:instrText xml:space="preserve"> PAGEREF _Toc160633929 \h </w:instrText>
              </w:r>
              <w:r w:rsidR="004A56D4">
                <w:rPr>
                  <w:noProof/>
                  <w:webHidden/>
                </w:rPr>
              </w:r>
              <w:r w:rsidR="004A56D4">
                <w:rPr>
                  <w:noProof/>
                  <w:webHidden/>
                </w:rPr>
                <w:fldChar w:fldCharType="separate"/>
              </w:r>
              <w:r w:rsidR="00AE166D">
                <w:rPr>
                  <w:noProof/>
                  <w:webHidden/>
                </w:rPr>
                <w:t>40</w:t>
              </w:r>
              <w:r w:rsidR="004A56D4">
                <w:rPr>
                  <w:noProof/>
                  <w:webHidden/>
                </w:rPr>
                <w:fldChar w:fldCharType="end"/>
              </w:r>
            </w:hyperlink>
          </w:p>
          <w:p w14:paraId="5642D064" w14:textId="39842EA2"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0" w:history="1">
              <w:r w:rsidR="004A56D4" w:rsidRPr="002576FE">
                <w:rPr>
                  <w:rStyle w:val="Hyperlink"/>
                  <w:noProof/>
                </w:rPr>
                <w:t>Table 23 Hospital inpatient beds attributable to alcohol</w:t>
              </w:r>
              <w:r w:rsidR="004A56D4">
                <w:rPr>
                  <w:noProof/>
                  <w:webHidden/>
                </w:rPr>
                <w:tab/>
              </w:r>
              <w:r w:rsidR="004A56D4">
                <w:rPr>
                  <w:noProof/>
                  <w:webHidden/>
                </w:rPr>
                <w:fldChar w:fldCharType="begin"/>
              </w:r>
              <w:r w:rsidR="004A56D4">
                <w:rPr>
                  <w:noProof/>
                  <w:webHidden/>
                </w:rPr>
                <w:instrText xml:space="preserve"> PAGEREF _Toc160633930 \h </w:instrText>
              </w:r>
              <w:r w:rsidR="004A56D4">
                <w:rPr>
                  <w:noProof/>
                  <w:webHidden/>
                </w:rPr>
              </w:r>
              <w:r w:rsidR="004A56D4">
                <w:rPr>
                  <w:noProof/>
                  <w:webHidden/>
                </w:rPr>
                <w:fldChar w:fldCharType="separate"/>
              </w:r>
              <w:r w:rsidR="00AE166D">
                <w:rPr>
                  <w:noProof/>
                  <w:webHidden/>
                </w:rPr>
                <w:t>41</w:t>
              </w:r>
              <w:r w:rsidR="004A56D4">
                <w:rPr>
                  <w:noProof/>
                  <w:webHidden/>
                </w:rPr>
                <w:fldChar w:fldCharType="end"/>
              </w:r>
            </w:hyperlink>
          </w:p>
          <w:p w14:paraId="5C417F91" w14:textId="0A925C71"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1" w:history="1">
              <w:r w:rsidR="004A56D4" w:rsidRPr="002576FE">
                <w:rPr>
                  <w:rStyle w:val="Hyperlink"/>
                  <w:noProof/>
                </w:rPr>
                <w:t>Table 24 Cost of inpatient hospitalisations attributable to alcohol</w:t>
              </w:r>
              <w:r w:rsidR="004A56D4">
                <w:rPr>
                  <w:noProof/>
                  <w:webHidden/>
                </w:rPr>
                <w:tab/>
              </w:r>
              <w:r w:rsidR="004A56D4">
                <w:rPr>
                  <w:noProof/>
                  <w:webHidden/>
                </w:rPr>
                <w:fldChar w:fldCharType="begin"/>
              </w:r>
              <w:r w:rsidR="004A56D4">
                <w:rPr>
                  <w:noProof/>
                  <w:webHidden/>
                </w:rPr>
                <w:instrText xml:space="preserve"> PAGEREF _Toc160633931 \h </w:instrText>
              </w:r>
              <w:r w:rsidR="004A56D4">
                <w:rPr>
                  <w:noProof/>
                  <w:webHidden/>
                </w:rPr>
              </w:r>
              <w:r w:rsidR="004A56D4">
                <w:rPr>
                  <w:noProof/>
                  <w:webHidden/>
                </w:rPr>
                <w:fldChar w:fldCharType="separate"/>
              </w:r>
              <w:r w:rsidR="00AE166D">
                <w:rPr>
                  <w:noProof/>
                  <w:webHidden/>
                </w:rPr>
                <w:t>41</w:t>
              </w:r>
              <w:r w:rsidR="004A56D4">
                <w:rPr>
                  <w:noProof/>
                  <w:webHidden/>
                </w:rPr>
                <w:fldChar w:fldCharType="end"/>
              </w:r>
            </w:hyperlink>
          </w:p>
          <w:p w14:paraId="57C7C573" w14:textId="5BD80AEB"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2" w:history="1">
              <w:r w:rsidR="004A56D4" w:rsidRPr="002576FE">
                <w:rPr>
                  <w:rStyle w:val="Hyperlink"/>
                  <w:noProof/>
                </w:rPr>
                <w:t>Table 25 Cost of inpatient hospitalisations attributable to alcohol by ethnicity</w:t>
              </w:r>
              <w:r w:rsidR="004A56D4">
                <w:rPr>
                  <w:noProof/>
                  <w:webHidden/>
                </w:rPr>
                <w:tab/>
              </w:r>
              <w:r w:rsidR="004A56D4">
                <w:rPr>
                  <w:noProof/>
                  <w:webHidden/>
                </w:rPr>
                <w:fldChar w:fldCharType="begin"/>
              </w:r>
              <w:r w:rsidR="004A56D4">
                <w:rPr>
                  <w:noProof/>
                  <w:webHidden/>
                </w:rPr>
                <w:instrText xml:space="preserve"> PAGEREF _Toc160633932 \h </w:instrText>
              </w:r>
              <w:r w:rsidR="004A56D4">
                <w:rPr>
                  <w:noProof/>
                  <w:webHidden/>
                </w:rPr>
              </w:r>
              <w:r w:rsidR="004A56D4">
                <w:rPr>
                  <w:noProof/>
                  <w:webHidden/>
                </w:rPr>
                <w:fldChar w:fldCharType="separate"/>
              </w:r>
              <w:r w:rsidR="00AE166D">
                <w:rPr>
                  <w:noProof/>
                  <w:webHidden/>
                </w:rPr>
                <w:t>41</w:t>
              </w:r>
              <w:r w:rsidR="004A56D4">
                <w:rPr>
                  <w:noProof/>
                  <w:webHidden/>
                </w:rPr>
                <w:fldChar w:fldCharType="end"/>
              </w:r>
            </w:hyperlink>
          </w:p>
          <w:p w14:paraId="25EEBC93" w14:textId="315AA18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3" w:history="1">
              <w:r w:rsidR="004A56D4" w:rsidRPr="002576FE">
                <w:rPr>
                  <w:rStyle w:val="Hyperlink"/>
                  <w:noProof/>
                </w:rPr>
                <w:t>Table 26 Cost of inpatient hospitalisations attributable to alcohol by age group</w:t>
              </w:r>
              <w:r w:rsidR="004A56D4">
                <w:rPr>
                  <w:noProof/>
                  <w:webHidden/>
                </w:rPr>
                <w:tab/>
              </w:r>
              <w:r w:rsidR="004A56D4">
                <w:rPr>
                  <w:noProof/>
                  <w:webHidden/>
                </w:rPr>
                <w:fldChar w:fldCharType="begin"/>
              </w:r>
              <w:r w:rsidR="004A56D4">
                <w:rPr>
                  <w:noProof/>
                  <w:webHidden/>
                </w:rPr>
                <w:instrText xml:space="preserve"> PAGEREF _Toc160633933 \h </w:instrText>
              </w:r>
              <w:r w:rsidR="004A56D4">
                <w:rPr>
                  <w:noProof/>
                  <w:webHidden/>
                </w:rPr>
              </w:r>
              <w:r w:rsidR="004A56D4">
                <w:rPr>
                  <w:noProof/>
                  <w:webHidden/>
                </w:rPr>
                <w:fldChar w:fldCharType="separate"/>
              </w:r>
              <w:r w:rsidR="00AE166D">
                <w:rPr>
                  <w:noProof/>
                  <w:webHidden/>
                </w:rPr>
                <w:t>42</w:t>
              </w:r>
              <w:r w:rsidR="004A56D4">
                <w:rPr>
                  <w:noProof/>
                  <w:webHidden/>
                </w:rPr>
                <w:fldChar w:fldCharType="end"/>
              </w:r>
            </w:hyperlink>
          </w:p>
          <w:p w14:paraId="52C5072D" w14:textId="4273A2C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4" w:history="1">
              <w:r w:rsidR="004A56D4" w:rsidRPr="002576FE">
                <w:rPr>
                  <w:rStyle w:val="Hyperlink"/>
                  <w:noProof/>
                </w:rPr>
                <w:t>Table 27 Cost of alcohol-related ED visits (including ambulance costs)</w:t>
              </w:r>
              <w:r w:rsidR="004A56D4">
                <w:rPr>
                  <w:noProof/>
                  <w:webHidden/>
                </w:rPr>
                <w:tab/>
              </w:r>
              <w:r w:rsidR="004A56D4">
                <w:rPr>
                  <w:noProof/>
                  <w:webHidden/>
                </w:rPr>
                <w:fldChar w:fldCharType="begin"/>
              </w:r>
              <w:r w:rsidR="004A56D4">
                <w:rPr>
                  <w:noProof/>
                  <w:webHidden/>
                </w:rPr>
                <w:instrText xml:space="preserve"> PAGEREF _Toc160633934 \h </w:instrText>
              </w:r>
              <w:r w:rsidR="004A56D4">
                <w:rPr>
                  <w:noProof/>
                  <w:webHidden/>
                </w:rPr>
              </w:r>
              <w:r w:rsidR="004A56D4">
                <w:rPr>
                  <w:noProof/>
                  <w:webHidden/>
                </w:rPr>
                <w:fldChar w:fldCharType="separate"/>
              </w:r>
              <w:r w:rsidR="00AE166D">
                <w:rPr>
                  <w:noProof/>
                  <w:webHidden/>
                </w:rPr>
                <w:t>45</w:t>
              </w:r>
              <w:r w:rsidR="004A56D4">
                <w:rPr>
                  <w:noProof/>
                  <w:webHidden/>
                </w:rPr>
                <w:fldChar w:fldCharType="end"/>
              </w:r>
            </w:hyperlink>
          </w:p>
          <w:p w14:paraId="6BB136E4" w14:textId="2DFC1113"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5" w:history="1">
              <w:r w:rsidR="004A56D4" w:rsidRPr="002576FE">
                <w:rPr>
                  <w:rStyle w:val="Hyperlink"/>
                  <w:noProof/>
                </w:rPr>
                <w:t>Table 28 Planned and acute inpatient admissions</w:t>
              </w:r>
              <w:r w:rsidR="004A56D4">
                <w:rPr>
                  <w:noProof/>
                  <w:webHidden/>
                </w:rPr>
                <w:tab/>
              </w:r>
              <w:r w:rsidR="004A56D4">
                <w:rPr>
                  <w:noProof/>
                  <w:webHidden/>
                </w:rPr>
                <w:fldChar w:fldCharType="begin"/>
              </w:r>
              <w:r w:rsidR="004A56D4">
                <w:rPr>
                  <w:noProof/>
                  <w:webHidden/>
                </w:rPr>
                <w:instrText xml:space="preserve"> PAGEREF _Toc160633935 \h </w:instrText>
              </w:r>
              <w:r w:rsidR="004A56D4">
                <w:rPr>
                  <w:noProof/>
                  <w:webHidden/>
                </w:rPr>
              </w:r>
              <w:r w:rsidR="004A56D4">
                <w:rPr>
                  <w:noProof/>
                  <w:webHidden/>
                </w:rPr>
                <w:fldChar w:fldCharType="separate"/>
              </w:r>
              <w:r w:rsidR="00AE166D">
                <w:rPr>
                  <w:noProof/>
                  <w:webHidden/>
                </w:rPr>
                <w:t>47</w:t>
              </w:r>
              <w:r w:rsidR="004A56D4">
                <w:rPr>
                  <w:noProof/>
                  <w:webHidden/>
                </w:rPr>
                <w:fldChar w:fldCharType="end"/>
              </w:r>
            </w:hyperlink>
          </w:p>
          <w:p w14:paraId="0893B81A" w14:textId="24132C7A"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6" w:history="1">
              <w:r w:rsidR="004A56D4" w:rsidRPr="002576FE">
                <w:rPr>
                  <w:rStyle w:val="Hyperlink"/>
                  <w:noProof/>
                </w:rPr>
                <w:t>Table 29 Planned and acute inpatient admissions by ethnicity</w:t>
              </w:r>
              <w:r w:rsidR="004A56D4">
                <w:rPr>
                  <w:noProof/>
                  <w:webHidden/>
                </w:rPr>
                <w:tab/>
              </w:r>
              <w:r w:rsidR="004A56D4">
                <w:rPr>
                  <w:noProof/>
                  <w:webHidden/>
                </w:rPr>
                <w:fldChar w:fldCharType="begin"/>
              </w:r>
              <w:r w:rsidR="004A56D4">
                <w:rPr>
                  <w:noProof/>
                  <w:webHidden/>
                </w:rPr>
                <w:instrText xml:space="preserve"> PAGEREF _Toc160633936 \h </w:instrText>
              </w:r>
              <w:r w:rsidR="004A56D4">
                <w:rPr>
                  <w:noProof/>
                  <w:webHidden/>
                </w:rPr>
              </w:r>
              <w:r w:rsidR="004A56D4">
                <w:rPr>
                  <w:noProof/>
                  <w:webHidden/>
                </w:rPr>
                <w:fldChar w:fldCharType="separate"/>
              </w:r>
              <w:r w:rsidR="00AE166D">
                <w:rPr>
                  <w:noProof/>
                  <w:webHidden/>
                </w:rPr>
                <w:t>47</w:t>
              </w:r>
              <w:r w:rsidR="004A56D4">
                <w:rPr>
                  <w:noProof/>
                  <w:webHidden/>
                </w:rPr>
                <w:fldChar w:fldCharType="end"/>
              </w:r>
            </w:hyperlink>
          </w:p>
          <w:p w14:paraId="260A66E2" w14:textId="60687A0D"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7" w:history="1">
              <w:r w:rsidR="004A56D4" w:rsidRPr="002576FE">
                <w:rPr>
                  <w:rStyle w:val="Hyperlink"/>
                  <w:noProof/>
                </w:rPr>
                <w:t>Table 30 Planned and acute inpatient admissions by age group</w:t>
              </w:r>
              <w:r w:rsidR="004A56D4">
                <w:rPr>
                  <w:noProof/>
                  <w:webHidden/>
                </w:rPr>
                <w:tab/>
              </w:r>
              <w:r w:rsidR="004A56D4">
                <w:rPr>
                  <w:noProof/>
                  <w:webHidden/>
                </w:rPr>
                <w:fldChar w:fldCharType="begin"/>
              </w:r>
              <w:r w:rsidR="004A56D4">
                <w:rPr>
                  <w:noProof/>
                  <w:webHidden/>
                </w:rPr>
                <w:instrText xml:space="preserve"> PAGEREF _Toc160633937 \h </w:instrText>
              </w:r>
              <w:r w:rsidR="004A56D4">
                <w:rPr>
                  <w:noProof/>
                  <w:webHidden/>
                </w:rPr>
              </w:r>
              <w:r w:rsidR="004A56D4">
                <w:rPr>
                  <w:noProof/>
                  <w:webHidden/>
                </w:rPr>
                <w:fldChar w:fldCharType="separate"/>
              </w:r>
              <w:r w:rsidR="00AE166D">
                <w:rPr>
                  <w:noProof/>
                  <w:webHidden/>
                </w:rPr>
                <w:t>47</w:t>
              </w:r>
              <w:r w:rsidR="004A56D4">
                <w:rPr>
                  <w:noProof/>
                  <w:webHidden/>
                </w:rPr>
                <w:fldChar w:fldCharType="end"/>
              </w:r>
            </w:hyperlink>
          </w:p>
          <w:p w14:paraId="7819B0BC" w14:textId="7EA76C2B"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8" w:history="1">
              <w:r w:rsidR="004A56D4" w:rsidRPr="002576FE">
                <w:rPr>
                  <w:rStyle w:val="Hyperlink"/>
                  <w:noProof/>
                </w:rPr>
                <w:t>Table 31 Total cost of alcohol-attributable ED visits</w:t>
              </w:r>
              <w:r w:rsidR="004A56D4">
                <w:rPr>
                  <w:noProof/>
                  <w:webHidden/>
                </w:rPr>
                <w:tab/>
              </w:r>
              <w:r w:rsidR="004A56D4">
                <w:rPr>
                  <w:noProof/>
                  <w:webHidden/>
                </w:rPr>
                <w:fldChar w:fldCharType="begin"/>
              </w:r>
              <w:r w:rsidR="004A56D4">
                <w:rPr>
                  <w:noProof/>
                  <w:webHidden/>
                </w:rPr>
                <w:instrText xml:space="preserve"> PAGEREF _Toc160633938 \h </w:instrText>
              </w:r>
              <w:r w:rsidR="004A56D4">
                <w:rPr>
                  <w:noProof/>
                  <w:webHidden/>
                </w:rPr>
              </w:r>
              <w:r w:rsidR="004A56D4">
                <w:rPr>
                  <w:noProof/>
                  <w:webHidden/>
                </w:rPr>
                <w:fldChar w:fldCharType="separate"/>
              </w:r>
              <w:r w:rsidR="00AE166D">
                <w:rPr>
                  <w:noProof/>
                  <w:webHidden/>
                </w:rPr>
                <w:t>48</w:t>
              </w:r>
              <w:r w:rsidR="004A56D4">
                <w:rPr>
                  <w:noProof/>
                  <w:webHidden/>
                </w:rPr>
                <w:fldChar w:fldCharType="end"/>
              </w:r>
            </w:hyperlink>
          </w:p>
          <w:p w14:paraId="0C9E04D3" w14:textId="71AE665E"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39" w:history="1">
              <w:r w:rsidR="004A56D4" w:rsidRPr="002576FE">
                <w:rPr>
                  <w:rStyle w:val="Hyperlink"/>
                  <w:noProof/>
                </w:rPr>
                <w:t>Table 32 Number of ACC active weekly claims and active weekly costs</w:t>
              </w:r>
              <w:r w:rsidR="004A56D4">
                <w:rPr>
                  <w:noProof/>
                  <w:webHidden/>
                </w:rPr>
                <w:tab/>
              </w:r>
              <w:r w:rsidR="004A56D4">
                <w:rPr>
                  <w:noProof/>
                  <w:webHidden/>
                </w:rPr>
                <w:fldChar w:fldCharType="begin"/>
              </w:r>
              <w:r w:rsidR="004A56D4">
                <w:rPr>
                  <w:noProof/>
                  <w:webHidden/>
                </w:rPr>
                <w:instrText xml:space="preserve"> PAGEREF _Toc160633939 \h </w:instrText>
              </w:r>
              <w:r w:rsidR="004A56D4">
                <w:rPr>
                  <w:noProof/>
                  <w:webHidden/>
                </w:rPr>
              </w:r>
              <w:r w:rsidR="004A56D4">
                <w:rPr>
                  <w:noProof/>
                  <w:webHidden/>
                </w:rPr>
                <w:fldChar w:fldCharType="separate"/>
              </w:r>
              <w:r w:rsidR="00AE166D">
                <w:rPr>
                  <w:noProof/>
                  <w:webHidden/>
                </w:rPr>
                <w:t>50</w:t>
              </w:r>
              <w:r w:rsidR="004A56D4">
                <w:rPr>
                  <w:noProof/>
                  <w:webHidden/>
                </w:rPr>
                <w:fldChar w:fldCharType="end"/>
              </w:r>
            </w:hyperlink>
          </w:p>
          <w:p w14:paraId="252BD51E" w14:textId="120A9524"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0" w:history="1">
              <w:r w:rsidR="004A56D4" w:rsidRPr="002576FE">
                <w:rPr>
                  <w:rStyle w:val="Hyperlink"/>
                  <w:noProof/>
                </w:rPr>
                <w:t>Table 33 Number of ACC active weekly claims and active weekly costs</w:t>
              </w:r>
              <w:r w:rsidR="004A56D4">
                <w:rPr>
                  <w:noProof/>
                  <w:webHidden/>
                </w:rPr>
                <w:tab/>
              </w:r>
              <w:r w:rsidR="004A56D4">
                <w:rPr>
                  <w:noProof/>
                  <w:webHidden/>
                </w:rPr>
                <w:fldChar w:fldCharType="begin"/>
              </w:r>
              <w:r w:rsidR="004A56D4">
                <w:rPr>
                  <w:noProof/>
                  <w:webHidden/>
                </w:rPr>
                <w:instrText xml:space="preserve"> PAGEREF _Toc160633940 \h </w:instrText>
              </w:r>
              <w:r w:rsidR="004A56D4">
                <w:rPr>
                  <w:noProof/>
                  <w:webHidden/>
                </w:rPr>
              </w:r>
              <w:r w:rsidR="004A56D4">
                <w:rPr>
                  <w:noProof/>
                  <w:webHidden/>
                </w:rPr>
                <w:fldChar w:fldCharType="separate"/>
              </w:r>
              <w:r w:rsidR="00AE166D">
                <w:rPr>
                  <w:noProof/>
                  <w:webHidden/>
                </w:rPr>
                <w:t>50</w:t>
              </w:r>
              <w:r w:rsidR="004A56D4">
                <w:rPr>
                  <w:noProof/>
                  <w:webHidden/>
                </w:rPr>
                <w:fldChar w:fldCharType="end"/>
              </w:r>
            </w:hyperlink>
          </w:p>
          <w:p w14:paraId="1D9B97CC" w14:textId="472FDBC4"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1" w:history="1">
              <w:r w:rsidR="004A56D4" w:rsidRPr="002576FE">
                <w:rPr>
                  <w:rStyle w:val="Hyperlink"/>
                  <w:noProof/>
                </w:rPr>
                <w:t>Table 34 Alcohol-attributable costs of active weekly claims</w:t>
              </w:r>
              <w:r w:rsidR="004A56D4">
                <w:rPr>
                  <w:noProof/>
                  <w:webHidden/>
                </w:rPr>
                <w:tab/>
              </w:r>
              <w:r w:rsidR="004A56D4">
                <w:rPr>
                  <w:noProof/>
                  <w:webHidden/>
                </w:rPr>
                <w:fldChar w:fldCharType="begin"/>
              </w:r>
              <w:r w:rsidR="004A56D4">
                <w:rPr>
                  <w:noProof/>
                  <w:webHidden/>
                </w:rPr>
                <w:instrText xml:space="preserve"> PAGEREF _Toc160633941 \h </w:instrText>
              </w:r>
              <w:r w:rsidR="004A56D4">
                <w:rPr>
                  <w:noProof/>
                  <w:webHidden/>
                </w:rPr>
              </w:r>
              <w:r w:rsidR="004A56D4">
                <w:rPr>
                  <w:noProof/>
                  <w:webHidden/>
                </w:rPr>
                <w:fldChar w:fldCharType="separate"/>
              </w:r>
              <w:r w:rsidR="00AE166D">
                <w:rPr>
                  <w:noProof/>
                  <w:webHidden/>
                </w:rPr>
                <w:t>52</w:t>
              </w:r>
              <w:r w:rsidR="004A56D4">
                <w:rPr>
                  <w:noProof/>
                  <w:webHidden/>
                </w:rPr>
                <w:fldChar w:fldCharType="end"/>
              </w:r>
            </w:hyperlink>
          </w:p>
          <w:p w14:paraId="751B33EA" w14:textId="59F8185E"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2" w:history="1">
              <w:r w:rsidR="004A56D4" w:rsidRPr="002576FE">
                <w:rPr>
                  <w:rStyle w:val="Hyperlink"/>
                  <w:noProof/>
                </w:rPr>
                <w:t>Table 35 Self-reported alcohol-attributable fractions of crime amongst Police detainees in Australia</w:t>
              </w:r>
              <w:r w:rsidR="004A56D4">
                <w:rPr>
                  <w:noProof/>
                  <w:webHidden/>
                </w:rPr>
                <w:tab/>
              </w:r>
              <w:r w:rsidR="004A56D4">
                <w:rPr>
                  <w:noProof/>
                  <w:webHidden/>
                </w:rPr>
                <w:fldChar w:fldCharType="begin"/>
              </w:r>
              <w:r w:rsidR="004A56D4">
                <w:rPr>
                  <w:noProof/>
                  <w:webHidden/>
                </w:rPr>
                <w:instrText xml:space="preserve"> PAGEREF _Toc160633942 \h </w:instrText>
              </w:r>
              <w:r w:rsidR="004A56D4">
                <w:rPr>
                  <w:noProof/>
                  <w:webHidden/>
                </w:rPr>
              </w:r>
              <w:r w:rsidR="004A56D4">
                <w:rPr>
                  <w:noProof/>
                  <w:webHidden/>
                </w:rPr>
                <w:fldChar w:fldCharType="separate"/>
              </w:r>
              <w:r w:rsidR="00AE166D">
                <w:rPr>
                  <w:noProof/>
                  <w:webHidden/>
                </w:rPr>
                <w:t>59</w:t>
              </w:r>
              <w:r w:rsidR="004A56D4">
                <w:rPr>
                  <w:noProof/>
                  <w:webHidden/>
                </w:rPr>
                <w:fldChar w:fldCharType="end"/>
              </w:r>
            </w:hyperlink>
          </w:p>
          <w:p w14:paraId="2FA38ACD" w14:textId="2BE0E517"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3" w:history="1">
              <w:r w:rsidR="004A56D4" w:rsidRPr="002576FE">
                <w:rPr>
                  <w:rStyle w:val="Hyperlink"/>
                  <w:noProof/>
                </w:rPr>
                <w:t>Table 36 Estimated fiscal costs of incarceration for alcohol-attributable crime</w:t>
              </w:r>
              <w:r w:rsidR="004A56D4">
                <w:rPr>
                  <w:noProof/>
                  <w:webHidden/>
                </w:rPr>
                <w:tab/>
              </w:r>
              <w:r w:rsidR="004A56D4">
                <w:rPr>
                  <w:noProof/>
                  <w:webHidden/>
                </w:rPr>
                <w:fldChar w:fldCharType="begin"/>
              </w:r>
              <w:r w:rsidR="004A56D4">
                <w:rPr>
                  <w:noProof/>
                  <w:webHidden/>
                </w:rPr>
                <w:instrText xml:space="preserve"> PAGEREF _Toc160633943 \h </w:instrText>
              </w:r>
              <w:r w:rsidR="004A56D4">
                <w:rPr>
                  <w:noProof/>
                  <w:webHidden/>
                </w:rPr>
              </w:r>
              <w:r w:rsidR="004A56D4">
                <w:rPr>
                  <w:noProof/>
                  <w:webHidden/>
                </w:rPr>
                <w:fldChar w:fldCharType="separate"/>
              </w:r>
              <w:r w:rsidR="00AE166D">
                <w:rPr>
                  <w:noProof/>
                  <w:webHidden/>
                </w:rPr>
                <w:t>61</w:t>
              </w:r>
              <w:r w:rsidR="004A56D4">
                <w:rPr>
                  <w:noProof/>
                  <w:webHidden/>
                </w:rPr>
                <w:fldChar w:fldCharType="end"/>
              </w:r>
            </w:hyperlink>
          </w:p>
          <w:p w14:paraId="30109871" w14:textId="2E21500F"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4" w:history="1">
              <w:r w:rsidR="004A56D4" w:rsidRPr="002576FE">
                <w:rPr>
                  <w:rStyle w:val="Hyperlink"/>
                  <w:noProof/>
                </w:rPr>
                <w:t>Table 37 Number of offences reported in the NZ Crime and Victims Survey</w:t>
              </w:r>
              <w:r w:rsidR="004A56D4">
                <w:rPr>
                  <w:noProof/>
                  <w:webHidden/>
                </w:rPr>
                <w:tab/>
              </w:r>
              <w:r w:rsidR="004A56D4">
                <w:rPr>
                  <w:noProof/>
                  <w:webHidden/>
                </w:rPr>
                <w:fldChar w:fldCharType="begin"/>
              </w:r>
              <w:r w:rsidR="004A56D4">
                <w:rPr>
                  <w:noProof/>
                  <w:webHidden/>
                </w:rPr>
                <w:instrText xml:space="preserve"> PAGEREF _Toc160633944 \h </w:instrText>
              </w:r>
              <w:r w:rsidR="004A56D4">
                <w:rPr>
                  <w:noProof/>
                  <w:webHidden/>
                </w:rPr>
              </w:r>
              <w:r w:rsidR="004A56D4">
                <w:rPr>
                  <w:noProof/>
                  <w:webHidden/>
                </w:rPr>
                <w:fldChar w:fldCharType="separate"/>
              </w:r>
              <w:r w:rsidR="00AE166D">
                <w:rPr>
                  <w:noProof/>
                  <w:webHidden/>
                </w:rPr>
                <w:t>66</w:t>
              </w:r>
              <w:r w:rsidR="004A56D4">
                <w:rPr>
                  <w:noProof/>
                  <w:webHidden/>
                </w:rPr>
                <w:fldChar w:fldCharType="end"/>
              </w:r>
            </w:hyperlink>
          </w:p>
          <w:p w14:paraId="07B4E2D9" w14:textId="2CB2D6DE"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5" w:history="1">
              <w:r w:rsidR="004A56D4" w:rsidRPr="002576FE">
                <w:rPr>
                  <w:rStyle w:val="Hyperlink"/>
                  <w:noProof/>
                </w:rPr>
                <w:t>Table 38 Estimated private alcohol-attributable cost of impulsive crimes</w:t>
              </w:r>
              <w:r w:rsidR="004A56D4">
                <w:rPr>
                  <w:noProof/>
                  <w:webHidden/>
                </w:rPr>
                <w:tab/>
              </w:r>
              <w:r w:rsidR="004A56D4">
                <w:rPr>
                  <w:noProof/>
                  <w:webHidden/>
                </w:rPr>
                <w:fldChar w:fldCharType="begin"/>
              </w:r>
              <w:r w:rsidR="004A56D4">
                <w:rPr>
                  <w:noProof/>
                  <w:webHidden/>
                </w:rPr>
                <w:instrText xml:space="preserve"> PAGEREF _Toc160633945 \h </w:instrText>
              </w:r>
              <w:r w:rsidR="004A56D4">
                <w:rPr>
                  <w:noProof/>
                  <w:webHidden/>
                </w:rPr>
              </w:r>
              <w:r w:rsidR="004A56D4">
                <w:rPr>
                  <w:noProof/>
                  <w:webHidden/>
                </w:rPr>
                <w:fldChar w:fldCharType="separate"/>
              </w:r>
              <w:r w:rsidR="00AE166D">
                <w:rPr>
                  <w:noProof/>
                  <w:webHidden/>
                </w:rPr>
                <w:t>67</w:t>
              </w:r>
              <w:r w:rsidR="004A56D4">
                <w:rPr>
                  <w:noProof/>
                  <w:webHidden/>
                </w:rPr>
                <w:fldChar w:fldCharType="end"/>
              </w:r>
            </w:hyperlink>
          </w:p>
          <w:p w14:paraId="416F505C" w14:textId="1C244B73"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6" w:history="1">
              <w:r w:rsidR="004A56D4" w:rsidRPr="002576FE">
                <w:rPr>
                  <w:rStyle w:val="Hyperlink"/>
                  <w:noProof/>
                </w:rPr>
                <w:t>Table 39 Estimated cost of disability benefits attributable to alcohol</w:t>
              </w:r>
              <w:r w:rsidR="004A56D4">
                <w:rPr>
                  <w:noProof/>
                  <w:webHidden/>
                </w:rPr>
                <w:tab/>
              </w:r>
              <w:r w:rsidR="004A56D4">
                <w:rPr>
                  <w:noProof/>
                  <w:webHidden/>
                </w:rPr>
                <w:fldChar w:fldCharType="begin"/>
              </w:r>
              <w:r w:rsidR="004A56D4">
                <w:rPr>
                  <w:noProof/>
                  <w:webHidden/>
                </w:rPr>
                <w:instrText xml:space="preserve"> PAGEREF _Toc160633946 \h </w:instrText>
              </w:r>
              <w:r w:rsidR="004A56D4">
                <w:rPr>
                  <w:noProof/>
                  <w:webHidden/>
                </w:rPr>
              </w:r>
              <w:r w:rsidR="004A56D4">
                <w:rPr>
                  <w:noProof/>
                  <w:webHidden/>
                </w:rPr>
                <w:fldChar w:fldCharType="separate"/>
              </w:r>
              <w:r w:rsidR="00AE166D">
                <w:rPr>
                  <w:noProof/>
                  <w:webHidden/>
                </w:rPr>
                <w:t>70</w:t>
              </w:r>
              <w:r w:rsidR="004A56D4">
                <w:rPr>
                  <w:noProof/>
                  <w:webHidden/>
                </w:rPr>
                <w:fldChar w:fldCharType="end"/>
              </w:r>
            </w:hyperlink>
          </w:p>
          <w:p w14:paraId="666AB5BB" w14:textId="40B2B540"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7" w:history="1">
              <w:r w:rsidR="004A56D4" w:rsidRPr="002576FE">
                <w:rPr>
                  <w:rStyle w:val="Hyperlink"/>
                  <w:noProof/>
                </w:rPr>
                <w:t>Table 40 Estimated productive years lost to alcohol-attributable premature mortality</w:t>
              </w:r>
              <w:r w:rsidR="004A56D4">
                <w:rPr>
                  <w:noProof/>
                  <w:webHidden/>
                </w:rPr>
                <w:tab/>
              </w:r>
              <w:r w:rsidR="004A56D4">
                <w:rPr>
                  <w:noProof/>
                  <w:webHidden/>
                </w:rPr>
                <w:fldChar w:fldCharType="begin"/>
              </w:r>
              <w:r w:rsidR="004A56D4">
                <w:rPr>
                  <w:noProof/>
                  <w:webHidden/>
                </w:rPr>
                <w:instrText xml:space="preserve"> PAGEREF _Toc160633947 \h </w:instrText>
              </w:r>
              <w:r w:rsidR="004A56D4">
                <w:rPr>
                  <w:noProof/>
                  <w:webHidden/>
                </w:rPr>
              </w:r>
              <w:r w:rsidR="004A56D4">
                <w:rPr>
                  <w:noProof/>
                  <w:webHidden/>
                </w:rPr>
                <w:fldChar w:fldCharType="separate"/>
              </w:r>
              <w:r w:rsidR="00AE166D">
                <w:rPr>
                  <w:noProof/>
                  <w:webHidden/>
                </w:rPr>
                <w:t>72</w:t>
              </w:r>
              <w:r w:rsidR="004A56D4">
                <w:rPr>
                  <w:noProof/>
                  <w:webHidden/>
                </w:rPr>
                <w:fldChar w:fldCharType="end"/>
              </w:r>
            </w:hyperlink>
          </w:p>
          <w:p w14:paraId="26CABEBF" w14:textId="0C05C404"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8" w:history="1">
              <w:r w:rsidR="004A56D4" w:rsidRPr="002576FE">
                <w:rPr>
                  <w:rStyle w:val="Hyperlink"/>
                  <w:noProof/>
                </w:rPr>
                <w:t>Table 41 Estimated productive life years lost to alcohol-attributable premature mortality by ethnicity and age group</w:t>
              </w:r>
              <w:r w:rsidR="004A56D4">
                <w:rPr>
                  <w:noProof/>
                  <w:webHidden/>
                </w:rPr>
                <w:tab/>
              </w:r>
              <w:r w:rsidR="004A56D4">
                <w:rPr>
                  <w:noProof/>
                  <w:webHidden/>
                </w:rPr>
                <w:fldChar w:fldCharType="begin"/>
              </w:r>
              <w:r w:rsidR="004A56D4">
                <w:rPr>
                  <w:noProof/>
                  <w:webHidden/>
                </w:rPr>
                <w:instrText xml:space="preserve"> PAGEREF _Toc160633948 \h </w:instrText>
              </w:r>
              <w:r w:rsidR="004A56D4">
                <w:rPr>
                  <w:noProof/>
                  <w:webHidden/>
                </w:rPr>
              </w:r>
              <w:r w:rsidR="004A56D4">
                <w:rPr>
                  <w:noProof/>
                  <w:webHidden/>
                </w:rPr>
                <w:fldChar w:fldCharType="separate"/>
              </w:r>
              <w:r w:rsidR="00AE166D">
                <w:rPr>
                  <w:noProof/>
                  <w:webHidden/>
                </w:rPr>
                <w:t>73</w:t>
              </w:r>
              <w:r w:rsidR="004A56D4">
                <w:rPr>
                  <w:noProof/>
                  <w:webHidden/>
                </w:rPr>
                <w:fldChar w:fldCharType="end"/>
              </w:r>
            </w:hyperlink>
          </w:p>
          <w:p w14:paraId="4B0469DF" w14:textId="57F7EB94"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49" w:history="1">
              <w:r w:rsidR="004A56D4" w:rsidRPr="002576FE">
                <w:rPr>
                  <w:rStyle w:val="Hyperlink"/>
                  <w:noProof/>
                </w:rPr>
                <w:t>Table 42 Estimated total cost of lost productivity due to alcohol-attributable premature mortality</w:t>
              </w:r>
              <w:r w:rsidR="004A56D4">
                <w:rPr>
                  <w:noProof/>
                  <w:webHidden/>
                </w:rPr>
                <w:tab/>
              </w:r>
              <w:r w:rsidR="004A56D4">
                <w:rPr>
                  <w:noProof/>
                  <w:webHidden/>
                </w:rPr>
                <w:fldChar w:fldCharType="begin"/>
              </w:r>
              <w:r w:rsidR="004A56D4">
                <w:rPr>
                  <w:noProof/>
                  <w:webHidden/>
                </w:rPr>
                <w:instrText xml:space="preserve"> PAGEREF _Toc160633949 \h </w:instrText>
              </w:r>
              <w:r w:rsidR="004A56D4">
                <w:rPr>
                  <w:noProof/>
                  <w:webHidden/>
                </w:rPr>
              </w:r>
              <w:r w:rsidR="004A56D4">
                <w:rPr>
                  <w:noProof/>
                  <w:webHidden/>
                </w:rPr>
                <w:fldChar w:fldCharType="separate"/>
              </w:r>
              <w:r w:rsidR="00AE166D">
                <w:rPr>
                  <w:noProof/>
                  <w:webHidden/>
                </w:rPr>
                <w:t>73</w:t>
              </w:r>
              <w:r w:rsidR="004A56D4">
                <w:rPr>
                  <w:noProof/>
                  <w:webHidden/>
                </w:rPr>
                <w:fldChar w:fldCharType="end"/>
              </w:r>
            </w:hyperlink>
          </w:p>
          <w:p w14:paraId="035E6A9B" w14:textId="1A6CCA3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0" w:history="1">
              <w:r w:rsidR="004A56D4" w:rsidRPr="002576FE">
                <w:rPr>
                  <w:rStyle w:val="Hyperlink"/>
                  <w:noProof/>
                </w:rPr>
                <w:t>Table 43 Estimated total cost of lost productivity due to alcohol-attributable premature mortality by ethnicity and age group</w:t>
              </w:r>
              <w:r w:rsidR="004A56D4">
                <w:rPr>
                  <w:noProof/>
                  <w:webHidden/>
                </w:rPr>
                <w:tab/>
              </w:r>
              <w:r w:rsidR="004A56D4">
                <w:rPr>
                  <w:noProof/>
                  <w:webHidden/>
                </w:rPr>
                <w:fldChar w:fldCharType="begin"/>
              </w:r>
              <w:r w:rsidR="004A56D4">
                <w:rPr>
                  <w:noProof/>
                  <w:webHidden/>
                </w:rPr>
                <w:instrText xml:space="preserve"> PAGEREF _Toc160633950 \h </w:instrText>
              </w:r>
              <w:r w:rsidR="004A56D4">
                <w:rPr>
                  <w:noProof/>
                  <w:webHidden/>
                </w:rPr>
              </w:r>
              <w:r w:rsidR="004A56D4">
                <w:rPr>
                  <w:noProof/>
                  <w:webHidden/>
                </w:rPr>
                <w:fldChar w:fldCharType="separate"/>
              </w:r>
              <w:r w:rsidR="00AE166D">
                <w:rPr>
                  <w:noProof/>
                  <w:webHidden/>
                </w:rPr>
                <w:t>74</w:t>
              </w:r>
              <w:r w:rsidR="004A56D4">
                <w:rPr>
                  <w:noProof/>
                  <w:webHidden/>
                </w:rPr>
                <w:fldChar w:fldCharType="end"/>
              </w:r>
            </w:hyperlink>
          </w:p>
          <w:p w14:paraId="582C6093" w14:textId="47E08D5D"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1" w:history="1">
              <w:r w:rsidR="004A56D4" w:rsidRPr="002576FE">
                <w:rPr>
                  <w:rStyle w:val="Hyperlink"/>
                  <w:noProof/>
                </w:rPr>
                <w:t>Table 44 Estimated total cost of lost productivity associated with time spent in hospital</w:t>
              </w:r>
              <w:r w:rsidR="004A56D4">
                <w:rPr>
                  <w:noProof/>
                  <w:webHidden/>
                </w:rPr>
                <w:tab/>
              </w:r>
              <w:r w:rsidR="004A56D4">
                <w:rPr>
                  <w:noProof/>
                  <w:webHidden/>
                </w:rPr>
                <w:fldChar w:fldCharType="begin"/>
              </w:r>
              <w:r w:rsidR="004A56D4">
                <w:rPr>
                  <w:noProof/>
                  <w:webHidden/>
                </w:rPr>
                <w:instrText xml:space="preserve"> PAGEREF _Toc160633951 \h </w:instrText>
              </w:r>
              <w:r w:rsidR="004A56D4">
                <w:rPr>
                  <w:noProof/>
                  <w:webHidden/>
                </w:rPr>
              </w:r>
              <w:r w:rsidR="004A56D4">
                <w:rPr>
                  <w:noProof/>
                  <w:webHidden/>
                </w:rPr>
                <w:fldChar w:fldCharType="separate"/>
              </w:r>
              <w:r w:rsidR="00AE166D">
                <w:rPr>
                  <w:noProof/>
                  <w:webHidden/>
                </w:rPr>
                <w:t>74</w:t>
              </w:r>
              <w:r w:rsidR="004A56D4">
                <w:rPr>
                  <w:noProof/>
                  <w:webHidden/>
                </w:rPr>
                <w:fldChar w:fldCharType="end"/>
              </w:r>
            </w:hyperlink>
          </w:p>
          <w:p w14:paraId="3981BDF2" w14:textId="5A9BA916"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2" w:history="1">
              <w:r w:rsidR="004A56D4" w:rsidRPr="002576FE">
                <w:rPr>
                  <w:rStyle w:val="Hyperlink"/>
                  <w:noProof/>
                </w:rPr>
                <w:t>Table 45 Estimated cost of lost productivity in 2023 associated with time spent in hospital by ethnicity and age group</w:t>
              </w:r>
              <w:r w:rsidR="004A56D4">
                <w:rPr>
                  <w:noProof/>
                  <w:webHidden/>
                </w:rPr>
                <w:tab/>
              </w:r>
              <w:r w:rsidR="004A56D4">
                <w:rPr>
                  <w:noProof/>
                  <w:webHidden/>
                </w:rPr>
                <w:fldChar w:fldCharType="begin"/>
              </w:r>
              <w:r w:rsidR="004A56D4">
                <w:rPr>
                  <w:noProof/>
                  <w:webHidden/>
                </w:rPr>
                <w:instrText xml:space="preserve"> PAGEREF _Toc160633952 \h </w:instrText>
              </w:r>
              <w:r w:rsidR="004A56D4">
                <w:rPr>
                  <w:noProof/>
                  <w:webHidden/>
                </w:rPr>
              </w:r>
              <w:r w:rsidR="004A56D4">
                <w:rPr>
                  <w:noProof/>
                  <w:webHidden/>
                </w:rPr>
                <w:fldChar w:fldCharType="separate"/>
              </w:r>
              <w:r w:rsidR="00AE166D">
                <w:rPr>
                  <w:noProof/>
                  <w:webHidden/>
                </w:rPr>
                <w:t>75</w:t>
              </w:r>
              <w:r w:rsidR="004A56D4">
                <w:rPr>
                  <w:noProof/>
                  <w:webHidden/>
                </w:rPr>
                <w:fldChar w:fldCharType="end"/>
              </w:r>
            </w:hyperlink>
          </w:p>
          <w:p w14:paraId="4160BEE3" w14:textId="7D53D5B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3" w:history="1">
              <w:r w:rsidR="004A56D4" w:rsidRPr="002576FE">
                <w:rPr>
                  <w:rStyle w:val="Hyperlink"/>
                  <w:noProof/>
                </w:rPr>
                <w:t>Table 46 Estimated cost of productivity loss associated with alcohol-attributable injuries and disability</w:t>
              </w:r>
              <w:r w:rsidR="004A56D4">
                <w:rPr>
                  <w:noProof/>
                  <w:webHidden/>
                </w:rPr>
                <w:tab/>
              </w:r>
              <w:r w:rsidR="004A56D4">
                <w:rPr>
                  <w:noProof/>
                  <w:webHidden/>
                </w:rPr>
                <w:fldChar w:fldCharType="begin"/>
              </w:r>
              <w:r w:rsidR="004A56D4">
                <w:rPr>
                  <w:noProof/>
                  <w:webHidden/>
                </w:rPr>
                <w:instrText xml:space="preserve"> PAGEREF _Toc160633953 \h </w:instrText>
              </w:r>
              <w:r w:rsidR="004A56D4">
                <w:rPr>
                  <w:noProof/>
                  <w:webHidden/>
                </w:rPr>
              </w:r>
              <w:r w:rsidR="004A56D4">
                <w:rPr>
                  <w:noProof/>
                  <w:webHidden/>
                </w:rPr>
                <w:fldChar w:fldCharType="separate"/>
              </w:r>
              <w:r w:rsidR="00AE166D">
                <w:rPr>
                  <w:noProof/>
                  <w:webHidden/>
                </w:rPr>
                <w:t>75</w:t>
              </w:r>
              <w:r w:rsidR="004A56D4">
                <w:rPr>
                  <w:noProof/>
                  <w:webHidden/>
                </w:rPr>
                <w:fldChar w:fldCharType="end"/>
              </w:r>
            </w:hyperlink>
          </w:p>
          <w:p w14:paraId="3787D95D" w14:textId="4D25E86F"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4" w:history="1">
              <w:r w:rsidR="004A56D4" w:rsidRPr="002576FE">
                <w:rPr>
                  <w:rStyle w:val="Hyperlink"/>
                  <w:noProof/>
                </w:rPr>
                <w:t>Table 47 Estimated cost of productivity lost due to alcohol-attributable incarceration</w:t>
              </w:r>
              <w:r w:rsidR="004A56D4">
                <w:rPr>
                  <w:noProof/>
                  <w:webHidden/>
                </w:rPr>
                <w:tab/>
              </w:r>
              <w:r w:rsidR="004A56D4">
                <w:rPr>
                  <w:noProof/>
                  <w:webHidden/>
                </w:rPr>
                <w:fldChar w:fldCharType="begin"/>
              </w:r>
              <w:r w:rsidR="004A56D4">
                <w:rPr>
                  <w:noProof/>
                  <w:webHidden/>
                </w:rPr>
                <w:instrText xml:space="preserve"> PAGEREF _Toc160633954 \h </w:instrText>
              </w:r>
              <w:r w:rsidR="004A56D4">
                <w:rPr>
                  <w:noProof/>
                  <w:webHidden/>
                </w:rPr>
              </w:r>
              <w:r w:rsidR="004A56D4">
                <w:rPr>
                  <w:noProof/>
                  <w:webHidden/>
                </w:rPr>
                <w:fldChar w:fldCharType="separate"/>
              </w:r>
              <w:r w:rsidR="00AE166D">
                <w:rPr>
                  <w:noProof/>
                  <w:webHidden/>
                </w:rPr>
                <w:t>77</w:t>
              </w:r>
              <w:r w:rsidR="004A56D4">
                <w:rPr>
                  <w:noProof/>
                  <w:webHidden/>
                </w:rPr>
                <w:fldChar w:fldCharType="end"/>
              </w:r>
            </w:hyperlink>
          </w:p>
          <w:p w14:paraId="71AAA8E3" w14:textId="7D6A2359"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5" w:history="1">
              <w:r w:rsidR="004A56D4" w:rsidRPr="002576FE">
                <w:rPr>
                  <w:rStyle w:val="Hyperlink"/>
                  <w:noProof/>
                </w:rPr>
                <w:t>Table 48 Productivity costs of absenteeism and presenteeism</w:t>
              </w:r>
              <w:r w:rsidR="004A56D4">
                <w:rPr>
                  <w:noProof/>
                  <w:webHidden/>
                </w:rPr>
                <w:tab/>
              </w:r>
              <w:r w:rsidR="004A56D4">
                <w:rPr>
                  <w:noProof/>
                  <w:webHidden/>
                </w:rPr>
                <w:fldChar w:fldCharType="begin"/>
              </w:r>
              <w:r w:rsidR="004A56D4">
                <w:rPr>
                  <w:noProof/>
                  <w:webHidden/>
                </w:rPr>
                <w:instrText xml:space="preserve"> PAGEREF _Toc160633955 \h </w:instrText>
              </w:r>
              <w:r w:rsidR="004A56D4">
                <w:rPr>
                  <w:noProof/>
                  <w:webHidden/>
                </w:rPr>
              </w:r>
              <w:r w:rsidR="004A56D4">
                <w:rPr>
                  <w:noProof/>
                  <w:webHidden/>
                </w:rPr>
                <w:fldChar w:fldCharType="separate"/>
              </w:r>
              <w:r w:rsidR="00AE166D">
                <w:rPr>
                  <w:noProof/>
                  <w:webHidden/>
                </w:rPr>
                <w:t>80</w:t>
              </w:r>
              <w:r w:rsidR="004A56D4">
                <w:rPr>
                  <w:noProof/>
                  <w:webHidden/>
                </w:rPr>
                <w:fldChar w:fldCharType="end"/>
              </w:r>
            </w:hyperlink>
          </w:p>
          <w:p w14:paraId="3B1E0014" w14:textId="4BF6C5D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6" w:history="1">
              <w:r w:rsidR="004A56D4" w:rsidRPr="002576FE">
                <w:rPr>
                  <w:rStyle w:val="Hyperlink"/>
                  <w:noProof/>
                </w:rPr>
                <w:t>Table 49 FASD population and share of FASD population</w:t>
              </w:r>
              <w:r w:rsidR="004A56D4">
                <w:rPr>
                  <w:noProof/>
                  <w:webHidden/>
                </w:rPr>
                <w:tab/>
              </w:r>
              <w:r w:rsidR="004A56D4">
                <w:rPr>
                  <w:noProof/>
                  <w:webHidden/>
                </w:rPr>
                <w:fldChar w:fldCharType="begin"/>
              </w:r>
              <w:r w:rsidR="004A56D4">
                <w:rPr>
                  <w:noProof/>
                  <w:webHidden/>
                </w:rPr>
                <w:instrText xml:space="preserve"> PAGEREF _Toc160633956 \h </w:instrText>
              </w:r>
              <w:r w:rsidR="004A56D4">
                <w:rPr>
                  <w:noProof/>
                  <w:webHidden/>
                </w:rPr>
              </w:r>
              <w:r w:rsidR="004A56D4">
                <w:rPr>
                  <w:noProof/>
                  <w:webHidden/>
                </w:rPr>
                <w:fldChar w:fldCharType="separate"/>
              </w:r>
              <w:r w:rsidR="00AE166D">
                <w:rPr>
                  <w:noProof/>
                  <w:webHidden/>
                </w:rPr>
                <w:t>82</w:t>
              </w:r>
              <w:r w:rsidR="004A56D4">
                <w:rPr>
                  <w:noProof/>
                  <w:webHidden/>
                </w:rPr>
                <w:fldChar w:fldCharType="end"/>
              </w:r>
            </w:hyperlink>
          </w:p>
          <w:p w14:paraId="08F5E399" w14:textId="19178CB8"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7" w:history="1">
              <w:r w:rsidR="004A56D4" w:rsidRPr="002576FE">
                <w:rPr>
                  <w:rStyle w:val="Hyperlink"/>
                  <w:noProof/>
                </w:rPr>
                <w:t>Table 50 Estimation of the total value of lost productivity associated with FASD</w:t>
              </w:r>
              <w:r w:rsidR="004A56D4">
                <w:rPr>
                  <w:noProof/>
                  <w:webHidden/>
                </w:rPr>
                <w:tab/>
              </w:r>
              <w:r w:rsidR="004A56D4">
                <w:rPr>
                  <w:noProof/>
                  <w:webHidden/>
                </w:rPr>
                <w:fldChar w:fldCharType="begin"/>
              </w:r>
              <w:r w:rsidR="004A56D4">
                <w:rPr>
                  <w:noProof/>
                  <w:webHidden/>
                </w:rPr>
                <w:instrText xml:space="preserve"> PAGEREF _Toc160633957 \h </w:instrText>
              </w:r>
              <w:r w:rsidR="004A56D4">
                <w:rPr>
                  <w:noProof/>
                  <w:webHidden/>
                </w:rPr>
              </w:r>
              <w:r w:rsidR="004A56D4">
                <w:rPr>
                  <w:noProof/>
                  <w:webHidden/>
                </w:rPr>
                <w:fldChar w:fldCharType="separate"/>
              </w:r>
              <w:r w:rsidR="00AE166D">
                <w:rPr>
                  <w:noProof/>
                  <w:webHidden/>
                </w:rPr>
                <w:t>84</w:t>
              </w:r>
              <w:r w:rsidR="004A56D4">
                <w:rPr>
                  <w:noProof/>
                  <w:webHidden/>
                </w:rPr>
                <w:fldChar w:fldCharType="end"/>
              </w:r>
            </w:hyperlink>
          </w:p>
          <w:p w14:paraId="5C292060" w14:textId="7E3F26B7"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8" w:history="1">
              <w:r w:rsidR="004A56D4" w:rsidRPr="002576FE">
                <w:rPr>
                  <w:rStyle w:val="Hyperlink"/>
                  <w:noProof/>
                </w:rPr>
                <w:t>Table 51 Total value of lost productivity associated with FASD by ethnicity</w:t>
              </w:r>
              <w:r w:rsidR="004A56D4">
                <w:rPr>
                  <w:noProof/>
                  <w:webHidden/>
                </w:rPr>
                <w:tab/>
              </w:r>
              <w:r w:rsidR="004A56D4">
                <w:rPr>
                  <w:noProof/>
                  <w:webHidden/>
                </w:rPr>
                <w:fldChar w:fldCharType="begin"/>
              </w:r>
              <w:r w:rsidR="004A56D4">
                <w:rPr>
                  <w:noProof/>
                  <w:webHidden/>
                </w:rPr>
                <w:instrText xml:space="preserve"> PAGEREF _Toc160633958 \h </w:instrText>
              </w:r>
              <w:r w:rsidR="004A56D4">
                <w:rPr>
                  <w:noProof/>
                  <w:webHidden/>
                </w:rPr>
              </w:r>
              <w:r w:rsidR="004A56D4">
                <w:rPr>
                  <w:noProof/>
                  <w:webHidden/>
                </w:rPr>
                <w:fldChar w:fldCharType="separate"/>
              </w:r>
              <w:r w:rsidR="00AE166D">
                <w:rPr>
                  <w:noProof/>
                  <w:webHidden/>
                </w:rPr>
                <w:t>85</w:t>
              </w:r>
              <w:r w:rsidR="004A56D4">
                <w:rPr>
                  <w:noProof/>
                  <w:webHidden/>
                </w:rPr>
                <w:fldChar w:fldCharType="end"/>
              </w:r>
            </w:hyperlink>
          </w:p>
          <w:p w14:paraId="30CBDAC4" w14:textId="1005AE6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59" w:history="1">
              <w:r w:rsidR="004A56D4" w:rsidRPr="002576FE">
                <w:rPr>
                  <w:rStyle w:val="Hyperlink"/>
                  <w:noProof/>
                </w:rPr>
                <w:t>Table 52 Discounted future productivity loss for the 2023 cohort of FASD babies</w:t>
              </w:r>
              <w:r w:rsidR="004A56D4">
                <w:rPr>
                  <w:noProof/>
                  <w:webHidden/>
                </w:rPr>
                <w:tab/>
              </w:r>
              <w:r w:rsidR="004A56D4">
                <w:rPr>
                  <w:noProof/>
                  <w:webHidden/>
                </w:rPr>
                <w:fldChar w:fldCharType="begin"/>
              </w:r>
              <w:r w:rsidR="004A56D4">
                <w:rPr>
                  <w:noProof/>
                  <w:webHidden/>
                </w:rPr>
                <w:instrText xml:space="preserve"> PAGEREF _Toc160633959 \h </w:instrText>
              </w:r>
              <w:r w:rsidR="004A56D4">
                <w:rPr>
                  <w:noProof/>
                  <w:webHidden/>
                </w:rPr>
              </w:r>
              <w:r w:rsidR="004A56D4">
                <w:rPr>
                  <w:noProof/>
                  <w:webHidden/>
                </w:rPr>
                <w:fldChar w:fldCharType="separate"/>
              </w:r>
              <w:r w:rsidR="00AE166D">
                <w:rPr>
                  <w:noProof/>
                  <w:webHidden/>
                </w:rPr>
                <w:t>86</w:t>
              </w:r>
              <w:r w:rsidR="004A56D4">
                <w:rPr>
                  <w:noProof/>
                  <w:webHidden/>
                </w:rPr>
                <w:fldChar w:fldCharType="end"/>
              </w:r>
            </w:hyperlink>
          </w:p>
          <w:p w14:paraId="17946D84" w14:textId="2FE2282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0" w:history="1">
              <w:r w:rsidR="004A56D4" w:rsidRPr="002576FE">
                <w:rPr>
                  <w:rStyle w:val="Hyperlink"/>
                  <w:noProof/>
                </w:rPr>
                <w:t>Table 53 Estimates of total societal costs of alcohol</w:t>
              </w:r>
              <w:r w:rsidR="004A56D4">
                <w:rPr>
                  <w:noProof/>
                  <w:webHidden/>
                </w:rPr>
                <w:tab/>
              </w:r>
              <w:r w:rsidR="004A56D4">
                <w:rPr>
                  <w:noProof/>
                  <w:webHidden/>
                </w:rPr>
                <w:fldChar w:fldCharType="begin"/>
              </w:r>
              <w:r w:rsidR="004A56D4">
                <w:rPr>
                  <w:noProof/>
                  <w:webHidden/>
                </w:rPr>
                <w:instrText xml:space="preserve"> PAGEREF _Toc160633960 \h </w:instrText>
              </w:r>
              <w:r w:rsidR="004A56D4">
                <w:rPr>
                  <w:noProof/>
                  <w:webHidden/>
                </w:rPr>
              </w:r>
              <w:r w:rsidR="004A56D4">
                <w:rPr>
                  <w:noProof/>
                  <w:webHidden/>
                </w:rPr>
                <w:fldChar w:fldCharType="separate"/>
              </w:r>
              <w:r w:rsidR="00AE166D">
                <w:rPr>
                  <w:noProof/>
                  <w:webHidden/>
                </w:rPr>
                <w:t>88</w:t>
              </w:r>
              <w:r w:rsidR="004A56D4">
                <w:rPr>
                  <w:noProof/>
                  <w:webHidden/>
                </w:rPr>
                <w:fldChar w:fldCharType="end"/>
              </w:r>
            </w:hyperlink>
          </w:p>
          <w:p w14:paraId="343A3267" w14:textId="127C24BD"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1" w:history="1">
              <w:r w:rsidR="004A56D4" w:rsidRPr="002576FE">
                <w:rPr>
                  <w:rStyle w:val="Hyperlink"/>
                  <w:noProof/>
                </w:rPr>
                <w:t>Table 54 Estimates of societal costs of key alcohol harm concerns</w:t>
              </w:r>
              <w:r w:rsidR="004A56D4">
                <w:rPr>
                  <w:noProof/>
                  <w:webHidden/>
                </w:rPr>
                <w:tab/>
              </w:r>
              <w:r w:rsidR="004A56D4">
                <w:rPr>
                  <w:noProof/>
                  <w:webHidden/>
                </w:rPr>
                <w:fldChar w:fldCharType="begin"/>
              </w:r>
              <w:r w:rsidR="004A56D4">
                <w:rPr>
                  <w:noProof/>
                  <w:webHidden/>
                </w:rPr>
                <w:instrText xml:space="preserve"> PAGEREF _Toc160633961 \h </w:instrText>
              </w:r>
              <w:r w:rsidR="004A56D4">
                <w:rPr>
                  <w:noProof/>
                  <w:webHidden/>
                </w:rPr>
              </w:r>
              <w:r w:rsidR="004A56D4">
                <w:rPr>
                  <w:noProof/>
                  <w:webHidden/>
                </w:rPr>
                <w:fldChar w:fldCharType="separate"/>
              </w:r>
              <w:r w:rsidR="00AE166D">
                <w:rPr>
                  <w:noProof/>
                  <w:webHidden/>
                </w:rPr>
                <w:t>88</w:t>
              </w:r>
              <w:r w:rsidR="004A56D4">
                <w:rPr>
                  <w:noProof/>
                  <w:webHidden/>
                </w:rPr>
                <w:fldChar w:fldCharType="end"/>
              </w:r>
            </w:hyperlink>
          </w:p>
          <w:p w14:paraId="37AC5DE7" w14:textId="17119512"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2" w:history="1">
              <w:r w:rsidR="004A56D4" w:rsidRPr="002576FE">
                <w:rPr>
                  <w:rStyle w:val="Hyperlink"/>
                  <w:noProof/>
                </w:rPr>
                <w:t>Table 55 Estimates of costs of productivity losses due to alcohol</w:t>
              </w:r>
              <w:r w:rsidR="004A56D4">
                <w:rPr>
                  <w:noProof/>
                  <w:webHidden/>
                </w:rPr>
                <w:tab/>
              </w:r>
              <w:r w:rsidR="004A56D4">
                <w:rPr>
                  <w:noProof/>
                  <w:webHidden/>
                </w:rPr>
                <w:fldChar w:fldCharType="begin"/>
              </w:r>
              <w:r w:rsidR="004A56D4">
                <w:rPr>
                  <w:noProof/>
                  <w:webHidden/>
                </w:rPr>
                <w:instrText xml:space="preserve"> PAGEREF _Toc160633962 \h </w:instrText>
              </w:r>
              <w:r w:rsidR="004A56D4">
                <w:rPr>
                  <w:noProof/>
                  <w:webHidden/>
                </w:rPr>
              </w:r>
              <w:r w:rsidR="004A56D4">
                <w:rPr>
                  <w:noProof/>
                  <w:webHidden/>
                </w:rPr>
                <w:fldChar w:fldCharType="separate"/>
              </w:r>
              <w:r w:rsidR="00AE166D">
                <w:rPr>
                  <w:noProof/>
                  <w:webHidden/>
                </w:rPr>
                <w:t>89</w:t>
              </w:r>
              <w:r w:rsidR="004A56D4">
                <w:rPr>
                  <w:noProof/>
                  <w:webHidden/>
                </w:rPr>
                <w:fldChar w:fldCharType="end"/>
              </w:r>
            </w:hyperlink>
          </w:p>
          <w:p w14:paraId="6A9B4181" w14:textId="7B285B2A"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3" w:history="1">
              <w:r w:rsidR="004A56D4" w:rsidRPr="002576FE">
                <w:rPr>
                  <w:rStyle w:val="Hyperlink"/>
                  <w:noProof/>
                </w:rPr>
                <w:t>Table 56 Estimated costs to government due to alcohol harms</w:t>
              </w:r>
              <w:r w:rsidR="004A56D4">
                <w:rPr>
                  <w:noProof/>
                  <w:webHidden/>
                </w:rPr>
                <w:tab/>
              </w:r>
              <w:r w:rsidR="004A56D4">
                <w:rPr>
                  <w:noProof/>
                  <w:webHidden/>
                </w:rPr>
                <w:fldChar w:fldCharType="begin"/>
              </w:r>
              <w:r w:rsidR="004A56D4">
                <w:rPr>
                  <w:noProof/>
                  <w:webHidden/>
                </w:rPr>
                <w:instrText xml:space="preserve"> PAGEREF _Toc160633963 \h </w:instrText>
              </w:r>
              <w:r w:rsidR="004A56D4">
                <w:rPr>
                  <w:noProof/>
                  <w:webHidden/>
                </w:rPr>
              </w:r>
              <w:r w:rsidR="004A56D4">
                <w:rPr>
                  <w:noProof/>
                  <w:webHidden/>
                </w:rPr>
                <w:fldChar w:fldCharType="separate"/>
              </w:r>
              <w:r w:rsidR="00AE166D">
                <w:rPr>
                  <w:noProof/>
                  <w:webHidden/>
                </w:rPr>
                <w:t>89</w:t>
              </w:r>
              <w:r w:rsidR="004A56D4">
                <w:rPr>
                  <w:noProof/>
                  <w:webHidden/>
                </w:rPr>
                <w:fldChar w:fldCharType="end"/>
              </w:r>
            </w:hyperlink>
          </w:p>
          <w:p w14:paraId="612CE2DA" w14:textId="3226C6EC"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4" w:history="1">
              <w:r w:rsidR="004A56D4" w:rsidRPr="002576FE">
                <w:rPr>
                  <w:rStyle w:val="Hyperlink"/>
                  <w:noProof/>
                </w:rPr>
                <w:t>Table 57 Potential for double-counting when aggregating or combining cost estimates</w:t>
              </w:r>
              <w:r w:rsidR="004A56D4">
                <w:rPr>
                  <w:noProof/>
                  <w:webHidden/>
                </w:rPr>
                <w:tab/>
              </w:r>
              <w:r w:rsidR="004A56D4">
                <w:rPr>
                  <w:noProof/>
                  <w:webHidden/>
                </w:rPr>
                <w:fldChar w:fldCharType="begin"/>
              </w:r>
              <w:r w:rsidR="004A56D4">
                <w:rPr>
                  <w:noProof/>
                  <w:webHidden/>
                </w:rPr>
                <w:instrText xml:space="preserve"> PAGEREF _Toc160633964 \h </w:instrText>
              </w:r>
              <w:r w:rsidR="004A56D4">
                <w:rPr>
                  <w:noProof/>
                  <w:webHidden/>
                </w:rPr>
              </w:r>
              <w:r w:rsidR="004A56D4">
                <w:rPr>
                  <w:noProof/>
                  <w:webHidden/>
                </w:rPr>
                <w:fldChar w:fldCharType="separate"/>
              </w:r>
              <w:r w:rsidR="00AE166D">
                <w:rPr>
                  <w:noProof/>
                  <w:webHidden/>
                </w:rPr>
                <w:t>90</w:t>
              </w:r>
              <w:r w:rsidR="004A56D4">
                <w:rPr>
                  <w:noProof/>
                  <w:webHidden/>
                </w:rPr>
                <w:fldChar w:fldCharType="end"/>
              </w:r>
            </w:hyperlink>
          </w:p>
          <w:p w14:paraId="1207C21B" w14:textId="5C008623"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5" w:history="1">
              <w:r w:rsidR="004A56D4" w:rsidRPr="002576FE">
                <w:rPr>
                  <w:rStyle w:val="Hyperlink"/>
                  <w:noProof/>
                </w:rPr>
                <w:t>Table 58 Comparison of this study with previous key studies</w:t>
              </w:r>
              <w:r w:rsidR="004A56D4">
                <w:rPr>
                  <w:noProof/>
                  <w:webHidden/>
                </w:rPr>
                <w:tab/>
              </w:r>
              <w:r w:rsidR="004A56D4">
                <w:rPr>
                  <w:noProof/>
                  <w:webHidden/>
                </w:rPr>
                <w:fldChar w:fldCharType="begin"/>
              </w:r>
              <w:r w:rsidR="004A56D4">
                <w:rPr>
                  <w:noProof/>
                  <w:webHidden/>
                </w:rPr>
                <w:instrText xml:space="preserve"> PAGEREF _Toc160633965 \h </w:instrText>
              </w:r>
              <w:r w:rsidR="004A56D4">
                <w:rPr>
                  <w:noProof/>
                  <w:webHidden/>
                </w:rPr>
              </w:r>
              <w:r w:rsidR="004A56D4">
                <w:rPr>
                  <w:noProof/>
                  <w:webHidden/>
                </w:rPr>
                <w:fldChar w:fldCharType="separate"/>
              </w:r>
              <w:r w:rsidR="00AE166D">
                <w:rPr>
                  <w:noProof/>
                  <w:webHidden/>
                </w:rPr>
                <w:t>110</w:t>
              </w:r>
              <w:r w:rsidR="004A56D4">
                <w:rPr>
                  <w:noProof/>
                  <w:webHidden/>
                </w:rPr>
                <w:fldChar w:fldCharType="end"/>
              </w:r>
            </w:hyperlink>
          </w:p>
          <w:p w14:paraId="4EAE316B" w14:textId="3B53D379"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6" w:history="1">
              <w:r w:rsidR="004A56D4" w:rsidRPr="002576FE">
                <w:rPr>
                  <w:rStyle w:val="Hyperlink"/>
                  <w:noProof/>
                </w:rPr>
                <w:t>Table 59 ICD-10 Codes</w:t>
              </w:r>
              <w:r w:rsidR="004A56D4">
                <w:rPr>
                  <w:noProof/>
                  <w:webHidden/>
                </w:rPr>
                <w:tab/>
              </w:r>
              <w:r w:rsidR="004A56D4">
                <w:rPr>
                  <w:noProof/>
                  <w:webHidden/>
                </w:rPr>
                <w:fldChar w:fldCharType="begin"/>
              </w:r>
              <w:r w:rsidR="004A56D4">
                <w:rPr>
                  <w:noProof/>
                  <w:webHidden/>
                </w:rPr>
                <w:instrText xml:space="preserve"> PAGEREF _Toc160633966 \h </w:instrText>
              </w:r>
              <w:r w:rsidR="004A56D4">
                <w:rPr>
                  <w:noProof/>
                  <w:webHidden/>
                </w:rPr>
              </w:r>
              <w:r w:rsidR="004A56D4">
                <w:rPr>
                  <w:noProof/>
                  <w:webHidden/>
                </w:rPr>
                <w:fldChar w:fldCharType="separate"/>
              </w:r>
              <w:r w:rsidR="00AE166D">
                <w:rPr>
                  <w:noProof/>
                  <w:webHidden/>
                </w:rPr>
                <w:t>116</w:t>
              </w:r>
              <w:r w:rsidR="004A56D4">
                <w:rPr>
                  <w:noProof/>
                  <w:webHidden/>
                </w:rPr>
                <w:fldChar w:fldCharType="end"/>
              </w:r>
            </w:hyperlink>
          </w:p>
          <w:p w14:paraId="0BAAA4C6" w14:textId="70B3FB65"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7" w:history="1">
              <w:r w:rsidR="004A56D4" w:rsidRPr="002576FE">
                <w:rPr>
                  <w:rStyle w:val="Hyperlink"/>
                  <w:noProof/>
                </w:rPr>
                <w:t>Table 60 Classification of crimes as impulsive crimes</w:t>
              </w:r>
              <w:r w:rsidR="004A56D4">
                <w:rPr>
                  <w:noProof/>
                  <w:webHidden/>
                </w:rPr>
                <w:tab/>
              </w:r>
              <w:r w:rsidR="004A56D4">
                <w:rPr>
                  <w:noProof/>
                  <w:webHidden/>
                </w:rPr>
                <w:fldChar w:fldCharType="begin"/>
              </w:r>
              <w:r w:rsidR="004A56D4">
                <w:rPr>
                  <w:noProof/>
                  <w:webHidden/>
                </w:rPr>
                <w:instrText xml:space="preserve"> PAGEREF _Toc160633967 \h </w:instrText>
              </w:r>
              <w:r w:rsidR="004A56D4">
                <w:rPr>
                  <w:noProof/>
                  <w:webHidden/>
                </w:rPr>
              </w:r>
              <w:r w:rsidR="004A56D4">
                <w:rPr>
                  <w:noProof/>
                  <w:webHidden/>
                </w:rPr>
                <w:fldChar w:fldCharType="separate"/>
              </w:r>
              <w:r w:rsidR="00AE166D">
                <w:rPr>
                  <w:noProof/>
                  <w:webHidden/>
                </w:rPr>
                <w:t>117</w:t>
              </w:r>
              <w:r w:rsidR="004A56D4">
                <w:rPr>
                  <w:noProof/>
                  <w:webHidden/>
                </w:rPr>
                <w:fldChar w:fldCharType="end"/>
              </w:r>
            </w:hyperlink>
          </w:p>
          <w:p w14:paraId="2C7FFDAC" w14:textId="41B40B27" w:rsidR="004A56D4" w:rsidRDefault="00000000">
            <w:pPr>
              <w:pStyle w:val="TableofFigures"/>
              <w:rPr>
                <w:rFonts w:asciiTheme="minorHAnsi" w:eastAsiaTheme="minorEastAsia" w:hAnsiTheme="minorHAnsi"/>
                <w:noProof/>
                <w:kern w:val="2"/>
                <w:sz w:val="24"/>
                <w:szCs w:val="24"/>
                <w:lang w:eastAsia="en-NZ"/>
                <w14:ligatures w14:val="standardContextual"/>
              </w:rPr>
            </w:pPr>
            <w:hyperlink w:anchor="_Toc160633968" w:history="1">
              <w:r w:rsidR="004A56D4" w:rsidRPr="002576FE">
                <w:rPr>
                  <w:rStyle w:val="Hyperlink"/>
                  <w:noProof/>
                </w:rPr>
                <w:t>Table 61 Evidence gaps affecting estimation of costs of alcohol harms</w:t>
              </w:r>
              <w:r w:rsidR="004A56D4">
                <w:rPr>
                  <w:noProof/>
                  <w:webHidden/>
                </w:rPr>
                <w:tab/>
              </w:r>
              <w:r w:rsidR="004A56D4">
                <w:rPr>
                  <w:noProof/>
                  <w:webHidden/>
                </w:rPr>
                <w:fldChar w:fldCharType="begin"/>
              </w:r>
              <w:r w:rsidR="004A56D4">
                <w:rPr>
                  <w:noProof/>
                  <w:webHidden/>
                </w:rPr>
                <w:instrText xml:space="preserve"> PAGEREF _Toc160633968 \h </w:instrText>
              </w:r>
              <w:r w:rsidR="004A56D4">
                <w:rPr>
                  <w:noProof/>
                  <w:webHidden/>
                </w:rPr>
              </w:r>
              <w:r w:rsidR="004A56D4">
                <w:rPr>
                  <w:noProof/>
                  <w:webHidden/>
                </w:rPr>
                <w:fldChar w:fldCharType="separate"/>
              </w:r>
              <w:r w:rsidR="00AE166D">
                <w:rPr>
                  <w:noProof/>
                  <w:webHidden/>
                </w:rPr>
                <w:t>121</w:t>
              </w:r>
              <w:r w:rsidR="004A56D4">
                <w:rPr>
                  <w:noProof/>
                  <w:webHidden/>
                </w:rPr>
                <w:fldChar w:fldCharType="end"/>
              </w:r>
            </w:hyperlink>
          </w:p>
          <w:p w14:paraId="1C0603F8" w14:textId="45337CBC" w:rsidR="00F8197C" w:rsidRDefault="00F8197C" w:rsidP="00DD5977">
            <w:pPr>
              <w:pStyle w:val="USWhiteSpace"/>
            </w:pPr>
            <w:r>
              <w:rPr>
                <w:noProof/>
                <w:lang w:val="en-US"/>
              </w:rPr>
              <w:fldChar w:fldCharType="end"/>
            </w:r>
          </w:p>
        </w:tc>
      </w:tr>
    </w:tbl>
    <w:p w14:paraId="55BF307D" w14:textId="214FF707" w:rsidR="008B5F66" w:rsidRPr="008B5F66" w:rsidRDefault="008B5F66" w:rsidP="008B5F66">
      <w:pPr>
        <w:pStyle w:val="USWhiteSpace"/>
        <w:rPr>
          <w:sz w:val="2"/>
          <w:szCs w:val="2"/>
        </w:rPr>
      </w:pPr>
    </w:p>
    <w:p w14:paraId="0586A6D6" w14:textId="3504DBA9" w:rsidR="008B5F66" w:rsidRPr="005925F4" w:rsidRDefault="008B5F66" w:rsidP="008B5F66">
      <w:pPr>
        <w:pStyle w:val="USBodyText"/>
        <w:sectPr w:rsidR="008B5F66" w:rsidRPr="005925F4" w:rsidSect="002E60DC">
          <w:pgSz w:w="11907" w:h="16839" w:code="9"/>
          <w:pgMar w:top="1701" w:right="1418" w:bottom="1418" w:left="1418" w:header="851" w:footer="851" w:gutter="0"/>
          <w:pgNumType w:fmt="lowerRoman"/>
          <w:cols w:space="708"/>
          <w:docGrid w:linePitch="360"/>
        </w:sectPr>
      </w:pPr>
    </w:p>
    <w:p w14:paraId="33CC730C" w14:textId="223B967D" w:rsidR="00751F61" w:rsidRDefault="001D5637" w:rsidP="006177F2">
      <w:pPr>
        <w:pStyle w:val="Heading1"/>
        <w:ind w:left="0"/>
      </w:pPr>
      <w:bookmarkStart w:id="17" w:name="_Toc160633823"/>
      <w:r>
        <w:lastRenderedPageBreak/>
        <w:t>Background</w:t>
      </w:r>
      <w:bookmarkEnd w:id="17"/>
      <w:r w:rsidR="006768FA">
        <w:t xml:space="preserve"> </w:t>
      </w:r>
    </w:p>
    <w:p w14:paraId="53A4CCDD" w14:textId="6064AEB3" w:rsidR="00CB1834" w:rsidRDefault="6A7FA5F2" w:rsidP="00CB1834">
      <w:pPr>
        <w:pStyle w:val="Heading2"/>
      </w:pPr>
      <w:bookmarkStart w:id="18" w:name="_Toc160633824"/>
      <w:r>
        <w:t xml:space="preserve">The </w:t>
      </w:r>
      <w:r w:rsidR="00380FDF">
        <w:t>Alcohol L</w:t>
      </w:r>
      <w:r>
        <w:t>evy</w:t>
      </w:r>
      <w:r w:rsidR="65D0B5FB">
        <w:t xml:space="preserve"> has raised revenue to recover costs of addressing alcohol harms since </w:t>
      </w:r>
      <w:proofErr w:type="gramStart"/>
      <w:r w:rsidR="65D0B5FB">
        <w:t>1978</w:t>
      </w:r>
      <w:bookmarkEnd w:id="18"/>
      <w:proofErr w:type="gramEnd"/>
    </w:p>
    <w:p w14:paraId="40EEFEA2" w14:textId="21BB8477" w:rsidR="00CB1834" w:rsidRDefault="00CB1834" w:rsidP="00CB1834">
      <w:pPr>
        <w:pStyle w:val="USBodyText"/>
      </w:pPr>
      <w:r>
        <w:t xml:space="preserve">A hypothecated levy on alcohol has been imposed since </w:t>
      </w:r>
      <w:r w:rsidR="6A7FA5F2">
        <w:t>197</w:t>
      </w:r>
      <w:r w:rsidR="7FE74AD1">
        <w:t>8</w:t>
      </w:r>
      <w:r w:rsidR="039A585B">
        <w:t xml:space="preserve">. It </w:t>
      </w:r>
      <w:r w:rsidR="47163AB1">
        <w:t>has been</w:t>
      </w:r>
      <w:r w:rsidR="00BD44D9">
        <w:t xml:space="preserve"> </w:t>
      </w:r>
      <w:r>
        <w:t>raised for the purpose of recovering only the costs incurred</w:t>
      </w:r>
      <w:r w:rsidR="00B16B1A">
        <w:t xml:space="preserve"> by the health sector</w:t>
      </w:r>
      <w:r>
        <w:t xml:space="preserve"> in addressing alcohol-related harm and other alcohol-related activities (including associated operating costs). </w:t>
      </w:r>
      <w:r w:rsidR="00380FDF">
        <w:t xml:space="preserve">Before the health reforms, these activities were undertaken by </w:t>
      </w:r>
      <w:proofErr w:type="spellStart"/>
      <w:r w:rsidR="00380FDF">
        <w:t>Te</w:t>
      </w:r>
      <w:proofErr w:type="spellEnd"/>
      <w:r w:rsidR="00380FDF">
        <w:t xml:space="preserve"> </w:t>
      </w:r>
      <w:proofErr w:type="spellStart"/>
      <w:r w:rsidR="00380FDF">
        <w:t>Hiringa</w:t>
      </w:r>
      <w:proofErr w:type="spellEnd"/>
      <w:r w:rsidR="00380FDF">
        <w:t xml:space="preserve"> Hauora | Health Promotion Agency,</w:t>
      </w:r>
      <w:r>
        <w:t xml:space="preserve"> a separate entity with its own budget</w:t>
      </w:r>
      <w:r w:rsidR="005C4D15">
        <w:t xml:space="preserve"> and </w:t>
      </w:r>
      <w:r>
        <w:t>specific</w:t>
      </w:r>
      <w:r w:rsidR="005C4D15">
        <w:t xml:space="preserve">, </w:t>
      </w:r>
      <w:r>
        <w:t>limited functions in relation to health promotion and prevention.</w:t>
      </w:r>
    </w:p>
    <w:p w14:paraId="61839D0B" w14:textId="61D46675" w:rsidR="00BD44D9" w:rsidRDefault="00BD44D9" w:rsidP="00CB1834">
      <w:pPr>
        <w:pStyle w:val="USBodyText"/>
      </w:pPr>
      <w:r w:rsidRPr="00BD44D9">
        <w:t xml:space="preserve">The </w:t>
      </w:r>
      <w:r w:rsidR="00380FDF">
        <w:t>A</w:t>
      </w:r>
      <w:r w:rsidR="00380FDF" w:rsidRPr="00BD44D9">
        <w:t xml:space="preserve">lcohol </w:t>
      </w:r>
      <w:r w:rsidR="00380FDF">
        <w:t>L</w:t>
      </w:r>
      <w:r w:rsidR="00380FDF" w:rsidRPr="00BD44D9">
        <w:t xml:space="preserve">evy </w:t>
      </w:r>
      <w:r w:rsidRPr="00BD44D9">
        <w:t xml:space="preserve">has not </w:t>
      </w:r>
      <w:r w:rsidR="00FE5424">
        <w:t>materially changed in at least 10</w:t>
      </w:r>
      <w:r w:rsidRPr="00BD44D9">
        <w:t xml:space="preserve"> years. The total levy fund for 2023/24 is $11.</w:t>
      </w:r>
      <w:r w:rsidR="00380FDF" w:rsidRPr="00BD44D9">
        <w:t>5</w:t>
      </w:r>
      <w:r w:rsidR="00380FDF">
        <w:t xml:space="preserve"> </w:t>
      </w:r>
      <w:r w:rsidR="00D16BCE">
        <w:t>million</w:t>
      </w:r>
      <w:r w:rsidRPr="00BD44D9">
        <w:t>. Under the previous</w:t>
      </w:r>
      <w:r w:rsidR="000C7E22">
        <w:t xml:space="preserve"> health</w:t>
      </w:r>
      <w:r w:rsidRPr="00BD44D9">
        <w:t xml:space="preserve"> system, the total </w:t>
      </w:r>
      <w:r w:rsidR="00736EED">
        <w:t>L</w:t>
      </w:r>
      <w:r w:rsidR="00736EED" w:rsidRPr="00BD44D9">
        <w:t xml:space="preserve">evy </w:t>
      </w:r>
      <w:r w:rsidRPr="00BD44D9">
        <w:t xml:space="preserve">amount was allocated to </w:t>
      </w:r>
      <w:proofErr w:type="spellStart"/>
      <w:r w:rsidRPr="00BD44D9">
        <w:t>Te</w:t>
      </w:r>
      <w:proofErr w:type="spellEnd"/>
      <w:r w:rsidRPr="00BD44D9">
        <w:t xml:space="preserve"> </w:t>
      </w:r>
      <w:proofErr w:type="spellStart"/>
      <w:r w:rsidRPr="00BD44D9">
        <w:t>Hiringa</w:t>
      </w:r>
      <w:proofErr w:type="spellEnd"/>
      <w:r w:rsidRPr="00BD44D9">
        <w:t xml:space="preserve"> Hauora</w:t>
      </w:r>
      <w:r w:rsidR="2D2BD127">
        <w:t xml:space="preserve"> | Health Promotion Agency</w:t>
      </w:r>
      <w:r w:rsidR="24B5D83C">
        <w:t>.</w:t>
      </w:r>
      <w:r w:rsidRPr="00BD44D9">
        <w:t xml:space="preserve"> Under the new </w:t>
      </w:r>
      <w:r w:rsidR="000C7E22">
        <w:t xml:space="preserve">health </w:t>
      </w:r>
      <w:r w:rsidRPr="00BD44D9">
        <w:t>system</w:t>
      </w:r>
      <w:r w:rsidR="00502A51">
        <w:t>, in the 2023/24 year</w:t>
      </w:r>
      <w:r w:rsidRPr="00BD44D9">
        <w:t>, $0.98</w:t>
      </w:r>
      <w:r w:rsidR="00D16BCE">
        <w:t xml:space="preserve"> </w:t>
      </w:r>
      <w:r w:rsidRPr="00BD44D9">
        <w:t>m</w:t>
      </w:r>
      <w:r w:rsidR="00D16BCE">
        <w:t>ill</w:t>
      </w:r>
      <w:r w:rsidR="003C6587">
        <w:t>i</w:t>
      </w:r>
      <w:r w:rsidR="00D16BCE">
        <w:t>on</w:t>
      </w:r>
      <w:r w:rsidRPr="00BD44D9">
        <w:t xml:space="preserve"> is allocated to Manatū Hauora (Public Health Agency), $8.52m is allocated to </w:t>
      </w:r>
      <w:proofErr w:type="spellStart"/>
      <w:r w:rsidRPr="00BD44D9">
        <w:t>Te</w:t>
      </w:r>
      <w:proofErr w:type="spellEnd"/>
      <w:r w:rsidRPr="00BD44D9">
        <w:t xml:space="preserve"> </w:t>
      </w:r>
      <w:proofErr w:type="spellStart"/>
      <w:r w:rsidRPr="00BD44D9">
        <w:t>Whatu</w:t>
      </w:r>
      <w:proofErr w:type="spellEnd"/>
      <w:r w:rsidRPr="00BD44D9">
        <w:t xml:space="preserve"> Ora (Health Promotion Directorate</w:t>
      </w:r>
      <w:r w:rsidR="0084174F">
        <w:t>, National Public Health Service</w:t>
      </w:r>
      <w:r w:rsidRPr="00BD44D9">
        <w:t xml:space="preserve">), and $2m is allocated to </w:t>
      </w:r>
      <w:proofErr w:type="spellStart"/>
      <w:r w:rsidRPr="00BD44D9">
        <w:t>Te</w:t>
      </w:r>
      <w:proofErr w:type="spellEnd"/>
      <w:r w:rsidRPr="00BD44D9">
        <w:t xml:space="preserve"> Aka </w:t>
      </w:r>
      <w:proofErr w:type="spellStart"/>
      <w:r w:rsidRPr="00BD44D9">
        <w:t>Whai</w:t>
      </w:r>
      <w:proofErr w:type="spellEnd"/>
      <w:r w:rsidRPr="00BD44D9">
        <w:t xml:space="preserve"> Ora</w:t>
      </w:r>
      <w:r w:rsidR="3BE1BE8F">
        <w:t xml:space="preserve"> | Māori Health Authority</w:t>
      </w:r>
      <w:r w:rsidR="000C7E22">
        <w:t>.</w:t>
      </w:r>
    </w:p>
    <w:p w14:paraId="22B85CD0" w14:textId="2C6B797C" w:rsidR="006723DB" w:rsidRDefault="006723DB" w:rsidP="00CB1834">
      <w:pPr>
        <w:pStyle w:val="USBodyText"/>
      </w:pPr>
      <w:r>
        <w:t>It is important to note that the Alcohol Levy</w:t>
      </w:r>
      <w:r w:rsidR="00736EED">
        <w:t xml:space="preserve"> (the Levy)</w:t>
      </w:r>
      <w:r>
        <w:t xml:space="preserve"> is very small, imposing </w:t>
      </w:r>
      <w:r w:rsidR="00B67056">
        <w:t>an increase in the price of alcohol that is dwarfed by not only the excise tax on alcohol but also the G</w:t>
      </w:r>
      <w:r w:rsidR="00C07002">
        <w:t>oods and Services Tax (GST). Because the</w:t>
      </w:r>
      <w:r w:rsidR="00C07002" w:rsidRPr="00C07002">
        <w:t xml:space="preserve"> Levy is very small</w:t>
      </w:r>
      <w:r w:rsidR="00C07002">
        <w:t xml:space="preserve">, it is </w:t>
      </w:r>
      <w:r w:rsidR="00C07002" w:rsidRPr="00C07002">
        <w:t>unlikely to influence the demand for alcohol through its price</w:t>
      </w:r>
      <w:r w:rsidR="00EE7ECC">
        <w:t xml:space="preserve">. The Levy revenue </w:t>
      </w:r>
      <w:r w:rsidR="00A7143C">
        <w:t>is</w:t>
      </w:r>
      <w:r w:rsidR="00EE7ECC">
        <w:t>, however, used to fund other</w:t>
      </w:r>
      <w:r w:rsidR="00C07002" w:rsidRPr="00C07002">
        <w:t xml:space="preserve"> mechanisms that may influence </w:t>
      </w:r>
      <w:r w:rsidR="00EE7ECC">
        <w:t xml:space="preserve">alcohol </w:t>
      </w:r>
      <w:r w:rsidR="00C07002" w:rsidRPr="00C07002">
        <w:t>demand and behaviour, such as health promotion</w:t>
      </w:r>
      <w:r w:rsidR="00A7143C">
        <w:t>, as well as services and programmes that</w:t>
      </w:r>
      <w:r w:rsidR="00C07002" w:rsidRPr="00C07002">
        <w:t xml:space="preserve"> address </w:t>
      </w:r>
      <w:r w:rsidR="00A7143C">
        <w:t xml:space="preserve">the </w:t>
      </w:r>
      <w:r w:rsidR="00C07002" w:rsidRPr="00C07002">
        <w:t>harmful consequences of alcohol consumption.</w:t>
      </w:r>
    </w:p>
    <w:p w14:paraId="0BD75004" w14:textId="322061DD" w:rsidR="00CB1834" w:rsidRDefault="7164EDDD" w:rsidP="00CB1834">
      <w:pPr>
        <w:pStyle w:val="Heading2"/>
      </w:pPr>
      <w:bookmarkStart w:id="19" w:name="_Toc160633825"/>
      <w:r>
        <w:t xml:space="preserve">The </w:t>
      </w:r>
      <w:proofErr w:type="spellStart"/>
      <w:r w:rsidR="00BD44D9">
        <w:t>Pae</w:t>
      </w:r>
      <w:proofErr w:type="spellEnd"/>
      <w:r w:rsidR="00BD44D9">
        <w:t xml:space="preserve"> Ora (Healthy Futures) Act 2022</w:t>
      </w:r>
      <w:r w:rsidR="6CEF57E4">
        <w:t xml:space="preserve"> changes the scope and context of the </w:t>
      </w:r>
      <w:proofErr w:type="gramStart"/>
      <w:r w:rsidR="00D75CF8">
        <w:t>L</w:t>
      </w:r>
      <w:r w:rsidR="6CEF57E4">
        <w:t>evy</w:t>
      </w:r>
      <w:bookmarkEnd w:id="19"/>
      <w:proofErr w:type="gramEnd"/>
    </w:p>
    <w:p w14:paraId="20DEF07E" w14:textId="4C7E55D9" w:rsidR="00BD44D9" w:rsidRDefault="00BD44D9" w:rsidP="00BD44D9">
      <w:pPr>
        <w:pStyle w:val="USBodyText"/>
      </w:pPr>
      <w:r>
        <w:t xml:space="preserve">The </w:t>
      </w:r>
      <w:proofErr w:type="spellStart"/>
      <w:r>
        <w:t>Pae</w:t>
      </w:r>
      <w:proofErr w:type="spellEnd"/>
      <w:r>
        <w:t xml:space="preserve"> Ora (Healthy Futures) Act 2022 (the </w:t>
      </w:r>
      <w:proofErr w:type="spellStart"/>
      <w:r>
        <w:t>Pae</w:t>
      </w:r>
      <w:proofErr w:type="spellEnd"/>
      <w:r>
        <w:t xml:space="preserve"> Ora Act) came into force in 2022 and reformed the health system in New Zealand. The </w:t>
      </w:r>
      <w:proofErr w:type="spellStart"/>
      <w:r>
        <w:t>Pae</w:t>
      </w:r>
      <w:proofErr w:type="spellEnd"/>
      <w:r>
        <w:t xml:space="preserve"> Ora Act established </w:t>
      </w:r>
      <w:r w:rsidR="00B42C84">
        <w:t>new health entities</w:t>
      </w:r>
      <w:r w:rsidR="002253BD">
        <w:t>,</w:t>
      </w:r>
      <w:r w:rsidR="00B42C84">
        <w:t xml:space="preserve"> </w:t>
      </w:r>
      <w:proofErr w:type="spellStart"/>
      <w:r>
        <w:t>Te</w:t>
      </w:r>
      <w:proofErr w:type="spellEnd"/>
      <w:r>
        <w:t xml:space="preserve"> </w:t>
      </w:r>
      <w:proofErr w:type="spellStart"/>
      <w:r>
        <w:t>Whatu</w:t>
      </w:r>
      <w:proofErr w:type="spellEnd"/>
      <w:r>
        <w:t xml:space="preserve"> Ora (Health New Zealand) and </w:t>
      </w:r>
      <w:proofErr w:type="spellStart"/>
      <w:r>
        <w:t>Te</w:t>
      </w:r>
      <w:proofErr w:type="spellEnd"/>
      <w:r>
        <w:t xml:space="preserve"> Aka </w:t>
      </w:r>
      <w:proofErr w:type="spellStart"/>
      <w:r>
        <w:t>Whai</w:t>
      </w:r>
      <w:proofErr w:type="spellEnd"/>
      <w:r>
        <w:t xml:space="preserve"> Ora (Māori Health Authority). </w:t>
      </w:r>
      <w:proofErr w:type="spellStart"/>
      <w:r>
        <w:t>Te</w:t>
      </w:r>
      <w:proofErr w:type="spellEnd"/>
      <w:r>
        <w:t xml:space="preserve"> </w:t>
      </w:r>
      <w:proofErr w:type="spellStart"/>
      <w:r>
        <w:t>Hiringa</w:t>
      </w:r>
      <w:proofErr w:type="spellEnd"/>
      <w:r>
        <w:t xml:space="preserve"> Hauora </w:t>
      </w:r>
      <w:r w:rsidR="0B5DE699">
        <w:t xml:space="preserve">| </w:t>
      </w:r>
      <w:r>
        <w:t xml:space="preserve">Health Promotion Agency was disestablished and became part of the National Public Health Service within </w:t>
      </w:r>
      <w:proofErr w:type="spellStart"/>
      <w:r>
        <w:t>Te</w:t>
      </w:r>
      <w:proofErr w:type="spellEnd"/>
      <w:r>
        <w:t xml:space="preserve"> </w:t>
      </w:r>
      <w:proofErr w:type="spellStart"/>
      <w:r>
        <w:t>Whatu</w:t>
      </w:r>
      <w:proofErr w:type="spellEnd"/>
      <w:r>
        <w:t xml:space="preserve"> Ora.</w:t>
      </w:r>
    </w:p>
    <w:p w14:paraId="01BB4686" w14:textId="3DE5118F" w:rsidR="00BD44D9" w:rsidRDefault="22178DB3" w:rsidP="00BD44D9">
      <w:pPr>
        <w:pStyle w:val="USBodyText"/>
      </w:pPr>
      <w:r>
        <w:t>In addition to changing the roles of health entities in suc</w:t>
      </w:r>
      <w:r w:rsidR="7EDBC56E">
        <w:t>h</w:t>
      </w:r>
      <w:r>
        <w:t xml:space="preserve"> a way as </w:t>
      </w:r>
      <w:r w:rsidR="72F395F5">
        <w:t xml:space="preserve">to </w:t>
      </w:r>
      <w:r w:rsidR="1EB6FB28">
        <w:t xml:space="preserve">require a different distribution of the </w:t>
      </w:r>
      <w:r w:rsidR="00D75CF8">
        <w:t xml:space="preserve">Levy </w:t>
      </w:r>
      <w:r w:rsidR="1EB6FB28">
        <w:t>revenue</w:t>
      </w:r>
      <w:r>
        <w:t>, t</w:t>
      </w:r>
      <w:r w:rsidR="24B5D83C">
        <w:t xml:space="preserve">he </w:t>
      </w:r>
      <w:proofErr w:type="spellStart"/>
      <w:r w:rsidR="24B5D83C">
        <w:t>Pae</w:t>
      </w:r>
      <w:proofErr w:type="spellEnd"/>
      <w:r w:rsidR="24B5D83C">
        <w:t xml:space="preserve"> Ora Act has changed the scope and context of </w:t>
      </w:r>
      <w:r w:rsidR="006628C8">
        <w:t xml:space="preserve">expenditure that </w:t>
      </w:r>
      <w:r w:rsidR="00732726">
        <w:t>could</w:t>
      </w:r>
      <w:r w:rsidR="006628C8">
        <w:t xml:space="preserve"> be funded by the </w:t>
      </w:r>
      <w:r w:rsidR="00D75CF8">
        <w:t>L</w:t>
      </w:r>
      <w:r w:rsidR="24B5D83C">
        <w:t>evy:</w:t>
      </w:r>
    </w:p>
    <w:p w14:paraId="1558CB7F" w14:textId="7336F38D" w:rsidR="00BD44D9" w:rsidRDefault="00BD44D9" w:rsidP="00BD44D9">
      <w:pPr>
        <w:pStyle w:val="USBullet1"/>
      </w:pPr>
      <w:r>
        <w:t xml:space="preserve">Section 101 of the </w:t>
      </w:r>
      <w:proofErr w:type="spellStart"/>
      <w:r>
        <w:t>Pae</w:t>
      </w:r>
      <w:proofErr w:type="spellEnd"/>
      <w:r>
        <w:t xml:space="preserve"> Ora Act provides that a levy may be imposed for the purpose of enabling Manatū </w:t>
      </w:r>
      <w:proofErr w:type="spellStart"/>
      <w:r>
        <w:t>Hauora|Ministry</w:t>
      </w:r>
      <w:proofErr w:type="spellEnd"/>
      <w:r>
        <w:t xml:space="preserve"> of Health to recover costs it incurs in addressing alcohol-related harm and in its other alcohol-related activities. For each financial year, the Minister of Health, acting with the concurrence of the Minister of Finance, must assess the aggregate expenditure figure for that year that, in his or her opinion, would be reasonable for Manatū Hauora to spend during that year in addressing alcohol-related harm and in meeting operating costs attributable to alcohol-related activities.</w:t>
      </w:r>
    </w:p>
    <w:p w14:paraId="0A8372F9" w14:textId="1E2A5F23" w:rsidR="00BD44D9" w:rsidRDefault="00BD44D9" w:rsidP="00BD44D9">
      <w:pPr>
        <w:pStyle w:val="USBullet1"/>
      </w:pPr>
      <w:r>
        <w:t xml:space="preserve">The activities that could be undertaken by Manatū Hauora (including </w:t>
      </w:r>
      <w:r w:rsidR="00214729">
        <w:t xml:space="preserve">any </w:t>
      </w:r>
      <w:r>
        <w:t xml:space="preserve">commissioned by </w:t>
      </w:r>
      <w:proofErr w:type="spellStart"/>
      <w:r w:rsidR="00494755">
        <w:t>Te</w:t>
      </w:r>
      <w:proofErr w:type="spellEnd"/>
      <w:r w:rsidR="00494755">
        <w:t xml:space="preserve"> </w:t>
      </w:r>
      <w:proofErr w:type="spellStart"/>
      <w:r w:rsidR="00494755">
        <w:t>Whatu</w:t>
      </w:r>
      <w:proofErr w:type="spellEnd"/>
      <w:r w:rsidR="00494755">
        <w:t xml:space="preserve"> Ora and </w:t>
      </w:r>
      <w:proofErr w:type="spellStart"/>
      <w:r w:rsidR="00494755">
        <w:t>Te</w:t>
      </w:r>
      <w:proofErr w:type="spellEnd"/>
      <w:r w:rsidR="00494755">
        <w:t xml:space="preserve"> Aka </w:t>
      </w:r>
      <w:proofErr w:type="spellStart"/>
      <w:r w:rsidR="00494755">
        <w:t>Whai</w:t>
      </w:r>
      <w:proofErr w:type="spellEnd"/>
      <w:r w:rsidR="00494755">
        <w:t xml:space="preserve"> Ora</w:t>
      </w:r>
      <w:r>
        <w:t xml:space="preserve"> </w:t>
      </w:r>
      <w:r w:rsidR="00F706DE">
        <w:t>with Levy funding allocated by</w:t>
      </w:r>
      <w:r>
        <w:t xml:space="preserve"> Manatū Hauora) to address alcohol-related harm are both more broad and more </w:t>
      </w:r>
      <w:r>
        <w:lastRenderedPageBreak/>
        <w:t xml:space="preserve">numerous than those </w:t>
      </w:r>
      <w:r w:rsidR="00F10E04">
        <w:t xml:space="preserve">which have previously been </w:t>
      </w:r>
      <w:r>
        <w:t xml:space="preserve">undertaken by </w:t>
      </w:r>
      <w:proofErr w:type="spellStart"/>
      <w:r>
        <w:t>Te</w:t>
      </w:r>
      <w:proofErr w:type="spellEnd"/>
      <w:r>
        <w:t xml:space="preserve"> </w:t>
      </w:r>
      <w:proofErr w:type="spellStart"/>
      <w:r>
        <w:t>Hiringa</w:t>
      </w:r>
      <w:proofErr w:type="spellEnd"/>
      <w:r>
        <w:t xml:space="preserve"> Hauora</w:t>
      </w:r>
      <w:r w:rsidR="003D37FD">
        <w:t>, the Health Promotion Agency</w:t>
      </w:r>
      <w:r>
        <w:t>.</w:t>
      </w:r>
    </w:p>
    <w:p w14:paraId="00A19A35" w14:textId="20125588" w:rsidR="00385CF4" w:rsidRDefault="00BD44D9">
      <w:pPr>
        <w:pStyle w:val="USBullet1"/>
      </w:pPr>
      <w:r>
        <w:t xml:space="preserve">The </w:t>
      </w:r>
      <w:proofErr w:type="spellStart"/>
      <w:r>
        <w:t>Pae</w:t>
      </w:r>
      <w:proofErr w:type="spellEnd"/>
      <w:r>
        <w:t xml:space="preserve"> Ora Act also places significant emphasis on the Crown’s obligation to uphold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Tiriti</w:t>
      </w:r>
      <w:proofErr w:type="spellEnd"/>
      <w:r>
        <w:t>). Under section 6 of the Act, the Minist</w:t>
      </w:r>
      <w:r w:rsidR="00B47B50">
        <w:t>ry</w:t>
      </w:r>
      <w:r>
        <w:t xml:space="preserve"> of Health and </w:t>
      </w:r>
      <w:proofErr w:type="spellStart"/>
      <w:r w:rsidR="000F7990">
        <w:t>Te</w:t>
      </w:r>
      <w:proofErr w:type="spellEnd"/>
      <w:r w:rsidR="000F7990">
        <w:t xml:space="preserve"> </w:t>
      </w:r>
      <w:proofErr w:type="spellStart"/>
      <w:r w:rsidR="000F7990">
        <w:t>Whatu</w:t>
      </w:r>
      <w:proofErr w:type="spellEnd"/>
      <w:r w:rsidR="000F7990">
        <w:t xml:space="preserve"> Ora and </w:t>
      </w:r>
      <w:proofErr w:type="spellStart"/>
      <w:r w:rsidR="000F7990">
        <w:t>Te</w:t>
      </w:r>
      <w:proofErr w:type="spellEnd"/>
      <w:r w:rsidR="000F7990">
        <w:t xml:space="preserve"> Aka </w:t>
      </w:r>
      <w:proofErr w:type="spellStart"/>
      <w:r w:rsidR="000F7990">
        <w:t>Whai</w:t>
      </w:r>
      <w:proofErr w:type="spellEnd"/>
      <w:r w:rsidR="000F7990">
        <w:t xml:space="preserve"> Ora</w:t>
      </w:r>
      <w:r>
        <w:t xml:space="preserve"> must do certain things to give effect to the principles of </w:t>
      </w:r>
      <w:proofErr w:type="spellStart"/>
      <w:r>
        <w:t>Te</w:t>
      </w:r>
      <w:proofErr w:type="spellEnd"/>
      <w:r>
        <w:t xml:space="preserve"> </w:t>
      </w:r>
      <w:proofErr w:type="spellStart"/>
      <w:r>
        <w:t>Tiriti</w:t>
      </w:r>
      <w:proofErr w:type="spellEnd"/>
      <w:r>
        <w:t>. Section 7 of the Act specifies health sector principles, which the Ministr</w:t>
      </w:r>
      <w:r w:rsidR="00B47B50">
        <w:t>y</w:t>
      </w:r>
      <w:r>
        <w:t xml:space="preserve"> of Health</w:t>
      </w:r>
      <w:r w:rsidR="000F7990">
        <w:t xml:space="preserve">, </w:t>
      </w:r>
      <w:proofErr w:type="spellStart"/>
      <w:r w:rsidR="000F7990">
        <w:t>Te</w:t>
      </w:r>
      <w:proofErr w:type="spellEnd"/>
      <w:r w:rsidR="000F7990">
        <w:t xml:space="preserve"> </w:t>
      </w:r>
      <w:proofErr w:type="spellStart"/>
      <w:r w:rsidR="000F7990">
        <w:t>Whatu</w:t>
      </w:r>
      <w:proofErr w:type="spellEnd"/>
      <w:r w:rsidR="000F7990">
        <w:t xml:space="preserve"> Ora and </w:t>
      </w:r>
      <w:proofErr w:type="spellStart"/>
      <w:r w:rsidR="000F7990">
        <w:t>Te</w:t>
      </w:r>
      <w:proofErr w:type="spellEnd"/>
      <w:r w:rsidR="000F7990">
        <w:t xml:space="preserve"> Aka </w:t>
      </w:r>
      <w:proofErr w:type="spellStart"/>
      <w:r w:rsidR="000F7990">
        <w:t>Whai</w:t>
      </w:r>
      <w:proofErr w:type="spellEnd"/>
      <w:r w:rsidR="000F7990">
        <w:t xml:space="preserve"> Ora</w:t>
      </w:r>
      <w:r w:rsidR="00013E39">
        <w:t xml:space="preserve"> </w:t>
      </w:r>
      <w:r>
        <w:t>must, so far as reasonably practicable, be guided by.</w:t>
      </w:r>
    </w:p>
    <w:p w14:paraId="7FABF0A3" w14:textId="3561A4F2" w:rsidR="00FB1CDF" w:rsidRPr="004E247D" w:rsidRDefault="00FB1CDF" w:rsidP="00051F86">
      <w:pPr>
        <w:pStyle w:val="Heading2"/>
      </w:pPr>
      <w:bookmarkStart w:id="20" w:name="_Toc160633826"/>
      <w:r w:rsidRPr="004E247D">
        <w:t>Why the interest in monetising alcohol harms?</w:t>
      </w:r>
      <w:bookmarkEnd w:id="20"/>
    </w:p>
    <w:p w14:paraId="7171037E" w14:textId="6EDA1887" w:rsidR="00FB1CDF" w:rsidRDefault="00FB1CDF" w:rsidP="00FB1CDF">
      <w:pPr>
        <w:pStyle w:val="USBodyText"/>
      </w:pPr>
      <w:r w:rsidRPr="004E247D">
        <w:t xml:space="preserve">Alcohol harms are often best understood when described in qualitative terms that </w:t>
      </w:r>
      <w:r w:rsidR="00EA08E7" w:rsidRPr="004E247D">
        <w:t xml:space="preserve">capture the full experience of harms </w:t>
      </w:r>
      <w:r w:rsidR="002A44FF">
        <w:t xml:space="preserve">for people, their </w:t>
      </w:r>
      <w:r w:rsidR="006D3BD1">
        <w:t>whānau</w:t>
      </w:r>
      <w:r w:rsidR="002A44FF">
        <w:t xml:space="preserve"> and communities, including t</w:t>
      </w:r>
      <w:r w:rsidR="00EA08E7" w:rsidRPr="004E247D">
        <w:t xml:space="preserve">he complex dynamics </w:t>
      </w:r>
      <w:r w:rsidR="00A11C40" w:rsidRPr="004E247D">
        <w:t>associated with alcohol harms</w:t>
      </w:r>
      <w:r w:rsidR="00D75CF8">
        <w:t>,</w:t>
      </w:r>
      <w:r w:rsidR="00EA08E7" w:rsidRPr="004E247D">
        <w:t xml:space="preserve"> </w:t>
      </w:r>
      <w:r w:rsidR="002A44FF">
        <w:t xml:space="preserve">which point-in-time </w:t>
      </w:r>
      <w:r w:rsidR="00D87612">
        <w:t xml:space="preserve">quantitative data </w:t>
      </w:r>
      <w:r w:rsidR="00E14239">
        <w:t>and data collected from a service or system perspective is not able to describe</w:t>
      </w:r>
      <w:r w:rsidR="00A11C40" w:rsidRPr="004E247D">
        <w:t>. Qualitative research is essential to understanding how people are affected by alcohol harms</w:t>
      </w:r>
      <w:r w:rsidR="00CB3783">
        <w:t xml:space="preserve"> and their aspirations for how harms might be addressed</w:t>
      </w:r>
      <w:r w:rsidR="00C25F60" w:rsidRPr="004E247D">
        <w:t>.</w:t>
      </w:r>
    </w:p>
    <w:p w14:paraId="2ACF5FE9" w14:textId="25ED3542" w:rsidR="00C25F60" w:rsidRPr="004E247D" w:rsidRDefault="00C25F60" w:rsidP="00FB1CDF">
      <w:pPr>
        <w:pStyle w:val="USBodyText"/>
      </w:pPr>
      <w:r w:rsidRPr="004E247D">
        <w:t xml:space="preserve">In addition to qualitative research on alcohol harms, </w:t>
      </w:r>
      <w:r w:rsidR="00817C5B" w:rsidRPr="004E247D">
        <w:t>much useful and insightful information can be gained by quantifying alcohol harms where data exists, for example</w:t>
      </w:r>
      <w:r w:rsidR="00013E39">
        <w:t>,</w:t>
      </w:r>
      <w:r w:rsidR="00817C5B" w:rsidRPr="004E247D">
        <w:t xml:space="preserve"> how many people die prematurely as a result of alcohol-attributable conditions</w:t>
      </w:r>
      <w:r w:rsidR="004F7633" w:rsidRPr="004E247D">
        <w:t xml:space="preserve">, how many serious vehicle accidents occur when drivers are intoxicated, </w:t>
      </w:r>
      <w:r w:rsidR="00E65F00" w:rsidRPr="004E247D">
        <w:t>etc.</w:t>
      </w:r>
      <w:r w:rsidR="006E2B2D">
        <w:t xml:space="preserve"> </w:t>
      </w:r>
      <w:r w:rsidR="005C5280">
        <w:t>Administrative and survey data can offer robust insights into the extent of alcohol harms in specific areas</w:t>
      </w:r>
      <w:r w:rsidR="00CC00DE">
        <w:t xml:space="preserve"> and, importantly, provide a basis for tracking harms over time</w:t>
      </w:r>
      <w:r w:rsidR="004557CE">
        <w:t>.</w:t>
      </w:r>
    </w:p>
    <w:p w14:paraId="2FCA8D87" w14:textId="36CC0D1E" w:rsidR="007D6BF5" w:rsidRDefault="001428AA" w:rsidP="004F1D9A">
      <w:pPr>
        <w:pStyle w:val="USBodyText"/>
      </w:pPr>
      <w:r w:rsidRPr="004E247D">
        <w:t>Monetising (putting a dollar value on) alcohol harms</w:t>
      </w:r>
      <w:r w:rsidR="00831303">
        <w:t xml:space="preserve"> in a cost study</w:t>
      </w:r>
      <w:r w:rsidRPr="004E247D">
        <w:t xml:space="preserve"> </w:t>
      </w:r>
      <w:r w:rsidR="001E5983" w:rsidRPr="004E247D">
        <w:t xml:space="preserve">is </w:t>
      </w:r>
      <w:r w:rsidR="00E008F6">
        <w:t xml:space="preserve">generally </w:t>
      </w:r>
      <w:r w:rsidR="00E56CB6">
        <w:t>done to</w:t>
      </w:r>
      <w:r w:rsidR="004F1D9A">
        <w:t>:</w:t>
      </w:r>
    </w:p>
    <w:p w14:paraId="6B36F231" w14:textId="3503F2B7" w:rsidR="004F1D9A" w:rsidRDefault="004F1D9A" w:rsidP="007D6BF5">
      <w:pPr>
        <w:pStyle w:val="USBullet1"/>
      </w:pPr>
      <w:r w:rsidRPr="004F1D9A">
        <w:t xml:space="preserve">measure the impact or assess the potential impact of policy decisions that aim to reduce costs, particularly by repeating the cost study over </w:t>
      </w:r>
      <w:proofErr w:type="gramStart"/>
      <w:r w:rsidRPr="004F1D9A">
        <w:t>time</w:t>
      </w:r>
      <w:proofErr w:type="gramEnd"/>
    </w:p>
    <w:p w14:paraId="3A4352A1" w14:textId="5A907F61" w:rsidR="00E56CB6" w:rsidRDefault="00E56CB6" w:rsidP="007D6BF5">
      <w:pPr>
        <w:pStyle w:val="USBullet1"/>
      </w:pPr>
      <w:r>
        <w:t>demonstrate the magnitude of an issue for advocacy groups, governments and other key decision</w:t>
      </w:r>
      <w:r w:rsidR="009F0070">
        <w:t>-</w:t>
      </w:r>
      <w:r>
        <w:t>makers to</w:t>
      </w:r>
      <w:r w:rsidR="00831303">
        <w:t xml:space="preserve"> motivate greater investment in prevention and </w:t>
      </w:r>
      <w:r w:rsidR="00A44E33">
        <w:t xml:space="preserve">measures to </w:t>
      </w:r>
      <w:r w:rsidR="00017F45">
        <w:t xml:space="preserve">reduce </w:t>
      </w:r>
      <w:proofErr w:type="gramStart"/>
      <w:r w:rsidR="00017F45">
        <w:t>harms</w:t>
      </w:r>
      <w:proofErr w:type="gramEnd"/>
    </w:p>
    <w:p w14:paraId="15881680" w14:textId="27451A43" w:rsidR="00E56CB6" w:rsidRDefault="00E56CB6" w:rsidP="007D6BF5">
      <w:pPr>
        <w:pStyle w:val="USBullet1"/>
      </w:pPr>
      <w:r>
        <w:t>identify the distributional impacts of the burden (the costs borne by particular groups,</w:t>
      </w:r>
      <w:r w:rsidR="004557CE">
        <w:t xml:space="preserve"> </w:t>
      </w:r>
      <w:proofErr w:type="gramStart"/>
      <w:r w:rsidR="004557CE">
        <w:t>i.e.</w:t>
      </w:r>
      <w:proofErr w:type="gramEnd"/>
      <w:r>
        <w:t xml:space="preserve"> who bears most of the cost)</w:t>
      </w:r>
    </w:p>
    <w:p w14:paraId="78B21F62" w14:textId="747398E2" w:rsidR="00AD6D9A" w:rsidRDefault="00E56CB6" w:rsidP="00551CD1">
      <w:pPr>
        <w:pStyle w:val="USBullet1"/>
      </w:pPr>
      <w:r>
        <w:t>provide information to support decision</w:t>
      </w:r>
      <w:r w:rsidR="009F0070">
        <w:t>-</w:t>
      </w:r>
      <w:r>
        <w:t>making regarding the right sizing, prioriti</w:t>
      </w:r>
      <w:r w:rsidR="00AD6D9A">
        <w:t>s</w:t>
      </w:r>
      <w:r>
        <w:t>ation and allocation of limited resources</w:t>
      </w:r>
      <w:r w:rsidR="00CB2E48">
        <w:t>.</w:t>
      </w:r>
      <w:r w:rsidR="00AD6D9A">
        <w:t xml:space="preserve"> </w:t>
      </w:r>
    </w:p>
    <w:p w14:paraId="5E95D4FF" w14:textId="7B6A0EC6" w:rsidR="0041764A" w:rsidRDefault="00776DF2" w:rsidP="00890D7B">
      <w:pPr>
        <w:pStyle w:val="USBodyText"/>
      </w:pPr>
      <w:r>
        <w:t xml:space="preserve">While </w:t>
      </w:r>
      <w:r w:rsidR="007241DA">
        <w:t xml:space="preserve">placing a dollar value on an issue facing society can be attention-grabbing, </w:t>
      </w:r>
      <w:r w:rsidR="00FC6F3C">
        <w:t>making appropriate use of such values to achieve the above objectives can be challenging.</w:t>
      </w:r>
    </w:p>
    <w:p w14:paraId="6999BF13" w14:textId="77777777" w:rsidR="00D46DB7" w:rsidRDefault="00D46DB7" w:rsidP="00D46DB7">
      <w:pPr>
        <w:pStyle w:val="Heading2"/>
      </w:pPr>
      <w:bookmarkStart w:id="21" w:name="_Toc160633827"/>
      <w:r>
        <w:t>The context and purpose of this report</w:t>
      </w:r>
      <w:bookmarkEnd w:id="21"/>
    </w:p>
    <w:p w14:paraId="4A442DCB" w14:textId="6BA562BA" w:rsidR="00D46DB7" w:rsidRDefault="00D46DB7" w:rsidP="00D46DB7">
      <w:pPr>
        <w:pStyle w:val="USBodyText"/>
      </w:pPr>
      <w:r>
        <w:t>Studies on the costs of alcohol harms can be used in a variety of ways to inform policy decisions and investment prioritisation. The eventual use of this type of study should be a key consideration for study design, although in practice</w:t>
      </w:r>
      <w:r w:rsidR="00ED4A77">
        <w:t>,</w:t>
      </w:r>
      <w:r>
        <w:t xml:space="preserve"> many studies are designed with li</w:t>
      </w:r>
      <w:r w:rsidR="00842CFD">
        <w:t>mited</w:t>
      </w:r>
      <w:r>
        <w:t xml:space="preserve"> consideration for how they will be used. </w:t>
      </w:r>
    </w:p>
    <w:p w14:paraId="349DA22F" w14:textId="4B2E5220" w:rsidR="00D46DB7" w:rsidRDefault="00D46DB7" w:rsidP="00D46DB7">
      <w:pPr>
        <w:pStyle w:val="USBodyText"/>
      </w:pPr>
      <w:r w:rsidRPr="009F2A06">
        <w:t xml:space="preserve">Manatū </w:t>
      </w:r>
      <w:proofErr w:type="spellStart"/>
      <w:r w:rsidRPr="009F2A06">
        <w:t>Hauora</w:t>
      </w:r>
      <w:r w:rsidR="00C45743">
        <w:t>|</w:t>
      </w:r>
      <w:r w:rsidRPr="009F2A06">
        <w:t>Ministry</w:t>
      </w:r>
      <w:proofErr w:type="spellEnd"/>
      <w:r w:rsidRPr="009F2A06">
        <w:t xml:space="preserve"> of Health, with the support of </w:t>
      </w:r>
      <w:proofErr w:type="spellStart"/>
      <w:r w:rsidRPr="009F2A06">
        <w:t>Te</w:t>
      </w:r>
      <w:proofErr w:type="spellEnd"/>
      <w:r w:rsidRPr="009F2A06">
        <w:t xml:space="preserve"> </w:t>
      </w:r>
      <w:proofErr w:type="spellStart"/>
      <w:r w:rsidRPr="009F2A06">
        <w:t>Whatu</w:t>
      </w:r>
      <w:proofErr w:type="spellEnd"/>
      <w:r w:rsidRPr="009F2A06">
        <w:t xml:space="preserve"> Ora and </w:t>
      </w:r>
      <w:proofErr w:type="spellStart"/>
      <w:r w:rsidRPr="009F2A06">
        <w:t>Te</w:t>
      </w:r>
      <w:proofErr w:type="spellEnd"/>
      <w:r w:rsidRPr="009F2A06">
        <w:t xml:space="preserve"> Aka </w:t>
      </w:r>
      <w:proofErr w:type="spellStart"/>
      <w:r w:rsidRPr="009F2A06">
        <w:t>Whai</w:t>
      </w:r>
      <w:proofErr w:type="spellEnd"/>
      <w:r w:rsidRPr="009F2A06">
        <w:t xml:space="preserve"> Ora</w:t>
      </w:r>
      <w:r>
        <w:t xml:space="preserve">, commissioned this report as part of an independent review of the Alcohol Levy. </w:t>
      </w:r>
    </w:p>
    <w:p w14:paraId="1E63ABF5" w14:textId="77777777" w:rsidR="00D46DB7" w:rsidRDefault="00D46DB7" w:rsidP="00D46DB7">
      <w:pPr>
        <w:pStyle w:val="USBodyText"/>
      </w:pPr>
      <w:r>
        <w:lastRenderedPageBreak/>
        <w:t xml:space="preserve">The primary objective of this report was to support </w:t>
      </w:r>
      <w:r w:rsidRPr="00DB3200">
        <w:t xml:space="preserve">Manatū Hauora </w:t>
      </w:r>
      <w:r>
        <w:t xml:space="preserve">in its consideration of future investment opportunities, specifically: </w:t>
      </w:r>
    </w:p>
    <w:p w14:paraId="70C8A965" w14:textId="77777777" w:rsidR="00D46DB7" w:rsidRDefault="00D46DB7" w:rsidP="00D46DB7">
      <w:pPr>
        <w:pStyle w:val="USBullet1"/>
      </w:pPr>
      <w:r>
        <w:t xml:space="preserve">to gain a better understanding of the nature and scale of harms that could be addressed through programmes and services funded by the alcohol </w:t>
      </w:r>
      <w:proofErr w:type="gramStart"/>
      <w:r>
        <w:t>levy</w:t>
      </w:r>
      <w:proofErr w:type="gramEnd"/>
    </w:p>
    <w:p w14:paraId="5D178E43" w14:textId="4B1163B3" w:rsidR="00D46DB7" w:rsidRDefault="00D46DB7" w:rsidP="00D46DB7">
      <w:pPr>
        <w:pStyle w:val="USBullet1"/>
      </w:pPr>
      <w:r>
        <w:t xml:space="preserve">to contribute (along with other evidence, including cost-effectiveness evidence) to the prioritisation of interventions by the </w:t>
      </w:r>
      <w:r w:rsidR="00786DDB">
        <w:t>health agencies</w:t>
      </w:r>
      <w:r>
        <w:t>, the broader health sector, and other agencies and organisations.</w:t>
      </w:r>
    </w:p>
    <w:p w14:paraId="56A82B9E" w14:textId="687C4831" w:rsidR="00890D7B" w:rsidRDefault="00D46DB7" w:rsidP="00E65F36">
      <w:pPr>
        <w:pStyle w:val="USBodyText"/>
        <w:rPr>
          <w:rFonts w:eastAsiaTheme="majorEastAsia" w:cstheme="majorBidi"/>
          <w:color w:val="0094C5"/>
          <w:sz w:val="32"/>
          <w:szCs w:val="32"/>
        </w:rPr>
      </w:pPr>
      <w:r>
        <w:t>A secondary objective was to offer information that could potentially be used to inform a wide range of policy decisions, including decisions about data collection and research.</w:t>
      </w:r>
    </w:p>
    <w:p w14:paraId="5EBF9F47" w14:textId="77777777" w:rsidR="00BD0616" w:rsidRDefault="00BD0616" w:rsidP="00BD0616">
      <w:pPr>
        <w:pStyle w:val="Heading2"/>
      </w:pPr>
      <w:bookmarkStart w:id="22" w:name="_Toc160633828"/>
      <w:r>
        <w:t>What we know about alcohol harms in New Zealand</w:t>
      </w:r>
      <w:bookmarkEnd w:id="22"/>
    </w:p>
    <w:p w14:paraId="719304A9" w14:textId="752AAE34" w:rsidR="00BD0616" w:rsidRDefault="000872B9" w:rsidP="00BD0616">
      <w:pPr>
        <w:pStyle w:val="USBodyText"/>
      </w:pPr>
      <w:r>
        <w:t>As has been well-documented</w:t>
      </w:r>
      <w:r w:rsidR="00035C10">
        <w:t>, including by the World Health Organization</w:t>
      </w:r>
      <w:r w:rsidR="005E72EE">
        <w:t xml:space="preserve"> </w:t>
      </w:r>
      <w:r w:rsidR="005E72EE">
        <w:fldChar w:fldCharType="begin"/>
      </w:r>
      <w:r w:rsidR="00F244F6">
        <w:instrText xml:space="preserve"> ADDIN ZOTERO_ITEM CSL_CITATION {"citationID":"V2kpiPFI","properties":{"custom":"(World Health Organization 2023)","formattedCitation":"(World Health Organization 2023)","plainCitation":"(World Health Organization 2023)","noteIndex":0},"citationItems":[{"id":71310,"uris":["http://zotero.org/groups/4944822/items/QPNZBD7P"],"itemData":{"id":71310,"type":"webpage","abstract":"The risks and harms associated with drinking alcohol have been systematically evaluated over the years and are well documented.","language":"en","title":"No level of alcohol consumption is safe for our health","URL":"https://www.who.int/europe/news/item/04-01-2023-no-level-of-alcohol-consumption-is-safe-for-our-health","author":[{"family":"World Health Organization. Europe","given":""}],"accessed":{"date-parts":[["2023",12,7]]},"issued":{"date-parts":[["2023"]]}}}],"schema":"https://github.com/citation-style-language/schema/raw/master/csl-citation.json"} </w:instrText>
      </w:r>
      <w:r w:rsidR="005E72EE">
        <w:fldChar w:fldCharType="separate"/>
      </w:r>
      <w:r w:rsidR="005E72EE" w:rsidRPr="005E72EE">
        <w:rPr>
          <w:rFonts w:cs="Calibri"/>
        </w:rPr>
        <w:t>(World Health Organization 2023)</w:t>
      </w:r>
      <w:r w:rsidR="005E72EE">
        <w:fldChar w:fldCharType="end"/>
      </w:r>
      <w:r w:rsidR="00035C10">
        <w:t xml:space="preserve">, </w:t>
      </w:r>
      <w:r w:rsidR="00BD0616">
        <w:t xml:space="preserve">excessive consumption of alcohol contributes to a range of serious </w:t>
      </w:r>
      <w:r w:rsidR="00321591">
        <w:t>individual, family</w:t>
      </w:r>
      <w:r w:rsidR="004D3633">
        <w:t xml:space="preserve"> and community </w:t>
      </w:r>
      <w:r w:rsidR="00BD0616">
        <w:t>harms, including</w:t>
      </w:r>
      <w:r w:rsidR="00ED4A77">
        <w:t>:</w:t>
      </w:r>
      <w:r w:rsidR="00D24540" w:rsidRPr="00CD19C4">
        <w:rPr>
          <w:rStyle w:val="FootnoteReference"/>
        </w:rPr>
        <w:footnoteReference w:id="4"/>
      </w:r>
    </w:p>
    <w:p w14:paraId="3026C44D" w14:textId="77777777" w:rsidR="00BD0616" w:rsidRDefault="00BD0616" w:rsidP="00BD0616">
      <w:pPr>
        <w:pStyle w:val="USBullet1"/>
      </w:pPr>
      <w:r>
        <w:t xml:space="preserve">criminal offences </w:t>
      </w:r>
    </w:p>
    <w:p w14:paraId="5A459005" w14:textId="0E3CD1A5" w:rsidR="00BD0616" w:rsidRDefault="00BD0616" w:rsidP="00BD0616">
      <w:pPr>
        <w:pStyle w:val="USBullet1"/>
      </w:pPr>
      <w:r>
        <w:t xml:space="preserve">diseases, including alcohol-related cancers, </w:t>
      </w:r>
      <w:r w:rsidR="007822BA">
        <w:t xml:space="preserve">cardiovascular disease, </w:t>
      </w:r>
      <w:r>
        <w:t>mental health disorders</w:t>
      </w:r>
      <w:r w:rsidR="007822BA">
        <w:t xml:space="preserve"> including dementia</w:t>
      </w:r>
      <w:r>
        <w:t>, dependence, sexually transmitted infections, etc.</w:t>
      </w:r>
      <w:r w:rsidR="00ED4A77">
        <w:t>,</w:t>
      </w:r>
      <w:r>
        <w:t xml:space="preserve"> as well as alcohol poisoning </w:t>
      </w:r>
      <w:r w:rsidR="009A0B89" w:rsidRPr="009A0B89">
        <w:t xml:space="preserve">and other health impacts such as increased risk of </w:t>
      </w:r>
      <w:proofErr w:type="gramStart"/>
      <w:r w:rsidR="009A0B89" w:rsidRPr="009A0B89">
        <w:t>stroke</w:t>
      </w:r>
      <w:proofErr w:type="gramEnd"/>
    </w:p>
    <w:p w14:paraId="39B2E5AF" w14:textId="5039B362" w:rsidR="00BD0616" w:rsidRDefault="00BD0616" w:rsidP="00BD0616">
      <w:pPr>
        <w:pStyle w:val="USBullet1"/>
      </w:pPr>
      <w:proofErr w:type="spellStart"/>
      <w:r w:rsidRPr="000033B8">
        <w:t>fetal</w:t>
      </w:r>
      <w:proofErr w:type="spellEnd"/>
      <w:r w:rsidRPr="000033B8">
        <w:t xml:space="preserve"> alcohol spectrum disorder</w:t>
      </w:r>
      <w:r>
        <w:t xml:space="preserve"> (FASD)</w:t>
      </w:r>
    </w:p>
    <w:p w14:paraId="1F224A8F" w14:textId="77777777" w:rsidR="00BD0616" w:rsidRDefault="00BD0616" w:rsidP="00BD0616">
      <w:pPr>
        <w:pStyle w:val="USBullet1"/>
      </w:pPr>
      <w:r>
        <w:t>accidental injury due to intoxication, sometimes causing death (including many incidents occurring in the home and on the roads)</w:t>
      </w:r>
    </w:p>
    <w:p w14:paraId="01931D94" w14:textId="77777777" w:rsidR="00BD0616" w:rsidRDefault="00BD0616" w:rsidP="00BD0616">
      <w:pPr>
        <w:pStyle w:val="USBullet1"/>
      </w:pPr>
      <w:r>
        <w:t>domestic violence and child abuse or neglect</w:t>
      </w:r>
    </w:p>
    <w:p w14:paraId="03E27124" w14:textId="77777777" w:rsidR="00BD0616" w:rsidRDefault="00BD0616" w:rsidP="00BD0616">
      <w:pPr>
        <w:pStyle w:val="USBullet1"/>
      </w:pPr>
      <w:r>
        <w:t>harmful effects on educational outcomes, workplace productivity, friendships, social life, home life and the financial position of households</w:t>
      </w:r>
    </w:p>
    <w:p w14:paraId="211B124D" w14:textId="77777777" w:rsidR="00BD0616" w:rsidRDefault="00BD0616" w:rsidP="00BD0616">
      <w:pPr>
        <w:pStyle w:val="USBullet1"/>
      </w:pPr>
      <w:r>
        <w:t xml:space="preserve">the </w:t>
      </w:r>
      <w:r w:rsidRPr="004E247D">
        <w:t>public nuisance of litter, glass, noise, the damage and destruction of property</w:t>
      </w:r>
      <w:r>
        <w:t>.</w:t>
      </w:r>
      <w:r w:rsidRPr="004E247D">
        <w:t xml:space="preserve"> </w:t>
      </w:r>
    </w:p>
    <w:p w14:paraId="7FF68EBC" w14:textId="77777777" w:rsidR="00024758" w:rsidRDefault="003F0D13" w:rsidP="00BD0616">
      <w:pPr>
        <w:pStyle w:val="USBodyText"/>
      </w:pPr>
      <w:r>
        <w:t>In addition, a recent New Zealand study found that</w:t>
      </w:r>
      <w:r w:rsidR="00024758">
        <w:t>:</w:t>
      </w:r>
    </w:p>
    <w:p w14:paraId="72841A8D" w14:textId="16CDE252" w:rsidR="00F73A89" w:rsidRDefault="00A8056C" w:rsidP="00024758">
      <w:pPr>
        <w:pStyle w:val="USBullet1"/>
      </w:pPr>
      <w:r>
        <w:t xml:space="preserve">26 percent of suicide deaths in New Zealand involve </w:t>
      </w:r>
      <w:r w:rsidR="001B7847">
        <w:t xml:space="preserve">acute </w:t>
      </w:r>
      <w:r>
        <w:t xml:space="preserve">alcohol </w:t>
      </w:r>
      <w:r w:rsidR="001B7847">
        <w:t xml:space="preserve">use </w:t>
      </w:r>
      <w:r>
        <w:t>(higher than the World Health Organization</w:t>
      </w:r>
      <w:r w:rsidR="00ED4A77">
        <w:t>'s</w:t>
      </w:r>
      <w:r w:rsidR="00024758">
        <w:t xml:space="preserve"> global estimate of 19 percent)</w:t>
      </w:r>
    </w:p>
    <w:p w14:paraId="387D3727" w14:textId="383BB4E4" w:rsidR="00024758" w:rsidRDefault="00024758" w:rsidP="00024758">
      <w:pPr>
        <w:pStyle w:val="USBullet1"/>
      </w:pPr>
      <w:r>
        <w:t>p</w:t>
      </w:r>
      <w:r w:rsidRPr="00024758">
        <w:t xml:space="preserve">opulation groups that already have disproportionately higher suicide rates, including younger </w:t>
      </w:r>
      <w:r>
        <w:t>people</w:t>
      </w:r>
      <w:r w:rsidRPr="00024758">
        <w:t xml:space="preserve"> and Māori, have a higher proportion of suicide deaths involving </w:t>
      </w:r>
      <w:proofErr w:type="gramStart"/>
      <w:r w:rsidRPr="00024758">
        <w:t>alcohol</w:t>
      </w:r>
      <w:proofErr w:type="gramEnd"/>
    </w:p>
    <w:p w14:paraId="7A63D323" w14:textId="0169FB7A" w:rsidR="00024758" w:rsidRDefault="00465D75" w:rsidP="00024758">
      <w:pPr>
        <w:pStyle w:val="USBullet1"/>
      </w:pPr>
      <w:r>
        <w:t xml:space="preserve">alcohol is a significant </w:t>
      </w:r>
      <w:r w:rsidR="00CF297B">
        <w:t xml:space="preserve">but modifiable </w:t>
      </w:r>
      <w:r>
        <w:t>risk factor for suicide</w:t>
      </w:r>
      <w:r w:rsidR="001E4988">
        <w:t xml:space="preserve">, contributing to </w:t>
      </w:r>
      <w:r w:rsidR="001E4988" w:rsidRPr="001E4988">
        <w:t>disinhibition, impulsivity, impaired decision</w:t>
      </w:r>
      <w:r w:rsidR="004D03D3">
        <w:t>-</w:t>
      </w:r>
      <w:r w:rsidR="001E4988" w:rsidRPr="001E4988">
        <w:t>making, aggression and increased feelings of despair</w:t>
      </w:r>
      <w:r w:rsidR="004B5633">
        <w:t>.</w:t>
      </w:r>
    </w:p>
    <w:p w14:paraId="0CB61AE8" w14:textId="0FEEE46B" w:rsidR="004B5633" w:rsidRDefault="004B5633" w:rsidP="004B5633">
      <w:pPr>
        <w:pStyle w:val="USBullet1"/>
        <w:numPr>
          <w:ilvl w:val="0"/>
          <w:numId w:val="0"/>
        </w:numPr>
        <w:ind w:left="1276"/>
      </w:pPr>
      <w:r>
        <w:fldChar w:fldCharType="begin"/>
      </w:r>
      <w:r w:rsidR="00F244F6">
        <w:instrText xml:space="preserve"> ADDIN ZOTERO_ITEM CSL_CITATION {"citationID":"aNwAF68e","properties":{"formattedCitation":"(Crossin et al. 2022)","plainCitation":"(Crossin et al. 2022)","noteIndex":0},"citationItems":[{"id":72391,"uris":["http://zotero.org/groups/4944822/items/WMDBEYQD"],"itemData":{"id":72391,"type":"article-journal","abstract":"AIMS: Acute alcohol use is a proximal risk factor for suicide. However, the proportion of suicide deaths involving acute alcohol use has not been quantified in New Zealand. We sought to quantify and characterise the association between acute alcohol use and suicide.\nMETHODS: Data for all suicides (≥15 years) between July 2007 and December 2020 were drawn from the National Coronial Information System. Acute alcohol use was defined as blood alcohol concentration (BAC) &gt;50mg/100mL. Logistic regression was used to compare characteristics between suicide deaths with and without acute alcohol use.\nRESULTS: Twenty-six point six percent of suicide deaths involved acute alcohol use. No difference in the association was found by sex (male AOR: 0.87 (95%CI: 0.74,1.02)). Ethnicity differences were identified (Māori AOR: 1.20 (95%CI: 1.01,1.42), Pacific AOR: 1.46 (95%CI: 1.10,2.00)). Those aged 15-54 years had similar risks of suicide involving acute alcohol use, with a lower association in older age groups.\nCONCLUSIONS: Acute alcohol use was identified in approximately one quarter of suicides, with stronger associations in those of Māori and Pasifika ethnicity, and those aged &lt;55 years. Acute alcohol use is a significant but modifiable risk factor for suicide in New Zealand.","container-title":"The New Zealand Medical Journal","ISSN":"1175-8716","issue":"1558","journalAbbreviation":"N Z Med J","language":"eng","note":"PMID: 35834835","page":"65-78","source":"PubMed","title":"Acute alcohol use and suicide deaths: an analysis of New Zealand coronial data from 2007-2020","title-short":"Acute alcohol use and suicide deaths","volume":"135","author":[{"family":"Crossin","given":"Rose"},{"family":"Cleland","given":"Lana"},{"family":"Beautrais","given":"Annette"},{"family":"Witt","given":"Katrina"},{"family":"Boden","given":"Joseph M."}],"issued":{"date-parts":[["2022",7,15]]}}}],"schema":"https://github.com/citation-style-language/schema/raw/master/csl-citation.json"} </w:instrText>
      </w:r>
      <w:r>
        <w:fldChar w:fldCharType="separate"/>
      </w:r>
      <w:r w:rsidRPr="004B5633">
        <w:rPr>
          <w:rFonts w:cs="Calibri"/>
        </w:rPr>
        <w:t>(Crossin et al. 2022)</w:t>
      </w:r>
      <w:r>
        <w:fldChar w:fldCharType="end"/>
      </w:r>
    </w:p>
    <w:p w14:paraId="76D99F9B" w14:textId="5CA9A0A1" w:rsidR="00BD0616" w:rsidRDefault="00BD0616" w:rsidP="00BD0616">
      <w:pPr>
        <w:pStyle w:val="USBodyText"/>
      </w:pPr>
      <w:r>
        <w:t xml:space="preserve">Reducing alcohol harms is a key objective of </w:t>
      </w:r>
      <w:proofErr w:type="gramStart"/>
      <w:r>
        <w:t>publicly-funded</w:t>
      </w:r>
      <w:proofErr w:type="gramEnd"/>
      <w:r>
        <w:t xml:space="preserve"> health promotion and prevention activities, and just as the costs of alcohol harms span broad categories, the benefits of these activities may also have broad impacts, including benefits to national and local governments, drinkers and non-drinkers, adults, children and future generations. Just </w:t>
      </w:r>
      <w:r>
        <w:lastRenderedPageBreak/>
        <w:t>as quantifying harms and estimating their costs is made challenging due to major data and evidence limitations, estimating the value of interventions to reduce harms faces the same issues.</w:t>
      </w:r>
    </w:p>
    <w:p w14:paraId="15CCF0E3" w14:textId="77777777" w:rsidR="00BD0616" w:rsidRPr="00C86413" w:rsidRDefault="00BD0616" w:rsidP="00BD0616">
      <w:pPr>
        <w:pStyle w:val="Heading3"/>
      </w:pPr>
      <w:r>
        <w:t xml:space="preserve">Alcohol harms in New Zealand are a significant concern and a source of </w:t>
      </w:r>
      <w:proofErr w:type="gramStart"/>
      <w:r>
        <w:t>inequities</w:t>
      </w:r>
      <w:proofErr w:type="gramEnd"/>
    </w:p>
    <w:p w14:paraId="7242022A" w14:textId="183FB7AA" w:rsidR="00BD0616" w:rsidRDefault="00BD0616" w:rsidP="00BD0616">
      <w:pPr>
        <w:pStyle w:val="USBodyText"/>
      </w:pPr>
      <w:r w:rsidRPr="00E27EF3">
        <w:t xml:space="preserve">Alcohol is a leading cause of preventable </w:t>
      </w:r>
      <w:r>
        <w:t>morbidity and mortality</w:t>
      </w:r>
      <w:r w:rsidRPr="00E27EF3">
        <w:t xml:space="preserve"> globally</w:t>
      </w:r>
      <w:r>
        <w:t>,</w:t>
      </w:r>
      <w:r w:rsidRPr="00E27EF3">
        <w:t xml:space="preserve"> </w:t>
      </w:r>
      <w:r>
        <w:t>as well as in</w:t>
      </w:r>
      <w:r w:rsidRPr="00E27EF3">
        <w:t xml:space="preserve"> New Zealand.</w:t>
      </w:r>
      <w:r>
        <w:t xml:space="preserve"> The harms </w:t>
      </w:r>
      <w:r w:rsidR="003B7B49">
        <w:t>associated with</w:t>
      </w:r>
      <w:r>
        <w:t xml:space="preserve"> alcohol consumption, particularly from heavy and consistent drinking, are well known. A large body of research has been undertaken globally to better understand the epidemiology of alcohol-related harm and the burden that alcohol-related harm has on individuals and society. </w:t>
      </w:r>
    </w:p>
    <w:p w14:paraId="08A3B247" w14:textId="59E13117" w:rsidR="00BD0616" w:rsidRPr="00175D29" w:rsidRDefault="00BD0616" w:rsidP="00E64A79">
      <w:pPr>
        <w:pStyle w:val="USBodyText"/>
        <w:rPr>
          <w:b/>
          <w:bCs/>
          <w:sz w:val="24"/>
          <w:szCs w:val="24"/>
        </w:rPr>
      </w:pPr>
      <w:bookmarkStart w:id="23" w:name="_Hlk158574522"/>
      <w:r>
        <w:t xml:space="preserve">People harm themselves through the consumption of alcohol, particularly the </w:t>
      </w:r>
      <w:r w:rsidR="00B3667E">
        <w:t>consistent</w:t>
      </w:r>
      <w:r w:rsidR="00151B1B">
        <w:t xml:space="preserve">, heavy or </w:t>
      </w:r>
      <w:r>
        <w:t xml:space="preserve">hazardous consumption of alcohol, and through engaging in activities where even a low level of alcohol can significantly increase risk, such as driving a vehicle. Harms to others also frequently occur as a result of heavy and hazardous drinking or situations where low levels of alcohol may significantly increase risk. </w:t>
      </w:r>
      <w:r w:rsidR="00D944C3">
        <w:t xml:space="preserve">Over the long term, even low levels of alcohol use </w:t>
      </w:r>
      <w:r w:rsidR="004E117D">
        <w:t>can contribute to serious health problems. For some people, low levels of alcohol consumption may also</w:t>
      </w:r>
      <w:r w:rsidR="006C0D92">
        <w:t xml:space="preserve"> cause serious short-term harm. </w:t>
      </w:r>
      <w:r w:rsidR="00C72ACD" w:rsidRPr="00C72ACD">
        <w:t xml:space="preserve">Increasingly, public health organisations are advising that </w:t>
      </w:r>
      <w:r w:rsidR="00C72ACD">
        <w:t>t</w:t>
      </w:r>
      <w:r w:rsidR="006C0D92">
        <w:t>he</w:t>
      </w:r>
      <w:r w:rsidR="001C1165">
        <w:t>re is no safe or unharmful level of alcohol consumption.</w:t>
      </w:r>
    </w:p>
    <w:bookmarkEnd w:id="23"/>
    <w:p w14:paraId="0AFB149B" w14:textId="6DE88ED4" w:rsidR="00BD0616" w:rsidRDefault="00D7097C" w:rsidP="00BD0616">
      <w:pPr>
        <w:pStyle w:val="USBodyText"/>
      </w:pPr>
      <w:r>
        <w:t>A</w:t>
      </w:r>
      <w:r w:rsidR="00BD0616">
        <w:t xml:space="preserve">lcohol harms also raise important concerns related to the Crown’s </w:t>
      </w:r>
      <w:proofErr w:type="spellStart"/>
      <w:r w:rsidR="00BD0616">
        <w:t>Te</w:t>
      </w:r>
      <w:proofErr w:type="spellEnd"/>
      <w:r w:rsidR="00BD0616">
        <w:t xml:space="preserve"> </w:t>
      </w:r>
      <w:proofErr w:type="spellStart"/>
      <w:r w:rsidR="00BD0616">
        <w:t>Tiriti</w:t>
      </w:r>
      <w:proofErr w:type="spellEnd"/>
      <w:r w:rsidR="00BD0616">
        <w:t xml:space="preserve"> obligations and Manatū </w:t>
      </w:r>
      <w:proofErr w:type="spellStart"/>
      <w:r w:rsidR="00BD0616">
        <w:t>Hauora</w:t>
      </w:r>
      <w:r w:rsidR="00C45743">
        <w:t>|</w:t>
      </w:r>
      <w:r w:rsidR="00BD0616">
        <w:t>Ministry</w:t>
      </w:r>
      <w:proofErr w:type="spellEnd"/>
      <w:r w:rsidR="00BD0616">
        <w:t xml:space="preserve"> of Health’s objective to improve outcomes for Māori and other populations experiencing poorer health outcomes. </w:t>
      </w:r>
      <w:r>
        <w:t>This is a</w:t>
      </w:r>
      <w:r w:rsidRPr="00D7097C">
        <w:t xml:space="preserve"> key concern for consideration of the alcohol levy and the activities it </w:t>
      </w:r>
      <w:r>
        <w:t>funds.</w:t>
      </w:r>
    </w:p>
    <w:p w14:paraId="5D52245F" w14:textId="0A81BA9A" w:rsidR="00BD0616" w:rsidRDefault="00CE1B4C" w:rsidP="00BD0616">
      <w:pPr>
        <w:pStyle w:val="USBodyText"/>
      </w:pPr>
      <w:r>
        <w:t xml:space="preserve">Statistics show that </w:t>
      </w:r>
      <w:r w:rsidR="00BD0616">
        <w:t>Māori are disproportionately affected by alcohol harm. The New Zealand Health Survey 2022</w:t>
      </w:r>
      <w:r w:rsidR="0007205D">
        <w:t>/23</w:t>
      </w:r>
      <w:r w:rsidR="00BD0616">
        <w:t xml:space="preserve"> found that </w:t>
      </w:r>
      <w:r w:rsidR="00D84088">
        <w:t>25.1</w:t>
      </w:r>
      <w:r w:rsidR="00BD0616">
        <w:t xml:space="preserve"> percent of Māori met the requirements to be described as hazardous drinkers compared with </w:t>
      </w:r>
      <w:r w:rsidR="00B815F7">
        <w:t>16</w:t>
      </w:r>
      <w:r w:rsidR="00BD0616">
        <w:t xml:space="preserve"> percent of the general population</w:t>
      </w:r>
      <w:r w:rsidR="00D84088">
        <w:t>, based on self-reported drinking</w:t>
      </w:r>
      <w:r w:rsidR="00BD0616">
        <w:t xml:space="preserve"> </w:t>
      </w:r>
      <w:r w:rsidR="00BD0616" w:rsidRPr="00823326">
        <w:fldChar w:fldCharType="begin"/>
      </w:r>
      <w:r w:rsidR="00F244F6">
        <w:instrText xml:space="preserve"> ADDIN ZOTERO_ITEM CSL_CITATION {"citationID":"BXx9MZIc","properties":{"formattedCitation":"(Ministry of Health 2023)","plainCitation":"(Ministry of Health 2023)","noteIndex":0},"citationItems":[{"id":71302,"uris":["http://zotero.org/groups/4944822/items/YZRAAAXK"],"itemData":{"id":71302,"type":"webpage","abstract":"The Annual Data Explorer presents results from the 2021/22 New Zealand Health Survey, with comparisons to earlier surveys where possible. Results are available by gender, age group, ethnic group, neighbourhood deprivation and disability status.","container-title":"Ministry of Health NZ","language":"en","title":"Annual Update of Key Results 2022/23: New Zealand Health Survey","title-short":"Annual Update of Key Results 2022/23","URL":"https://www.health.govt.nz/publication/annual-update-key-results-2022-23-new-zealand-health-survey","author":[{"family":"Ministry of Health","given":""}],"accessed":{"date-parts":[["2023",12,7]]},"issued":{"date-parts":[["2023"]]}}}],"schema":"https://github.com/citation-style-language/schema/raw/master/csl-citation.json"} </w:instrText>
      </w:r>
      <w:r w:rsidR="00BD0616" w:rsidRPr="00823326">
        <w:fldChar w:fldCharType="separate"/>
      </w:r>
      <w:r w:rsidR="00203969" w:rsidRPr="00203969">
        <w:rPr>
          <w:rFonts w:cs="Calibri"/>
        </w:rPr>
        <w:t>(Ministry of Health 2023)</w:t>
      </w:r>
      <w:r w:rsidR="00BD0616" w:rsidRPr="00823326">
        <w:fldChar w:fldCharType="end"/>
      </w:r>
      <w:r w:rsidR="00BD0616" w:rsidRPr="00823326">
        <w:t>.</w:t>
      </w:r>
      <w:r w:rsidR="00BD0616">
        <w:t xml:space="preserve"> As noted in Allen &amp; Clarke’s Stage 2 report for the Independent Review of the Alcohol Levy, Māori men have a death rate from alcohol that is more than twice that of non-Māori men</w:t>
      </w:r>
      <w:r w:rsidR="00C45743">
        <w:t>.</w:t>
      </w:r>
      <w:r w:rsidR="00BD0616" w:rsidRPr="00CD19C4">
        <w:rPr>
          <w:rStyle w:val="FootnoteReference"/>
        </w:rPr>
        <w:footnoteReference w:id="5"/>
      </w:r>
      <w:r w:rsidR="00BD0616">
        <w:t xml:space="preserve"> Māori are more likely to be apprehended by </w:t>
      </w:r>
      <w:r w:rsidR="00B65F82">
        <w:t>P</w:t>
      </w:r>
      <w:r w:rsidR="00BD0616">
        <w:t xml:space="preserve">olice for an offence that involves alcohol </w:t>
      </w:r>
      <w:r w:rsidR="00BD0616" w:rsidRPr="00D563EF">
        <w:fldChar w:fldCharType="begin"/>
      </w:r>
      <w:r w:rsidR="00F244F6">
        <w:instrText xml:space="preserve"> ADDIN ZOTERO_ITEM CSL_CITATION {"citationID":"DZHTRfjq","properties":{"formattedCitation":"(Alcohol Healthwatch, n.d.)","plainCitation":"(Alcohol Healthwatch, n.d.)","noteIndex":0},"citationItems":[{"id":71400,"uris":["http://zotero.org/groups/4944822/items/KGM2NE3L"],"itemData":{"id":71400,"type":"webpage","title":"Alcohol Healthwatch &gt; Issues &amp; Resources &gt; Harm to Māori","URL":"https://www.ahw.org.nz/Issues-Resources/Harm-to-M%C4%81ori","author":[{"family":"Alcohol Healthwatch","given":""}],"accessed":{"date-parts":[["2023",12,8]]}}}],"schema":"https://github.com/citation-style-language/schema/raw/master/csl-citation.json"} </w:instrText>
      </w:r>
      <w:r w:rsidR="00BD0616" w:rsidRPr="00D563EF">
        <w:fldChar w:fldCharType="separate"/>
      </w:r>
      <w:r w:rsidR="00F22D06" w:rsidRPr="00F22D06">
        <w:rPr>
          <w:rFonts w:cs="Calibri"/>
        </w:rPr>
        <w:t>(Alcohol Healthwatch, n.d.)</w:t>
      </w:r>
      <w:r w:rsidR="00BD0616" w:rsidRPr="00D563EF">
        <w:fldChar w:fldCharType="end"/>
      </w:r>
      <w:r w:rsidR="00711959">
        <w:t>, which may reflect a range of contributing factors, including racism</w:t>
      </w:r>
      <w:r w:rsidR="00BD0616" w:rsidRPr="00D563EF">
        <w:t>.</w:t>
      </w:r>
      <w:r w:rsidR="00BD0616">
        <w:t xml:space="preserve"> </w:t>
      </w:r>
    </w:p>
    <w:p w14:paraId="222736B0" w14:textId="09782244" w:rsidR="00607CAD" w:rsidRDefault="00607CAD" w:rsidP="00BD0616">
      <w:pPr>
        <w:pStyle w:val="USBodyText"/>
      </w:pPr>
      <w:r>
        <w:t xml:space="preserve">A New Zealand study </w:t>
      </w:r>
      <w:r w:rsidR="00C34B71">
        <w:fldChar w:fldCharType="begin"/>
      </w:r>
      <w:r w:rsidR="00F244F6">
        <w:instrText xml:space="preserve"> ADDIN ZOTERO_ITEM CSL_CITATION {"citationID":"zadsxIoU","properties":{"formattedCitation":"(Casswell et al. 2023)","plainCitation":"(Casswell et al. 2023)","noteIndex":0},"citationItems":[{"id":72389,"uris":["http://zotero.org/groups/4944822/items/4UIXYY4G"],"itemData":{"id":72389,"type":"article","abstract":"Background: Quantifying the health burden of alcohol products has largely focused on harm to drinkers. However, this is an underestimate and needs to include alcohol’s harm to others. This study calculates Disability Adjusted Life Years (DALYs) for FASD, interpersonal violence and traffic injury due to another’s drinking.Methods: The involvement of others’ drinking was obtained from prevalence, AAF studies and administrative data. Disability weights (DW) for FASD were adapted from FAS weights using a Beta-Pert probability distribution; for interpersonal injury DWs used hospital events linked with injury compensation data to capture duration of disability; for traffic injury, DWs used hospital events capturing duration of disability. Populations were divided by ethnicity, age group and gender. A descriptive comparison was made with a previous estimate of alcohol attributable DALYs for drinkers.Findings: In 2018, 78,277 healthy years were lost in Aotearoa, NZ due to alcohol’s harm to others. The main contributor (90.3%) was FASD, then traffic crashes (6.3%) and interpersonal violence (3.4%). The indigenous population, Māori, were impacted at a higher rate. The burden of harm to others was greater than that on drinkers.Interpretation: Disability from FASD is a major contributor to alcohol’s harm to others. Taking FASD into account, the health burden of harm to others is larger than harm to the drinker. Ethnicity differences show inequity in harm to others. Quantification of the burden of harm informs the value of implementing effective alcohol policies and should include the full range of harms.Funding: Health Research Council of New Zealand.Declaration of Interest: No conflicts of interest to declareEthical Approval: : Low-risk ethics approval was received from Massey University. Approved application number 4000020372. A low-risk ethics application was appropriate as defined by a Massey University ethics checklist. All data in the Integrated Data Infrastructure are anonymous to researchers and de-identified.","DOI":"10.2139/ssrn.4425297","event-place":"Rochester, NY","genre":"SSRN Scholarly Paper","language":"en","number":"4425297","publisher-place":"Rochester, NY","source":"Social Science Research Network","title":"Quantifying Alcohol-Attributable Disability-Adjusted Life Years to Others than the Drinker in Aotearoa, New Zealand","URL":"https://papers.ssrn.com/abstract=4425297","author":[{"family":"Casswell","given":"Sally"},{"family":"Huckle","given":"Taisia"},{"family":"Romeo","given":"Jose S."},{"family":"Moewaka Barnes","given":"Helen"},{"family":"Connor","given":"Jennie"},{"family":"Rehm","given":"Jurgen"}],"accessed":{"date-parts":[["2024",1,15]]},"issued":{"date-parts":[["2023",4,27]]}}}],"schema":"https://github.com/citation-style-language/schema/raw/master/csl-citation.json"} </w:instrText>
      </w:r>
      <w:r w:rsidR="00C34B71">
        <w:fldChar w:fldCharType="separate"/>
      </w:r>
      <w:r w:rsidR="00C34B71" w:rsidRPr="00C34B71">
        <w:rPr>
          <w:rFonts w:cs="Calibri"/>
        </w:rPr>
        <w:t>(Casswell et al. 2023)</w:t>
      </w:r>
      <w:r w:rsidR="00C34B71">
        <w:fldChar w:fldCharType="end"/>
      </w:r>
      <w:r w:rsidR="002D0967">
        <w:t xml:space="preserve"> </w:t>
      </w:r>
      <w:r>
        <w:t xml:space="preserve">identified published evidence indicating that: </w:t>
      </w:r>
    </w:p>
    <w:p w14:paraId="609A6393" w14:textId="77777777" w:rsidR="00607CAD" w:rsidRDefault="00607CAD" w:rsidP="00607CAD">
      <w:pPr>
        <w:pStyle w:val="USBullet1"/>
      </w:pPr>
      <w:r w:rsidRPr="00607CAD">
        <w:t>Māori have a 35</w:t>
      </w:r>
      <w:r>
        <w:t xml:space="preserve"> percent</w:t>
      </w:r>
      <w:r w:rsidRPr="00607CAD">
        <w:t xml:space="preserve"> </w:t>
      </w:r>
      <w:r>
        <w:t>greater probability</w:t>
      </w:r>
      <w:r w:rsidRPr="00607CAD">
        <w:t xml:space="preserve"> of experiencing violence due to another’s </w:t>
      </w:r>
      <w:proofErr w:type="gramStart"/>
      <w:r w:rsidRPr="00607CAD">
        <w:t>drinking</w:t>
      </w:r>
      <w:proofErr w:type="gramEnd"/>
    </w:p>
    <w:p w14:paraId="253DAACF" w14:textId="2B6E4294" w:rsidR="00607CAD" w:rsidRDefault="00607CAD" w:rsidP="00607CAD">
      <w:pPr>
        <w:pStyle w:val="USBullet1"/>
      </w:pPr>
      <w:r w:rsidRPr="00607CAD">
        <w:t xml:space="preserve">Māori are over-represented in serious traffic crashes involving alcohol and </w:t>
      </w:r>
      <w:proofErr w:type="spellStart"/>
      <w:r w:rsidRPr="00607CAD">
        <w:t>tamariki</w:t>
      </w:r>
      <w:proofErr w:type="spellEnd"/>
      <w:r w:rsidRPr="00607CAD">
        <w:t xml:space="preserve"> Māori are more likely to be killed or seriously injured in alcohol crashes than non-Māori </w:t>
      </w:r>
      <w:proofErr w:type="gramStart"/>
      <w:r w:rsidRPr="00607CAD">
        <w:t>children</w:t>
      </w:r>
      <w:proofErr w:type="gramEnd"/>
    </w:p>
    <w:p w14:paraId="442C6550" w14:textId="6F3C7552" w:rsidR="00607CAD" w:rsidRDefault="00607CAD" w:rsidP="006F64C6">
      <w:pPr>
        <w:pStyle w:val="USBullet1"/>
      </w:pPr>
      <w:r w:rsidRPr="00607CAD">
        <w:t>Māori women have a significantly higher prevalence of drinking during pregnancy relative to other ethnic groups, leading to estimates of higher rates of FASD.</w:t>
      </w:r>
    </w:p>
    <w:p w14:paraId="334A34D8" w14:textId="1918A500" w:rsidR="00BD0616" w:rsidRDefault="00BD0616" w:rsidP="00BD0616">
      <w:pPr>
        <w:pStyle w:val="USBodyText"/>
      </w:pPr>
      <w:r>
        <w:t xml:space="preserve">In addition, while Pacific adults </w:t>
      </w:r>
      <w:r w:rsidR="006E6F76">
        <w:t xml:space="preserve">generally </w:t>
      </w:r>
      <w:r>
        <w:t xml:space="preserve">have low levels of alcohol consumption, they have higher levels of harmful drinking </w:t>
      </w:r>
      <w:r w:rsidRPr="00823326">
        <w:fldChar w:fldCharType="begin"/>
      </w:r>
      <w:r w:rsidR="00F244F6">
        <w:instrText xml:space="preserve"> ADDIN ZOTERO_ITEM CSL_CITATION {"citationID":"zBhqRR2n","properties":{"formattedCitation":"(Ateara-Minster, Guiney, and Cook 2020)","plainCitation":"(Ateara-Minster, Guiney, and Cook 2020)","noteIndex":0},"citationItems":[{"id":71305,"uris":["http://zotero.org/groups/4944822/items/79BN63VA"],"itemData":{"id":71305,"type":"report","event-place":"Wellington","publisher":"Te Hiringa Hauora/Health Promotion Agency","publisher-place":"Wellington","title":"Taeao Malama: Alcohol use in Pacific peoples. Results from the New Zealand Health Survey &amp; Attitudes and Behaviour towards Alcohol Survey","URL":"https://www.hpa.org.nz/sites/default/files/Taeao%20Malama%20-%20Alcohol%20use%20among%20Pacific%20peoples.pdf","author":[{"family":"Ateara-Minster","given":"J"},{"family":"Guiney","given":"H"},{"family":"Cook","given":"S"}],"accessed":{"date-parts":[["2023",12,7]]},"issued":{"date-parts":[["2020"]]}}}],"schema":"https://github.com/citation-style-language/schema/raw/master/csl-citation.json"} </w:instrText>
      </w:r>
      <w:r w:rsidRPr="00823326">
        <w:fldChar w:fldCharType="separate"/>
      </w:r>
      <w:r w:rsidRPr="00823326">
        <w:rPr>
          <w:rFonts w:cs="Calibri"/>
        </w:rPr>
        <w:t>(</w:t>
      </w:r>
      <w:proofErr w:type="spellStart"/>
      <w:r w:rsidRPr="00823326">
        <w:rPr>
          <w:rFonts w:cs="Calibri"/>
        </w:rPr>
        <w:t>Ateara</w:t>
      </w:r>
      <w:proofErr w:type="spellEnd"/>
      <w:r w:rsidRPr="00823326">
        <w:rPr>
          <w:rFonts w:cs="Calibri"/>
        </w:rPr>
        <w:t>-Minster, Guiney, and Cook 2020)</w:t>
      </w:r>
      <w:r w:rsidRPr="00823326">
        <w:fldChar w:fldCharType="end"/>
      </w:r>
      <w:r w:rsidRPr="00823326">
        <w:t>.</w:t>
      </w:r>
    </w:p>
    <w:p w14:paraId="05FC283C" w14:textId="13910D60" w:rsidR="00BD0616" w:rsidRDefault="00BD0616" w:rsidP="00BD0616">
      <w:pPr>
        <w:pStyle w:val="USBodyText"/>
      </w:pPr>
      <w:r>
        <w:lastRenderedPageBreak/>
        <w:t xml:space="preserve">With a high burden of morbidity and mortality associated with alcohol and many complex interactions between alcohol use and other causes of harm, research investments are made every year to improve understanding </w:t>
      </w:r>
      <w:r w:rsidR="00CD25CE">
        <w:t xml:space="preserve">and </w:t>
      </w:r>
      <w:r w:rsidR="00C45743">
        <w:t xml:space="preserve">reduce </w:t>
      </w:r>
      <w:r w:rsidR="00CD25CE">
        <w:t>harms</w:t>
      </w:r>
      <w:r>
        <w:t>.</w:t>
      </w:r>
      <w:r w:rsidR="006059F1">
        <w:t xml:space="preserve"> For example, t</w:t>
      </w:r>
      <w:r>
        <w:t>he Health Research Council (HRC) supplied a summary list of the alcohol-related research funded from 2010 to 2022, describing a total of 36 grants worth $23.1 million between 2013 and 2022, or an average of $2.3 million per year, before considering inflation.</w:t>
      </w:r>
      <w:r w:rsidRPr="00CD19C4">
        <w:rPr>
          <w:rStyle w:val="FootnoteReference"/>
        </w:rPr>
        <w:footnoteReference w:id="6"/>
      </w:r>
    </w:p>
    <w:p w14:paraId="35A03BBF" w14:textId="77777777" w:rsidR="00BD0616" w:rsidRDefault="00BD0616" w:rsidP="00BD0616">
      <w:pPr>
        <w:pStyle w:val="Heading3"/>
      </w:pPr>
      <w:r>
        <w:t xml:space="preserve">Trends in alcohol harms are a mixed </w:t>
      </w:r>
      <w:proofErr w:type="gramStart"/>
      <w:r>
        <w:t>bag</w:t>
      </w:r>
      <w:proofErr w:type="gramEnd"/>
    </w:p>
    <w:p w14:paraId="5F20DFD5" w14:textId="489D6393" w:rsidR="00BD0616" w:rsidRDefault="00BD0616" w:rsidP="00BD0616">
      <w:pPr>
        <w:pStyle w:val="USBodyText"/>
      </w:pPr>
      <w:r w:rsidRPr="00AA27A0">
        <w:t xml:space="preserve">As noted by the Health Promotion Agency 2020 update on alcohol affordability </w:t>
      </w:r>
      <w:r w:rsidR="00F22D06">
        <w:fldChar w:fldCharType="begin"/>
      </w:r>
      <w:r w:rsidR="00F244F6">
        <w:instrText xml:space="preserve"> ADDIN ZOTERO_ITEM CSL_CITATION {"citationID":"ARyHDk1B","properties":{"formattedCitation":"(Health Promotion Agency 2021)","plainCitation":"(Health Promotion Agency 2021)","noteIndex":0},"citationItems":[{"id":63369,"uris":["http://zotero.org/groups/4944822/items/EE88WPS3"],"itemData":{"id":63369,"type":"report","abstract":"There is strong evidence that lower alcohol prices lead to higher alcohol consumption, thereby increasing the risk of alcohol-related harm. This report looks at the trends of alcohol prices and affordability in Aotearoa New Zealand.\n\nKey findings:\n\nBetween 2017-2020 the average price per standard drink increased for all alcohol beverage types, with beer having the greatest price increase.\nIn the same time period, the inflation-adjusted real price of beer increased, but the real price of wine and spirits and liqueurs decreased. All alcohol combined decreased in real price.\nCompared to 2017, all alcoholic beverage types were more affordable in 2020.\nCompared to 2017, it took less time in 2020 for a person on a median income to earn enough to afford an average priced standard drink of beer, whisky or cask wine.","title":"Monitoring alcohol affordability in Aotearoa New Zealand: 2020 update","URL":"https://apo.org.au/sites/default/files/resource-files/2021-10/apo-nid314661.pdf","author":[{"family":"Health Promotion Agency","given":""}],"accessed":{"date-parts":[["2023",2,10]]},"issued":{"date-parts":[["2021"]]}}}],"schema":"https://github.com/citation-style-language/schema/raw/master/csl-citation.json"} </w:instrText>
      </w:r>
      <w:r w:rsidR="00F22D06">
        <w:fldChar w:fldCharType="separate"/>
      </w:r>
      <w:r w:rsidR="00F22D06" w:rsidRPr="00F22D06">
        <w:rPr>
          <w:rFonts w:cs="Calibri"/>
        </w:rPr>
        <w:t>(Health Promotion Agency 2021)</w:t>
      </w:r>
      <w:r w:rsidR="00F22D06">
        <w:fldChar w:fldCharType="end"/>
      </w:r>
      <w:r>
        <w:t xml:space="preserve">, all alcohol beverage types </w:t>
      </w:r>
      <w:r w:rsidR="00C45743">
        <w:t xml:space="preserve">have </w:t>
      </w:r>
      <w:r>
        <w:t>become more affordable since the late 1980s</w:t>
      </w:r>
      <w:r w:rsidR="00C45743">
        <w:t>,</w:t>
      </w:r>
      <w:r>
        <w:t xml:space="preserve"> including continued increases in affordability in recent years due to incomes increasing faster than alcohol prices. </w:t>
      </w:r>
    </w:p>
    <w:p w14:paraId="0B37D93B" w14:textId="74E8CCBF" w:rsidR="00BD0616" w:rsidRDefault="000440A9" w:rsidP="00BD0616">
      <w:pPr>
        <w:pStyle w:val="FigureCaption"/>
      </w:pPr>
      <w:bookmarkStart w:id="24" w:name="_Toc160633890"/>
      <w:r w:rsidRPr="00731CA6">
        <w:t>Figure </w:t>
      </w:r>
      <w:fldSimple w:instr=" SEQ Figure \* ARABIC ">
        <w:r w:rsidR="00AE166D">
          <w:rPr>
            <w:noProof/>
          </w:rPr>
          <w:t>2</w:t>
        </w:r>
      </w:fldSimple>
      <w:r>
        <w:rPr>
          <w:noProof/>
        </w:rPr>
        <w:t xml:space="preserve"> </w:t>
      </w:r>
      <w:r w:rsidR="00BD0616">
        <w:t>Alcohol affordability in New Zealand</w:t>
      </w:r>
      <w:bookmarkEnd w:id="24"/>
    </w:p>
    <w:p w14:paraId="789560A8" w14:textId="77777777" w:rsidR="00BD0616" w:rsidRDefault="00BD0616" w:rsidP="00BD0616">
      <w:pPr>
        <w:pStyle w:val="CaptionSubheading"/>
      </w:pPr>
      <w:r>
        <w:t>Alcohol affordability index (2017 base)</w:t>
      </w:r>
    </w:p>
    <w:p w14:paraId="15A9FE07" w14:textId="77777777" w:rsidR="00BD0616" w:rsidRDefault="00BD0616" w:rsidP="00BD0616">
      <w:pPr>
        <w:pStyle w:val="USBodyText"/>
      </w:pPr>
      <w:r>
        <w:rPr>
          <w:noProof/>
        </w:rPr>
        <w:drawing>
          <wp:inline distT="0" distB="0" distL="0" distR="0" wp14:anchorId="5B9246B8" wp14:editId="2DF62ED0">
            <wp:extent cx="5655945" cy="3381375"/>
            <wp:effectExtent l="0" t="0" r="1905" b="9525"/>
            <wp:docPr id="2106589673" name="Picture 2106589673" descr="The chart shows lines depicting the affordability indices for wine, spirits and liqueurs, beer, and all alcohol from 1989 to 2019. Values over 100% are indicated as less affordable whereas values under 100% are indicated as more affordable. Compared to the 2017 base year, the affordability index for wine has increased from 60% in 1989 to nearly 110% in 2019, whereas spirits and liqueurs have gone from around 80% to around 105%, beer has gone from around 95% to around 105%, and all alcohol has gone from 80% to around 10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9673" name="Picture 2106589673" descr="The chart shows lines depicting the affordability indices for wine, spirits and liqueurs, beer, and all alcohol from 1989 to 2019. Values over 100% are indicated as less affordable whereas values under 100% are indicated as more affordable. Compared to the 2017 base year, the affordability index for wine has increased from 60% in 1989 to nearly 110% in 2019, whereas spirits and liqueurs have gone from around 80% to around 105%, beer has gone from around 95% to around 105%, and all alcohol has gone from 80% to around 107%.">
                      <a:extLst>
                        <a:ext uri="{C183D7F6-B498-43B3-948B-1728B52AA6E4}">
                          <adec:decorative xmlns:adec="http://schemas.microsoft.com/office/drawing/2017/decorative" val="0"/>
                        </a:ext>
                      </a:extLst>
                    </pic:cNvPr>
                    <pic:cNvPicPr/>
                  </pic:nvPicPr>
                  <pic:blipFill>
                    <a:blip r:embed="rId27"/>
                    <a:stretch>
                      <a:fillRect/>
                    </a:stretch>
                  </pic:blipFill>
                  <pic:spPr>
                    <a:xfrm>
                      <a:off x="0" y="0"/>
                      <a:ext cx="5671933" cy="3390933"/>
                    </a:xfrm>
                    <a:prstGeom prst="rect">
                      <a:avLst/>
                    </a:prstGeom>
                  </pic:spPr>
                </pic:pic>
              </a:graphicData>
            </a:graphic>
          </wp:inline>
        </w:drawing>
      </w:r>
    </w:p>
    <w:p w14:paraId="358302B9" w14:textId="77777777" w:rsidR="00BD0616" w:rsidRDefault="00BD0616" w:rsidP="00CD6339">
      <w:pPr>
        <w:pStyle w:val="USSource"/>
      </w:pPr>
      <w:r>
        <w:t xml:space="preserve">Source: </w:t>
      </w:r>
      <w:r w:rsidRPr="0020551F">
        <w:t>Health Promotion Agency 2020</w:t>
      </w:r>
    </w:p>
    <w:p w14:paraId="7E0C452D" w14:textId="5901D9E3" w:rsidR="00BD0616" w:rsidRDefault="00BD0616" w:rsidP="00BD0616">
      <w:pPr>
        <w:pStyle w:val="USBodyText"/>
      </w:pPr>
      <w:r>
        <w:t>Increased incomes tend to translate into increased demand for alcohol, particularly for wine and spirits (</w:t>
      </w:r>
      <w:proofErr w:type="spellStart"/>
      <w:r>
        <w:t>Gallet</w:t>
      </w:r>
      <w:proofErr w:type="spellEnd"/>
      <w:r>
        <w:t xml:space="preserve"> 2007), although the Phase 1 Alcohol Levy Review Report showed no clear evidence that increased affordability has led to increased consumption at an aggregate level. </w:t>
      </w:r>
      <w:r w:rsidRPr="00872A55">
        <w:t>While alcohol’s place in society is subject to a range of forces, including education and awareness, cultural factors, and population demographics, increased affordability of alcohol is expected to drive increased alcohol consumption in groups with lower incomes, including Māori and young people (Ministry of Health, 2020)</w:t>
      </w:r>
      <w:r>
        <w:t>, which can be obscured in aggregate data</w:t>
      </w:r>
      <w:r w:rsidRPr="00872A55">
        <w:t>.</w:t>
      </w:r>
    </w:p>
    <w:p w14:paraId="37C6C49C" w14:textId="3710D15A" w:rsidR="00BD0616" w:rsidRDefault="00BD0616" w:rsidP="00BD0616">
      <w:pPr>
        <w:pStyle w:val="USBodyText"/>
      </w:pPr>
      <w:r>
        <w:lastRenderedPageBreak/>
        <w:t xml:space="preserve">Within population subgroups, </w:t>
      </w:r>
      <w:r w:rsidR="00A03B6A">
        <w:t>l</w:t>
      </w:r>
      <w:r w:rsidR="00A03B6A" w:rsidRPr="00A03B6A">
        <w:t>imited data on alcohol consumption behaviour</w:t>
      </w:r>
      <w:r w:rsidR="00351265">
        <w:t>s</w:t>
      </w:r>
      <w:r w:rsidR="00A03B6A" w:rsidRPr="00A03B6A">
        <w:t xml:space="preserve"> prevents clear conclusions </w:t>
      </w:r>
      <w:r w:rsidR="00492BA8">
        <w:t xml:space="preserve">from </w:t>
      </w:r>
      <w:r w:rsidR="00351265">
        <w:t>being</w:t>
      </w:r>
      <w:r w:rsidR="00A03B6A" w:rsidRPr="00A03B6A">
        <w:t xml:space="preserve"> drawn about specific populations and trends over time</w:t>
      </w:r>
      <w:r>
        <w:t xml:space="preserve">. </w:t>
      </w:r>
      <w:r w:rsidRPr="00186A72">
        <w:t>Some evidence indicates a possible improvement</w:t>
      </w:r>
      <w:r w:rsidR="00492BA8">
        <w:t>,</w:t>
      </w:r>
      <w:r w:rsidRPr="00186A72">
        <w:t xml:space="preserve"> such as the NZHS </w:t>
      </w:r>
      <w:r w:rsidR="00C237A0">
        <w:t>(</w:t>
      </w:r>
      <w:r w:rsidRPr="00186A72">
        <w:t>New Zealand Health and Lifestyles Survey</w:t>
      </w:r>
      <w:r w:rsidR="00C237A0">
        <w:t>)</w:t>
      </w:r>
      <w:r w:rsidR="00492BA8">
        <w:t>,</w:t>
      </w:r>
      <w:r w:rsidRPr="00186A72">
        <w:t xml:space="preserve"> which indicates th</w:t>
      </w:r>
      <w:r w:rsidR="00492BA8">
        <w:t>at the percentage of Māori who are heavy drinkers fell from 47.9 in 2012 to 43.2 in 2016 and</w:t>
      </w:r>
      <w:r w:rsidRPr="00186A72">
        <w:t xml:space="preserve"> 31.0 percent in 2020. However, 2020 data may not be reflective of a downward trend in heavy drinking in Māori due to the potential impact of the COVID-19 pandemic and associated restrictions. Prior to 2020</w:t>
      </w:r>
      <w:r>
        <w:t>,</w:t>
      </w:r>
      <w:r w:rsidRPr="00186A72">
        <w:t xml:space="preserve"> data on </w:t>
      </w:r>
      <w:r>
        <w:t xml:space="preserve">heavy drinking amongst </w:t>
      </w:r>
      <w:r w:rsidRPr="00186A72">
        <w:t xml:space="preserve">Māori showed a small but steady trend upwards since 2017 (New Zealand Health Survey, 2016/17 to 2021/22). </w:t>
      </w:r>
    </w:p>
    <w:p w14:paraId="5F7178D9" w14:textId="5FFA1CFE" w:rsidR="00BD0616" w:rsidRDefault="00BD0616" w:rsidP="00BD0616">
      <w:pPr>
        <w:pStyle w:val="USBodyText"/>
      </w:pPr>
      <w:r>
        <w:t>M</w:t>
      </w:r>
      <w:r w:rsidRPr="00186A72">
        <w:t>uch of the recent evidence regarding consumption patterns within population sub-groups is derived from the NZHS and the Alcohol Use in New Zealand Survey (</w:t>
      </w:r>
      <w:proofErr w:type="spellStart"/>
      <w:r w:rsidRPr="00186A72">
        <w:t>AUiNZ</w:t>
      </w:r>
      <w:proofErr w:type="spellEnd"/>
      <w:r w:rsidRPr="00186A72">
        <w:t>)</w:t>
      </w:r>
      <w:r>
        <w:t>. These surveys</w:t>
      </w:r>
      <w:r w:rsidRPr="00186A72">
        <w:t xml:space="preserve"> rely on self-reported alcohol consumption</w:t>
      </w:r>
      <w:r w:rsidR="008A4409">
        <w:t>,</w:t>
      </w:r>
      <w:r w:rsidRPr="00186A72">
        <w:t xml:space="preserve"> which is impacted by social desirability and recall biases.</w:t>
      </w:r>
    </w:p>
    <w:p w14:paraId="1F36176B" w14:textId="074C1909" w:rsidR="00BD0616" w:rsidRDefault="00BD0616" w:rsidP="00BD0616">
      <w:pPr>
        <w:pStyle w:val="USBodyText"/>
      </w:pPr>
      <w:r w:rsidRPr="00872A55">
        <w:t xml:space="preserve">A broad indicator of experience of harm is provided by the </w:t>
      </w:r>
      <w:proofErr w:type="spellStart"/>
      <w:r w:rsidRPr="00872A55">
        <w:t>AUiNZ</w:t>
      </w:r>
      <w:proofErr w:type="spellEnd"/>
      <w:r w:rsidR="00C237A0">
        <w:t>,</w:t>
      </w:r>
      <w:r w:rsidRPr="00872A55">
        <w:t xml:space="preserve"> </w:t>
      </w:r>
      <w:r>
        <w:t>which</w:t>
      </w:r>
      <w:r w:rsidRPr="00872A55">
        <w:t xml:space="preserve"> showed that in 2020, 25.9 percent of New Zealanders said that they had experienced harm from their own drinking</w:t>
      </w:r>
      <w:r w:rsidR="00C237A0">
        <w:t>,</w:t>
      </w:r>
      <w:r w:rsidRPr="00872A55">
        <w:t xml:space="preserve"> and 37.7 percent of New Zealanders had experienced harm from someone else’s drinking (</w:t>
      </w:r>
      <w:proofErr w:type="spellStart"/>
      <w:r w:rsidRPr="00872A55">
        <w:t>AuiNZ</w:t>
      </w:r>
      <w:proofErr w:type="spellEnd"/>
      <w:r w:rsidRPr="00872A55">
        <w:t>, 2020).</w:t>
      </w:r>
    </w:p>
    <w:p w14:paraId="792D1DA3" w14:textId="77777777" w:rsidR="00BD0616" w:rsidRDefault="00BD0616" w:rsidP="00BD0616">
      <w:pPr>
        <w:pStyle w:val="USBodyText"/>
      </w:pPr>
      <w:r>
        <w:t>Over the last 15 years, it is not clear that harms have increased:</w:t>
      </w:r>
    </w:p>
    <w:p w14:paraId="52D6F824" w14:textId="1B3C3527" w:rsidR="00BD0616" w:rsidRDefault="00BD0616" w:rsidP="00BD0616">
      <w:pPr>
        <w:pStyle w:val="USBullet1"/>
      </w:pPr>
      <w:r>
        <w:t xml:space="preserve">NZ Police data shows that alcohol-related calls to </w:t>
      </w:r>
      <w:r w:rsidR="001235A3">
        <w:t>P</w:t>
      </w:r>
      <w:r>
        <w:t>olice have remained fairly stable.</w:t>
      </w:r>
    </w:p>
    <w:p w14:paraId="1BFA55B9" w14:textId="77777777" w:rsidR="00BD0616" w:rsidRDefault="00BD0616" w:rsidP="00BD0616">
      <w:pPr>
        <w:pStyle w:val="USBullet1"/>
      </w:pPr>
      <w:r w:rsidRPr="00D15DE3">
        <w:t>Ministry of Justice</w:t>
      </w:r>
      <w:r>
        <w:t xml:space="preserve"> data shows that since 2012/13:</w:t>
      </w:r>
    </w:p>
    <w:p w14:paraId="6DB7491C" w14:textId="77777777" w:rsidR="00BD0616" w:rsidRDefault="00BD0616" w:rsidP="00BD0616">
      <w:pPr>
        <w:pStyle w:val="USBullet2"/>
      </w:pPr>
      <w:r>
        <w:t>Driving under the influence of alcohol and other substances (DUI) offences in court and convictions for DUI offences have decreased, with the most marked decrease observed in people aged 29 and under.</w:t>
      </w:r>
    </w:p>
    <w:p w14:paraId="2B7CAC23" w14:textId="78033215" w:rsidR="00BD0616" w:rsidRDefault="00BD0616" w:rsidP="00BD0616">
      <w:pPr>
        <w:pStyle w:val="USBullet2"/>
      </w:pPr>
      <w:r>
        <w:t xml:space="preserve">The number of DUI offences in court </w:t>
      </w:r>
      <w:r w:rsidR="00C237A0">
        <w:t xml:space="preserve">has </w:t>
      </w:r>
      <w:r>
        <w:t>fallen for all ethnicities where ethnicity was identified, due mainly to significant reductions in DUI offences by European and Māori (however, it should be noted that an increasing number of DUI offences in court have no identified ethnicity).</w:t>
      </w:r>
    </w:p>
    <w:p w14:paraId="68E48305" w14:textId="77777777" w:rsidR="00BD0616" w:rsidRDefault="00BD0616" w:rsidP="00BD0616">
      <w:pPr>
        <w:pStyle w:val="USBullet2"/>
      </w:pPr>
      <w:r>
        <w:t>The number of convictions for DUI offences in court has decreased overall (by 43.7 percent).</w:t>
      </w:r>
    </w:p>
    <w:p w14:paraId="21833B86" w14:textId="77777777" w:rsidR="00BD0616" w:rsidRDefault="00BD0616" w:rsidP="00BD0616">
      <w:pPr>
        <w:pStyle w:val="USBullet1"/>
      </w:pPr>
      <w:r>
        <w:t>Ministry of Transport data shows that:</w:t>
      </w:r>
    </w:p>
    <w:p w14:paraId="428F3BF3" w14:textId="1B83BA0B" w:rsidR="00BD0616" w:rsidRDefault="008329CE" w:rsidP="00BD0616">
      <w:pPr>
        <w:pStyle w:val="USBullet2"/>
      </w:pPr>
      <w:r>
        <w:t>S</w:t>
      </w:r>
      <w:r w:rsidR="00BD0616">
        <w:t>ince 1990</w:t>
      </w:r>
      <w:r w:rsidR="00C237A0">
        <w:t>,</w:t>
      </w:r>
      <w:r w:rsidR="00BD0616">
        <w:t xml:space="preserve"> </w:t>
      </w:r>
      <w:r w:rsidR="00BD0616" w:rsidRPr="00227BE9">
        <w:t>road crashes involving alcohol and/or drugs as a contributing factor</w:t>
      </w:r>
      <w:r w:rsidR="00BD0616">
        <w:t xml:space="preserve"> </w:t>
      </w:r>
      <w:r w:rsidR="00C237A0">
        <w:t xml:space="preserve">have </w:t>
      </w:r>
      <w:r w:rsidR="00BD0616">
        <w:t>decreased.</w:t>
      </w:r>
    </w:p>
    <w:p w14:paraId="0BFBC2EE" w14:textId="7F9880B9" w:rsidR="00BD0616" w:rsidRDefault="00BD0616" w:rsidP="00BD0616">
      <w:pPr>
        <w:pStyle w:val="USBullet2"/>
      </w:pPr>
      <w:r>
        <w:t>Since 2008</w:t>
      </w:r>
      <w:r w:rsidR="008329CE">
        <w:t>,</w:t>
      </w:r>
      <w:r>
        <w:t xml:space="preserve"> alcohol has been a contributing factor in a decreasing fraction of road crashes involving deaths and serious injuries.</w:t>
      </w:r>
    </w:p>
    <w:p w14:paraId="5471DC48" w14:textId="77777777" w:rsidR="00BD0616" w:rsidRDefault="00BD0616" w:rsidP="00BD0616">
      <w:pPr>
        <w:pStyle w:val="USBullet1"/>
      </w:pPr>
      <w:r>
        <w:t>Ministry of Health data shows that:</w:t>
      </w:r>
    </w:p>
    <w:p w14:paraId="2F1C9C5C" w14:textId="34A2EC17" w:rsidR="00BD0616" w:rsidRDefault="00BD0616" w:rsidP="00BD0616">
      <w:pPr>
        <w:pStyle w:val="USBullet2"/>
      </w:pPr>
      <w:r>
        <w:t>The percentage of youth</w:t>
      </w:r>
      <w:r w:rsidR="008A4409">
        <w:t xml:space="preserve"> emergency department (</w:t>
      </w:r>
      <w:r>
        <w:t>ED</w:t>
      </w:r>
      <w:r w:rsidR="008A4409">
        <w:t>)</w:t>
      </w:r>
      <w:r>
        <w:t xml:space="preserve"> visits identified as involving alcohol has been relatively stable since 2018</w:t>
      </w:r>
      <w:r w:rsidR="00F96C1B">
        <w:t>,</w:t>
      </w:r>
      <w:r>
        <w:t xml:space="preserve"> when </w:t>
      </w:r>
      <w:r w:rsidR="00C26E92">
        <w:t xml:space="preserve">the </w:t>
      </w:r>
      <w:r>
        <w:t>collection of national data on this measure was started, and this applies equally to all ethnicities.</w:t>
      </w:r>
    </w:p>
    <w:p w14:paraId="77A745F7" w14:textId="6948074B" w:rsidR="00BD0616" w:rsidRDefault="00BD0616" w:rsidP="00BD0616">
      <w:pPr>
        <w:pStyle w:val="USBullet1"/>
      </w:pPr>
      <w:r>
        <w:t xml:space="preserve">Global Burden of Disease (GBD) study data </w:t>
      </w:r>
      <w:r w:rsidR="008556BD">
        <w:fldChar w:fldCharType="begin"/>
      </w:r>
      <w:r w:rsidR="00F244F6">
        <w:instrText xml:space="preserve"> ADDIN ZOTERO_ITEM CSL_CITATION {"citationID":"nYhkv04y","properties":{"formattedCitation":"(Institute for Health Metrics and Evaluation 2019)","plainCitation":"(Institute for Health Metrics and Evaluation 2019)","noteIndex":0},"citationItems":[{"id":73238,"uris":["http://zotero.org/groups/4944822/items/ELLKYUBA"],"itemData":{"id":73238,"type":"webpage","title":"Global Burden of Disease 2019","URL":"https://ourworldindata.org/grapher/number-of-deaths-by-risk-factor?country=~NZL","author":[{"family":"Institute for Health Metrics and Evaluation","given":""}],"issued":{"date-parts":[["2019"]]}}}],"schema":"https://github.com/citation-style-language/schema/raw/master/csl-citation.json"} </w:instrText>
      </w:r>
      <w:r w:rsidR="008556BD">
        <w:fldChar w:fldCharType="separate"/>
      </w:r>
      <w:r w:rsidR="008556BD" w:rsidRPr="008556BD">
        <w:rPr>
          <w:rFonts w:cs="Calibri"/>
        </w:rPr>
        <w:t>(Institute for Health Metrics and Evaluation 2019)</w:t>
      </w:r>
      <w:r w:rsidR="008556BD">
        <w:fldChar w:fldCharType="end"/>
      </w:r>
      <w:r w:rsidR="00A40054">
        <w:t xml:space="preserve"> </w:t>
      </w:r>
      <w:r>
        <w:t>shows that:</w:t>
      </w:r>
    </w:p>
    <w:p w14:paraId="67341F0C" w14:textId="333CE60D" w:rsidR="00BD0616" w:rsidRDefault="005E17B7" w:rsidP="00BD0616">
      <w:pPr>
        <w:pStyle w:val="USBullet2"/>
      </w:pPr>
      <w:r>
        <w:t>A</w:t>
      </w:r>
      <w:r w:rsidR="00BD0616" w:rsidRPr="00113AFF">
        <w:t xml:space="preserve">lcohol </w:t>
      </w:r>
      <w:r w:rsidR="00ED68EB">
        <w:t>(</w:t>
      </w:r>
      <w:r w:rsidR="00BF6268">
        <w:t xml:space="preserve">including the range of injuries and health conditions that are attributable to alcohol) </w:t>
      </w:r>
      <w:r>
        <w:t>is</w:t>
      </w:r>
      <w:r w:rsidR="00BD0616" w:rsidRPr="00113AFF">
        <w:t xml:space="preserve"> among a set of relatively minor </w:t>
      </w:r>
      <w:r>
        <w:t xml:space="preserve">mortality </w:t>
      </w:r>
      <w:r w:rsidR="00BD0616" w:rsidRPr="00113AFF">
        <w:t xml:space="preserve">risk factors compared with </w:t>
      </w:r>
      <w:r>
        <w:lastRenderedPageBreak/>
        <w:t xml:space="preserve">high </w:t>
      </w:r>
      <w:r w:rsidR="00BD0616" w:rsidRPr="00113AFF">
        <w:t xml:space="preserve">blood pressure, smoking, </w:t>
      </w:r>
      <w:r>
        <w:t>obesity</w:t>
      </w:r>
      <w:r w:rsidR="0070389A">
        <w:t>, high blood sugar, and high cholesterol</w:t>
      </w:r>
      <w:r w:rsidR="00C26E92">
        <w:t>,</w:t>
      </w:r>
      <w:r w:rsidR="00E93532">
        <w:t xml:space="preserve"> all of which alcohol may contribute to but is not the only contributing </w:t>
      </w:r>
      <w:r w:rsidR="00C83118">
        <w:t>factor</w:t>
      </w:r>
      <w:r w:rsidR="00BD0616" w:rsidRPr="00113AFF">
        <w:t xml:space="preserve">. </w:t>
      </w:r>
    </w:p>
    <w:p w14:paraId="5597F530" w14:textId="0B4CB964" w:rsidR="00BD0616" w:rsidRDefault="00BD0616" w:rsidP="00BD0616">
      <w:pPr>
        <w:pStyle w:val="USBullet2"/>
      </w:pPr>
      <w:r>
        <w:t>Disability-adjusted life years (DALYs) attributable to alcohol use disorders per 100,000 population have been at a fairly stable rate since 2014</w:t>
      </w:r>
      <w:r w:rsidR="00C26E92">
        <w:t>;</w:t>
      </w:r>
      <w:r>
        <w:t xml:space="preserve"> however</w:t>
      </w:r>
      <w:r w:rsidR="00C26E92">
        <w:t>,</w:t>
      </w:r>
      <w:r>
        <w:t xml:space="preserve"> this follows a period in which the rate had reduced from 1995 to 1999 and remained lower until a significant increase from 2006 to 2013.</w:t>
      </w:r>
    </w:p>
    <w:p w14:paraId="41A60682" w14:textId="1C71D9DC" w:rsidR="00BD0616" w:rsidRDefault="000440A9" w:rsidP="00BD0616">
      <w:pPr>
        <w:pStyle w:val="FigureCaption"/>
      </w:pPr>
      <w:bookmarkStart w:id="25" w:name="_Toc160633891"/>
      <w:r w:rsidRPr="00731CA6">
        <w:t>Figure </w:t>
      </w:r>
      <w:fldSimple w:instr=" SEQ Figure \* ARABIC ">
        <w:r w:rsidR="00AE166D">
          <w:rPr>
            <w:noProof/>
          </w:rPr>
          <w:t>3</w:t>
        </w:r>
      </w:fldSimple>
      <w:r>
        <w:rPr>
          <w:noProof/>
        </w:rPr>
        <w:t xml:space="preserve"> </w:t>
      </w:r>
      <w:r w:rsidR="00BD0616">
        <w:t>DALYs per 100,000 people due to alcohol use disorders</w:t>
      </w:r>
      <w:bookmarkEnd w:id="25"/>
    </w:p>
    <w:p w14:paraId="19547B6D" w14:textId="77777777" w:rsidR="00BD0616" w:rsidRDefault="00BD0616" w:rsidP="00BD0616">
      <w:pPr>
        <w:pStyle w:val="USBullet1"/>
        <w:numPr>
          <w:ilvl w:val="0"/>
          <w:numId w:val="0"/>
        </w:numPr>
        <w:ind w:left="1276" w:hanging="425"/>
      </w:pPr>
      <w:r>
        <w:rPr>
          <w:noProof/>
        </w:rPr>
        <w:drawing>
          <wp:inline distT="0" distB="0" distL="0" distR="0" wp14:anchorId="16625D61" wp14:editId="73920850">
            <wp:extent cx="4784501" cy="2447433"/>
            <wp:effectExtent l="0" t="0" r="0" b="0"/>
            <wp:docPr id="9914028" name="Picture 9914028" descr="The chart shows a line representing the number of  DALYs per 100,000 people due to alcohol use disorders from 1990 to 2019. The line starts at 1990 with a value around 250 and this remains stable to around 1996. This is followed by a period of decline and a stable value of under 200 from 1999 to 2006. From 2007 to 2014, the line increases to a value of nearly 350 and remains constant thereaf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028" name="Picture 9914028" descr="The chart shows a line representing the number of  DALYs per 100,000 people due to alcohol use disorders from 1990 to 2019. The line starts at 1990 with a value around 250 and this remains stable to around 1996. This is followed by a period of decline and a stable value of under 200 from 1999 to 2006. From 2007 to 2014, the line increases to a value of nearly 350 and remains constant thereafter.">
                      <a:extLst>
                        <a:ext uri="{C183D7F6-B498-43B3-948B-1728B52AA6E4}">
                          <adec:decorative xmlns:adec="http://schemas.microsoft.com/office/drawing/2017/decorative" val="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2881" cy="2451720"/>
                    </a:xfrm>
                    <a:prstGeom prst="rect">
                      <a:avLst/>
                    </a:prstGeom>
                    <a:noFill/>
                    <a:ln>
                      <a:noFill/>
                    </a:ln>
                  </pic:spPr>
                </pic:pic>
              </a:graphicData>
            </a:graphic>
          </wp:inline>
        </w:drawing>
      </w:r>
    </w:p>
    <w:p w14:paraId="3F4A5C99" w14:textId="435D4F13" w:rsidR="001C73FA" w:rsidRDefault="001C73FA" w:rsidP="00E31390">
      <w:pPr>
        <w:pStyle w:val="USSource"/>
      </w:pPr>
      <w:r>
        <w:t xml:space="preserve">Source: </w:t>
      </w:r>
      <w:r w:rsidR="00E31390">
        <w:t xml:space="preserve">NZIER, </w:t>
      </w:r>
      <w:r w:rsidR="00DD7B44">
        <w:t>IHME,</w:t>
      </w:r>
      <w:r w:rsidR="00D62A63">
        <w:t xml:space="preserve"> </w:t>
      </w:r>
      <w:r w:rsidR="00DD7B44">
        <w:t xml:space="preserve">Global Burden of Disease </w:t>
      </w:r>
      <w:r w:rsidR="00E31390">
        <w:t>(2019)</w:t>
      </w:r>
    </w:p>
    <w:p w14:paraId="5DD41E40" w14:textId="243AAE35" w:rsidR="00BD0616" w:rsidRPr="00C95BC1" w:rsidRDefault="00BD0616" w:rsidP="001C73FA">
      <w:pPr>
        <w:pStyle w:val="USBodyText"/>
        <w:rPr>
          <w:b/>
          <w:color w:val="0094C5"/>
          <w:sz w:val="32"/>
          <w:szCs w:val="32"/>
        </w:rPr>
      </w:pPr>
      <w:r>
        <w:t>Despite the mixed or inconclusive evidence on trends in alcohol consumption, alcohol behaviours and alcohol-related harms, alcohol continues to be heavily involved in areas of significant harm</w:t>
      </w:r>
      <w:r w:rsidR="001C73FA">
        <w:t>.</w:t>
      </w:r>
    </w:p>
    <w:p w14:paraId="6EA91F49" w14:textId="77777777" w:rsidR="00BD0616" w:rsidRDefault="00BD0616" w:rsidP="00BD0616">
      <w:pPr>
        <w:pStyle w:val="USBodyText"/>
      </w:pPr>
      <w:r>
        <w:t>Additionally, harms experienced and reported by individuals, families and communities are seen as significant and having a lasting, often intergenerational impact, with these being the least visible in available data.</w:t>
      </w:r>
    </w:p>
    <w:p w14:paraId="6A582485" w14:textId="7221036C" w:rsidR="00DE3B9E" w:rsidRDefault="00BD0616" w:rsidP="00BD0616">
      <w:pPr>
        <w:pStyle w:val="USBodyText"/>
      </w:pPr>
      <w:r>
        <w:t xml:space="preserve">The key point of these issues is that while alcohol harms may or may not be increasing, the level of alcohol-related harm continues to be a significant concern </w:t>
      </w:r>
      <w:r w:rsidR="007D3BD0">
        <w:t>and cost</w:t>
      </w:r>
      <w:r>
        <w:t xml:space="preserve"> to the health, justice</w:t>
      </w:r>
      <w:r w:rsidR="007D3BD0">
        <w:t>, social</w:t>
      </w:r>
      <w:r w:rsidR="00346A70">
        <w:t>,</w:t>
      </w:r>
      <w:r>
        <w:t xml:space="preserve"> and transport sectors as well as to </w:t>
      </w:r>
      <w:r w:rsidR="00346A70">
        <w:t>the general public</w:t>
      </w:r>
      <w:r>
        <w:t xml:space="preserve">. </w:t>
      </w:r>
    </w:p>
    <w:p w14:paraId="7994F369" w14:textId="1FAA6317" w:rsidR="00671FB4" w:rsidRPr="00671FB4" w:rsidRDefault="00DE3B9E" w:rsidP="00320E8F">
      <w:pPr>
        <w:pStyle w:val="Heading3"/>
        <w:rPr>
          <w:color w:val="0094C5"/>
          <w:sz w:val="32"/>
          <w:szCs w:val="32"/>
        </w:rPr>
      </w:pPr>
      <w:r>
        <w:t xml:space="preserve">Alcohol has been identified as </w:t>
      </w:r>
      <w:r w:rsidR="009636E5">
        <w:t xml:space="preserve">the most harmful drug in </w:t>
      </w:r>
      <w:r w:rsidR="00BD0616">
        <w:t xml:space="preserve">New </w:t>
      </w:r>
      <w:r w:rsidR="009636E5">
        <w:t>Zealand</w:t>
      </w:r>
    </w:p>
    <w:p w14:paraId="699401AA" w14:textId="331F7143" w:rsidR="00671FB4" w:rsidRDefault="00671FB4" w:rsidP="00C10C5F">
      <w:pPr>
        <w:pStyle w:val="USBodyText"/>
      </w:pPr>
      <w:r>
        <w:t xml:space="preserve">A study ranking the </w:t>
      </w:r>
      <w:r w:rsidR="00B2378B">
        <w:t xml:space="preserve">range of legal and illegal drugs available in New Zealand by the level of harm they cause was published in 2023 </w:t>
      </w:r>
      <w:r w:rsidR="002661C4">
        <w:fldChar w:fldCharType="begin"/>
      </w:r>
      <w:r w:rsidR="00F244F6">
        <w:instrText xml:space="preserve"> ADDIN ZOTERO_ITEM CSL_CITATION {"citationID":"t91AraTC","properties":{"formattedCitation":"(Crossin et al. 2023)","plainCitation":"(Crossin et al. 2023)","noteIndex":0},"citationItems":[{"id":73225,"uris":["http://zotero.org/groups/4944822/items/TN787HMQ"],"itemData":{"id":73225,"type":"article-journal","abstract":"Aims: The harms arising from psychoactive drug use are complex, and harm reduction strategies should be informed by a detailed understanding of the extent and nature of that harm. Drug harm is also context specific, and so any comprehensive assessment of drug harm should be relevant to the characteristics of the population in question. This study aimed to evaluate and rank drug harms within Aotearoa New Zealand using a multi-criteria decision analysis (MCDA) framework, and to separately consider harm within the total population, and among youth.\nMethods: Two facilitated workshops involved the separate ranking of harm for the total population, and then for youth aged 12–17, by two expert panels. In the total population workshop, 23 drugs were scored against 17 harm criteria, and those criteria were then evaluated using a swing weighting process. Scoring and weighting were subsequently updated during the youth-specific workshop. All results were recorded and analysed using specialised MCDA software.\nResults: When considering overall harm, the MCDA modelling results indicated that alcohol, methamphetamine and synthetic cannabinoids were the most harmful to both the overall population and the youth, followed by tobacco in the total population. Alcohol remained the most harmful drug for the total population when separately considering harm to those who use it, and harm to others.\nConclusions: The results provide detailed and context-specific insight into the harm associated with psychoactive drugs use within Aotearoa New Zealand. The findings also demonstrate the value of separately considering harm for different countries, and for different population subgroups.","container-title":"Journal of Psychopharmacology","DOI":"10.1177/02698811231182012","ISSN":"0269-8811","issue":"9","journalAbbreviation":"J Psychopharmacol","language":"en","note":"publisher: SAGE Publications Ltd STM","page":"891-903","source":"SAGE Journals","title":"The New Zealand drug harms ranking study: A multi-criteria decision analysis","title-short":"The New Zealand drug harms ranking study","volume":"37","author":[{"family":"Crossin","given":"Rose"},{"family":"Cleland","given":"Lana"},{"family":"Wilkins","given":"Chris"},{"family":"Rychert","given":"Marta"},{"family":"Adamson","given":"Simon"},{"family":"Potiki","given":"Tuari"},{"family":"Pomerleau","given":"Adam C"},{"family":"MacDonald","given":"Blair"},{"family":"Faletanoai","given":"Dwaine"},{"family":"Hutton","given":"Fiona"},{"family":"Noller","given":"Geoff"},{"family":"Lambie","given":"Ian"},{"family":"Sheridan","given":"Jane L"},{"family":"George","given":"Jason"},{"family":"Mercier","given":"Kali"},{"family":"Maynard","given":"Kristen"},{"family":"Leonard","given":"Louise"},{"family":"Walsh","given":"Patricia"},{"family":"Ponton","given":"Rhys"},{"family":"Bagshaw","given":"Sue"},{"family":"Muthukumaraswamy","given":"Suresh"},{"family":"McIntosh","given":"Tracey"},{"family":"Poot","given":"Edward"},{"family":"Gordon","given":"Paul"},{"family":"Sharry","given":"Patrick"},{"family":"Nutt","given":"David"},{"family":"Boden","given":"Joseph"}],"issued":{"date-parts":[["2023",9,1]]}}}],"schema":"https://github.com/citation-style-language/schema/raw/master/csl-citation.json"} </w:instrText>
      </w:r>
      <w:r w:rsidR="002661C4">
        <w:fldChar w:fldCharType="separate"/>
      </w:r>
      <w:r w:rsidR="002661C4" w:rsidRPr="002661C4">
        <w:rPr>
          <w:rFonts w:cs="Calibri"/>
        </w:rPr>
        <w:t>(Crossin et al. 2023)</w:t>
      </w:r>
      <w:r w:rsidR="002661C4">
        <w:fldChar w:fldCharType="end"/>
      </w:r>
      <w:r w:rsidR="009F5A3C">
        <w:t>.</w:t>
      </w:r>
      <w:r w:rsidR="00B2378B">
        <w:t xml:space="preserve"> </w:t>
      </w:r>
      <w:r w:rsidR="009F5A3C">
        <w:t>The</w:t>
      </w:r>
      <w:r>
        <w:t xml:space="preserve"> study evaluate</w:t>
      </w:r>
      <w:r w:rsidR="009F5A3C">
        <w:t>d</w:t>
      </w:r>
      <w:r>
        <w:t xml:space="preserve"> and rank</w:t>
      </w:r>
      <w:r w:rsidR="009F5A3C">
        <w:t>ed</w:t>
      </w:r>
      <w:r>
        <w:t xml:space="preserve"> drug harms </w:t>
      </w:r>
      <w:r w:rsidR="009F5A3C">
        <w:t>in</w:t>
      </w:r>
      <w:r>
        <w:t xml:space="preserve"> New Zealand using multi-criteria decision analysis (MCDA)</w:t>
      </w:r>
      <w:r w:rsidR="009F5A3C">
        <w:t xml:space="preserve">, scoring </w:t>
      </w:r>
      <w:r>
        <w:t>drugs against 17 harm criteria</w:t>
      </w:r>
      <w:r w:rsidR="009F5A3C">
        <w:t xml:space="preserve"> </w:t>
      </w:r>
      <w:r w:rsidR="00F55DBB">
        <w:t xml:space="preserve">(including gross economic costs) </w:t>
      </w:r>
      <w:r w:rsidR="009F5A3C">
        <w:t xml:space="preserve">and then </w:t>
      </w:r>
      <w:r w:rsidR="00C10C5F">
        <w:t xml:space="preserve">applying a weighting process to the criteria. </w:t>
      </w:r>
      <w:r w:rsidR="00D90D57">
        <w:t>Drugs were considered in terms of the harm they cause to the people who consume them</w:t>
      </w:r>
      <w:r w:rsidR="00C26E92">
        <w:t>,</w:t>
      </w:r>
      <w:r w:rsidR="00D90D57">
        <w:t xml:space="preserve"> as well as the harm they cause to others.</w:t>
      </w:r>
    </w:p>
    <w:p w14:paraId="65A10F0B" w14:textId="7E76849E" w:rsidR="00320E8F" w:rsidRDefault="00C10C5F" w:rsidP="00671FB4">
      <w:pPr>
        <w:pStyle w:val="USBodyText"/>
      </w:pPr>
      <w:r>
        <w:t xml:space="preserve">Overall, </w:t>
      </w:r>
      <w:r w:rsidR="00764CBF">
        <w:t xml:space="preserve">for both the general population and youth, </w:t>
      </w:r>
      <w:r w:rsidR="000A3516">
        <w:t>and c</w:t>
      </w:r>
      <w:r w:rsidR="000A3516" w:rsidRPr="000A3516">
        <w:t xml:space="preserve">onsistent with </w:t>
      </w:r>
      <w:r w:rsidR="000A3516">
        <w:t xml:space="preserve">previously published </w:t>
      </w:r>
      <w:r w:rsidR="000A3516" w:rsidRPr="000A3516">
        <w:t>drug harm MCDA findings for the United Kingdom (UK), European Union (EU) and Australia</w:t>
      </w:r>
      <w:r w:rsidR="000A3516">
        <w:t xml:space="preserve">, </w:t>
      </w:r>
      <w:r>
        <w:t xml:space="preserve">the study found that </w:t>
      </w:r>
      <w:r w:rsidR="00671FB4">
        <w:t>alcohol</w:t>
      </w:r>
      <w:r>
        <w:t xml:space="preserve"> was the most harmful drug in New Zealand, </w:t>
      </w:r>
      <w:r>
        <w:lastRenderedPageBreak/>
        <w:t>outranking the next most harmful drugs</w:t>
      </w:r>
      <w:r w:rsidR="00671FB4">
        <w:t>, methamphetamine</w:t>
      </w:r>
      <w:r w:rsidR="009636E5">
        <w:t xml:space="preserve">, </w:t>
      </w:r>
      <w:r w:rsidR="00671FB4">
        <w:t>synthetic cannabinoids</w:t>
      </w:r>
      <w:r w:rsidR="009636E5">
        <w:t>, and tobacco</w:t>
      </w:r>
      <w:r w:rsidR="00764CBF">
        <w:t>.</w:t>
      </w:r>
    </w:p>
    <w:p w14:paraId="69221526" w14:textId="38491D16" w:rsidR="00BD0616" w:rsidRPr="0089562A" w:rsidRDefault="00320E8F" w:rsidP="00BD0616">
      <w:pPr>
        <w:pStyle w:val="USBodyText"/>
        <w:rPr>
          <w:color w:val="0094C5"/>
          <w:sz w:val="32"/>
          <w:szCs w:val="32"/>
        </w:rPr>
      </w:pPr>
      <w:r>
        <w:t>The study also found that more than half of the harms caused by alcohol were harms to</w:t>
      </w:r>
      <w:r w:rsidR="00F63032">
        <w:t xml:space="preserve"> others.</w:t>
      </w:r>
      <w:r w:rsidR="00BD0616">
        <w:br w:type="page"/>
      </w:r>
    </w:p>
    <w:p w14:paraId="6CE96A6F" w14:textId="663C002F" w:rsidR="00C41DC7" w:rsidRDefault="005F52AE" w:rsidP="00C41DC7">
      <w:pPr>
        <w:pStyle w:val="Heading1"/>
      </w:pPr>
      <w:bookmarkStart w:id="26" w:name="_Toc160633829"/>
      <w:r>
        <w:lastRenderedPageBreak/>
        <w:t>O</w:t>
      </w:r>
      <w:r w:rsidR="00C41DC7">
        <w:t>ur approach</w:t>
      </w:r>
      <w:bookmarkEnd w:id="26"/>
      <w:r w:rsidR="00C41DC7">
        <w:t xml:space="preserve"> </w:t>
      </w:r>
    </w:p>
    <w:p w14:paraId="537B17B4" w14:textId="1DDA9E56" w:rsidR="0028313F" w:rsidRDefault="0028313F" w:rsidP="0028313F">
      <w:pPr>
        <w:pStyle w:val="USBodyText"/>
      </w:pPr>
      <w:bookmarkStart w:id="27" w:name="_Hlk156140085"/>
      <w:r>
        <w:t>Our approach, methods and considerations related to these are described in more detail in Appendix</w:t>
      </w:r>
      <w:r w:rsidR="001D2782">
        <w:t xml:space="preserve"> </w:t>
      </w:r>
      <w:r w:rsidR="005602B9">
        <w:t>A</w:t>
      </w:r>
      <w:r w:rsidR="004C2A53">
        <w:t>. The key points related to these are</w:t>
      </w:r>
      <w:r w:rsidR="003D7CFC">
        <w:t xml:space="preserve"> presented here in summary form.</w:t>
      </w:r>
    </w:p>
    <w:p w14:paraId="3EFF9048" w14:textId="6D00E331" w:rsidR="003D7CFC" w:rsidRDefault="00C3432B" w:rsidP="003D7CFC">
      <w:pPr>
        <w:pStyle w:val="Heading2"/>
      </w:pPr>
      <w:bookmarkStart w:id="28" w:name="_Toc160633830"/>
      <w:r>
        <w:t>Choice of approach</w:t>
      </w:r>
      <w:bookmarkEnd w:id="28"/>
    </w:p>
    <w:p w14:paraId="1CFB4C51" w14:textId="1021BEF4" w:rsidR="00C3432B" w:rsidRDefault="0052178C" w:rsidP="0052178C">
      <w:pPr>
        <w:pStyle w:val="USBodyText"/>
      </w:pPr>
      <w:r w:rsidRPr="0052178C">
        <w:t xml:space="preserve">In the scoping phase for this project, the </w:t>
      </w:r>
      <w:r w:rsidR="00C30CB9">
        <w:t>Alcohol Levy Working Group</w:t>
      </w:r>
      <w:r w:rsidR="00C3432B">
        <w:t xml:space="preserve"> </w:t>
      </w:r>
      <w:r w:rsidRPr="0052178C">
        <w:t xml:space="preserve">assembled by Manatū </w:t>
      </w:r>
      <w:proofErr w:type="spellStart"/>
      <w:r w:rsidRPr="0052178C">
        <w:t>Hauora|Ministry</w:t>
      </w:r>
      <w:proofErr w:type="spellEnd"/>
      <w:r w:rsidRPr="0052178C">
        <w:t xml:space="preserve"> of Health to support this project </w:t>
      </w:r>
      <w:r w:rsidR="00C3432B">
        <w:t xml:space="preserve">identified two reports </w:t>
      </w:r>
      <w:r w:rsidRPr="0052178C">
        <w:t>as potentially relevant to consideration of study design and methodology</w:t>
      </w:r>
      <w:r w:rsidR="00C3432B">
        <w:t>:</w:t>
      </w:r>
    </w:p>
    <w:p w14:paraId="0E55CEED" w14:textId="6F29FE4F" w:rsidR="00C3432B" w:rsidRDefault="00C3432B" w:rsidP="00C3432B">
      <w:pPr>
        <w:pStyle w:val="USBullet1"/>
      </w:pPr>
      <w:r>
        <w:t>the</w:t>
      </w:r>
      <w:r w:rsidR="0052178C" w:rsidRPr="0052178C">
        <w:t xml:space="preserve"> BERL report on costs of harmful alcohol and other drug use (Slack et al. 2009)</w:t>
      </w:r>
    </w:p>
    <w:p w14:paraId="4EFCD995" w14:textId="77777777" w:rsidR="00C3432B" w:rsidRDefault="0052178C" w:rsidP="00C3432B">
      <w:pPr>
        <w:pStyle w:val="USBullet1"/>
      </w:pPr>
      <w:r w:rsidRPr="0052178C">
        <w:t xml:space="preserve">the Canadian Substance Use Costs and Harms (CSUCH) project developed by the Canadian Centre on Substance Use and Addiction (CCSA) and the University of Victoria’s Canadian Institute for Substance Use Research (CISUR), which has published reports from 2015 to 2020 on the costs of alcohol and substance use since 2007. </w:t>
      </w:r>
    </w:p>
    <w:p w14:paraId="750D6186" w14:textId="069D5BF1" w:rsidR="0052178C" w:rsidRDefault="00C3432B" w:rsidP="00C3432B">
      <w:pPr>
        <w:pStyle w:val="USBodyText"/>
      </w:pPr>
      <w:r>
        <w:t xml:space="preserve">On consideration of these reports, the </w:t>
      </w:r>
      <w:r w:rsidR="006343C5">
        <w:t>Working Group</w:t>
      </w:r>
      <w:r>
        <w:t xml:space="preserve"> </w:t>
      </w:r>
      <w:r w:rsidR="0052178C" w:rsidRPr="0052178C">
        <w:t>expressed a preference for the CSUCH approach, which focused on local data rather than aiming for a comprehensive cost estimation that would be dependent on assumptions and estimates from overseas contexts</w:t>
      </w:r>
      <w:r>
        <w:t xml:space="preserve">. However, the </w:t>
      </w:r>
      <w:r w:rsidR="00C83DE8">
        <w:t>Working Group</w:t>
      </w:r>
      <w:r>
        <w:t xml:space="preserve"> </w:t>
      </w:r>
      <w:r w:rsidR="0052178C" w:rsidRPr="0052178C">
        <w:t>requested that this report include intangible costs reflecting the pain and suffering of people who experience morbidity and/or mortality as a result of alcohol consumption.</w:t>
      </w:r>
    </w:p>
    <w:p w14:paraId="4C4CB3B9" w14:textId="4FC7D826" w:rsidR="00C3432B" w:rsidRDefault="00F7174B" w:rsidP="00C3432B">
      <w:pPr>
        <w:pStyle w:val="Heading2"/>
      </w:pPr>
      <w:bookmarkStart w:id="29" w:name="_Toc160633831"/>
      <w:r>
        <w:t>Implications of approach</w:t>
      </w:r>
      <w:bookmarkEnd w:id="29"/>
    </w:p>
    <w:p w14:paraId="52E9A568" w14:textId="7B256786" w:rsidR="00F7174B" w:rsidRPr="00F7174B" w:rsidRDefault="00F7174B" w:rsidP="00F7174B">
      <w:pPr>
        <w:pStyle w:val="USBodyText"/>
      </w:pPr>
      <w:r>
        <w:t xml:space="preserve">Consistent with the general approach of the CSUCH project, this report </w:t>
      </w:r>
      <w:r w:rsidR="008873D0">
        <w:t xml:space="preserve">reflects the following </w:t>
      </w:r>
      <w:r w:rsidR="002774B7">
        <w:t>considerations:</w:t>
      </w:r>
    </w:p>
    <w:p w14:paraId="684F65B4" w14:textId="7232816B" w:rsidR="00C41DC7" w:rsidRDefault="0053197E" w:rsidP="00CB48D8">
      <w:pPr>
        <w:pStyle w:val="USBullet1"/>
      </w:pPr>
      <w:r>
        <w:t xml:space="preserve">A gross costs approach. </w:t>
      </w:r>
      <w:r w:rsidR="00002163">
        <w:t xml:space="preserve">A gross costs approach means estimating the costs of </w:t>
      </w:r>
      <w:r w:rsidR="00C26E92">
        <w:t>alcohol-</w:t>
      </w:r>
      <w:r w:rsidR="00002163">
        <w:t>related harms</w:t>
      </w:r>
      <w:r w:rsidR="0006344A">
        <w:t xml:space="preserve"> and ignoring the potential benefits associated with </w:t>
      </w:r>
      <w:r w:rsidR="00C41DC7">
        <w:t xml:space="preserve">alcohol </w:t>
      </w:r>
      <w:r w:rsidR="00946E07">
        <w:t xml:space="preserve">production or </w:t>
      </w:r>
      <w:r w:rsidR="00C41DC7">
        <w:t>consumption</w:t>
      </w:r>
      <w:r w:rsidR="00AE6E4A">
        <w:t xml:space="preserve">. This contrasts with a net costs approach in which the latter are netted out to provide a net societal cost. In addition to being consistent (and therefore comparable) with the CSUCH approach, a gross cost approach is aligned with </w:t>
      </w:r>
      <w:r w:rsidR="00431119">
        <w:t xml:space="preserve">the </w:t>
      </w:r>
      <w:r w:rsidR="00C26E92">
        <w:t>Alcohol L</w:t>
      </w:r>
      <w:r w:rsidR="00431119">
        <w:t>evy’s purpose as a cost</w:t>
      </w:r>
      <w:r w:rsidR="00C41DC7">
        <w:t xml:space="preserve"> recovery mechanism </w:t>
      </w:r>
      <w:r w:rsidR="00176C50">
        <w:t xml:space="preserve">designed to </w:t>
      </w:r>
      <w:r w:rsidR="00C41DC7">
        <w:t xml:space="preserve">support programmes and services that </w:t>
      </w:r>
      <w:r w:rsidR="00D7491A">
        <w:t>aim to reduce</w:t>
      </w:r>
      <w:r w:rsidR="00C41DC7">
        <w:t xml:space="preserve"> alcohol harms irrespective of any benefits </w:t>
      </w:r>
      <w:r w:rsidR="00761A63">
        <w:t xml:space="preserve">that may be </w:t>
      </w:r>
      <w:r w:rsidR="00C41DC7">
        <w:t xml:space="preserve">associated with alcohol. </w:t>
      </w:r>
    </w:p>
    <w:p w14:paraId="44EE2D41" w14:textId="169BD9A3" w:rsidR="00C41DC7" w:rsidRDefault="00C41DC7" w:rsidP="00CB48D8">
      <w:pPr>
        <w:pStyle w:val="USBullet1"/>
      </w:pPr>
      <w:r>
        <w:t xml:space="preserve">In addition to conservative approaches to cost estimation, </w:t>
      </w:r>
      <w:r w:rsidR="00B50D34">
        <w:t>consistent with the CSUCH project, this</w:t>
      </w:r>
      <w:r>
        <w:t xml:space="preserve"> report avoids </w:t>
      </w:r>
      <w:r w:rsidR="00C26E92">
        <w:t>estimating</w:t>
      </w:r>
      <w:r>
        <w:t xml:space="preserve"> costs where there would be a heavy reliance on assumptions</w:t>
      </w:r>
      <w:r w:rsidR="00B50D34">
        <w:t>,</w:t>
      </w:r>
      <w:r w:rsidR="00D40673">
        <w:t xml:space="preserve"> </w:t>
      </w:r>
      <w:r>
        <w:t>outdated data</w:t>
      </w:r>
      <w:r w:rsidR="00B50D34">
        <w:t>, or estimates derived from overseas studies</w:t>
      </w:r>
      <w:r>
        <w:t xml:space="preserve">. </w:t>
      </w:r>
      <w:r w:rsidR="00C37AFD">
        <w:t>This approach provides a clearer view of the current state of the evidence and evidence gaps.</w:t>
      </w:r>
    </w:p>
    <w:p w14:paraId="086000EB" w14:textId="349F6ED0" w:rsidR="00C41DC7" w:rsidRDefault="00C41DC7" w:rsidP="00CB48D8">
      <w:pPr>
        <w:pStyle w:val="USBullet1"/>
      </w:pPr>
      <w:r>
        <w:t>Because New Zealand data and evidence may allow for a broader set of costs to be estimated than</w:t>
      </w:r>
      <w:r w:rsidR="00C26E92">
        <w:t xml:space="preserve"> the</w:t>
      </w:r>
      <w:r>
        <w:t xml:space="preserve"> CSUCH estimated, we assessed all costs estimated in the BERL report for the feasibility of estimation against the CSUCH principles of local data and evidence and minimal use of assumptions. We also </w:t>
      </w:r>
      <w:r w:rsidR="00C26E92">
        <w:t>required</w:t>
      </w:r>
      <w:r>
        <w:t xml:space="preserve"> that any data or evidence used must have been generated within the last ten years (since 2013). </w:t>
      </w:r>
      <w:r w:rsidR="00E94570">
        <w:t xml:space="preserve">Appendix </w:t>
      </w:r>
      <w:r w:rsidR="0006018D">
        <w:t>B</w:t>
      </w:r>
      <w:r w:rsidR="00482C87">
        <w:t xml:space="preserve"> </w:t>
      </w:r>
      <w:r w:rsidR="00E94570">
        <w:t>presents this</w:t>
      </w:r>
      <w:r>
        <w:t xml:space="preserve"> assessment.</w:t>
      </w:r>
    </w:p>
    <w:p w14:paraId="51FF1F38" w14:textId="5635876D" w:rsidR="00EC531E" w:rsidRDefault="00F3740D" w:rsidP="00EC531E">
      <w:pPr>
        <w:pStyle w:val="USBodyText"/>
      </w:pPr>
      <w:r>
        <w:lastRenderedPageBreak/>
        <w:t>Consistent with CSUCH, this report</w:t>
      </w:r>
      <w:r w:rsidR="00EC531E">
        <w:t>:</w:t>
      </w:r>
      <w:r>
        <w:t xml:space="preserve"> </w:t>
      </w:r>
    </w:p>
    <w:p w14:paraId="40B2E6CE" w14:textId="23EAE41C" w:rsidR="00C41DC7" w:rsidRDefault="00EC531E" w:rsidP="00EC531E">
      <w:pPr>
        <w:pStyle w:val="USBullet1"/>
      </w:pPr>
      <w:r>
        <w:t>T</w:t>
      </w:r>
      <w:r w:rsidR="00F3740D">
        <w:t>akes</w:t>
      </w:r>
      <w:r w:rsidR="00C41DC7">
        <w:t xml:space="preserve"> a prevalence approach to estimating the costs of alcohol harms. This approach is the most common in the cost-of-illness literature and involves </w:t>
      </w:r>
      <w:r w:rsidR="00C41DC7" w:rsidRPr="0048603D">
        <w:t>estimat</w:t>
      </w:r>
      <w:r w:rsidR="00C41DC7">
        <w:t>ing</w:t>
      </w:r>
      <w:r w:rsidR="00C41DC7" w:rsidRPr="0048603D">
        <w:t xml:space="preserve"> the total cost of </w:t>
      </w:r>
      <w:r w:rsidR="00C41DC7">
        <w:t>alcohol harms</w:t>
      </w:r>
      <w:r w:rsidR="00C41DC7" w:rsidRPr="0048603D">
        <w:t xml:space="preserve"> incurred in a given year</w:t>
      </w:r>
      <w:r w:rsidR="00C41DC7">
        <w:t xml:space="preserve"> across the entire population. This includes long-term flows of costs associated with harms occurring in a given year (</w:t>
      </w:r>
      <w:proofErr w:type="gramStart"/>
      <w:r w:rsidR="00C41DC7">
        <w:t>e.g.</w:t>
      </w:r>
      <w:proofErr w:type="gramEnd"/>
      <w:r w:rsidR="00C41DC7">
        <w:t xml:space="preserve"> years of life lost when a person dies, all expected lost productivity when a person is incarcerated and expects to be in prison for longer than a year). </w:t>
      </w:r>
    </w:p>
    <w:p w14:paraId="585E8BB1" w14:textId="251FCB1E" w:rsidR="00EC531E" w:rsidRDefault="00EC531E" w:rsidP="00EC531E">
      <w:pPr>
        <w:pStyle w:val="USBullet1"/>
      </w:pPr>
      <w:r>
        <w:t>Estimates p</w:t>
      </w:r>
      <w:r w:rsidRPr="00EC531E">
        <w:t>roductivity losses using the human capital approach (HCA). The HCA measures lost productivity as the amount of time by which working life is reduced. This work time lost is then valued at the market wage that is assumed to be appropriate for the relevant population group (</w:t>
      </w:r>
      <w:proofErr w:type="gramStart"/>
      <w:r w:rsidRPr="00EC531E">
        <w:t>e.g.</w:t>
      </w:r>
      <w:proofErr w:type="gramEnd"/>
      <w:r w:rsidRPr="00EC531E">
        <w:t xml:space="preserve"> young adults) in the counterfactual in which work time is not lost and with adjustment for labour market participation and employment. For harms that result in a flow of costs over time, costs are estimated for the cohort experiencing the harms in 2023, with future costs discounted at five percent per annum. Age</w:t>
      </w:r>
      <w:r w:rsidR="00C232ED">
        <w:t xml:space="preserve"> </w:t>
      </w:r>
      <w:r w:rsidRPr="00EC531E">
        <w:t>65 was used as the cut-off age applied for lost productivity calculations, consistent with the CSUCH approach and most published cost-of-illness reports.</w:t>
      </w:r>
      <w:r w:rsidR="00203442">
        <w:t xml:space="preserve"> A discussion of the HCA and alternative methods is presented in Appendix </w:t>
      </w:r>
      <w:r w:rsidR="00D32C5A">
        <w:t>C.</w:t>
      </w:r>
    </w:p>
    <w:p w14:paraId="7CD21BA4" w14:textId="636AFA33" w:rsidR="00A51AA8" w:rsidRDefault="00CE3115" w:rsidP="008F3C24">
      <w:pPr>
        <w:pStyle w:val="USBodyText"/>
      </w:pPr>
      <w:r>
        <w:t xml:space="preserve">In </w:t>
      </w:r>
      <w:r w:rsidR="008F3C24">
        <w:t xml:space="preserve">consideration of the CSUCH project and its approach, and in light of the opportunities presented by New Zealand data and evidence, a range of </w:t>
      </w:r>
      <w:r w:rsidR="005D0AC7">
        <w:t xml:space="preserve">departures from the CSUCH approach were </w:t>
      </w:r>
      <w:r w:rsidR="003A0382">
        <w:t>introduced:</w:t>
      </w:r>
    </w:p>
    <w:p w14:paraId="66BA301E" w14:textId="41BB8A42" w:rsidR="003A0382" w:rsidRDefault="003A0382" w:rsidP="003A0382">
      <w:pPr>
        <w:pStyle w:val="USBullet1"/>
      </w:pPr>
      <w:r w:rsidRPr="003A0382">
        <w:t>There is no official or universally applied definition of alcohol harms. For this report, we used the simple logic of alcohol harms being undesirable consequences of alcohol consumption. This means that some areas</w:t>
      </w:r>
      <w:r w:rsidR="00B709E5">
        <w:t xml:space="preserve"> of</w:t>
      </w:r>
      <w:r w:rsidRPr="003A0382">
        <w:t xml:space="preserve"> expenditure that may be included in some other reports are not included here, such as consumer expenditure on alcohol, public expenditure on alcohol education and health promotion, and health research on alcohol.</w:t>
      </w:r>
      <w:r>
        <w:t xml:space="preserve"> </w:t>
      </w:r>
      <w:r w:rsidR="005423B9">
        <w:t xml:space="preserve">We exclude these from the definition of harms as we consider that these costs may continue to be incurred as long as alcohol is available in New Zealand, even if </w:t>
      </w:r>
      <w:r w:rsidR="00F80E14">
        <w:t xml:space="preserve">harms are </w:t>
      </w:r>
      <w:r w:rsidR="00B22EB7">
        <w:t xml:space="preserve">reduced or eliminated. </w:t>
      </w:r>
      <w:r>
        <w:t xml:space="preserve">The CSUCH project </w:t>
      </w:r>
      <w:r w:rsidR="0052358E">
        <w:t>applied a wider definition of alcohol harms, more consistent with a counterfactual where alcohol would not be available at all</w:t>
      </w:r>
      <w:r w:rsidR="00312A3E">
        <w:t>, eliminating the need for alcohol education and research.</w:t>
      </w:r>
    </w:p>
    <w:p w14:paraId="22C274C6" w14:textId="3FB61B5E" w:rsidR="00626241" w:rsidRPr="00626241" w:rsidRDefault="00626241" w:rsidP="00626241">
      <w:pPr>
        <w:pStyle w:val="USBullet1"/>
      </w:pPr>
      <w:r>
        <w:t>We</w:t>
      </w:r>
      <w:r w:rsidRPr="00626241">
        <w:t xml:space="preserve"> take a more conservative approach to the implicitly assumed counterfactual for productivity estimates</w:t>
      </w:r>
      <w:r w:rsidR="00F102DF">
        <w:t>, using</w:t>
      </w:r>
      <w:r w:rsidR="009216F0">
        <w:t xml:space="preserve"> the</w:t>
      </w:r>
      <w:r w:rsidR="00F102DF">
        <w:t xml:space="preserve"> </w:t>
      </w:r>
      <w:r w:rsidR="00352F9E">
        <w:t>minimum wage</w:t>
      </w:r>
      <w:r w:rsidR="009216F0">
        <w:t xml:space="preserve"> rather than the average wage</w:t>
      </w:r>
      <w:r w:rsidR="00352F9E">
        <w:t xml:space="preserve"> </w:t>
      </w:r>
      <w:r w:rsidR="009216F0">
        <w:t>to estimate productivity losses for incarcerated individuals.</w:t>
      </w:r>
    </w:p>
    <w:p w14:paraId="792D0E44" w14:textId="1A0D7229" w:rsidR="00626241" w:rsidRDefault="009216F0" w:rsidP="00626241">
      <w:pPr>
        <w:pStyle w:val="USBullet1"/>
      </w:pPr>
      <w:r>
        <w:t>W</w:t>
      </w:r>
      <w:r w:rsidR="00626241">
        <w:t xml:space="preserve">e avoid a key method underlying </w:t>
      </w:r>
      <w:r w:rsidR="00B67C5D">
        <w:t xml:space="preserve">the </w:t>
      </w:r>
      <w:r w:rsidR="00626241">
        <w:t xml:space="preserve">CSUCH </w:t>
      </w:r>
      <w:r w:rsidR="00B67C5D">
        <w:t>project’s estimated</w:t>
      </w:r>
      <w:r w:rsidR="00626241">
        <w:t xml:space="preserve"> health sector costs: the application of inpatient hospitalisation AAFs to other health services, including prescription drugs, specialist (outpatient) care, GP time, and long- and short-term disability, due to a lack of evidence supporting this approach. The CSUCH report (Canadian Centre on Substance Use and Addiction 2023) acknowledges that the validity of applying the AAFs to health services more broadly is unknown). In the New Zealand context, this assumption-based approach can be avoided for both </w:t>
      </w:r>
      <w:proofErr w:type="gramStart"/>
      <w:r w:rsidR="00626241">
        <w:t>short and long term</w:t>
      </w:r>
      <w:proofErr w:type="gramEnd"/>
      <w:r w:rsidR="00626241">
        <w:t xml:space="preserve"> disability, primary care and </w:t>
      </w:r>
      <w:r w:rsidR="008A4409">
        <w:t>ED</w:t>
      </w:r>
      <w:r w:rsidR="00626241">
        <w:t xml:space="preserve"> visits due to:</w:t>
      </w:r>
    </w:p>
    <w:p w14:paraId="508931C6" w14:textId="77777777" w:rsidR="00626241" w:rsidRDefault="00626241" w:rsidP="00FE73FB">
      <w:pPr>
        <w:pStyle w:val="USBullet2"/>
      </w:pPr>
      <w:r>
        <w:t xml:space="preserve">the availability of relevant administrative data that allows the AAFs for injuries to be applied to ACC weekly compensation claims to estimate short term disability costs for the employed </w:t>
      </w:r>
      <w:proofErr w:type="gramStart"/>
      <w:r>
        <w:t>population</w:t>
      </w:r>
      <w:proofErr w:type="gramEnd"/>
    </w:p>
    <w:p w14:paraId="3A476880" w14:textId="77777777" w:rsidR="00626241" w:rsidRDefault="00626241" w:rsidP="00FE73FB">
      <w:pPr>
        <w:pStyle w:val="USBullet2"/>
      </w:pPr>
      <w:r>
        <w:lastRenderedPageBreak/>
        <w:t xml:space="preserve">the availability of national survey data and evidence from published studies that allows the estimation of alcohol-attributable long-term disability costs within administrative data on disability </w:t>
      </w:r>
      <w:proofErr w:type="gramStart"/>
      <w:r>
        <w:t>benefits</w:t>
      </w:r>
      <w:proofErr w:type="gramEnd"/>
    </w:p>
    <w:p w14:paraId="6080BBBB" w14:textId="77777777" w:rsidR="00626241" w:rsidRDefault="00626241" w:rsidP="00FE73FB">
      <w:pPr>
        <w:pStyle w:val="USBullet2"/>
      </w:pPr>
      <w:r>
        <w:t>the availability of New Zealand evidence from a published study on excess primary care utilisation for people with alcohol use disorders</w:t>
      </w:r>
    </w:p>
    <w:p w14:paraId="45AEEED8" w14:textId="5A949108" w:rsidR="00626241" w:rsidRDefault="00626241" w:rsidP="009216F0">
      <w:pPr>
        <w:pStyle w:val="USBullet2"/>
      </w:pPr>
      <w:r>
        <w:t xml:space="preserve">the availability of New Zealand data on alcohol’s involvement in </w:t>
      </w:r>
      <w:r w:rsidR="008A4409">
        <w:t>ED</w:t>
      </w:r>
      <w:r>
        <w:t xml:space="preserve"> visits.</w:t>
      </w:r>
    </w:p>
    <w:p w14:paraId="2497DBF4" w14:textId="60AF08B4" w:rsidR="009708A8" w:rsidRPr="009708A8" w:rsidRDefault="009708A8" w:rsidP="009708A8">
      <w:pPr>
        <w:pStyle w:val="USBullet1"/>
      </w:pPr>
      <w:r w:rsidRPr="009708A8">
        <w:t xml:space="preserve">We avoid applying AAFs </w:t>
      </w:r>
      <w:r>
        <w:t xml:space="preserve">estimated in the health context to data </w:t>
      </w:r>
      <w:r w:rsidR="009844C1">
        <w:t>from other sectors</w:t>
      </w:r>
      <w:r w:rsidRPr="009708A8">
        <w:t>. CSUCH applied AAFs for inpatient hospitalisations for different types of substances (alcohol and other drugs) to estimate productivity losses associated with alcohol based on data from a survey that identified absenteeism and presenteeism from any substance. Our report avoids this potentially inappropriate transfer of proportionality by using insights from an alcohol-specific New Zealand survey on absenteeism and presenteeism published in a recent study (Sullivan, Edgar, and McAndrew 2019).</w:t>
      </w:r>
    </w:p>
    <w:p w14:paraId="4971C826" w14:textId="108CB6AD" w:rsidR="009708A8" w:rsidRDefault="003919BF" w:rsidP="00FE73FB">
      <w:pPr>
        <w:pStyle w:val="USBullet1"/>
      </w:pPr>
      <w:r>
        <w:t>We avoid</w:t>
      </w:r>
      <w:r w:rsidRPr="003919BF">
        <w:t xml:space="preserve"> reliance on self-reported data, particularly self-reported data on alcohol’s role in harms (</w:t>
      </w:r>
      <w:proofErr w:type="gramStart"/>
      <w:r w:rsidRPr="003919BF">
        <w:t>e.g.</w:t>
      </w:r>
      <w:proofErr w:type="gramEnd"/>
      <w:r w:rsidRPr="003919BF">
        <w:t xml:space="preserve"> surveys of criminals), due to known problems with this type of data for determining both prevalence and extent of alcohol use and alcohol harms and the causal attribution</w:t>
      </w:r>
      <w:r w:rsidR="009A489B">
        <w:t xml:space="preserve"> of harms</w:t>
      </w:r>
      <w:r w:rsidRPr="003919BF">
        <w:t xml:space="preserve"> to alcohol. </w:t>
      </w:r>
    </w:p>
    <w:p w14:paraId="5DE5E4E5" w14:textId="0148CB5D" w:rsidR="00687EA7" w:rsidRDefault="00626241" w:rsidP="00687EA7">
      <w:pPr>
        <w:pStyle w:val="USBodyText"/>
      </w:pPr>
      <w:r>
        <w:t>Other areas where our approach differs from the CSUCH approach are generally due to data differences between Canada</w:t>
      </w:r>
      <w:r w:rsidR="00B83DB5">
        <w:t>'s and New Zealand's</w:t>
      </w:r>
      <w:r>
        <w:t xml:space="preserve"> data. </w:t>
      </w:r>
    </w:p>
    <w:p w14:paraId="62904F88" w14:textId="5F5869F6" w:rsidR="00C232ED" w:rsidRDefault="00C232ED" w:rsidP="00687EA7">
      <w:pPr>
        <w:pStyle w:val="Heading2"/>
      </w:pPr>
      <w:bookmarkStart w:id="30" w:name="_Toc160633832"/>
      <w:r>
        <w:t>Data</w:t>
      </w:r>
      <w:bookmarkEnd w:id="30"/>
    </w:p>
    <w:p w14:paraId="729A2123" w14:textId="30369C3D" w:rsidR="00C41DC7" w:rsidRDefault="00C41DC7" w:rsidP="00AE4B4B">
      <w:pPr>
        <w:pStyle w:val="USBodyText"/>
      </w:pPr>
      <w:r>
        <w:t>Data used in estimating costs was extracted for the most recent year available at the time that data was extracted</w:t>
      </w:r>
      <w:r w:rsidR="00960D75">
        <w:t xml:space="preserve">, </w:t>
      </w:r>
      <w:r w:rsidR="00C232ED">
        <w:t>except</w:t>
      </w:r>
      <w:r w:rsidR="00960D75">
        <w:t xml:space="preserve"> </w:t>
      </w:r>
      <w:r>
        <w:t xml:space="preserve">inpatient hospitalisations, </w:t>
      </w:r>
      <w:r w:rsidR="00D10F12">
        <w:t>which were extracted for</w:t>
      </w:r>
      <w:r>
        <w:t xml:space="preserve"> 2018</w:t>
      </w:r>
      <w:r w:rsidR="00D10F12">
        <w:t xml:space="preserve"> for consistency with the most recent year of mortality data available and to avoid the </w:t>
      </w:r>
      <w:r w:rsidR="00C11152">
        <w:t>effects of</w:t>
      </w:r>
      <w:r>
        <w:t xml:space="preserve"> the COVID-19 pandemic and pandemic response</w:t>
      </w:r>
      <w:r w:rsidR="00C232ED">
        <w:t xml:space="preserve"> which </w:t>
      </w:r>
      <w:r w:rsidR="002032AB">
        <w:t xml:space="preserve">impacted </w:t>
      </w:r>
      <w:r w:rsidR="00193857">
        <w:t xml:space="preserve">both </w:t>
      </w:r>
      <w:r w:rsidR="002032AB">
        <w:t>on alcohol consumption and on access to health services</w:t>
      </w:r>
      <w:r>
        <w:t>.</w:t>
      </w:r>
    </w:p>
    <w:p w14:paraId="5C17D1C4" w14:textId="3E9491D4" w:rsidR="002032AB" w:rsidRDefault="00C11152" w:rsidP="00EC531E">
      <w:pPr>
        <w:pStyle w:val="USBodyText"/>
      </w:pPr>
      <w:r>
        <w:t>Cost values were inflated to</w:t>
      </w:r>
      <w:r w:rsidR="00C41DC7" w:rsidRPr="002A1C86">
        <w:t xml:space="preserve"> 2023</w:t>
      </w:r>
      <w:r w:rsidR="00753CFF">
        <w:t>, as needed,</w:t>
      </w:r>
      <w:r w:rsidR="00C41DC7" w:rsidRPr="002A1C86">
        <w:t xml:space="preserve"> using the Consumer</w:t>
      </w:r>
      <w:r w:rsidR="00C41DC7">
        <w:t>s</w:t>
      </w:r>
      <w:r w:rsidR="00C41DC7" w:rsidRPr="002A1C86">
        <w:t xml:space="preserve"> Price Index</w:t>
      </w:r>
      <w:r w:rsidR="00B32EC3">
        <w:t xml:space="preserve"> (CPI)</w:t>
      </w:r>
      <w:r w:rsidR="00B83DB5">
        <w:t>,</w:t>
      </w:r>
      <w:r w:rsidR="00C41DC7">
        <w:t xml:space="preserve"> which is standard practice for costs representing a wide range of underlying prices</w:t>
      </w:r>
      <w:r w:rsidR="00C41DC7" w:rsidRPr="002A1C86">
        <w:t>.</w:t>
      </w:r>
      <w:r w:rsidR="00C41DC7">
        <w:t xml:space="preserve"> </w:t>
      </w:r>
    </w:p>
    <w:p w14:paraId="6630AE78" w14:textId="002CFDF2" w:rsidR="00D40673" w:rsidRDefault="00D40673" w:rsidP="00AE4B4B">
      <w:pPr>
        <w:pStyle w:val="Heading2"/>
      </w:pPr>
      <w:bookmarkStart w:id="31" w:name="_Toc160633833"/>
      <w:r>
        <w:t>Causal attribution</w:t>
      </w:r>
      <w:bookmarkEnd w:id="31"/>
    </w:p>
    <w:p w14:paraId="7D1ADD02" w14:textId="303543E1" w:rsidR="00C41DC7" w:rsidRPr="006B3FEE" w:rsidRDefault="00C41DC7" w:rsidP="00AE4B4B">
      <w:pPr>
        <w:pStyle w:val="USBodyText"/>
      </w:pPr>
      <w:r>
        <w:t>This report has benefited from New Zealand research that has established AAFs</w:t>
      </w:r>
      <w:r w:rsidR="0071749C">
        <w:t xml:space="preserve"> for health conditions and injuries</w:t>
      </w:r>
      <w:r>
        <w:t xml:space="preserve"> in the New Zealand context</w:t>
      </w:r>
      <w:r w:rsidR="00B83DB5">
        <w:t>.</w:t>
      </w:r>
      <w:r w:rsidRPr="00CD19C4">
        <w:rPr>
          <w:rStyle w:val="FootnoteReference"/>
        </w:rPr>
        <w:footnoteReference w:id="7"/>
      </w:r>
      <w:r w:rsidR="0071749C">
        <w:t xml:space="preserve"> For </w:t>
      </w:r>
      <w:r w:rsidR="009A2FB4">
        <w:t>o</w:t>
      </w:r>
      <w:r>
        <w:t>ther alcohol harms</w:t>
      </w:r>
      <w:r w:rsidR="00B83DB5">
        <w:t>,</w:t>
      </w:r>
      <w:r>
        <w:t xml:space="preserve"> published evidence that</w:t>
      </w:r>
      <w:r w:rsidR="007D3A01">
        <w:t xml:space="preserve"> uses</w:t>
      </w:r>
      <w:r w:rsidR="00143815">
        <w:t xml:space="preserve"> some form of </w:t>
      </w:r>
      <w:r w:rsidR="007D3A01" w:rsidRPr="007D3A01">
        <w:t>statistical control</w:t>
      </w:r>
      <w:r w:rsidR="00143815">
        <w:t xml:space="preserve"> or alternative approach</w:t>
      </w:r>
      <w:r w:rsidR="007D3A01" w:rsidRPr="007D3A01">
        <w:t xml:space="preserve"> to improve confidence in causal attribution</w:t>
      </w:r>
      <w:r w:rsidR="009A2FB4">
        <w:t xml:space="preserve"> was a requirement for cost estimation</w:t>
      </w:r>
      <w:r w:rsidR="00143815">
        <w:t>.</w:t>
      </w:r>
      <w:r w:rsidR="007D3A01" w:rsidRPr="007D3A01" w:rsidDel="007D3A01">
        <w:t xml:space="preserve"> </w:t>
      </w:r>
      <w:r>
        <w:t>It is beyond th</w:t>
      </w:r>
      <w:r w:rsidR="00740633">
        <w:t>is project</w:t>
      </w:r>
      <w:r w:rsidR="008F5872">
        <w:t>’</w:t>
      </w:r>
      <w:r w:rsidR="00740633">
        <w:t>s scope to assess the methodologies of those studies regarding</w:t>
      </w:r>
      <w:r>
        <w:t xml:space="preserve"> causal attribution, so we take the published estimates as they are.</w:t>
      </w:r>
    </w:p>
    <w:p w14:paraId="13CECC03" w14:textId="1C6F9F3B" w:rsidR="00D40673" w:rsidRDefault="00D40673" w:rsidP="00C41DC7">
      <w:pPr>
        <w:pStyle w:val="USBodyText"/>
      </w:pPr>
    </w:p>
    <w:p w14:paraId="45845896" w14:textId="77777777" w:rsidR="00632630" w:rsidRDefault="00632630">
      <w:pPr>
        <w:spacing w:after="160" w:line="259" w:lineRule="auto"/>
        <w:rPr>
          <w:rFonts w:eastAsiaTheme="majorEastAsia" w:cstheme="majorBidi"/>
          <w:b/>
          <w:color w:val="0094C5"/>
          <w:sz w:val="32"/>
          <w:szCs w:val="32"/>
        </w:rPr>
      </w:pPr>
      <w:bookmarkStart w:id="32" w:name="_Ref156230675"/>
      <w:bookmarkStart w:id="33" w:name="_Ref149070427"/>
      <w:bookmarkStart w:id="34" w:name="_Ref149070451"/>
      <w:bookmarkEnd w:id="27"/>
      <w:r>
        <w:br w:type="page"/>
      </w:r>
    </w:p>
    <w:p w14:paraId="77ADEB82" w14:textId="3AD0507E" w:rsidR="00B02ED1" w:rsidRDefault="002A21CA" w:rsidP="00B02ED1">
      <w:pPr>
        <w:pStyle w:val="Heading1"/>
      </w:pPr>
      <w:bookmarkStart w:id="35" w:name="_Ref160456790"/>
      <w:bookmarkStart w:id="36" w:name="_Toc160633834"/>
      <w:bookmarkEnd w:id="32"/>
      <w:r>
        <w:lastRenderedPageBreak/>
        <w:t>Increased risk of mortality and morbidity</w:t>
      </w:r>
      <w:bookmarkEnd w:id="35"/>
      <w:bookmarkEnd w:id="36"/>
    </w:p>
    <w:p w14:paraId="61A836B0" w14:textId="33B3400F" w:rsidR="000F1BA7" w:rsidRDefault="00B02ED1" w:rsidP="00B02ED1">
      <w:pPr>
        <w:pStyle w:val="USBodyText"/>
      </w:pPr>
      <w:r>
        <w:t xml:space="preserve">Alcohol consumption is believed to contribute to around 200 health conditions </w:t>
      </w:r>
      <w:r>
        <w:fldChar w:fldCharType="begin"/>
      </w:r>
      <w:r w:rsidR="00F244F6">
        <w:instrText xml:space="preserve"> ADDIN ZOTERO_ITEM CSL_CITATION {"citationID":"ynlZd86K","properties":{"formattedCitation":"(World Health Organization 2022)","plainCitation":"(World Health Organization 2022)","noteIndex":0},"citationItems":[{"id":71333,"uris":["http://zotero.org/groups/4944822/items/4W4IEBFN"],"itemData":{"id":71333,"type":"webpage","abstract":"Fact sheet on alcohol providing key facts, who is at risk, ways to reduce the burden, WHO response","language":"en","title":"Alcohol","URL":"https://www.who.int/news-room/fact-sheets/detail/alcohol","author":[{"family":"World Health Organization","given":""}],"accessed":{"date-parts":[["2023",12,7]]},"issued":{"date-parts":[["2022"]]}}}],"schema":"https://github.com/citation-style-language/schema/raw/master/csl-citation.json"} </w:instrText>
      </w:r>
      <w:r>
        <w:fldChar w:fldCharType="separate"/>
      </w:r>
      <w:r w:rsidRPr="003C5E71">
        <w:rPr>
          <w:rFonts w:cs="Calibri"/>
        </w:rPr>
        <w:t>(World Health Organization 2022)</w:t>
      </w:r>
      <w:r>
        <w:fldChar w:fldCharType="end"/>
      </w:r>
      <w:r>
        <w:t>, many of which involve hospital admissions</w:t>
      </w:r>
      <w:r w:rsidR="00785CE5">
        <w:t xml:space="preserve"> broadly grouped as</w:t>
      </w:r>
      <w:r w:rsidR="000F1BA7">
        <w:t>:</w:t>
      </w:r>
    </w:p>
    <w:p w14:paraId="16705EAD" w14:textId="1438261A" w:rsidR="000F1BA7" w:rsidRDefault="000F1BA7" w:rsidP="000F1BA7">
      <w:pPr>
        <w:pStyle w:val="USBullet1"/>
        <w:spacing w:after="60"/>
      </w:pPr>
      <w:r>
        <w:t>Transport injuries</w:t>
      </w:r>
    </w:p>
    <w:p w14:paraId="6FECCD10" w14:textId="77777777" w:rsidR="000F1BA7" w:rsidRDefault="000F1BA7" w:rsidP="000F1BA7">
      <w:pPr>
        <w:pStyle w:val="USBullet1"/>
        <w:spacing w:after="60"/>
      </w:pPr>
      <w:r>
        <w:t>Unintentional injuries</w:t>
      </w:r>
    </w:p>
    <w:p w14:paraId="6A83E42F" w14:textId="77777777" w:rsidR="000F1BA7" w:rsidRDefault="000F1BA7" w:rsidP="000F1BA7">
      <w:pPr>
        <w:pStyle w:val="USBullet1"/>
        <w:spacing w:after="60"/>
      </w:pPr>
      <w:r>
        <w:t>Interpersonal injuries</w:t>
      </w:r>
    </w:p>
    <w:p w14:paraId="60D5C533" w14:textId="77777777" w:rsidR="000F1BA7" w:rsidRDefault="000F1BA7" w:rsidP="000F1BA7">
      <w:pPr>
        <w:pStyle w:val="USBullet1"/>
        <w:spacing w:after="60"/>
      </w:pPr>
      <w:r>
        <w:t>Self-harm</w:t>
      </w:r>
    </w:p>
    <w:p w14:paraId="03FB2579" w14:textId="77777777" w:rsidR="000F1BA7" w:rsidRDefault="000F1BA7" w:rsidP="000F1BA7">
      <w:pPr>
        <w:pStyle w:val="USBullet1"/>
        <w:spacing w:after="60"/>
      </w:pPr>
      <w:r>
        <w:t>Alcohol use disorders</w:t>
      </w:r>
    </w:p>
    <w:p w14:paraId="54D954AB" w14:textId="77777777" w:rsidR="000F1BA7" w:rsidRDefault="000F1BA7" w:rsidP="000F1BA7">
      <w:pPr>
        <w:pStyle w:val="USBullet1"/>
        <w:spacing w:after="60"/>
      </w:pPr>
      <w:r>
        <w:t>Breast cancer (female)</w:t>
      </w:r>
    </w:p>
    <w:p w14:paraId="3092096D" w14:textId="77777777" w:rsidR="000F1BA7" w:rsidRDefault="000F1BA7" w:rsidP="000F1BA7">
      <w:pPr>
        <w:pStyle w:val="USBullet1"/>
        <w:spacing w:after="60"/>
      </w:pPr>
      <w:r>
        <w:t>Colorectal cancer</w:t>
      </w:r>
    </w:p>
    <w:p w14:paraId="6D806440" w14:textId="77777777" w:rsidR="000F1BA7" w:rsidRDefault="000F1BA7" w:rsidP="000F1BA7">
      <w:pPr>
        <w:pStyle w:val="USBullet1"/>
        <w:spacing w:after="60"/>
      </w:pPr>
      <w:r>
        <w:t>Larynx cancer</w:t>
      </w:r>
    </w:p>
    <w:p w14:paraId="7192DA4B" w14:textId="77777777" w:rsidR="000F1BA7" w:rsidRDefault="000F1BA7" w:rsidP="000F1BA7">
      <w:pPr>
        <w:pStyle w:val="USBullet1"/>
        <w:spacing w:after="60"/>
      </w:pPr>
      <w:r>
        <w:t>Lip and oral cavity cancer</w:t>
      </w:r>
    </w:p>
    <w:p w14:paraId="29CD5094" w14:textId="77777777" w:rsidR="000F1BA7" w:rsidRDefault="000F1BA7" w:rsidP="000F1BA7">
      <w:pPr>
        <w:pStyle w:val="USBullet1"/>
        <w:spacing w:after="60"/>
      </w:pPr>
      <w:r>
        <w:t>Liver cancer</w:t>
      </w:r>
    </w:p>
    <w:p w14:paraId="449915CE" w14:textId="77777777" w:rsidR="000F1BA7" w:rsidRDefault="000F1BA7" w:rsidP="000F1BA7">
      <w:pPr>
        <w:pStyle w:val="USBullet1"/>
        <w:spacing w:after="60"/>
      </w:pPr>
      <w:r>
        <w:t>Nasopharynx cancer</w:t>
      </w:r>
    </w:p>
    <w:p w14:paraId="3FE66A16" w14:textId="77777777" w:rsidR="000F1BA7" w:rsidRDefault="000F1BA7" w:rsidP="000F1BA7">
      <w:pPr>
        <w:pStyle w:val="USBullet1"/>
        <w:spacing w:after="60"/>
      </w:pPr>
      <w:r>
        <w:t>Oesophageal cancer</w:t>
      </w:r>
    </w:p>
    <w:p w14:paraId="05809733" w14:textId="6DE4BC82" w:rsidR="000F1BA7" w:rsidRDefault="00602781" w:rsidP="000F1BA7">
      <w:pPr>
        <w:pStyle w:val="USBullet1"/>
        <w:spacing w:after="60"/>
      </w:pPr>
      <w:r>
        <w:t>Pharynx</w:t>
      </w:r>
      <w:r w:rsidR="000F1BA7">
        <w:t xml:space="preserve"> cancer</w:t>
      </w:r>
    </w:p>
    <w:p w14:paraId="313544C3" w14:textId="77777777" w:rsidR="000F1BA7" w:rsidRDefault="000F1BA7" w:rsidP="000F1BA7">
      <w:pPr>
        <w:pStyle w:val="USBullet1"/>
        <w:spacing w:after="60"/>
      </w:pPr>
      <w:r>
        <w:t>Alcoholic cardiomyopathy</w:t>
      </w:r>
    </w:p>
    <w:p w14:paraId="639BC062" w14:textId="77777777" w:rsidR="000F1BA7" w:rsidRDefault="000F1BA7" w:rsidP="000F1BA7">
      <w:pPr>
        <w:pStyle w:val="USBullet1"/>
        <w:spacing w:after="60"/>
      </w:pPr>
      <w:r>
        <w:t>Atrial fibrillation and cardia arrhythmia</w:t>
      </w:r>
    </w:p>
    <w:p w14:paraId="69305DBE" w14:textId="77777777" w:rsidR="000F1BA7" w:rsidRDefault="000F1BA7" w:rsidP="000F1BA7">
      <w:pPr>
        <w:pStyle w:val="USBullet1"/>
        <w:spacing w:after="60"/>
      </w:pPr>
      <w:r>
        <w:t>Stroke</w:t>
      </w:r>
    </w:p>
    <w:p w14:paraId="7F8942AC" w14:textId="77777777" w:rsidR="000F1BA7" w:rsidRDefault="000F1BA7" w:rsidP="000F1BA7">
      <w:pPr>
        <w:pStyle w:val="USBullet1"/>
        <w:spacing w:after="60"/>
      </w:pPr>
      <w:r>
        <w:t>Hypertension</w:t>
      </w:r>
    </w:p>
    <w:p w14:paraId="4FCFBBF7" w14:textId="77777777" w:rsidR="000F1BA7" w:rsidRDefault="000F1BA7" w:rsidP="000F1BA7">
      <w:pPr>
        <w:pStyle w:val="USBullet1"/>
        <w:spacing w:after="60"/>
      </w:pPr>
      <w:r>
        <w:t>Ischaemic heart disease</w:t>
      </w:r>
    </w:p>
    <w:p w14:paraId="6F6AD9C1" w14:textId="77777777" w:rsidR="000F1BA7" w:rsidRDefault="000F1BA7" w:rsidP="000F1BA7">
      <w:pPr>
        <w:pStyle w:val="USBullet1"/>
        <w:spacing w:after="60"/>
      </w:pPr>
      <w:r>
        <w:t>Alcoholic gastritis</w:t>
      </w:r>
    </w:p>
    <w:p w14:paraId="7130B7F2" w14:textId="77777777" w:rsidR="000F1BA7" w:rsidRDefault="000F1BA7" w:rsidP="000F1BA7">
      <w:pPr>
        <w:pStyle w:val="USBullet1"/>
        <w:spacing w:after="60"/>
      </w:pPr>
      <w:r>
        <w:t>Diabetes</w:t>
      </w:r>
    </w:p>
    <w:p w14:paraId="750DC269" w14:textId="77777777" w:rsidR="000F1BA7" w:rsidRDefault="000F1BA7" w:rsidP="000F1BA7">
      <w:pPr>
        <w:pStyle w:val="USBullet1"/>
        <w:spacing w:after="60"/>
      </w:pPr>
      <w:r>
        <w:t>Epilepsy</w:t>
      </w:r>
    </w:p>
    <w:p w14:paraId="2BE82DF5" w14:textId="77777777" w:rsidR="000F1BA7" w:rsidRDefault="000F1BA7" w:rsidP="000F1BA7">
      <w:pPr>
        <w:pStyle w:val="USBullet1"/>
        <w:spacing w:after="60"/>
      </w:pPr>
      <w:r>
        <w:t>Liver cirrhosis</w:t>
      </w:r>
    </w:p>
    <w:p w14:paraId="0537D491" w14:textId="77777777" w:rsidR="000F1BA7" w:rsidRDefault="000F1BA7" w:rsidP="000F1BA7">
      <w:pPr>
        <w:pStyle w:val="USBullet1"/>
        <w:spacing w:after="60"/>
      </w:pPr>
      <w:r>
        <w:t>Lower respiratory tract infections</w:t>
      </w:r>
    </w:p>
    <w:p w14:paraId="49E279DE" w14:textId="77777777" w:rsidR="000F1BA7" w:rsidRDefault="000F1BA7" w:rsidP="000F1BA7">
      <w:pPr>
        <w:pStyle w:val="USBullet1"/>
        <w:spacing w:after="60"/>
      </w:pPr>
      <w:r>
        <w:t>Pancreatitis</w:t>
      </w:r>
    </w:p>
    <w:p w14:paraId="6630C021" w14:textId="6C27866B" w:rsidR="00B02ED1" w:rsidRDefault="000F1BA7" w:rsidP="000F1BA7">
      <w:pPr>
        <w:pStyle w:val="USBullet1"/>
      </w:pPr>
      <w:r>
        <w:t>Tuberculosis</w:t>
      </w:r>
      <w:r w:rsidR="00785CE5">
        <w:t>.</w:t>
      </w:r>
    </w:p>
    <w:p w14:paraId="77478D06" w14:textId="44B85DC6" w:rsidR="00B02ED1" w:rsidRDefault="00B02ED1" w:rsidP="00B02ED1">
      <w:pPr>
        <w:pStyle w:val="USBodyText"/>
      </w:pPr>
      <w:r>
        <w:t xml:space="preserve">Summary measures of the burden of disease in a population, </w:t>
      </w:r>
      <w:r w:rsidRPr="002E08C8">
        <w:t xml:space="preserve">known as </w:t>
      </w:r>
      <w:r w:rsidR="00FD657F">
        <w:t>h</w:t>
      </w:r>
      <w:r w:rsidRPr="002E08C8">
        <w:t>ealth-</w:t>
      </w:r>
      <w:r w:rsidR="00FD657F">
        <w:t>a</w:t>
      </w:r>
      <w:r w:rsidRPr="002E08C8">
        <w:t xml:space="preserve">djusted </w:t>
      </w:r>
      <w:r w:rsidR="00FD657F">
        <w:t>l</w:t>
      </w:r>
      <w:r w:rsidRPr="002E08C8">
        <w:t xml:space="preserve">ife </w:t>
      </w:r>
      <w:r w:rsidR="00FD657F">
        <w:t>y</w:t>
      </w:r>
      <w:r w:rsidRPr="002E08C8">
        <w:t>ears (HALYs)</w:t>
      </w:r>
      <w:r>
        <w:t>,</w:t>
      </w:r>
      <w:r w:rsidRPr="002E08C8">
        <w:t xml:space="preserve"> </w:t>
      </w:r>
      <w:r>
        <w:t xml:space="preserve">are widely used to quantify the extent of loss of life and quality of life. These measures help to simplify complex information about mortality and quality of life or disability impacts of diseases. Two common approaches to measuring HALYs are </w:t>
      </w:r>
      <w:r w:rsidR="00FD657F">
        <w:t>d</w:t>
      </w:r>
      <w:r>
        <w:t>isability-</w:t>
      </w:r>
      <w:r w:rsidR="00FD657F">
        <w:t>a</w:t>
      </w:r>
      <w:r>
        <w:t xml:space="preserve">djusted </w:t>
      </w:r>
      <w:r w:rsidR="00FD657F">
        <w:t>l</w:t>
      </w:r>
      <w:r>
        <w:t xml:space="preserve">ife </w:t>
      </w:r>
      <w:r w:rsidR="00FD657F">
        <w:t>y</w:t>
      </w:r>
      <w:r>
        <w:t xml:space="preserve">ears (DALYs) and </w:t>
      </w:r>
      <w:r w:rsidR="00FD657F">
        <w:t>q</w:t>
      </w:r>
      <w:r>
        <w:t>uality-</w:t>
      </w:r>
      <w:r w:rsidR="00FD657F">
        <w:t>a</w:t>
      </w:r>
      <w:r>
        <w:t xml:space="preserve">djusted </w:t>
      </w:r>
      <w:r w:rsidR="00FD657F">
        <w:t>l</w:t>
      </w:r>
      <w:r>
        <w:t xml:space="preserve">ife </w:t>
      </w:r>
      <w:r w:rsidR="00FD657F">
        <w:t>y</w:t>
      </w:r>
      <w:r>
        <w:t xml:space="preserve">ears (QALYs). Both </w:t>
      </w:r>
      <w:r w:rsidR="006F53FE">
        <w:t>provide a single figure representing gains or losses of both quality and length of life by equating, for example,</w:t>
      </w:r>
      <w:r w:rsidRPr="00C8343E">
        <w:t xml:space="preserve"> a full year of life at 50 percent of full health to half a year in full health (see </w:t>
      </w:r>
      <w:r w:rsidR="00482C87">
        <w:t>Appendix</w:t>
      </w:r>
      <w:r w:rsidR="00D32C5A">
        <w:t xml:space="preserve"> D</w:t>
      </w:r>
      <w:r w:rsidRPr="00C8343E">
        <w:t xml:space="preserve"> for more detail).</w:t>
      </w:r>
    </w:p>
    <w:p w14:paraId="0EFA139F" w14:textId="4B41C1A3" w:rsidR="00B02ED1" w:rsidRDefault="00B02ED1" w:rsidP="00B02ED1">
      <w:pPr>
        <w:pStyle w:val="USBodyText"/>
      </w:pPr>
      <w:r>
        <w:t xml:space="preserve">Globally, </w:t>
      </w:r>
      <w:r w:rsidRPr="009D330A">
        <w:t>5.1</w:t>
      </w:r>
      <w:r>
        <w:t xml:space="preserve"> percent</w:t>
      </w:r>
      <w:r w:rsidRPr="009D330A">
        <w:t xml:space="preserve"> of the burden of disease and injury is attributable to alcohol, as measured in DALYs</w:t>
      </w:r>
      <w:r>
        <w:t xml:space="preserve"> (World Health Organization 2022)</w:t>
      </w:r>
      <w:r w:rsidRPr="009D330A">
        <w:t>.</w:t>
      </w:r>
      <w:r>
        <w:t xml:space="preserve"> Premature mortality is also a consequence of alcohol misuse</w:t>
      </w:r>
      <w:r w:rsidR="006F53FE">
        <w:t>. It</w:t>
      </w:r>
      <w:r>
        <w:t xml:space="preserve"> represents a significant loss of life – a loss of life which is </w:t>
      </w:r>
      <w:r>
        <w:lastRenderedPageBreak/>
        <w:t xml:space="preserve">felt heavily by families and whānau and can have </w:t>
      </w:r>
      <w:r w:rsidR="007354A0">
        <w:t>a significant</w:t>
      </w:r>
      <w:r>
        <w:t xml:space="preserve"> impact on some communities.</w:t>
      </w:r>
    </w:p>
    <w:p w14:paraId="2ACF78BB" w14:textId="0FF51707" w:rsidR="00B02ED1" w:rsidRDefault="00B02ED1" w:rsidP="00B02ED1">
      <w:pPr>
        <w:pStyle w:val="USBodyText"/>
      </w:pPr>
      <w:r>
        <w:t xml:space="preserve">In this section, we </w:t>
      </w:r>
      <w:r w:rsidR="00F745AB">
        <w:t>estimate the c</w:t>
      </w:r>
      <w:r w:rsidR="00F745AB" w:rsidRPr="00F745AB">
        <w:t xml:space="preserve">ost of increased </w:t>
      </w:r>
      <w:r w:rsidR="00490F1D">
        <w:t xml:space="preserve">risk of </w:t>
      </w:r>
      <w:r w:rsidR="00F745AB" w:rsidRPr="00F745AB">
        <w:t>mortality and morbidity</w:t>
      </w:r>
      <w:r>
        <w:t xml:space="preserve"> attributable to alcohol</w:t>
      </w:r>
      <w:r w:rsidR="00490F1D">
        <w:t xml:space="preserve"> consumption</w:t>
      </w:r>
      <w:r>
        <w:t>.</w:t>
      </w:r>
    </w:p>
    <w:p w14:paraId="745759B9" w14:textId="5093F17D" w:rsidR="00B02ED1" w:rsidRDefault="00B02ED1" w:rsidP="00B02ED1">
      <w:pPr>
        <w:pStyle w:val="Heading2"/>
      </w:pPr>
      <w:bookmarkStart w:id="37" w:name="_Ref156211763"/>
      <w:bookmarkStart w:id="38" w:name="_Toc160633835"/>
      <w:r>
        <w:t xml:space="preserve">Estimated value </w:t>
      </w:r>
      <w:bookmarkStart w:id="39" w:name="_Hlk160380436"/>
      <w:r w:rsidR="00490F1D" w:rsidRPr="00490F1D">
        <w:t>increased risk of mortality and morbidity</w:t>
      </w:r>
      <w:r w:rsidR="00490F1D">
        <w:t xml:space="preserve"> due to</w:t>
      </w:r>
      <w:r>
        <w:t xml:space="preserve"> alcohol </w:t>
      </w:r>
      <w:proofErr w:type="gramStart"/>
      <w:r w:rsidR="00D15678">
        <w:t>consumption</w:t>
      </w:r>
      <w:bookmarkEnd w:id="37"/>
      <w:bookmarkEnd w:id="38"/>
      <w:bookmarkEnd w:id="39"/>
      <w:proofErr w:type="gramEnd"/>
    </w:p>
    <w:p w14:paraId="282DAE07" w14:textId="482C3741" w:rsidR="00BA6F01" w:rsidRDefault="00BA6F01" w:rsidP="00B02ED1">
      <w:pPr>
        <w:pStyle w:val="USBodyText"/>
      </w:pPr>
      <w:r>
        <w:t xml:space="preserve">The Global Burden of Disease (GBD) study calculates the </w:t>
      </w:r>
      <w:r w:rsidR="004C6123">
        <w:t xml:space="preserve">DALYs associated with </w:t>
      </w:r>
      <w:r w:rsidR="00AF6C5E">
        <w:t>a range of health risks, including alcohol</w:t>
      </w:r>
      <w:r w:rsidR="00AB4C41">
        <w:t>. It uses local data where available from a range of sources</w:t>
      </w:r>
      <w:r w:rsidR="00A6602D">
        <w:t xml:space="preserve"> and estimates population attributable fractions (PAFs)</w:t>
      </w:r>
      <w:r w:rsidR="00F369D0">
        <w:t xml:space="preserve">. The GBD estimates of DALYs are based on PAFs that are estimated for New Zealand from </w:t>
      </w:r>
      <w:r w:rsidR="00A63943">
        <w:t>global and regional data</w:t>
      </w:r>
      <w:r w:rsidR="001B4012">
        <w:t>, to which a range of modelling approaches are applied, including expert consultation and external validation</w:t>
      </w:r>
      <w:r w:rsidR="00057234">
        <w:t xml:space="preserve"> and sensitivity </w:t>
      </w:r>
      <w:r w:rsidR="00122707">
        <w:t xml:space="preserve">analyses. </w:t>
      </w:r>
    </w:p>
    <w:p w14:paraId="561A0C76" w14:textId="5051CB96" w:rsidR="00B02ED1" w:rsidRDefault="00B02ED1" w:rsidP="00B02ED1">
      <w:pPr>
        <w:pStyle w:val="USBodyText"/>
      </w:pPr>
      <w:r>
        <w:t>According to the Institute for Health Metrics and Evaluation (IHME), alcohol consumption was responsible for DALYs in the New Zealand population in 2019 (most recent year available)</w:t>
      </w:r>
      <w:r w:rsidR="001B4012">
        <w:t>,</w:t>
      </w:r>
      <w:r>
        <w:t xml:space="preserve"> as described in rates per 100,000 population in </w:t>
      </w:r>
      <w:r w:rsidR="0071080C">
        <w:fldChar w:fldCharType="begin"/>
      </w:r>
      <w:r w:rsidR="0071080C">
        <w:instrText xml:space="preserve"> REF _Ref156227775 \h </w:instrText>
      </w:r>
      <w:r w:rsidR="0071080C">
        <w:fldChar w:fldCharType="separate"/>
      </w:r>
      <w:r w:rsidR="00AE166D" w:rsidRPr="00731CA6">
        <w:t xml:space="preserve">Table </w:t>
      </w:r>
      <w:r w:rsidR="00AE166D">
        <w:rPr>
          <w:noProof/>
        </w:rPr>
        <w:t>4</w:t>
      </w:r>
      <w:r w:rsidR="0071080C">
        <w:fldChar w:fldCharType="end"/>
      </w:r>
      <w:r w:rsidR="007C70EF">
        <w:t xml:space="preserve"> </w:t>
      </w:r>
      <w:r>
        <w:t>below.</w:t>
      </w:r>
    </w:p>
    <w:p w14:paraId="405CE741" w14:textId="1224090F" w:rsidR="00B02ED1" w:rsidRDefault="00B02ED1" w:rsidP="00B02ED1">
      <w:pPr>
        <w:pStyle w:val="TableCaption"/>
      </w:pPr>
      <w:bookmarkStart w:id="40" w:name="_Ref156227775"/>
      <w:bookmarkStart w:id="41" w:name="_Toc160633911"/>
      <w:r w:rsidRPr="00731CA6">
        <w:t xml:space="preserve">Table </w:t>
      </w:r>
      <w:fldSimple w:instr=" SEQ Table \* ARABIC ">
        <w:r w:rsidR="00AE166D">
          <w:rPr>
            <w:noProof/>
          </w:rPr>
          <w:t>4</w:t>
        </w:r>
      </w:fldSimple>
      <w:bookmarkEnd w:id="40"/>
      <w:r w:rsidRPr="00731CA6">
        <w:t xml:space="preserve"> </w:t>
      </w:r>
      <w:r>
        <w:t>DALY rates attributable to alcohol consumption by age group</w:t>
      </w:r>
      <w:bookmarkEnd w:id="41"/>
    </w:p>
    <w:p w14:paraId="47208107" w14:textId="77777777" w:rsidR="00B02ED1" w:rsidRPr="004B4E9C" w:rsidRDefault="00B02ED1" w:rsidP="00B02ED1">
      <w:pPr>
        <w:pStyle w:val="CaptionSubheading"/>
      </w:pPr>
      <w:r>
        <w:t>Per 100,000 population</w:t>
      </w:r>
    </w:p>
    <w:tbl>
      <w:tblPr>
        <w:tblStyle w:val="TableDefault"/>
        <w:tblW w:w="0" w:type="auto"/>
        <w:tblLook w:val="04A0" w:firstRow="1" w:lastRow="0" w:firstColumn="1" w:lastColumn="0" w:noHBand="0" w:noVBand="1"/>
      </w:tblPr>
      <w:tblGrid>
        <w:gridCol w:w="1639"/>
        <w:gridCol w:w="1645"/>
        <w:gridCol w:w="1645"/>
        <w:gridCol w:w="1645"/>
        <w:gridCol w:w="1646"/>
      </w:tblGrid>
      <w:tr w:rsidR="00B02ED1" w14:paraId="1BB7C2A4" w14:textId="77777777">
        <w:trPr>
          <w:cnfStyle w:val="100000000000" w:firstRow="1" w:lastRow="0" w:firstColumn="0" w:lastColumn="0" w:oddVBand="0" w:evenVBand="0" w:oddHBand="0" w:evenHBand="0" w:firstRowFirstColumn="0" w:firstRowLastColumn="0" w:lastRowFirstColumn="0" w:lastRowLastColumn="0"/>
        </w:trPr>
        <w:tc>
          <w:tcPr>
            <w:tcW w:w="1639" w:type="dxa"/>
          </w:tcPr>
          <w:p w14:paraId="4502D045" w14:textId="77777777" w:rsidR="00B02ED1" w:rsidRDefault="00B02ED1">
            <w:pPr>
              <w:pStyle w:val="TSTableHeadingWhite-TopRow"/>
            </w:pPr>
          </w:p>
        </w:tc>
        <w:tc>
          <w:tcPr>
            <w:tcW w:w="1645" w:type="dxa"/>
          </w:tcPr>
          <w:p w14:paraId="17FCC208" w14:textId="156183AD" w:rsidR="00B02ED1" w:rsidRPr="000E7F32" w:rsidRDefault="00B02ED1">
            <w:pPr>
              <w:pStyle w:val="TSTableHeadingWhite-TopRow"/>
              <w:rPr>
                <w:b w:val="0"/>
                <w:bCs/>
                <w:color w:val="FFFFFF" w:themeColor="background1"/>
              </w:rPr>
            </w:pPr>
            <w:r w:rsidRPr="000E7F32">
              <w:rPr>
                <w:color w:val="FFFFFF" w:themeColor="background1"/>
              </w:rPr>
              <w:t>5</w:t>
            </w:r>
            <w:r w:rsidR="000237A8">
              <w:rPr>
                <w:color w:val="FFFFFF" w:themeColor="background1"/>
              </w:rPr>
              <w:t>–</w:t>
            </w:r>
            <w:r w:rsidRPr="000E7F32">
              <w:rPr>
                <w:color w:val="FFFFFF" w:themeColor="background1"/>
              </w:rPr>
              <w:t>14 years</w:t>
            </w:r>
          </w:p>
        </w:tc>
        <w:tc>
          <w:tcPr>
            <w:tcW w:w="1645" w:type="dxa"/>
          </w:tcPr>
          <w:p w14:paraId="56AC7403" w14:textId="37DAA051" w:rsidR="00B02ED1" w:rsidRPr="000E7F32" w:rsidRDefault="00B02ED1">
            <w:pPr>
              <w:pStyle w:val="TSTableHeadingWhite-TopRow"/>
              <w:rPr>
                <w:b w:val="0"/>
                <w:bCs/>
                <w:color w:val="FFFFFF" w:themeColor="background1"/>
              </w:rPr>
            </w:pPr>
            <w:r w:rsidRPr="000E7F32">
              <w:rPr>
                <w:color w:val="FFFFFF" w:themeColor="background1"/>
              </w:rPr>
              <w:t>15</w:t>
            </w:r>
            <w:r w:rsidR="000237A8">
              <w:rPr>
                <w:color w:val="FFFFFF" w:themeColor="background1"/>
              </w:rPr>
              <w:t>–</w:t>
            </w:r>
            <w:r w:rsidRPr="000E7F32">
              <w:rPr>
                <w:color w:val="FFFFFF" w:themeColor="background1"/>
              </w:rPr>
              <w:t>49 years</w:t>
            </w:r>
          </w:p>
        </w:tc>
        <w:tc>
          <w:tcPr>
            <w:tcW w:w="1645" w:type="dxa"/>
          </w:tcPr>
          <w:p w14:paraId="30EB7F64" w14:textId="4ADCB2BF" w:rsidR="00B02ED1" w:rsidRPr="000E7F32" w:rsidRDefault="00B02ED1">
            <w:pPr>
              <w:pStyle w:val="TSTableHeadingWhite-TopRow"/>
              <w:rPr>
                <w:b w:val="0"/>
                <w:bCs/>
                <w:color w:val="FFFFFF" w:themeColor="background1"/>
              </w:rPr>
            </w:pPr>
            <w:r w:rsidRPr="000E7F32">
              <w:rPr>
                <w:color w:val="FFFFFF" w:themeColor="background1"/>
              </w:rPr>
              <w:t>50</w:t>
            </w:r>
            <w:r w:rsidR="000237A8">
              <w:rPr>
                <w:color w:val="FFFFFF" w:themeColor="background1"/>
              </w:rPr>
              <w:t>–</w:t>
            </w:r>
            <w:r w:rsidRPr="000E7F32">
              <w:rPr>
                <w:color w:val="FFFFFF" w:themeColor="background1"/>
              </w:rPr>
              <w:t>69 years</w:t>
            </w:r>
          </w:p>
        </w:tc>
        <w:tc>
          <w:tcPr>
            <w:tcW w:w="1646" w:type="dxa"/>
          </w:tcPr>
          <w:p w14:paraId="5582F32C" w14:textId="77777777" w:rsidR="00B02ED1" w:rsidRPr="000E7F32" w:rsidRDefault="00B02ED1">
            <w:pPr>
              <w:pStyle w:val="TSTableHeadingWhite-TopRow"/>
              <w:rPr>
                <w:b w:val="0"/>
                <w:bCs/>
                <w:color w:val="FFFFFF" w:themeColor="background1"/>
              </w:rPr>
            </w:pPr>
            <w:r w:rsidRPr="000E7F32">
              <w:rPr>
                <w:color w:val="FFFFFF" w:themeColor="background1"/>
              </w:rPr>
              <w:t>70+ years</w:t>
            </w:r>
          </w:p>
        </w:tc>
      </w:tr>
      <w:tr w:rsidR="00B02ED1" w14:paraId="4C2CD916" w14:textId="77777777">
        <w:tc>
          <w:tcPr>
            <w:tcW w:w="1639" w:type="dxa"/>
          </w:tcPr>
          <w:p w14:paraId="73B2D761" w14:textId="77777777" w:rsidR="00B02ED1" w:rsidRDefault="00B02ED1">
            <w:pPr>
              <w:pStyle w:val="TSBodyText"/>
            </w:pPr>
            <w:r>
              <w:t>2019</w:t>
            </w:r>
          </w:p>
        </w:tc>
        <w:tc>
          <w:tcPr>
            <w:tcW w:w="1645" w:type="dxa"/>
          </w:tcPr>
          <w:p w14:paraId="2EFDA138" w14:textId="77777777" w:rsidR="00B02ED1" w:rsidRDefault="00B02ED1">
            <w:pPr>
              <w:pStyle w:val="TSBodyText"/>
            </w:pPr>
            <w:r>
              <w:t>28.79</w:t>
            </w:r>
          </w:p>
        </w:tc>
        <w:tc>
          <w:tcPr>
            <w:tcW w:w="1645" w:type="dxa"/>
          </w:tcPr>
          <w:p w14:paraId="531EBA48" w14:textId="77777777" w:rsidR="00B02ED1" w:rsidRDefault="00B02ED1">
            <w:pPr>
              <w:pStyle w:val="TSBodyText"/>
            </w:pPr>
            <w:r>
              <w:t>1,268.82</w:t>
            </w:r>
          </w:p>
        </w:tc>
        <w:tc>
          <w:tcPr>
            <w:tcW w:w="1645" w:type="dxa"/>
          </w:tcPr>
          <w:p w14:paraId="5CDD4D4C" w14:textId="77777777" w:rsidR="00B02ED1" w:rsidRDefault="00B02ED1">
            <w:pPr>
              <w:pStyle w:val="TSBodyText"/>
            </w:pPr>
            <w:r>
              <w:t>1,991.86</w:t>
            </w:r>
          </w:p>
        </w:tc>
        <w:tc>
          <w:tcPr>
            <w:tcW w:w="1646" w:type="dxa"/>
          </w:tcPr>
          <w:p w14:paraId="30EB4117" w14:textId="77777777" w:rsidR="00B02ED1" w:rsidRDefault="00B02ED1">
            <w:pPr>
              <w:pStyle w:val="TSBodyText"/>
            </w:pPr>
            <w:r w:rsidRPr="00735DA8">
              <w:t>2</w:t>
            </w:r>
            <w:r>
              <w:t>,306.3</w:t>
            </w:r>
          </w:p>
        </w:tc>
      </w:tr>
    </w:tbl>
    <w:p w14:paraId="6F90F0A3" w14:textId="77777777" w:rsidR="00B02ED1" w:rsidRDefault="00B02ED1" w:rsidP="00B02ED1">
      <w:pPr>
        <w:pStyle w:val="USSource"/>
      </w:pPr>
      <w:r w:rsidRPr="005769DA">
        <w:t>Source: IHME (2019)</w:t>
      </w:r>
    </w:p>
    <w:p w14:paraId="266CA0A4" w14:textId="7F74E31C" w:rsidR="00B02ED1" w:rsidRDefault="00B02ED1" w:rsidP="00B02ED1">
      <w:pPr>
        <w:pStyle w:val="USBodyText"/>
      </w:pPr>
      <w:r>
        <w:t xml:space="preserve">Assuming the DALY rates have not changed from 2019 to 2023 and using the Stats NZ national population projection for 2023 (median, from 2022 base), these rates translate into a total of 68,548 DALYs in 2023 (see </w:t>
      </w:r>
      <w:r w:rsidR="0071080C">
        <w:fldChar w:fldCharType="begin"/>
      </w:r>
      <w:r w:rsidR="0071080C">
        <w:instrText xml:space="preserve"> REF _Ref156227790 \h </w:instrText>
      </w:r>
      <w:r w:rsidR="0071080C">
        <w:fldChar w:fldCharType="separate"/>
      </w:r>
      <w:r w:rsidR="00AE166D" w:rsidRPr="00731CA6">
        <w:t xml:space="preserve">Table </w:t>
      </w:r>
      <w:r w:rsidR="00AE166D">
        <w:rPr>
          <w:noProof/>
        </w:rPr>
        <w:t>5</w:t>
      </w:r>
      <w:r w:rsidR="0071080C">
        <w:fldChar w:fldCharType="end"/>
      </w:r>
      <w:r>
        <w:t xml:space="preserve"> below).</w:t>
      </w:r>
    </w:p>
    <w:p w14:paraId="305B7E22" w14:textId="53EF1C8E" w:rsidR="00B02ED1" w:rsidRDefault="00B02ED1" w:rsidP="00C157A2">
      <w:pPr>
        <w:pStyle w:val="TableCaption"/>
        <w:keepLines/>
      </w:pPr>
      <w:bookmarkStart w:id="42" w:name="_Ref156227790"/>
      <w:bookmarkStart w:id="43" w:name="_Toc160633912"/>
      <w:r w:rsidRPr="00731CA6">
        <w:t xml:space="preserve">Table </w:t>
      </w:r>
      <w:fldSimple w:instr=" SEQ Table \* ARABIC ">
        <w:r w:rsidR="00AE166D">
          <w:rPr>
            <w:noProof/>
          </w:rPr>
          <w:t>5</w:t>
        </w:r>
      </w:fldSimple>
      <w:bookmarkEnd w:id="42"/>
      <w:r w:rsidRPr="00731CA6">
        <w:t xml:space="preserve"> </w:t>
      </w:r>
      <w:r>
        <w:t xml:space="preserve">DALYs </w:t>
      </w:r>
      <w:r w:rsidRPr="00DA5B72">
        <w:t xml:space="preserve">attributable to alcohol consumption </w:t>
      </w:r>
      <w:r>
        <w:t>by age group and total</w:t>
      </w:r>
      <w:bookmarkEnd w:id="43"/>
    </w:p>
    <w:tbl>
      <w:tblPr>
        <w:tblStyle w:val="TableDefault"/>
        <w:tblW w:w="0" w:type="auto"/>
        <w:tblLook w:val="04A0" w:firstRow="1" w:lastRow="0" w:firstColumn="1" w:lastColumn="0" w:noHBand="0" w:noVBand="1"/>
      </w:tblPr>
      <w:tblGrid>
        <w:gridCol w:w="1350"/>
        <w:gridCol w:w="1367"/>
        <w:gridCol w:w="1409"/>
        <w:gridCol w:w="1409"/>
        <w:gridCol w:w="1405"/>
        <w:gridCol w:w="1280"/>
      </w:tblGrid>
      <w:tr w:rsidR="00B02ED1" w14:paraId="1A18FFF3" w14:textId="77777777">
        <w:trPr>
          <w:cnfStyle w:val="100000000000" w:firstRow="1" w:lastRow="0" w:firstColumn="0" w:lastColumn="0" w:oddVBand="0" w:evenVBand="0" w:oddHBand="0" w:evenHBand="0" w:firstRowFirstColumn="0" w:firstRowLastColumn="0" w:lastRowFirstColumn="0" w:lastRowLastColumn="0"/>
        </w:trPr>
        <w:tc>
          <w:tcPr>
            <w:tcW w:w="1350" w:type="dxa"/>
          </w:tcPr>
          <w:p w14:paraId="4102ADED" w14:textId="77777777" w:rsidR="00B02ED1" w:rsidRDefault="00B02ED1" w:rsidP="004A2380">
            <w:pPr>
              <w:pStyle w:val="TSTableHeadingWhite-TopRow"/>
            </w:pPr>
          </w:p>
        </w:tc>
        <w:tc>
          <w:tcPr>
            <w:tcW w:w="1367" w:type="dxa"/>
          </w:tcPr>
          <w:p w14:paraId="1ED73331" w14:textId="77777777" w:rsidR="00B02ED1" w:rsidRPr="000E7F32" w:rsidRDefault="00B02ED1" w:rsidP="004A2380">
            <w:pPr>
              <w:pStyle w:val="TSTableHeadingWhite-TopRow"/>
              <w:jc w:val="center"/>
              <w:rPr>
                <w:color w:val="FFFFFF" w:themeColor="background1"/>
              </w:rPr>
            </w:pPr>
            <w:r w:rsidRPr="000E7F32">
              <w:rPr>
                <w:color w:val="FFFFFF" w:themeColor="background1"/>
              </w:rPr>
              <w:t>5</w:t>
            </w:r>
            <w:r>
              <w:rPr>
                <w:bCs/>
                <w:color w:val="FFFFFF" w:themeColor="background1"/>
              </w:rPr>
              <w:t>–</w:t>
            </w:r>
            <w:r w:rsidRPr="000E7F32">
              <w:rPr>
                <w:color w:val="FFFFFF" w:themeColor="background1"/>
              </w:rPr>
              <w:t>14 years</w:t>
            </w:r>
          </w:p>
        </w:tc>
        <w:tc>
          <w:tcPr>
            <w:tcW w:w="1409" w:type="dxa"/>
          </w:tcPr>
          <w:p w14:paraId="40D3AD53" w14:textId="77777777" w:rsidR="00B02ED1" w:rsidRPr="000E7F32" w:rsidRDefault="00B02ED1" w:rsidP="004A2380">
            <w:pPr>
              <w:pStyle w:val="TSTableHeadingWhite-TopRow"/>
              <w:jc w:val="center"/>
              <w:rPr>
                <w:color w:val="FFFFFF" w:themeColor="background1"/>
              </w:rPr>
            </w:pPr>
            <w:r w:rsidRPr="000E7F32">
              <w:rPr>
                <w:color w:val="FFFFFF" w:themeColor="background1"/>
              </w:rPr>
              <w:t>15</w:t>
            </w:r>
            <w:r>
              <w:rPr>
                <w:bCs/>
                <w:color w:val="FFFFFF" w:themeColor="background1"/>
              </w:rPr>
              <w:t>–</w:t>
            </w:r>
            <w:r w:rsidRPr="000E7F32">
              <w:rPr>
                <w:color w:val="FFFFFF" w:themeColor="background1"/>
              </w:rPr>
              <w:t>49 years</w:t>
            </w:r>
          </w:p>
        </w:tc>
        <w:tc>
          <w:tcPr>
            <w:tcW w:w="1409" w:type="dxa"/>
          </w:tcPr>
          <w:p w14:paraId="13AD30C8" w14:textId="77777777" w:rsidR="00B02ED1" w:rsidRPr="000E7F32" w:rsidRDefault="00B02ED1" w:rsidP="004A2380">
            <w:pPr>
              <w:pStyle w:val="TSTableHeadingWhite-TopRow"/>
              <w:jc w:val="center"/>
              <w:rPr>
                <w:color w:val="FFFFFF" w:themeColor="background1"/>
              </w:rPr>
            </w:pPr>
            <w:r w:rsidRPr="000E7F32">
              <w:rPr>
                <w:color w:val="FFFFFF" w:themeColor="background1"/>
              </w:rPr>
              <w:t>50</w:t>
            </w:r>
            <w:r>
              <w:rPr>
                <w:bCs/>
                <w:color w:val="FFFFFF" w:themeColor="background1"/>
              </w:rPr>
              <w:t>–</w:t>
            </w:r>
            <w:r w:rsidRPr="000E7F32">
              <w:rPr>
                <w:color w:val="FFFFFF" w:themeColor="background1"/>
              </w:rPr>
              <w:t>69 years</w:t>
            </w:r>
          </w:p>
        </w:tc>
        <w:tc>
          <w:tcPr>
            <w:tcW w:w="1405" w:type="dxa"/>
          </w:tcPr>
          <w:p w14:paraId="76352425" w14:textId="77777777" w:rsidR="00B02ED1" w:rsidRPr="000E7F32" w:rsidRDefault="00B02ED1" w:rsidP="004A2380">
            <w:pPr>
              <w:pStyle w:val="TSTableHeadingWhite-TopRow"/>
              <w:jc w:val="center"/>
              <w:rPr>
                <w:color w:val="FFFFFF" w:themeColor="background1"/>
              </w:rPr>
            </w:pPr>
            <w:r w:rsidRPr="000E7F32">
              <w:rPr>
                <w:color w:val="FFFFFF" w:themeColor="background1"/>
              </w:rPr>
              <w:t>70+ years</w:t>
            </w:r>
          </w:p>
        </w:tc>
        <w:tc>
          <w:tcPr>
            <w:tcW w:w="1280" w:type="dxa"/>
          </w:tcPr>
          <w:p w14:paraId="6FB8A82F" w14:textId="77777777" w:rsidR="00B02ED1" w:rsidRPr="000E7F32" w:rsidRDefault="00B02ED1" w:rsidP="004A2380">
            <w:pPr>
              <w:pStyle w:val="TSTableHeadingWhite-TopRow"/>
              <w:jc w:val="center"/>
              <w:rPr>
                <w:color w:val="FFFFFF" w:themeColor="background1"/>
              </w:rPr>
            </w:pPr>
            <w:r w:rsidRPr="000E7F32">
              <w:rPr>
                <w:color w:val="FFFFFF" w:themeColor="background1"/>
              </w:rPr>
              <w:t>Total</w:t>
            </w:r>
          </w:p>
        </w:tc>
      </w:tr>
      <w:tr w:rsidR="00B02ED1" w14:paraId="1606756E" w14:textId="77777777">
        <w:tc>
          <w:tcPr>
            <w:tcW w:w="1350" w:type="dxa"/>
          </w:tcPr>
          <w:p w14:paraId="4C1FBDE8" w14:textId="77777777" w:rsidR="00B02ED1" w:rsidRDefault="00B02ED1" w:rsidP="00C157A2">
            <w:pPr>
              <w:pStyle w:val="TSBodyText"/>
              <w:keepNext/>
              <w:keepLines/>
            </w:pPr>
            <w:r>
              <w:t>Population 2023</w:t>
            </w:r>
          </w:p>
        </w:tc>
        <w:tc>
          <w:tcPr>
            <w:tcW w:w="1367" w:type="dxa"/>
          </w:tcPr>
          <w:p w14:paraId="78C542B2" w14:textId="77777777" w:rsidR="00B02ED1" w:rsidRPr="00735DA8" w:rsidRDefault="00B02ED1" w:rsidP="00C157A2">
            <w:pPr>
              <w:pStyle w:val="TSBodyText"/>
              <w:keepNext/>
              <w:keepLines/>
              <w:ind w:right="335"/>
              <w:jc w:val="right"/>
            </w:pPr>
            <w:r w:rsidRPr="00E07CC4">
              <w:t xml:space="preserve"> 654,600 </w:t>
            </w:r>
          </w:p>
        </w:tc>
        <w:tc>
          <w:tcPr>
            <w:tcW w:w="1409" w:type="dxa"/>
          </w:tcPr>
          <w:p w14:paraId="429CA990" w14:textId="77777777" w:rsidR="00B02ED1" w:rsidRPr="00735DA8" w:rsidRDefault="00B02ED1" w:rsidP="00C157A2">
            <w:pPr>
              <w:pStyle w:val="TSBodyText"/>
              <w:keepNext/>
              <w:keepLines/>
              <w:ind w:right="335"/>
              <w:jc w:val="right"/>
            </w:pPr>
            <w:r w:rsidRPr="00E07CC4">
              <w:t xml:space="preserve"> 2,361,200 </w:t>
            </w:r>
          </w:p>
        </w:tc>
        <w:tc>
          <w:tcPr>
            <w:tcW w:w="1409" w:type="dxa"/>
          </w:tcPr>
          <w:p w14:paraId="0F21DFBE" w14:textId="77777777" w:rsidR="00B02ED1" w:rsidRPr="00735DA8" w:rsidRDefault="00B02ED1" w:rsidP="00C157A2">
            <w:pPr>
              <w:pStyle w:val="TSBodyText"/>
              <w:keepNext/>
              <w:keepLines/>
              <w:ind w:right="335"/>
              <w:jc w:val="right"/>
            </w:pPr>
            <w:r w:rsidRPr="00E07CC4">
              <w:t xml:space="preserve"> 1,228,400 </w:t>
            </w:r>
          </w:p>
        </w:tc>
        <w:tc>
          <w:tcPr>
            <w:tcW w:w="1405" w:type="dxa"/>
          </w:tcPr>
          <w:p w14:paraId="21913B1E" w14:textId="77777777" w:rsidR="00B02ED1" w:rsidRPr="00735DA8" w:rsidRDefault="00B02ED1" w:rsidP="00C157A2">
            <w:pPr>
              <w:pStyle w:val="TSBodyText"/>
              <w:keepNext/>
              <w:keepLines/>
              <w:ind w:right="335"/>
              <w:jc w:val="right"/>
            </w:pPr>
            <w:r w:rsidRPr="00E07CC4">
              <w:t xml:space="preserve"> 604,100 </w:t>
            </w:r>
          </w:p>
        </w:tc>
        <w:tc>
          <w:tcPr>
            <w:tcW w:w="1280" w:type="dxa"/>
          </w:tcPr>
          <w:p w14:paraId="5B959F20" w14:textId="77777777" w:rsidR="00B02ED1" w:rsidRPr="00735DA8" w:rsidRDefault="00B02ED1" w:rsidP="00C157A2">
            <w:pPr>
              <w:pStyle w:val="TSBodyText"/>
              <w:keepNext/>
              <w:keepLines/>
              <w:ind w:right="335"/>
              <w:jc w:val="right"/>
            </w:pPr>
            <w:r w:rsidRPr="00B14D2A">
              <w:t>4,848,300</w:t>
            </w:r>
          </w:p>
        </w:tc>
      </w:tr>
      <w:tr w:rsidR="00B02ED1" w14:paraId="26CB53DE" w14:textId="77777777">
        <w:trPr>
          <w:cnfStyle w:val="000000010000" w:firstRow="0" w:lastRow="0" w:firstColumn="0" w:lastColumn="0" w:oddVBand="0" w:evenVBand="0" w:oddHBand="0" w:evenHBand="1" w:firstRowFirstColumn="0" w:firstRowLastColumn="0" w:lastRowFirstColumn="0" w:lastRowLastColumn="0"/>
        </w:trPr>
        <w:tc>
          <w:tcPr>
            <w:tcW w:w="1350" w:type="dxa"/>
          </w:tcPr>
          <w:p w14:paraId="10D3B888" w14:textId="77777777" w:rsidR="00B02ED1" w:rsidRDefault="00B02ED1" w:rsidP="0019729D">
            <w:pPr>
              <w:pStyle w:val="TSBodyText"/>
              <w:keepNext/>
              <w:keepLines/>
            </w:pPr>
            <w:r>
              <w:t>DALYs 2023</w:t>
            </w:r>
          </w:p>
        </w:tc>
        <w:tc>
          <w:tcPr>
            <w:tcW w:w="1367" w:type="dxa"/>
          </w:tcPr>
          <w:p w14:paraId="255AFC65" w14:textId="77777777" w:rsidR="00B02ED1" w:rsidRDefault="00B02ED1" w:rsidP="0019729D">
            <w:pPr>
              <w:pStyle w:val="TSBodyText"/>
              <w:keepNext/>
              <w:keepLines/>
              <w:ind w:right="335"/>
              <w:jc w:val="right"/>
            </w:pPr>
            <w:r w:rsidRPr="00327F92">
              <w:t xml:space="preserve"> 188 </w:t>
            </w:r>
          </w:p>
        </w:tc>
        <w:tc>
          <w:tcPr>
            <w:tcW w:w="1409" w:type="dxa"/>
          </w:tcPr>
          <w:p w14:paraId="2E917101" w14:textId="77777777" w:rsidR="00B02ED1" w:rsidRDefault="00B02ED1" w:rsidP="0019729D">
            <w:pPr>
              <w:pStyle w:val="TSBodyText"/>
              <w:keepNext/>
              <w:keepLines/>
              <w:ind w:right="335"/>
              <w:jc w:val="right"/>
            </w:pPr>
            <w:r w:rsidRPr="00327F92">
              <w:t xml:space="preserve"> 29,959 </w:t>
            </w:r>
          </w:p>
        </w:tc>
        <w:tc>
          <w:tcPr>
            <w:tcW w:w="1409" w:type="dxa"/>
          </w:tcPr>
          <w:p w14:paraId="1CA903B0" w14:textId="77777777" w:rsidR="00B02ED1" w:rsidRDefault="00B02ED1" w:rsidP="0019729D">
            <w:pPr>
              <w:pStyle w:val="TSBodyText"/>
              <w:keepNext/>
              <w:keepLines/>
              <w:ind w:right="335"/>
              <w:jc w:val="right"/>
            </w:pPr>
            <w:r w:rsidRPr="00327F92">
              <w:t xml:space="preserve"> 24,468 </w:t>
            </w:r>
          </w:p>
        </w:tc>
        <w:tc>
          <w:tcPr>
            <w:tcW w:w="1405" w:type="dxa"/>
          </w:tcPr>
          <w:p w14:paraId="1AFF45FD" w14:textId="77777777" w:rsidR="00B02ED1" w:rsidRDefault="00B02ED1" w:rsidP="0019729D">
            <w:pPr>
              <w:pStyle w:val="TSBodyText"/>
              <w:keepNext/>
              <w:keepLines/>
              <w:ind w:right="335"/>
              <w:jc w:val="right"/>
            </w:pPr>
            <w:r w:rsidRPr="00327F92">
              <w:t xml:space="preserve"> 13,932 </w:t>
            </w:r>
          </w:p>
        </w:tc>
        <w:tc>
          <w:tcPr>
            <w:tcW w:w="1280" w:type="dxa"/>
          </w:tcPr>
          <w:p w14:paraId="4E2CC696" w14:textId="77777777" w:rsidR="00B02ED1" w:rsidRPr="00735DA8" w:rsidRDefault="00B02ED1" w:rsidP="0019729D">
            <w:pPr>
              <w:pStyle w:val="TSBodyText"/>
              <w:keepNext/>
              <w:keepLines/>
              <w:ind w:right="335"/>
              <w:jc w:val="right"/>
            </w:pPr>
            <w:r w:rsidRPr="00327F92">
              <w:t xml:space="preserve"> 68,548 </w:t>
            </w:r>
          </w:p>
        </w:tc>
      </w:tr>
    </w:tbl>
    <w:p w14:paraId="615D2A49" w14:textId="77777777" w:rsidR="00B02ED1" w:rsidRDefault="00B02ED1" w:rsidP="00B02ED1">
      <w:pPr>
        <w:pStyle w:val="USSource"/>
      </w:pPr>
      <w:r>
        <w:t xml:space="preserve">Source: Stats NZ population estimates, </w:t>
      </w:r>
      <w:bookmarkStart w:id="44" w:name="_Hlk160383906"/>
      <w:r w:rsidRPr="00B14D2A">
        <w:t>IHME</w:t>
      </w:r>
      <w:r>
        <w:t xml:space="preserve"> (</w:t>
      </w:r>
      <w:r w:rsidRPr="00B14D2A">
        <w:t>2019</w:t>
      </w:r>
      <w:r>
        <w:t>)</w:t>
      </w:r>
      <w:bookmarkEnd w:id="44"/>
      <w:r w:rsidRPr="00B14D2A">
        <w:t>,</w:t>
      </w:r>
      <w:r>
        <w:t xml:space="preserve"> NZIER</w:t>
      </w:r>
    </w:p>
    <w:p w14:paraId="1C10176E" w14:textId="5FA2CA0B" w:rsidR="00B02ED1" w:rsidRDefault="00B02ED1" w:rsidP="0082506D">
      <w:pPr>
        <w:pStyle w:val="USBodyText"/>
      </w:pPr>
      <w:r>
        <w:t>There is no single right way of placing a monetary value on any of the measures of health outcomes</w:t>
      </w:r>
      <w:r w:rsidR="003F33C0">
        <w:t>. We provide some discussion in Appendix D</w:t>
      </w:r>
      <w:r w:rsidR="00CC7035">
        <w:t xml:space="preserve">. Given the lack of consensus on values, we </w:t>
      </w:r>
      <w:r>
        <w:t>estimate the value of health loss attributable to alcohol using</w:t>
      </w:r>
      <w:r w:rsidR="0082506D">
        <w:t xml:space="preserve"> t</w:t>
      </w:r>
      <w:r>
        <w:t xml:space="preserve">wo alternative values of QALYs that are used in public sector budget initiative cost-benefit analyses in New Zealand </w:t>
      </w:r>
      <w:r>
        <w:fldChar w:fldCharType="begin"/>
      </w:r>
      <w:r w:rsidR="00F244F6">
        <w:instrText xml:space="preserve"> ADDIN ZOTERO_ITEM CSL_CITATION {"citationID":"7btljMtz","properties":{"formattedCitation":"(The Treasury 2022)","plainCitation":"(The Treasury 2022)","noteIndex":0},"citationItems":[{"id":71335,"uris":["http://zotero.org/groups/4944822/items/VWY2MJIJ"],"itemData":{"id":71335,"type":"webpage","abstract":"CBAx is a spreadsheet model by the Treasury that contains a common database to help agencies monetise impacts and do return on investment","language":"en","title":"CBAX impacts database","URL":"https://www.treasury.govt.nz/information-and-services/state-sector-leadership/investment-management/investment-planning/treasurys-cbax-tool","author":[{"family":"The Treasury","given":""}],"accessed":{"date-parts":[["2023",12,7]]},"issued":{"date-parts":[["2022"]]}}}],"schema":"https://github.com/citation-style-language/schema/raw/master/csl-citation.json"} </w:instrText>
      </w:r>
      <w:r>
        <w:fldChar w:fldCharType="separate"/>
      </w:r>
      <w:r w:rsidRPr="004625B6">
        <w:rPr>
          <w:rFonts w:cs="Calibri"/>
        </w:rPr>
        <w:t>(The Treasury 2022)</w:t>
      </w:r>
      <w:r>
        <w:fldChar w:fldCharType="end"/>
      </w:r>
      <w:r>
        <w:t>:</w:t>
      </w:r>
    </w:p>
    <w:p w14:paraId="305F8A23" w14:textId="77777777" w:rsidR="00B02ED1" w:rsidRDefault="00B02ED1" w:rsidP="0082506D">
      <w:pPr>
        <w:pStyle w:val="USBullet1"/>
      </w:pPr>
      <w:r>
        <w:t xml:space="preserve">A value derived from the estimated cost of delivering QALYs through </w:t>
      </w:r>
      <w:proofErr w:type="spellStart"/>
      <w:r>
        <w:t>Pharmac</w:t>
      </w:r>
      <w:proofErr w:type="spellEnd"/>
      <w:r>
        <w:t xml:space="preserve"> investments ($41,756)</w:t>
      </w:r>
    </w:p>
    <w:p w14:paraId="5C433CE0" w14:textId="6EF7C4A4" w:rsidR="00B02ED1" w:rsidRDefault="00B02ED1" w:rsidP="0082506D">
      <w:pPr>
        <w:pStyle w:val="USBullet1"/>
      </w:pPr>
      <w:r>
        <w:lastRenderedPageBreak/>
        <w:t>A value derived from the Ministry of Transport’s Value of a Statistical Life (</w:t>
      </w:r>
      <w:proofErr w:type="spellStart"/>
      <w:r>
        <w:t>VoSL</w:t>
      </w:r>
      <w:proofErr w:type="spellEnd"/>
      <w:r>
        <w:t>) ($63,381)</w:t>
      </w:r>
      <w:r w:rsidR="000237A8">
        <w:t>,</w:t>
      </w:r>
      <w:r>
        <w:t xml:space="preserve"> which is based on the specific context of risk reduction on roads.</w:t>
      </w:r>
    </w:p>
    <w:p w14:paraId="2A868104" w14:textId="161B405A" w:rsidR="00057B72" w:rsidRDefault="00057B72" w:rsidP="00B02ED1">
      <w:pPr>
        <w:pStyle w:val="USBodyText"/>
      </w:pPr>
      <w:r>
        <w:t xml:space="preserve">While neither of these is derived from a context that is </w:t>
      </w:r>
      <w:r w:rsidR="001D0CD7">
        <w:t xml:space="preserve">clearly appropriate for alcohol harms, the higher value, based on the </w:t>
      </w:r>
      <w:proofErr w:type="spellStart"/>
      <w:r w:rsidR="001D0CD7">
        <w:t>VoSL</w:t>
      </w:r>
      <w:proofErr w:type="spellEnd"/>
      <w:r w:rsidR="001D0CD7">
        <w:t xml:space="preserve">, is most closely related to values commonly used in </w:t>
      </w:r>
      <w:r w:rsidR="00040563">
        <w:t xml:space="preserve">health literature where the </w:t>
      </w:r>
      <w:proofErr w:type="spellStart"/>
      <w:r w:rsidR="00040563">
        <w:t>VoSL</w:t>
      </w:r>
      <w:proofErr w:type="spellEnd"/>
      <w:r w:rsidR="00040563">
        <w:t xml:space="preserve"> is frequently cited.</w:t>
      </w:r>
    </w:p>
    <w:p w14:paraId="1A834740" w14:textId="290E31B2" w:rsidR="00B02ED1" w:rsidRDefault="00B02ED1" w:rsidP="00B02ED1">
      <w:pPr>
        <w:pStyle w:val="USBodyText"/>
      </w:pPr>
      <w:r>
        <w:t xml:space="preserve">Based on these values, the DALYs estimated to be lost to alcohol consumption in 2023 are estimated to be worth </w:t>
      </w:r>
      <w:r w:rsidR="00096C3F">
        <w:t>at least</w:t>
      </w:r>
      <w:r>
        <w:t xml:space="preserve"> $2.</w:t>
      </w:r>
      <w:r w:rsidR="00C01876">
        <w:t>9</w:t>
      </w:r>
      <w:r>
        <w:t xml:space="preserve"> billion and </w:t>
      </w:r>
      <w:r w:rsidR="00C43A36">
        <w:t xml:space="preserve">could potentially be valued at up to </w:t>
      </w:r>
      <w:r>
        <w:t>$</w:t>
      </w:r>
      <w:r w:rsidR="001F65D5">
        <w:t>4.3</w:t>
      </w:r>
      <w:r>
        <w:t xml:space="preserve"> billion</w:t>
      </w:r>
      <w:r w:rsidR="00096C3F">
        <w:t xml:space="preserve"> </w:t>
      </w:r>
      <w:r>
        <w:t xml:space="preserve">(see </w:t>
      </w:r>
      <w:r w:rsidR="0071080C">
        <w:fldChar w:fldCharType="begin"/>
      </w:r>
      <w:r w:rsidR="0071080C">
        <w:instrText xml:space="preserve"> REF _Ref156227806 \h </w:instrText>
      </w:r>
      <w:r w:rsidR="0071080C">
        <w:fldChar w:fldCharType="separate"/>
      </w:r>
      <w:r w:rsidR="00AE166D" w:rsidRPr="00731CA6">
        <w:t xml:space="preserve">Table </w:t>
      </w:r>
      <w:r w:rsidR="00AE166D">
        <w:rPr>
          <w:noProof/>
        </w:rPr>
        <w:t>6</w:t>
      </w:r>
      <w:r w:rsidR="0071080C">
        <w:fldChar w:fldCharType="end"/>
      </w:r>
      <w:r>
        <w:t xml:space="preserve"> below).</w:t>
      </w:r>
    </w:p>
    <w:p w14:paraId="597863FE" w14:textId="1A38CA44" w:rsidR="00353ED9" w:rsidRDefault="00B02ED1" w:rsidP="00711C2A">
      <w:pPr>
        <w:pStyle w:val="TableCaption"/>
      </w:pPr>
      <w:bookmarkStart w:id="45" w:name="_Ref156227806"/>
      <w:bookmarkStart w:id="46" w:name="_Toc160633913"/>
      <w:r w:rsidRPr="00731CA6">
        <w:t xml:space="preserve">Table </w:t>
      </w:r>
      <w:fldSimple w:instr=" SEQ Table \* ARABIC ">
        <w:r w:rsidR="00AE166D">
          <w:rPr>
            <w:noProof/>
          </w:rPr>
          <w:t>6</w:t>
        </w:r>
      </w:fldSimple>
      <w:bookmarkEnd w:id="45"/>
      <w:r w:rsidRPr="00731CA6">
        <w:t xml:space="preserve"> </w:t>
      </w:r>
      <w:r>
        <w:t xml:space="preserve">Total </w:t>
      </w:r>
      <w:r w:rsidR="002E25A0" w:rsidRPr="002E25A0">
        <w:t>value of increased risk of mortality and morbidity</w:t>
      </w:r>
      <w:r w:rsidR="002E25A0">
        <w:t xml:space="preserve"> due to alcohol consumption</w:t>
      </w:r>
      <w:bookmarkEnd w:id="46"/>
    </w:p>
    <w:p w14:paraId="7A8406A8" w14:textId="3937AE87" w:rsidR="00B02ED1" w:rsidRPr="00DA50FE" w:rsidRDefault="00353ED9" w:rsidP="00353ED9">
      <w:pPr>
        <w:pStyle w:val="CaptionSubheading"/>
      </w:pPr>
      <w:r>
        <w:t>B</w:t>
      </w:r>
      <w:r w:rsidR="00B02ED1">
        <w:t>ased on alternative values of a DALY</w:t>
      </w:r>
    </w:p>
    <w:tbl>
      <w:tblPr>
        <w:tblStyle w:val="TableDefault"/>
        <w:tblW w:w="8221" w:type="dxa"/>
        <w:tblLook w:val="04A0" w:firstRow="1" w:lastRow="0" w:firstColumn="1" w:lastColumn="0" w:noHBand="0" w:noVBand="1"/>
      </w:tblPr>
      <w:tblGrid>
        <w:gridCol w:w="3827"/>
        <w:gridCol w:w="1701"/>
        <w:gridCol w:w="1134"/>
        <w:gridCol w:w="1559"/>
      </w:tblGrid>
      <w:tr w:rsidR="00B02ED1" w14:paraId="34F0DBDE" w14:textId="77777777" w:rsidTr="001F65D5">
        <w:trPr>
          <w:cnfStyle w:val="100000000000" w:firstRow="1" w:lastRow="0" w:firstColumn="0" w:lastColumn="0" w:oddVBand="0" w:evenVBand="0" w:oddHBand="0" w:evenHBand="0" w:firstRowFirstColumn="0" w:firstRowLastColumn="0" w:lastRowFirstColumn="0" w:lastRowLastColumn="0"/>
        </w:trPr>
        <w:tc>
          <w:tcPr>
            <w:tcW w:w="3827" w:type="dxa"/>
          </w:tcPr>
          <w:p w14:paraId="36005311" w14:textId="77777777" w:rsidR="00B02ED1" w:rsidRDefault="00B02ED1">
            <w:pPr>
              <w:pStyle w:val="TSTableHeadingWhite-TopRow"/>
            </w:pPr>
            <w:r>
              <w:t>Basis of DALY valuation</w:t>
            </w:r>
          </w:p>
        </w:tc>
        <w:tc>
          <w:tcPr>
            <w:tcW w:w="1701" w:type="dxa"/>
          </w:tcPr>
          <w:p w14:paraId="457F8CB7" w14:textId="77777777" w:rsidR="00B02ED1" w:rsidRPr="000E7F32" w:rsidRDefault="00B02ED1">
            <w:pPr>
              <w:pStyle w:val="TSTableHeadingWhite-TopRow"/>
              <w:rPr>
                <w:color w:val="FFFFFF" w:themeColor="background1"/>
              </w:rPr>
            </w:pPr>
            <w:r w:rsidRPr="000E7F32">
              <w:rPr>
                <w:color w:val="FFFFFF" w:themeColor="background1"/>
              </w:rPr>
              <w:t>Total</w:t>
            </w:r>
            <w:r>
              <w:rPr>
                <w:color w:val="FFFFFF" w:themeColor="background1"/>
              </w:rPr>
              <w:t xml:space="preserve"> DALYs 2023</w:t>
            </w:r>
          </w:p>
        </w:tc>
        <w:tc>
          <w:tcPr>
            <w:tcW w:w="1134" w:type="dxa"/>
          </w:tcPr>
          <w:p w14:paraId="494624A4" w14:textId="77777777" w:rsidR="00B02ED1" w:rsidRPr="000E7F32" w:rsidRDefault="00B02ED1">
            <w:pPr>
              <w:pStyle w:val="TSTableHeadingWhite-TopRow"/>
              <w:jc w:val="center"/>
              <w:rPr>
                <w:color w:val="FFFFFF" w:themeColor="background1"/>
              </w:rPr>
            </w:pPr>
            <w:r>
              <w:rPr>
                <w:color w:val="FFFFFF" w:themeColor="background1"/>
              </w:rPr>
              <w:t xml:space="preserve">DALY </w:t>
            </w:r>
            <w:r>
              <w:rPr>
                <w:bCs/>
                <w:color w:val="FFFFFF" w:themeColor="background1"/>
              </w:rPr>
              <w:t>value</w:t>
            </w:r>
          </w:p>
        </w:tc>
        <w:tc>
          <w:tcPr>
            <w:tcW w:w="1559" w:type="dxa"/>
          </w:tcPr>
          <w:p w14:paraId="22F89174" w14:textId="77777777" w:rsidR="00B02ED1" w:rsidRPr="000E7F32" w:rsidRDefault="00B02ED1">
            <w:pPr>
              <w:pStyle w:val="TSTableHeadingWhite-TopRow"/>
              <w:jc w:val="center"/>
              <w:rPr>
                <w:color w:val="FFFFFF" w:themeColor="background1"/>
              </w:rPr>
            </w:pPr>
            <w:r>
              <w:rPr>
                <w:color w:val="FFFFFF" w:themeColor="background1"/>
              </w:rPr>
              <w:t>Total DALY value</w:t>
            </w:r>
          </w:p>
        </w:tc>
      </w:tr>
      <w:tr w:rsidR="00B02ED1" w14:paraId="632E3CBF" w14:textId="77777777" w:rsidTr="001F65D5">
        <w:tc>
          <w:tcPr>
            <w:tcW w:w="3827" w:type="dxa"/>
          </w:tcPr>
          <w:p w14:paraId="172FAD7E" w14:textId="77777777" w:rsidR="00B02ED1" w:rsidRDefault="00B02ED1">
            <w:pPr>
              <w:pStyle w:val="TSBodyText"/>
            </w:pPr>
            <w:r>
              <w:t>QALY value (Treasury, low)</w:t>
            </w:r>
          </w:p>
        </w:tc>
        <w:tc>
          <w:tcPr>
            <w:tcW w:w="1701" w:type="dxa"/>
          </w:tcPr>
          <w:p w14:paraId="1B1F6616" w14:textId="77777777" w:rsidR="00B02ED1" w:rsidRPr="00506FE3" w:rsidRDefault="00B02ED1">
            <w:pPr>
              <w:pStyle w:val="TSBodyText"/>
              <w:jc w:val="center"/>
            </w:pPr>
            <w:r w:rsidRPr="009A4FF1">
              <w:t>68,548</w:t>
            </w:r>
          </w:p>
        </w:tc>
        <w:tc>
          <w:tcPr>
            <w:tcW w:w="1134" w:type="dxa"/>
          </w:tcPr>
          <w:p w14:paraId="1E9C0D05" w14:textId="77777777" w:rsidR="00B02ED1" w:rsidRPr="00506FE3" w:rsidRDefault="00B02ED1">
            <w:pPr>
              <w:pStyle w:val="TSBodyText"/>
              <w:jc w:val="right"/>
            </w:pPr>
            <w:r w:rsidRPr="003466EE">
              <w:t>$41,756</w:t>
            </w:r>
          </w:p>
        </w:tc>
        <w:tc>
          <w:tcPr>
            <w:tcW w:w="1559" w:type="dxa"/>
          </w:tcPr>
          <w:p w14:paraId="63AC470A" w14:textId="77777777" w:rsidR="00B02ED1" w:rsidRPr="00506FE3" w:rsidRDefault="00B02ED1">
            <w:pPr>
              <w:pStyle w:val="TSBodyText"/>
              <w:jc w:val="right"/>
            </w:pPr>
            <w:r w:rsidRPr="003466EE">
              <w:t>$2,862,298,795</w:t>
            </w:r>
          </w:p>
        </w:tc>
      </w:tr>
      <w:tr w:rsidR="00B02ED1" w14:paraId="24CDAC9B" w14:textId="77777777" w:rsidTr="001F65D5">
        <w:trPr>
          <w:cnfStyle w:val="000000010000" w:firstRow="0" w:lastRow="0" w:firstColumn="0" w:lastColumn="0" w:oddVBand="0" w:evenVBand="0" w:oddHBand="0" w:evenHBand="1" w:firstRowFirstColumn="0" w:firstRowLastColumn="0" w:lastRowFirstColumn="0" w:lastRowLastColumn="0"/>
        </w:trPr>
        <w:tc>
          <w:tcPr>
            <w:tcW w:w="3827" w:type="dxa"/>
          </w:tcPr>
          <w:p w14:paraId="7FDD5DB9" w14:textId="2AFF4F52" w:rsidR="00B02ED1" w:rsidRDefault="00B02ED1">
            <w:pPr>
              <w:pStyle w:val="TSBodyText"/>
            </w:pPr>
            <w:r>
              <w:t>QALY value (Treasury, high</w:t>
            </w:r>
            <w:r w:rsidR="001F65D5">
              <w:t xml:space="preserve"> – based on </w:t>
            </w:r>
            <w:proofErr w:type="spellStart"/>
            <w:r w:rsidR="001F65D5">
              <w:t>VoSL</w:t>
            </w:r>
            <w:proofErr w:type="spellEnd"/>
            <w:r>
              <w:t>)</w:t>
            </w:r>
          </w:p>
        </w:tc>
        <w:tc>
          <w:tcPr>
            <w:tcW w:w="1701" w:type="dxa"/>
          </w:tcPr>
          <w:p w14:paraId="6A618973" w14:textId="77777777" w:rsidR="00B02ED1" w:rsidRPr="00506FE3" w:rsidRDefault="00B02ED1">
            <w:pPr>
              <w:pStyle w:val="TSBodyText"/>
              <w:jc w:val="center"/>
            </w:pPr>
            <w:r w:rsidRPr="009A4FF1">
              <w:t>68,548</w:t>
            </w:r>
          </w:p>
        </w:tc>
        <w:tc>
          <w:tcPr>
            <w:tcW w:w="1134" w:type="dxa"/>
          </w:tcPr>
          <w:p w14:paraId="3AE2FBBC" w14:textId="77777777" w:rsidR="00B02ED1" w:rsidRPr="00506FE3" w:rsidRDefault="00B02ED1">
            <w:pPr>
              <w:pStyle w:val="TSBodyText"/>
              <w:jc w:val="right"/>
            </w:pPr>
            <w:r w:rsidRPr="003466EE">
              <w:t>$63,381</w:t>
            </w:r>
          </w:p>
        </w:tc>
        <w:tc>
          <w:tcPr>
            <w:tcW w:w="1559" w:type="dxa"/>
          </w:tcPr>
          <w:p w14:paraId="30E037E9" w14:textId="77777777" w:rsidR="00B02ED1" w:rsidRPr="00506FE3" w:rsidRDefault="00B02ED1">
            <w:pPr>
              <w:pStyle w:val="TSBodyText"/>
              <w:jc w:val="right"/>
            </w:pPr>
            <w:r w:rsidRPr="003466EE">
              <w:t>$4,344,653,700</w:t>
            </w:r>
          </w:p>
        </w:tc>
      </w:tr>
    </w:tbl>
    <w:p w14:paraId="3E586C76" w14:textId="20EB90F5" w:rsidR="00B02ED1" w:rsidRDefault="00B02ED1" w:rsidP="001F65D5">
      <w:pPr>
        <w:pStyle w:val="USSource"/>
      </w:pPr>
      <w:r>
        <w:t>Source: NZIER, based on</w:t>
      </w:r>
      <w:r>
        <w:fldChar w:fldCharType="begin"/>
      </w:r>
      <w:r w:rsidR="00F244F6">
        <w:instrText xml:space="preserve"> ADDIN ZOTERO_ITEM CSL_CITATION {"citationID":"ei1wIRAN","properties":{"formattedCitation":"(Chambers, Jackson, and Hoek 2021; The Treasury 2022)","plainCitation":"(Chambers, Jackson, and Hoek 2021; The Treasury 2022)","dontUpdate":true,"noteIndex":0},"citationItems":[{"id":63460,"uris":["http://zotero.org/groups/4944822/items/I2P87NJ9"],"itemData":{"id":63460,"type":"article-journal","container-title":"The Lancet Regional Health: Western Pacific","DOI":"10.1016/j.lanwpc.2021.100218","ISSN":"2666-6065","journalAbbreviation":"Lancet Reg Health West Pac","note":"PMID: 34527993\nPMCID: PMC8403919","page":"100218","source":"PubMed Central","title":"New Zealand's proposed ban on alcohol sponsorship of sport: a cost-effective, pro-equity and feasible move towards reducing alcohol-related harm","title-short":"New Zealand's proposed ban on alcohol sponsorship of sport","volume":"13","author":[{"family":"Chambers","given":"Tim"},{"family":"Jackson","given":"Nicki"},{"family":"Hoek","given":"Janet"}],"issued":{"date-parts":[["2021",7,19]]}},"label":"page"},{"id":71335,"uris":["http://zotero.org/groups/4944822/items/VWY2MJIJ"],"itemData":{"id":71335,"type":"webpage","abstract":"CBAx is a spreadsheet model by the Treasury that contains a common database to help agencies monetise impacts and do return on investment","language":"en","title":"CBAX impacts database","URL":"https://www.treasury.govt.nz/information-and-services/state-sector-leadership/investment-management/investment-planning/treasurys-cbax-tool","author":[{"family":"The Treasury","given":""}],"accessed":{"date-parts":[["2023",12,7]]},"issued":{"date-parts":[["2022"]]}},"label":"page"}],"schema":"https://github.com/citation-style-language/schema/raw/master/csl-citation.json"} </w:instrText>
      </w:r>
      <w:r>
        <w:fldChar w:fldCharType="separate"/>
      </w:r>
      <w:r w:rsidR="00A0069B" w:rsidRPr="00A0069B">
        <w:t xml:space="preserve"> </w:t>
      </w:r>
      <w:r w:rsidR="00A0069B" w:rsidRPr="00A0069B">
        <w:rPr>
          <w:rFonts w:cs="Calibri"/>
        </w:rPr>
        <w:t>IHME (2019)</w:t>
      </w:r>
      <w:r w:rsidRPr="00C85196">
        <w:rPr>
          <w:rFonts w:cs="Calibri"/>
        </w:rPr>
        <w:t xml:space="preserve">; The Treasury </w:t>
      </w:r>
      <w:r>
        <w:rPr>
          <w:rFonts w:cs="Calibri"/>
        </w:rPr>
        <w:t>(</w:t>
      </w:r>
      <w:r w:rsidRPr="00C85196">
        <w:rPr>
          <w:rFonts w:cs="Calibri"/>
        </w:rPr>
        <w:t>2022)</w:t>
      </w:r>
      <w:r>
        <w:fldChar w:fldCharType="end"/>
      </w:r>
      <w:r>
        <w:t xml:space="preserve"> </w:t>
      </w:r>
    </w:p>
    <w:p w14:paraId="6145BF3C" w14:textId="07B02488" w:rsidR="00B02ED1" w:rsidRDefault="00B02ED1" w:rsidP="00B02ED1">
      <w:pPr>
        <w:pStyle w:val="Heading3"/>
      </w:pPr>
      <w:r>
        <w:t xml:space="preserve">Estimated value </w:t>
      </w:r>
      <w:r w:rsidR="00490F1D" w:rsidRPr="00490F1D">
        <w:t xml:space="preserve">increased risk of mortality and morbidity due to </w:t>
      </w:r>
      <w:r>
        <w:t xml:space="preserve">alcohol use disorders </w:t>
      </w:r>
      <w:proofErr w:type="gramStart"/>
      <w:r>
        <w:t>alone</w:t>
      </w:r>
      <w:proofErr w:type="gramEnd"/>
    </w:p>
    <w:p w14:paraId="4BC64EDE" w14:textId="77777777" w:rsidR="00B02ED1" w:rsidRDefault="00B02ED1" w:rsidP="00B02ED1">
      <w:pPr>
        <w:pStyle w:val="USBodyText"/>
      </w:pPr>
      <w:r>
        <w:t>Alcohol use disorders are a particular alcohol-related harm which may be expected to be associated with a significant fraction of all DALYs from alcohol consumption.</w:t>
      </w:r>
    </w:p>
    <w:p w14:paraId="11CC6DF9" w14:textId="6899E3C3" w:rsidR="00B02ED1" w:rsidRDefault="00B02ED1" w:rsidP="00B02ED1">
      <w:pPr>
        <w:pStyle w:val="USBodyText"/>
      </w:pPr>
      <w:r>
        <w:t>According to the IHME, alcohol use disorders were responsible for the rates of DALYs in the New Zealand population in 2019 (most recent year available)</w:t>
      </w:r>
      <w:r w:rsidR="000237A8">
        <w:t>,</w:t>
      </w:r>
      <w:r>
        <w:t xml:space="preserve"> as described in </w:t>
      </w:r>
      <w:r>
        <w:fldChar w:fldCharType="begin"/>
      </w:r>
      <w:r>
        <w:instrText xml:space="preserve"> REF _Ref152844350 \h </w:instrText>
      </w:r>
      <w:r>
        <w:fldChar w:fldCharType="separate"/>
      </w:r>
      <w:r w:rsidR="00AE166D" w:rsidRPr="00731CA6">
        <w:t xml:space="preserve">Table </w:t>
      </w:r>
      <w:r w:rsidR="00AE166D">
        <w:rPr>
          <w:noProof/>
        </w:rPr>
        <w:t>7</w:t>
      </w:r>
      <w:r>
        <w:fldChar w:fldCharType="end"/>
      </w:r>
      <w:r>
        <w:t xml:space="preserve"> below. These represent a significant proportion of the total alcohol DALY rates in these age groups (from 10 percent of all alcohol-related DALYs in the 70+ age group to 43 percent of all alcohol-related DALYs in the 15-49 age group).</w:t>
      </w:r>
    </w:p>
    <w:p w14:paraId="69183243" w14:textId="068AD678" w:rsidR="001D39B6" w:rsidRDefault="00B02ED1" w:rsidP="00B02ED1">
      <w:pPr>
        <w:pStyle w:val="TableCaption"/>
      </w:pPr>
      <w:bookmarkStart w:id="47" w:name="_Ref152844350"/>
      <w:bookmarkStart w:id="48" w:name="_Toc160633914"/>
      <w:r w:rsidRPr="00731CA6">
        <w:t xml:space="preserve">Table </w:t>
      </w:r>
      <w:fldSimple w:instr=" SEQ Table \* ARABIC ">
        <w:r w:rsidR="00AE166D">
          <w:rPr>
            <w:noProof/>
          </w:rPr>
          <w:t>7</w:t>
        </w:r>
      </w:fldSimple>
      <w:bookmarkEnd w:id="47"/>
      <w:r w:rsidRPr="00731CA6">
        <w:t xml:space="preserve"> </w:t>
      </w:r>
      <w:r>
        <w:t>DALY rates from alcohol use disorders</w:t>
      </w:r>
      <w:bookmarkEnd w:id="48"/>
      <w:r>
        <w:t xml:space="preserve"> </w:t>
      </w:r>
    </w:p>
    <w:p w14:paraId="21B14F88" w14:textId="0860FB34" w:rsidR="00B02ED1" w:rsidRPr="004B4E9C" w:rsidRDefault="001D39B6" w:rsidP="001D39B6">
      <w:pPr>
        <w:pStyle w:val="CaptionSubheading"/>
      </w:pPr>
      <w:r>
        <w:t>B</w:t>
      </w:r>
      <w:r w:rsidR="00B02ED1">
        <w:t>y age group</w:t>
      </w:r>
      <w:r>
        <w:t>, p</w:t>
      </w:r>
      <w:r w:rsidR="00B02ED1">
        <w:t>er 100,000 population</w:t>
      </w:r>
    </w:p>
    <w:tbl>
      <w:tblPr>
        <w:tblStyle w:val="TableDefault"/>
        <w:tblW w:w="0" w:type="auto"/>
        <w:tblLook w:val="04A0" w:firstRow="1" w:lastRow="0" w:firstColumn="1" w:lastColumn="0" w:noHBand="0" w:noVBand="1"/>
      </w:tblPr>
      <w:tblGrid>
        <w:gridCol w:w="1639"/>
        <w:gridCol w:w="1645"/>
        <w:gridCol w:w="1645"/>
        <w:gridCol w:w="1645"/>
        <w:gridCol w:w="1646"/>
      </w:tblGrid>
      <w:tr w:rsidR="00B02ED1" w14:paraId="7CCC66A0" w14:textId="77777777">
        <w:trPr>
          <w:cnfStyle w:val="100000000000" w:firstRow="1" w:lastRow="0" w:firstColumn="0" w:lastColumn="0" w:oddVBand="0" w:evenVBand="0" w:oddHBand="0" w:evenHBand="0" w:firstRowFirstColumn="0" w:firstRowLastColumn="0" w:lastRowFirstColumn="0" w:lastRowLastColumn="0"/>
        </w:trPr>
        <w:tc>
          <w:tcPr>
            <w:tcW w:w="1639" w:type="dxa"/>
          </w:tcPr>
          <w:p w14:paraId="2A44E867" w14:textId="77777777" w:rsidR="00B02ED1" w:rsidRDefault="00B02ED1">
            <w:pPr>
              <w:pStyle w:val="TSTableHeadingWhite-TopRow"/>
            </w:pPr>
          </w:p>
        </w:tc>
        <w:tc>
          <w:tcPr>
            <w:tcW w:w="1645" w:type="dxa"/>
          </w:tcPr>
          <w:p w14:paraId="309482A6" w14:textId="2672125F" w:rsidR="00B02ED1" w:rsidRPr="000E7F32" w:rsidRDefault="00B02ED1">
            <w:pPr>
              <w:pStyle w:val="TSTableHeadingWhite-TopRow"/>
              <w:rPr>
                <w:b w:val="0"/>
                <w:bCs/>
                <w:color w:val="FFFFFF" w:themeColor="background1"/>
              </w:rPr>
            </w:pPr>
            <w:r w:rsidRPr="000E7F32">
              <w:rPr>
                <w:color w:val="FFFFFF" w:themeColor="background1"/>
              </w:rPr>
              <w:t>5</w:t>
            </w:r>
            <w:r w:rsidR="000237A8">
              <w:rPr>
                <w:color w:val="FFFFFF" w:themeColor="background1"/>
              </w:rPr>
              <w:t>–</w:t>
            </w:r>
            <w:r w:rsidRPr="000E7F32">
              <w:rPr>
                <w:color w:val="FFFFFF" w:themeColor="background1"/>
              </w:rPr>
              <w:t>14 years</w:t>
            </w:r>
          </w:p>
        </w:tc>
        <w:tc>
          <w:tcPr>
            <w:tcW w:w="1645" w:type="dxa"/>
          </w:tcPr>
          <w:p w14:paraId="4C64DBDE" w14:textId="4D49174A" w:rsidR="00B02ED1" w:rsidRPr="000E7F32" w:rsidRDefault="00B02ED1">
            <w:pPr>
              <w:pStyle w:val="TSTableHeadingWhite-TopRow"/>
              <w:rPr>
                <w:b w:val="0"/>
                <w:bCs/>
                <w:color w:val="FFFFFF" w:themeColor="background1"/>
              </w:rPr>
            </w:pPr>
            <w:r w:rsidRPr="000E7F32">
              <w:rPr>
                <w:color w:val="FFFFFF" w:themeColor="background1"/>
              </w:rPr>
              <w:t>15</w:t>
            </w:r>
            <w:r w:rsidR="000237A8">
              <w:rPr>
                <w:color w:val="FFFFFF" w:themeColor="background1"/>
              </w:rPr>
              <w:t>–</w:t>
            </w:r>
            <w:r w:rsidRPr="000E7F32">
              <w:rPr>
                <w:color w:val="FFFFFF" w:themeColor="background1"/>
              </w:rPr>
              <w:t>49 years</w:t>
            </w:r>
          </w:p>
        </w:tc>
        <w:tc>
          <w:tcPr>
            <w:tcW w:w="1645" w:type="dxa"/>
          </w:tcPr>
          <w:p w14:paraId="5453AB04" w14:textId="50261AD5" w:rsidR="00B02ED1" w:rsidRPr="000E7F32" w:rsidRDefault="00B02ED1">
            <w:pPr>
              <w:pStyle w:val="TSTableHeadingWhite-TopRow"/>
              <w:rPr>
                <w:b w:val="0"/>
                <w:bCs/>
                <w:color w:val="FFFFFF" w:themeColor="background1"/>
              </w:rPr>
            </w:pPr>
            <w:r w:rsidRPr="000E7F32">
              <w:rPr>
                <w:color w:val="FFFFFF" w:themeColor="background1"/>
              </w:rPr>
              <w:t>50</w:t>
            </w:r>
            <w:r w:rsidR="000237A8">
              <w:rPr>
                <w:color w:val="FFFFFF" w:themeColor="background1"/>
              </w:rPr>
              <w:t>–</w:t>
            </w:r>
            <w:r w:rsidRPr="000E7F32">
              <w:rPr>
                <w:color w:val="FFFFFF" w:themeColor="background1"/>
              </w:rPr>
              <w:t>69 years</w:t>
            </w:r>
          </w:p>
        </w:tc>
        <w:tc>
          <w:tcPr>
            <w:tcW w:w="1646" w:type="dxa"/>
          </w:tcPr>
          <w:p w14:paraId="28D48A5A" w14:textId="77777777" w:rsidR="00B02ED1" w:rsidRPr="000E7F32" w:rsidRDefault="00B02ED1">
            <w:pPr>
              <w:pStyle w:val="TSTableHeadingWhite-TopRow"/>
              <w:rPr>
                <w:b w:val="0"/>
                <w:bCs/>
                <w:color w:val="FFFFFF" w:themeColor="background1"/>
              </w:rPr>
            </w:pPr>
            <w:r w:rsidRPr="000E7F32">
              <w:rPr>
                <w:color w:val="FFFFFF" w:themeColor="background1"/>
              </w:rPr>
              <w:t>70+ years</w:t>
            </w:r>
          </w:p>
        </w:tc>
      </w:tr>
      <w:tr w:rsidR="00B02ED1" w14:paraId="43B563DC" w14:textId="77777777">
        <w:tc>
          <w:tcPr>
            <w:tcW w:w="1639" w:type="dxa"/>
          </w:tcPr>
          <w:p w14:paraId="4889F05A" w14:textId="77777777" w:rsidR="00B02ED1" w:rsidRDefault="00B02ED1">
            <w:pPr>
              <w:pStyle w:val="TSBodyText"/>
            </w:pPr>
            <w:r>
              <w:t xml:space="preserve">2019 </w:t>
            </w:r>
            <w:r w:rsidRPr="009B72D1">
              <w:t>DALY rates from alcohol use disorders</w:t>
            </w:r>
          </w:p>
        </w:tc>
        <w:tc>
          <w:tcPr>
            <w:tcW w:w="1645" w:type="dxa"/>
          </w:tcPr>
          <w:p w14:paraId="6ED679A5" w14:textId="77777777" w:rsidR="00B02ED1" w:rsidRDefault="00B02ED1">
            <w:pPr>
              <w:pStyle w:val="TSBodyText"/>
            </w:pPr>
            <w:r w:rsidRPr="00735DA8">
              <w:t>5.23</w:t>
            </w:r>
          </w:p>
        </w:tc>
        <w:tc>
          <w:tcPr>
            <w:tcW w:w="1645" w:type="dxa"/>
          </w:tcPr>
          <w:p w14:paraId="35059DB0" w14:textId="77777777" w:rsidR="00B02ED1" w:rsidRDefault="00B02ED1">
            <w:pPr>
              <w:pStyle w:val="TSBodyText"/>
            </w:pPr>
            <w:r w:rsidRPr="00735DA8">
              <w:t>544.22</w:t>
            </w:r>
          </w:p>
        </w:tc>
        <w:tc>
          <w:tcPr>
            <w:tcW w:w="1645" w:type="dxa"/>
          </w:tcPr>
          <w:p w14:paraId="337F2E66" w14:textId="77777777" w:rsidR="00B02ED1" w:rsidRDefault="00B02ED1">
            <w:pPr>
              <w:pStyle w:val="TSBodyText"/>
            </w:pPr>
            <w:r w:rsidRPr="00735DA8">
              <w:t>377.36</w:t>
            </w:r>
          </w:p>
        </w:tc>
        <w:tc>
          <w:tcPr>
            <w:tcW w:w="1646" w:type="dxa"/>
          </w:tcPr>
          <w:p w14:paraId="3123C125" w14:textId="77777777" w:rsidR="00B02ED1" w:rsidRDefault="00B02ED1">
            <w:pPr>
              <w:pStyle w:val="TSBodyText"/>
            </w:pPr>
            <w:r w:rsidRPr="00735DA8">
              <w:t>229.33</w:t>
            </w:r>
          </w:p>
        </w:tc>
      </w:tr>
      <w:tr w:rsidR="00B02ED1" w14:paraId="1EE96271" w14:textId="77777777">
        <w:trPr>
          <w:cnfStyle w:val="000000010000" w:firstRow="0" w:lastRow="0" w:firstColumn="0" w:lastColumn="0" w:oddVBand="0" w:evenVBand="0" w:oddHBand="0" w:evenHBand="1" w:firstRowFirstColumn="0" w:firstRowLastColumn="0" w:lastRowFirstColumn="0" w:lastRowLastColumn="0"/>
        </w:trPr>
        <w:tc>
          <w:tcPr>
            <w:tcW w:w="1639" w:type="dxa"/>
          </w:tcPr>
          <w:p w14:paraId="20C4CA56" w14:textId="77777777" w:rsidR="00B02ED1" w:rsidRDefault="00B02ED1">
            <w:pPr>
              <w:pStyle w:val="TSBodyText"/>
            </w:pPr>
            <w:r>
              <w:t>% of total alcohol-related DALY rate</w:t>
            </w:r>
          </w:p>
        </w:tc>
        <w:tc>
          <w:tcPr>
            <w:tcW w:w="1645" w:type="dxa"/>
          </w:tcPr>
          <w:p w14:paraId="38930FCC" w14:textId="77777777" w:rsidR="00B02ED1" w:rsidRPr="00735DA8" w:rsidRDefault="00B02ED1">
            <w:pPr>
              <w:pStyle w:val="TSBodyText"/>
            </w:pPr>
            <w:r w:rsidRPr="00C162B8">
              <w:t>18%</w:t>
            </w:r>
          </w:p>
        </w:tc>
        <w:tc>
          <w:tcPr>
            <w:tcW w:w="1645" w:type="dxa"/>
          </w:tcPr>
          <w:p w14:paraId="7CD1D4AE" w14:textId="77777777" w:rsidR="00B02ED1" w:rsidRPr="00735DA8" w:rsidRDefault="00B02ED1">
            <w:pPr>
              <w:pStyle w:val="TSBodyText"/>
            </w:pPr>
            <w:r w:rsidRPr="00C162B8">
              <w:t>43%</w:t>
            </w:r>
          </w:p>
        </w:tc>
        <w:tc>
          <w:tcPr>
            <w:tcW w:w="1645" w:type="dxa"/>
          </w:tcPr>
          <w:p w14:paraId="18D913AB" w14:textId="77777777" w:rsidR="00B02ED1" w:rsidRPr="00735DA8" w:rsidRDefault="00B02ED1">
            <w:pPr>
              <w:pStyle w:val="TSBodyText"/>
            </w:pPr>
            <w:r w:rsidRPr="00C162B8">
              <w:t>19%</w:t>
            </w:r>
          </w:p>
        </w:tc>
        <w:tc>
          <w:tcPr>
            <w:tcW w:w="1646" w:type="dxa"/>
          </w:tcPr>
          <w:p w14:paraId="5AD455B8" w14:textId="77777777" w:rsidR="00B02ED1" w:rsidRPr="00735DA8" w:rsidRDefault="00B02ED1">
            <w:pPr>
              <w:pStyle w:val="TSBodyText"/>
            </w:pPr>
            <w:r w:rsidRPr="00C162B8">
              <w:t>10%</w:t>
            </w:r>
          </w:p>
        </w:tc>
      </w:tr>
    </w:tbl>
    <w:p w14:paraId="7A72406B" w14:textId="18DC17E3" w:rsidR="00B02ED1" w:rsidRDefault="00B02ED1" w:rsidP="00B02ED1">
      <w:pPr>
        <w:pStyle w:val="USSource"/>
      </w:pPr>
      <w:r>
        <w:t xml:space="preserve">Source: </w:t>
      </w:r>
      <w:r>
        <w:fldChar w:fldCharType="begin"/>
      </w:r>
      <w:r w:rsidR="00F244F6">
        <w:instrText xml:space="preserve"> ADDIN ZOTERO_ITEM CSL_CITATION {"citationID":"4bL78UsM","properties":{"formattedCitation":"(IHME 2019)","plainCitation":"(IHME 2019)","dontUpdate":true,"noteIndex":0},"citationItems":[{"id":71341,"uris":["http://zotero.org/groups/4944822/items/YT9QM6HQ"],"itemData":{"id":71341,"type":"webpage","abstract":"The Global Burden of Disease (GBD) study provides a comprehensive picture of mortality and disability across countries, time, age, and sex. It quantifies health loss from hundreds of diseases, injuries, and risk factors, so that health systems can be improved and disparities eliminated.","language":"en","title":"Global Burden of Disease","URL":"https://www.healthdata.org/research-analysis/gbd","author":[{"family":"IHME","given":""}],"accessed":{"date-parts":[["2023",12,7]]},"issued":{"date-parts":[["2019"]]}}}],"schema":"https://github.com/citation-style-language/schema/raw/master/csl-citation.json"} </w:instrText>
      </w:r>
      <w:r>
        <w:fldChar w:fldCharType="separate"/>
      </w:r>
      <w:r w:rsidRPr="008719D8">
        <w:rPr>
          <w:rFonts w:cs="Calibri"/>
        </w:rPr>
        <w:t>IHME 2019</w:t>
      </w:r>
      <w:r>
        <w:fldChar w:fldCharType="end"/>
      </w:r>
    </w:p>
    <w:p w14:paraId="0C1E51FE" w14:textId="1FE61242" w:rsidR="00B02ED1" w:rsidRDefault="00B02ED1" w:rsidP="00B02ED1">
      <w:pPr>
        <w:pStyle w:val="USBodyText"/>
      </w:pPr>
      <w:r>
        <w:t xml:space="preserve">Assuming the DALY rates have not changed from 2019 to 2023 and using the Stats NZ national population projection for 2023 (median, from 2022 base), these rates translate into a total of 18,905 DALYs in 2023 (see </w:t>
      </w:r>
      <w:r w:rsidR="000237A8">
        <w:fldChar w:fldCharType="begin"/>
      </w:r>
      <w:r w:rsidR="000237A8">
        <w:instrText xml:space="preserve"> REF _Ref160445139 \h </w:instrText>
      </w:r>
      <w:r w:rsidR="000237A8">
        <w:fldChar w:fldCharType="separate"/>
      </w:r>
      <w:r w:rsidR="00AE166D" w:rsidRPr="00731CA6">
        <w:t xml:space="preserve">Table </w:t>
      </w:r>
      <w:r w:rsidR="00AE166D">
        <w:rPr>
          <w:noProof/>
        </w:rPr>
        <w:t>8</w:t>
      </w:r>
      <w:r w:rsidR="000237A8">
        <w:fldChar w:fldCharType="end"/>
      </w:r>
      <w:r>
        <w:t xml:space="preserve"> below). Overall, 28 percent of all </w:t>
      </w:r>
      <w:proofErr w:type="gramStart"/>
      <w:r>
        <w:t>alcohol-related</w:t>
      </w:r>
      <w:proofErr w:type="gramEnd"/>
      <w:r>
        <w:t xml:space="preserve"> DALYs in 2023 are estimated to be attributable to alcohol use disorders.</w:t>
      </w:r>
    </w:p>
    <w:p w14:paraId="27A71374" w14:textId="5D8D59DC" w:rsidR="001D39B6" w:rsidRDefault="00B02ED1" w:rsidP="00B02ED1">
      <w:pPr>
        <w:pStyle w:val="TableCaption"/>
      </w:pPr>
      <w:bookmarkStart w:id="49" w:name="_Ref160445139"/>
      <w:bookmarkStart w:id="50" w:name="_Toc160633915"/>
      <w:r w:rsidRPr="00731CA6">
        <w:lastRenderedPageBreak/>
        <w:t xml:space="preserve">Table </w:t>
      </w:r>
      <w:fldSimple w:instr=" SEQ Table \* ARABIC ">
        <w:r w:rsidR="00AE166D">
          <w:rPr>
            <w:noProof/>
          </w:rPr>
          <w:t>8</w:t>
        </w:r>
      </w:fldSimple>
      <w:bookmarkEnd w:id="49"/>
      <w:r w:rsidRPr="00731CA6">
        <w:t xml:space="preserve"> </w:t>
      </w:r>
      <w:r>
        <w:t>DALYs from alcohol use disorders</w:t>
      </w:r>
      <w:bookmarkEnd w:id="50"/>
      <w:r>
        <w:t xml:space="preserve"> </w:t>
      </w:r>
    </w:p>
    <w:p w14:paraId="023C4057" w14:textId="17140C2A" w:rsidR="00B02ED1" w:rsidRDefault="001D39B6" w:rsidP="001D39B6">
      <w:pPr>
        <w:pStyle w:val="CaptionSubheading"/>
      </w:pPr>
      <w:r>
        <w:t>B</w:t>
      </w:r>
      <w:r w:rsidR="00B02ED1">
        <w:t>y age group and total</w:t>
      </w:r>
    </w:p>
    <w:tbl>
      <w:tblPr>
        <w:tblStyle w:val="TableDefault"/>
        <w:tblW w:w="0" w:type="auto"/>
        <w:tblLook w:val="04A0" w:firstRow="1" w:lastRow="0" w:firstColumn="1" w:lastColumn="0" w:noHBand="0" w:noVBand="1"/>
      </w:tblPr>
      <w:tblGrid>
        <w:gridCol w:w="1350"/>
        <w:gridCol w:w="1367"/>
        <w:gridCol w:w="1409"/>
        <w:gridCol w:w="1409"/>
        <w:gridCol w:w="1405"/>
        <w:gridCol w:w="1280"/>
      </w:tblGrid>
      <w:tr w:rsidR="00B02ED1" w14:paraId="2B8A3372" w14:textId="77777777">
        <w:trPr>
          <w:cnfStyle w:val="100000000000" w:firstRow="1" w:lastRow="0" w:firstColumn="0" w:lastColumn="0" w:oddVBand="0" w:evenVBand="0" w:oddHBand="0" w:evenHBand="0" w:firstRowFirstColumn="0" w:firstRowLastColumn="0" w:lastRowFirstColumn="0" w:lastRowLastColumn="0"/>
        </w:trPr>
        <w:tc>
          <w:tcPr>
            <w:tcW w:w="1350" w:type="dxa"/>
          </w:tcPr>
          <w:p w14:paraId="5C7CEC85" w14:textId="77777777" w:rsidR="00B02ED1" w:rsidRDefault="00B02ED1">
            <w:pPr>
              <w:pStyle w:val="TSTableHeadingWhite-TopRow"/>
            </w:pPr>
          </w:p>
        </w:tc>
        <w:tc>
          <w:tcPr>
            <w:tcW w:w="1367" w:type="dxa"/>
          </w:tcPr>
          <w:p w14:paraId="3F8A9CE2" w14:textId="77777777" w:rsidR="00B02ED1" w:rsidRPr="000E7F32" w:rsidRDefault="00B02ED1">
            <w:pPr>
              <w:pStyle w:val="TSTableHeadingWhite-TopRow"/>
              <w:jc w:val="center"/>
              <w:rPr>
                <w:color w:val="FFFFFF" w:themeColor="background1"/>
              </w:rPr>
            </w:pPr>
            <w:r w:rsidRPr="000E7F32">
              <w:rPr>
                <w:color w:val="FFFFFF" w:themeColor="background1"/>
              </w:rPr>
              <w:t>5</w:t>
            </w:r>
            <w:r>
              <w:rPr>
                <w:bCs/>
                <w:color w:val="FFFFFF" w:themeColor="background1"/>
              </w:rPr>
              <w:t>–</w:t>
            </w:r>
            <w:r w:rsidRPr="000E7F32">
              <w:rPr>
                <w:color w:val="FFFFFF" w:themeColor="background1"/>
              </w:rPr>
              <w:t>14 years</w:t>
            </w:r>
          </w:p>
        </w:tc>
        <w:tc>
          <w:tcPr>
            <w:tcW w:w="1409" w:type="dxa"/>
          </w:tcPr>
          <w:p w14:paraId="43B17087" w14:textId="77777777" w:rsidR="00B02ED1" w:rsidRPr="000E7F32" w:rsidRDefault="00B02ED1">
            <w:pPr>
              <w:pStyle w:val="TSTableHeadingWhite-TopRow"/>
              <w:jc w:val="center"/>
              <w:rPr>
                <w:color w:val="FFFFFF" w:themeColor="background1"/>
              </w:rPr>
            </w:pPr>
            <w:r w:rsidRPr="000E7F32">
              <w:rPr>
                <w:color w:val="FFFFFF" w:themeColor="background1"/>
              </w:rPr>
              <w:t>15</w:t>
            </w:r>
            <w:r>
              <w:rPr>
                <w:bCs/>
                <w:color w:val="FFFFFF" w:themeColor="background1"/>
              </w:rPr>
              <w:t>–</w:t>
            </w:r>
            <w:r w:rsidRPr="000E7F32">
              <w:rPr>
                <w:color w:val="FFFFFF" w:themeColor="background1"/>
              </w:rPr>
              <w:t>49 years</w:t>
            </w:r>
          </w:p>
        </w:tc>
        <w:tc>
          <w:tcPr>
            <w:tcW w:w="1409" w:type="dxa"/>
          </w:tcPr>
          <w:p w14:paraId="0936D080" w14:textId="77777777" w:rsidR="00B02ED1" w:rsidRPr="000E7F32" w:rsidRDefault="00B02ED1">
            <w:pPr>
              <w:pStyle w:val="TSTableHeadingWhite-TopRow"/>
              <w:jc w:val="center"/>
              <w:rPr>
                <w:color w:val="FFFFFF" w:themeColor="background1"/>
              </w:rPr>
            </w:pPr>
            <w:r w:rsidRPr="000E7F32">
              <w:rPr>
                <w:color w:val="FFFFFF" w:themeColor="background1"/>
              </w:rPr>
              <w:t>50</w:t>
            </w:r>
            <w:r>
              <w:rPr>
                <w:bCs/>
                <w:color w:val="FFFFFF" w:themeColor="background1"/>
              </w:rPr>
              <w:t>–</w:t>
            </w:r>
            <w:r w:rsidRPr="000E7F32">
              <w:rPr>
                <w:color w:val="FFFFFF" w:themeColor="background1"/>
              </w:rPr>
              <w:t>69 years</w:t>
            </w:r>
          </w:p>
        </w:tc>
        <w:tc>
          <w:tcPr>
            <w:tcW w:w="1405" w:type="dxa"/>
          </w:tcPr>
          <w:p w14:paraId="16E96FBB" w14:textId="77777777" w:rsidR="00B02ED1" w:rsidRPr="000E7F32" w:rsidRDefault="00B02ED1">
            <w:pPr>
              <w:pStyle w:val="TSTableHeadingWhite-TopRow"/>
              <w:jc w:val="center"/>
              <w:rPr>
                <w:color w:val="FFFFFF" w:themeColor="background1"/>
              </w:rPr>
            </w:pPr>
            <w:r w:rsidRPr="000E7F32">
              <w:rPr>
                <w:color w:val="FFFFFF" w:themeColor="background1"/>
              </w:rPr>
              <w:t>70+ years</w:t>
            </w:r>
          </w:p>
        </w:tc>
        <w:tc>
          <w:tcPr>
            <w:tcW w:w="1280" w:type="dxa"/>
          </w:tcPr>
          <w:p w14:paraId="14701960" w14:textId="77777777" w:rsidR="00B02ED1" w:rsidRPr="000E7F32" w:rsidRDefault="00B02ED1">
            <w:pPr>
              <w:pStyle w:val="TSTableHeadingWhite-TopRow"/>
              <w:jc w:val="center"/>
              <w:rPr>
                <w:color w:val="FFFFFF" w:themeColor="background1"/>
              </w:rPr>
            </w:pPr>
            <w:r w:rsidRPr="000E7F32">
              <w:rPr>
                <w:color w:val="FFFFFF" w:themeColor="background1"/>
              </w:rPr>
              <w:t>Total</w:t>
            </w:r>
          </w:p>
        </w:tc>
      </w:tr>
      <w:tr w:rsidR="00B02ED1" w14:paraId="57E44D00" w14:textId="77777777">
        <w:tc>
          <w:tcPr>
            <w:tcW w:w="1350" w:type="dxa"/>
          </w:tcPr>
          <w:p w14:paraId="6FE45F66" w14:textId="77777777" w:rsidR="00B02ED1" w:rsidRDefault="00B02ED1">
            <w:pPr>
              <w:pStyle w:val="TSBodyText"/>
            </w:pPr>
            <w:r>
              <w:t>Population 2023</w:t>
            </w:r>
          </w:p>
        </w:tc>
        <w:tc>
          <w:tcPr>
            <w:tcW w:w="1367" w:type="dxa"/>
          </w:tcPr>
          <w:p w14:paraId="272CB4BB" w14:textId="77777777" w:rsidR="00B02ED1" w:rsidRPr="00735DA8" w:rsidRDefault="00B02ED1">
            <w:pPr>
              <w:pStyle w:val="TSBodyText"/>
              <w:ind w:right="335"/>
              <w:jc w:val="right"/>
            </w:pPr>
            <w:r w:rsidRPr="00E07CC4">
              <w:t xml:space="preserve"> 654,600 </w:t>
            </w:r>
          </w:p>
        </w:tc>
        <w:tc>
          <w:tcPr>
            <w:tcW w:w="1409" w:type="dxa"/>
          </w:tcPr>
          <w:p w14:paraId="791E3A54" w14:textId="77777777" w:rsidR="00B02ED1" w:rsidRPr="00735DA8" w:rsidRDefault="00B02ED1">
            <w:pPr>
              <w:pStyle w:val="TSBodyText"/>
              <w:ind w:right="335"/>
              <w:jc w:val="right"/>
            </w:pPr>
            <w:r w:rsidRPr="00E07CC4">
              <w:t xml:space="preserve"> 2,361,200 </w:t>
            </w:r>
          </w:p>
        </w:tc>
        <w:tc>
          <w:tcPr>
            <w:tcW w:w="1409" w:type="dxa"/>
          </w:tcPr>
          <w:p w14:paraId="17B0A4E6" w14:textId="77777777" w:rsidR="00B02ED1" w:rsidRPr="00735DA8" w:rsidRDefault="00B02ED1">
            <w:pPr>
              <w:pStyle w:val="TSBodyText"/>
              <w:ind w:right="335"/>
              <w:jc w:val="right"/>
            </w:pPr>
            <w:r w:rsidRPr="00E07CC4">
              <w:t xml:space="preserve"> 1,228,400 </w:t>
            </w:r>
          </w:p>
        </w:tc>
        <w:tc>
          <w:tcPr>
            <w:tcW w:w="1405" w:type="dxa"/>
          </w:tcPr>
          <w:p w14:paraId="6EB2D31C" w14:textId="77777777" w:rsidR="00B02ED1" w:rsidRPr="00735DA8" w:rsidRDefault="00B02ED1">
            <w:pPr>
              <w:pStyle w:val="TSBodyText"/>
              <w:ind w:right="335"/>
              <w:jc w:val="right"/>
            </w:pPr>
            <w:r w:rsidRPr="00E07CC4">
              <w:t xml:space="preserve"> 604,100 </w:t>
            </w:r>
          </w:p>
        </w:tc>
        <w:tc>
          <w:tcPr>
            <w:tcW w:w="1280" w:type="dxa"/>
          </w:tcPr>
          <w:p w14:paraId="5D59C4EB" w14:textId="77777777" w:rsidR="00B02ED1" w:rsidRPr="00735DA8" w:rsidRDefault="00B02ED1">
            <w:pPr>
              <w:pStyle w:val="TSBodyText"/>
              <w:ind w:right="335"/>
              <w:jc w:val="right"/>
            </w:pPr>
            <w:r w:rsidRPr="00B14D2A">
              <w:t>4,848,300</w:t>
            </w:r>
          </w:p>
        </w:tc>
      </w:tr>
      <w:tr w:rsidR="00B02ED1" w14:paraId="47049C5B" w14:textId="77777777">
        <w:trPr>
          <w:cnfStyle w:val="000000010000" w:firstRow="0" w:lastRow="0" w:firstColumn="0" w:lastColumn="0" w:oddVBand="0" w:evenVBand="0" w:oddHBand="0" w:evenHBand="1" w:firstRowFirstColumn="0" w:firstRowLastColumn="0" w:lastRowFirstColumn="0" w:lastRowLastColumn="0"/>
        </w:trPr>
        <w:tc>
          <w:tcPr>
            <w:tcW w:w="1350" w:type="dxa"/>
          </w:tcPr>
          <w:p w14:paraId="6C6AECD6" w14:textId="77777777" w:rsidR="00B02ED1" w:rsidRDefault="00B02ED1">
            <w:pPr>
              <w:pStyle w:val="TSBodyText"/>
            </w:pPr>
            <w:r>
              <w:t xml:space="preserve">DALYs </w:t>
            </w:r>
            <w:r w:rsidRPr="00A20B90">
              <w:t xml:space="preserve">from alcohol use disorders </w:t>
            </w:r>
            <w:r>
              <w:t>in 2023</w:t>
            </w:r>
          </w:p>
        </w:tc>
        <w:tc>
          <w:tcPr>
            <w:tcW w:w="1367" w:type="dxa"/>
          </w:tcPr>
          <w:p w14:paraId="5D0CC6E6" w14:textId="77777777" w:rsidR="00B02ED1" w:rsidRDefault="00B02ED1">
            <w:pPr>
              <w:pStyle w:val="TSBodyText"/>
              <w:ind w:right="335"/>
              <w:jc w:val="right"/>
            </w:pPr>
            <w:r w:rsidRPr="00506FE3">
              <w:t xml:space="preserve"> 34 </w:t>
            </w:r>
          </w:p>
        </w:tc>
        <w:tc>
          <w:tcPr>
            <w:tcW w:w="1409" w:type="dxa"/>
          </w:tcPr>
          <w:p w14:paraId="4E375AD1" w14:textId="77777777" w:rsidR="00B02ED1" w:rsidRDefault="00B02ED1">
            <w:pPr>
              <w:pStyle w:val="TSBodyText"/>
              <w:ind w:right="335"/>
              <w:jc w:val="right"/>
            </w:pPr>
            <w:r w:rsidRPr="00506FE3">
              <w:t xml:space="preserve"> 12,850 </w:t>
            </w:r>
          </w:p>
        </w:tc>
        <w:tc>
          <w:tcPr>
            <w:tcW w:w="1409" w:type="dxa"/>
          </w:tcPr>
          <w:p w14:paraId="3CA3E808" w14:textId="77777777" w:rsidR="00B02ED1" w:rsidRDefault="00B02ED1">
            <w:pPr>
              <w:pStyle w:val="TSBodyText"/>
              <w:ind w:right="335"/>
              <w:jc w:val="right"/>
            </w:pPr>
            <w:r w:rsidRPr="00506FE3">
              <w:t xml:space="preserve"> 4,635 </w:t>
            </w:r>
          </w:p>
        </w:tc>
        <w:tc>
          <w:tcPr>
            <w:tcW w:w="1405" w:type="dxa"/>
          </w:tcPr>
          <w:p w14:paraId="77094827" w14:textId="77777777" w:rsidR="00B02ED1" w:rsidRDefault="00B02ED1">
            <w:pPr>
              <w:pStyle w:val="TSBodyText"/>
              <w:ind w:right="335"/>
              <w:jc w:val="right"/>
            </w:pPr>
            <w:r w:rsidRPr="00506FE3">
              <w:t xml:space="preserve"> 1,385 </w:t>
            </w:r>
          </w:p>
        </w:tc>
        <w:tc>
          <w:tcPr>
            <w:tcW w:w="1280" w:type="dxa"/>
          </w:tcPr>
          <w:p w14:paraId="3A220AC9" w14:textId="77777777" w:rsidR="00B02ED1" w:rsidRPr="00735DA8" w:rsidRDefault="00B02ED1">
            <w:pPr>
              <w:pStyle w:val="TSBodyText"/>
              <w:ind w:right="335"/>
              <w:jc w:val="right"/>
            </w:pPr>
            <w:r w:rsidRPr="00506FE3">
              <w:t xml:space="preserve"> 18,905 </w:t>
            </w:r>
          </w:p>
        </w:tc>
      </w:tr>
      <w:tr w:rsidR="00B02ED1" w14:paraId="205447EB" w14:textId="77777777">
        <w:tc>
          <w:tcPr>
            <w:tcW w:w="1350" w:type="dxa"/>
          </w:tcPr>
          <w:p w14:paraId="16EF3903" w14:textId="77777777" w:rsidR="00B02ED1" w:rsidRDefault="00B02ED1">
            <w:pPr>
              <w:pStyle w:val="TSBodyText"/>
            </w:pPr>
            <w:r w:rsidRPr="00A20B90">
              <w:t xml:space="preserve">% of total </w:t>
            </w:r>
            <w:proofErr w:type="gramStart"/>
            <w:r w:rsidRPr="00A20B90">
              <w:t>alcohol-related</w:t>
            </w:r>
            <w:proofErr w:type="gramEnd"/>
            <w:r w:rsidRPr="00A20B90">
              <w:t xml:space="preserve"> DALY</w:t>
            </w:r>
            <w:r>
              <w:t>s</w:t>
            </w:r>
          </w:p>
        </w:tc>
        <w:tc>
          <w:tcPr>
            <w:tcW w:w="1367" w:type="dxa"/>
          </w:tcPr>
          <w:p w14:paraId="726AD56B" w14:textId="77777777" w:rsidR="00B02ED1" w:rsidRPr="00506FE3" w:rsidRDefault="00B02ED1">
            <w:pPr>
              <w:pStyle w:val="TSBodyText"/>
              <w:ind w:right="335"/>
              <w:jc w:val="right"/>
            </w:pPr>
            <w:r w:rsidRPr="008F4D61">
              <w:t>18%</w:t>
            </w:r>
          </w:p>
        </w:tc>
        <w:tc>
          <w:tcPr>
            <w:tcW w:w="1409" w:type="dxa"/>
          </w:tcPr>
          <w:p w14:paraId="078A65F5" w14:textId="77777777" w:rsidR="00B02ED1" w:rsidRPr="00506FE3" w:rsidRDefault="00B02ED1">
            <w:pPr>
              <w:pStyle w:val="TSBodyText"/>
              <w:ind w:right="335"/>
              <w:jc w:val="right"/>
            </w:pPr>
            <w:r w:rsidRPr="008F4D61">
              <w:t>43%</w:t>
            </w:r>
          </w:p>
        </w:tc>
        <w:tc>
          <w:tcPr>
            <w:tcW w:w="1409" w:type="dxa"/>
          </w:tcPr>
          <w:p w14:paraId="637613AF" w14:textId="77777777" w:rsidR="00B02ED1" w:rsidRPr="00506FE3" w:rsidRDefault="00B02ED1">
            <w:pPr>
              <w:pStyle w:val="TSBodyText"/>
              <w:ind w:right="335"/>
              <w:jc w:val="right"/>
            </w:pPr>
            <w:r w:rsidRPr="008F4D61">
              <w:t>19%</w:t>
            </w:r>
          </w:p>
        </w:tc>
        <w:tc>
          <w:tcPr>
            <w:tcW w:w="1405" w:type="dxa"/>
          </w:tcPr>
          <w:p w14:paraId="43DE1CCE" w14:textId="77777777" w:rsidR="00B02ED1" w:rsidRPr="00506FE3" w:rsidRDefault="00B02ED1">
            <w:pPr>
              <w:pStyle w:val="TSBodyText"/>
              <w:ind w:right="335"/>
              <w:jc w:val="right"/>
            </w:pPr>
            <w:r w:rsidRPr="008F4D61">
              <w:t>10%</w:t>
            </w:r>
          </w:p>
        </w:tc>
        <w:tc>
          <w:tcPr>
            <w:tcW w:w="1280" w:type="dxa"/>
          </w:tcPr>
          <w:p w14:paraId="3B03EAD2" w14:textId="77777777" w:rsidR="00B02ED1" w:rsidRPr="00506FE3" w:rsidRDefault="00B02ED1">
            <w:pPr>
              <w:pStyle w:val="TSBodyText"/>
              <w:ind w:right="335"/>
              <w:jc w:val="right"/>
            </w:pPr>
            <w:r w:rsidRPr="008F4D61">
              <w:t>28%</w:t>
            </w:r>
          </w:p>
        </w:tc>
      </w:tr>
    </w:tbl>
    <w:p w14:paraId="5C57BCBD" w14:textId="77777777" w:rsidR="00B02ED1" w:rsidRDefault="00B02ED1" w:rsidP="00B02ED1">
      <w:pPr>
        <w:pStyle w:val="USSource"/>
      </w:pPr>
      <w:r>
        <w:t xml:space="preserve">Source: Stats NZ population estimates, </w:t>
      </w:r>
      <w:r w:rsidRPr="00B14D2A">
        <w:t>IHME</w:t>
      </w:r>
      <w:r>
        <w:t xml:space="preserve"> (</w:t>
      </w:r>
      <w:r w:rsidRPr="00B14D2A">
        <w:t>2019</w:t>
      </w:r>
      <w:r>
        <w:t>)</w:t>
      </w:r>
      <w:r w:rsidRPr="00B14D2A">
        <w:t>,</w:t>
      </w:r>
      <w:r>
        <w:t xml:space="preserve"> NZIER</w:t>
      </w:r>
    </w:p>
    <w:p w14:paraId="2CF08B9B" w14:textId="279C304C" w:rsidR="00B02ED1" w:rsidRDefault="00B02ED1" w:rsidP="00B02ED1">
      <w:pPr>
        <w:pStyle w:val="USBodyText"/>
      </w:pPr>
      <w:r>
        <w:t xml:space="preserve">Based on the same approach to costing as presented for all DALYs attributable to alcohol, the cost of DALYs from alcohol use disorders is </w:t>
      </w:r>
      <w:r w:rsidR="00FF388C">
        <w:t>at least</w:t>
      </w:r>
      <w:r>
        <w:t xml:space="preserve"> $789 million </w:t>
      </w:r>
      <w:r w:rsidR="00FF388C" w:rsidRPr="00FF388C">
        <w:t xml:space="preserve">and could potentially be valued at up to </w:t>
      </w:r>
      <w:r>
        <w:t>$</w:t>
      </w:r>
      <w:r w:rsidR="005A4B03">
        <w:t>1.2</w:t>
      </w:r>
      <w:r>
        <w:t xml:space="preserve"> billion.</w:t>
      </w:r>
    </w:p>
    <w:p w14:paraId="382798FE" w14:textId="005810A4" w:rsidR="00B14185" w:rsidRDefault="00B02ED1" w:rsidP="00B02ED1">
      <w:pPr>
        <w:pStyle w:val="TableCaption"/>
      </w:pPr>
      <w:bookmarkStart w:id="51" w:name="_Toc160633916"/>
      <w:r w:rsidRPr="00731CA6">
        <w:t xml:space="preserve">Table </w:t>
      </w:r>
      <w:fldSimple w:instr=" SEQ Table \* ARABIC ">
        <w:r w:rsidR="00AE166D">
          <w:rPr>
            <w:noProof/>
          </w:rPr>
          <w:t>9</w:t>
        </w:r>
      </w:fldSimple>
      <w:r w:rsidRPr="00731CA6">
        <w:t xml:space="preserve"> </w:t>
      </w:r>
      <w:r>
        <w:t xml:space="preserve">Total </w:t>
      </w:r>
      <w:r w:rsidR="002E25A0" w:rsidRPr="002E25A0">
        <w:t xml:space="preserve">value of increased risk of mortality and morbidity </w:t>
      </w:r>
      <w:r w:rsidR="002E25A0">
        <w:t xml:space="preserve">due to </w:t>
      </w:r>
      <w:r>
        <w:t>alcohol use disorders</w:t>
      </w:r>
      <w:bookmarkEnd w:id="51"/>
      <w:r>
        <w:t xml:space="preserve"> </w:t>
      </w:r>
    </w:p>
    <w:p w14:paraId="673D237E" w14:textId="5D05B866" w:rsidR="00B02ED1" w:rsidRDefault="00B14185" w:rsidP="00B14185">
      <w:pPr>
        <w:pStyle w:val="CaptionSubheading"/>
      </w:pPr>
      <w:r>
        <w:t>B</w:t>
      </w:r>
      <w:r w:rsidR="00B02ED1">
        <w:t>ased on alternative values of a DALY</w:t>
      </w:r>
    </w:p>
    <w:tbl>
      <w:tblPr>
        <w:tblStyle w:val="TableDefault"/>
        <w:tblW w:w="8221" w:type="dxa"/>
        <w:tblLook w:val="04A0" w:firstRow="1" w:lastRow="0" w:firstColumn="1" w:lastColumn="0" w:noHBand="0" w:noVBand="1"/>
      </w:tblPr>
      <w:tblGrid>
        <w:gridCol w:w="3531"/>
        <w:gridCol w:w="1714"/>
        <w:gridCol w:w="1417"/>
        <w:gridCol w:w="1559"/>
      </w:tblGrid>
      <w:tr w:rsidR="00B02ED1" w:rsidRPr="000E7F32" w14:paraId="4379AF2B" w14:textId="77777777" w:rsidTr="004E20C4">
        <w:trPr>
          <w:cnfStyle w:val="100000000000" w:firstRow="1" w:lastRow="0" w:firstColumn="0" w:lastColumn="0" w:oddVBand="0" w:evenVBand="0" w:oddHBand="0" w:evenHBand="0" w:firstRowFirstColumn="0" w:firstRowLastColumn="0" w:lastRowFirstColumn="0" w:lastRowLastColumn="0"/>
        </w:trPr>
        <w:tc>
          <w:tcPr>
            <w:tcW w:w="3531" w:type="dxa"/>
          </w:tcPr>
          <w:p w14:paraId="2F8779CF" w14:textId="77777777" w:rsidR="00B02ED1" w:rsidRDefault="00B02ED1">
            <w:pPr>
              <w:pStyle w:val="TSTableHeadingWhite-TopRow"/>
            </w:pPr>
            <w:r>
              <w:t>Basis of DALY valuation</w:t>
            </w:r>
          </w:p>
        </w:tc>
        <w:tc>
          <w:tcPr>
            <w:tcW w:w="1714" w:type="dxa"/>
          </w:tcPr>
          <w:p w14:paraId="7B58B64A" w14:textId="77777777" w:rsidR="00B02ED1" w:rsidRPr="000E7F32" w:rsidRDefault="00B02ED1">
            <w:pPr>
              <w:pStyle w:val="TSTableHeadingWhite-TopRow"/>
              <w:rPr>
                <w:color w:val="FFFFFF" w:themeColor="background1"/>
              </w:rPr>
            </w:pPr>
            <w:r w:rsidRPr="000E7F32">
              <w:rPr>
                <w:color w:val="FFFFFF" w:themeColor="background1"/>
              </w:rPr>
              <w:t>Total</w:t>
            </w:r>
            <w:r>
              <w:rPr>
                <w:color w:val="FFFFFF" w:themeColor="background1"/>
              </w:rPr>
              <w:t xml:space="preserve"> DALYs 2023</w:t>
            </w:r>
          </w:p>
        </w:tc>
        <w:tc>
          <w:tcPr>
            <w:tcW w:w="1417" w:type="dxa"/>
          </w:tcPr>
          <w:p w14:paraId="155628A6" w14:textId="77777777" w:rsidR="00B02ED1" w:rsidRPr="000E7F32" w:rsidRDefault="00B02ED1">
            <w:pPr>
              <w:pStyle w:val="TSTableHeadingWhite-TopRow"/>
              <w:jc w:val="center"/>
              <w:rPr>
                <w:color w:val="FFFFFF" w:themeColor="background1"/>
              </w:rPr>
            </w:pPr>
            <w:r>
              <w:rPr>
                <w:color w:val="FFFFFF" w:themeColor="background1"/>
              </w:rPr>
              <w:t xml:space="preserve">DALY </w:t>
            </w:r>
            <w:r>
              <w:rPr>
                <w:bCs/>
                <w:color w:val="FFFFFF" w:themeColor="background1"/>
              </w:rPr>
              <w:t>value</w:t>
            </w:r>
          </w:p>
        </w:tc>
        <w:tc>
          <w:tcPr>
            <w:tcW w:w="1559" w:type="dxa"/>
          </w:tcPr>
          <w:p w14:paraId="25623436" w14:textId="77777777" w:rsidR="00B02ED1" w:rsidRPr="000E7F32" w:rsidRDefault="00B02ED1">
            <w:pPr>
              <w:pStyle w:val="TSTableHeadingWhite-TopRow"/>
              <w:jc w:val="center"/>
              <w:rPr>
                <w:color w:val="FFFFFF" w:themeColor="background1"/>
              </w:rPr>
            </w:pPr>
            <w:r>
              <w:rPr>
                <w:color w:val="FFFFFF" w:themeColor="background1"/>
              </w:rPr>
              <w:t>Total DALY value</w:t>
            </w:r>
          </w:p>
        </w:tc>
      </w:tr>
      <w:tr w:rsidR="00B02ED1" w:rsidRPr="00506FE3" w14:paraId="144EF122" w14:textId="77777777" w:rsidTr="004E20C4">
        <w:tc>
          <w:tcPr>
            <w:tcW w:w="3531" w:type="dxa"/>
          </w:tcPr>
          <w:p w14:paraId="2E41DD43" w14:textId="77777777" w:rsidR="00B02ED1" w:rsidRDefault="00B02ED1">
            <w:pPr>
              <w:pStyle w:val="TSBodyText"/>
            </w:pPr>
            <w:r>
              <w:t>QALY value (Treasury, low)</w:t>
            </w:r>
          </w:p>
        </w:tc>
        <w:tc>
          <w:tcPr>
            <w:tcW w:w="1714" w:type="dxa"/>
          </w:tcPr>
          <w:p w14:paraId="2FD2289C" w14:textId="77777777" w:rsidR="00B02ED1" w:rsidRPr="00506FE3" w:rsidRDefault="00B02ED1">
            <w:pPr>
              <w:pStyle w:val="TSBodyText"/>
              <w:jc w:val="center"/>
            </w:pPr>
            <w:r w:rsidRPr="00536866">
              <w:t xml:space="preserve">18,905 </w:t>
            </w:r>
          </w:p>
        </w:tc>
        <w:tc>
          <w:tcPr>
            <w:tcW w:w="1417" w:type="dxa"/>
          </w:tcPr>
          <w:p w14:paraId="2C6CB746" w14:textId="77777777" w:rsidR="00B02ED1" w:rsidRPr="00506FE3" w:rsidRDefault="00B02ED1">
            <w:pPr>
              <w:pStyle w:val="TSBodyText"/>
              <w:jc w:val="right"/>
            </w:pPr>
            <w:r w:rsidRPr="003466EE">
              <w:t>$41,756</w:t>
            </w:r>
          </w:p>
        </w:tc>
        <w:tc>
          <w:tcPr>
            <w:tcW w:w="1559" w:type="dxa"/>
          </w:tcPr>
          <w:p w14:paraId="61BFC0A9" w14:textId="77777777" w:rsidR="00B02ED1" w:rsidRPr="00506FE3" w:rsidRDefault="00B02ED1">
            <w:pPr>
              <w:pStyle w:val="TSBodyText"/>
              <w:jc w:val="right"/>
            </w:pPr>
            <w:r w:rsidRPr="00305EA7">
              <w:t>$789,406,825</w:t>
            </w:r>
          </w:p>
        </w:tc>
      </w:tr>
      <w:tr w:rsidR="00B02ED1" w:rsidRPr="00506FE3" w14:paraId="50333CB0" w14:textId="77777777" w:rsidTr="004E20C4">
        <w:trPr>
          <w:cnfStyle w:val="000000010000" w:firstRow="0" w:lastRow="0" w:firstColumn="0" w:lastColumn="0" w:oddVBand="0" w:evenVBand="0" w:oddHBand="0" w:evenHBand="1" w:firstRowFirstColumn="0" w:firstRowLastColumn="0" w:lastRowFirstColumn="0" w:lastRowLastColumn="0"/>
        </w:trPr>
        <w:tc>
          <w:tcPr>
            <w:tcW w:w="3531" w:type="dxa"/>
          </w:tcPr>
          <w:p w14:paraId="338561BF" w14:textId="442315E9" w:rsidR="00B02ED1" w:rsidRDefault="00B02ED1">
            <w:pPr>
              <w:pStyle w:val="TSBodyText"/>
            </w:pPr>
            <w:r>
              <w:t>QALY value (Treasury, high</w:t>
            </w:r>
            <w:r w:rsidR="004E20C4">
              <w:t xml:space="preserve"> – based o</w:t>
            </w:r>
            <w:r w:rsidR="001F65D5">
              <w:t>n</w:t>
            </w:r>
            <w:r w:rsidR="004E20C4">
              <w:t xml:space="preserve"> </w:t>
            </w:r>
            <w:proofErr w:type="spellStart"/>
            <w:r w:rsidR="004E20C4">
              <w:t>VoSL</w:t>
            </w:r>
            <w:proofErr w:type="spellEnd"/>
            <w:r>
              <w:t>)</w:t>
            </w:r>
          </w:p>
        </w:tc>
        <w:tc>
          <w:tcPr>
            <w:tcW w:w="1714" w:type="dxa"/>
          </w:tcPr>
          <w:p w14:paraId="1F039F4D" w14:textId="77777777" w:rsidR="00B02ED1" w:rsidRPr="00506FE3" w:rsidRDefault="00B02ED1">
            <w:pPr>
              <w:pStyle w:val="TSBodyText"/>
              <w:jc w:val="center"/>
            </w:pPr>
            <w:r w:rsidRPr="00536866">
              <w:t xml:space="preserve">18,905 </w:t>
            </w:r>
          </w:p>
        </w:tc>
        <w:tc>
          <w:tcPr>
            <w:tcW w:w="1417" w:type="dxa"/>
          </w:tcPr>
          <w:p w14:paraId="69030850" w14:textId="77777777" w:rsidR="00B02ED1" w:rsidRPr="00506FE3" w:rsidRDefault="00B02ED1">
            <w:pPr>
              <w:pStyle w:val="TSBodyText"/>
              <w:jc w:val="right"/>
            </w:pPr>
            <w:r w:rsidRPr="003466EE">
              <w:t>$63,381</w:t>
            </w:r>
          </w:p>
        </w:tc>
        <w:tc>
          <w:tcPr>
            <w:tcW w:w="1559" w:type="dxa"/>
          </w:tcPr>
          <w:p w14:paraId="3462DFDF" w14:textId="77777777" w:rsidR="00B02ED1" w:rsidRPr="00506FE3" w:rsidRDefault="00B02ED1">
            <w:pPr>
              <w:pStyle w:val="TSBodyText"/>
              <w:jc w:val="right"/>
            </w:pPr>
            <w:r w:rsidRPr="00305EA7">
              <w:t>$1,198,232,445</w:t>
            </w:r>
          </w:p>
        </w:tc>
      </w:tr>
    </w:tbl>
    <w:p w14:paraId="548C32E9" w14:textId="0BB3D74B" w:rsidR="00B02ED1" w:rsidRDefault="00B02ED1" w:rsidP="00B02ED1">
      <w:pPr>
        <w:pStyle w:val="USSource"/>
      </w:pPr>
      <w:bookmarkStart w:id="52" w:name="_Hlk160383926"/>
      <w:bookmarkStart w:id="53" w:name="_Hlk156213275"/>
      <w:r>
        <w:t>Source: NZIER, based on</w:t>
      </w:r>
      <w:r>
        <w:fldChar w:fldCharType="begin"/>
      </w:r>
      <w:r w:rsidR="00F244F6">
        <w:instrText xml:space="preserve"> ADDIN ZOTERO_ITEM CSL_CITATION {"citationID":"R43QQifc","properties":{"formattedCitation":"(Chambers, Jackson, and Hoek 2021; The Treasury 2022)","plainCitation":"(Chambers, Jackson, and Hoek 2021; The Treasury 2022)","dontUpdate":true,"noteIndex":0},"citationItems":[{"id":63460,"uris":["http://zotero.org/groups/4944822/items/I2P87NJ9"],"itemData":{"id":63460,"type":"article-journal","container-title":"The Lancet Regional Health: Western Pacific","DOI":"10.1016/j.lanwpc.2021.100218","ISSN":"2666-6065","journalAbbreviation":"Lancet Reg Health West Pac","note":"PMID: 34527993\nPMCID: PMC8403919","page":"100218","source":"PubMed Central","title":"New Zealand's proposed ban on alcohol sponsorship of sport: a cost-effective, pro-equity and feasible move towards reducing alcohol-related harm","title-short":"New Zealand's proposed ban on alcohol sponsorship of sport","volume":"13","author":[{"family":"Chambers","given":"Tim"},{"family":"Jackson","given":"Nicki"},{"family":"Hoek","given":"Janet"}],"issued":{"date-parts":[["2021",7,19]]}},"label":"page"},{"id":71335,"uris":["http://zotero.org/groups/4944822/items/VWY2MJIJ"],"itemData":{"id":71335,"type":"webpage","abstract":"CBAx is a spreadsheet model by the Treasury that contains a common database to help agencies monetise impacts and do return on investment","language":"en","title":"CBAX impacts database","URL":"https://www.treasury.govt.nz/information-and-services/state-sector-leadership/investment-management/investment-planning/treasurys-cbax-tool","author":[{"family":"The Treasury","given":""}],"accessed":{"date-parts":[["2023",12,7]]},"issued":{"date-parts":[["2022"]]}},"label":"page"}],"schema":"https://github.com/citation-style-language/schema/raw/master/csl-citation.json"} </w:instrText>
      </w:r>
      <w:r>
        <w:fldChar w:fldCharType="separate"/>
      </w:r>
      <w:r w:rsidR="00A0069B" w:rsidRPr="00A0069B">
        <w:t xml:space="preserve"> </w:t>
      </w:r>
      <w:r w:rsidR="00A0069B" w:rsidRPr="00A0069B">
        <w:rPr>
          <w:rFonts w:cs="Calibri"/>
        </w:rPr>
        <w:t>IHME (2019)</w:t>
      </w:r>
      <w:r w:rsidRPr="00C85196">
        <w:rPr>
          <w:rFonts w:cs="Calibri"/>
        </w:rPr>
        <w:t xml:space="preserve">; The Treasury </w:t>
      </w:r>
      <w:r>
        <w:rPr>
          <w:rFonts w:cs="Calibri"/>
        </w:rPr>
        <w:t>(</w:t>
      </w:r>
      <w:r w:rsidRPr="00C85196">
        <w:rPr>
          <w:rFonts w:cs="Calibri"/>
        </w:rPr>
        <w:t>2022)</w:t>
      </w:r>
      <w:r>
        <w:fldChar w:fldCharType="end"/>
      </w:r>
      <w:bookmarkEnd w:id="52"/>
      <w:r>
        <w:t xml:space="preserve"> </w:t>
      </w:r>
    </w:p>
    <w:p w14:paraId="218A05DD" w14:textId="710A217E" w:rsidR="00B02ED1" w:rsidRDefault="00B02ED1" w:rsidP="00B02ED1">
      <w:pPr>
        <w:pStyle w:val="Heading2"/>
      </w:pPr>
      <w:bookmarkStart w:id="54" w:name="_Toc160633836"/>
      <w:bookmarkEnd w:id="53"/>
      <w:r>
        <w:t xml:space="preserve">Estimated </w:t>
      </w:r>
      <w:r w:rsidR="00490F1D" w:rsidRPr="00490F1D">
        <w:t xml:space="preserve">increased risk of mortality and morbidity due to alcohol </w:t>
      </w:r>
      <w:r>
        <w:t xml:space="preserve">use </w:t>
      </w:r>
      <w:proofErr w:type="gramStart"/>
      <w:r>
        <w:t>disorders</w:t>
      </w:r>
      <w:bookmarkEnd w:id="54"/>
      <w:proofErr w:type="gramEnd"/>
    </w:p>
    <w:p w14:paraId="470FB45E" w14:textId="60E02DED" w:rsidR="00B02ED1" w:rsidRDefault="00B02ED1" w:rsidP="00B02ED1">
      <w:pPr>
        <w:pStyle w:val="USBodyText"/>
      </w:pPr>
      <w:r>
        <w:t xml:space="preserve">Based on the </w:t>
      </w:r>
      <w:proofErr w:type="spellStart"/>
      <w:r w:rsidR="00E41019">
        <w:t>VoSL</w:t>
      </w:r>
      <w:proofErr w:type="spellEnd"/>
      <w:r w:rsidR="00E41019">
        <w:t xml:space="preserve">-based </w:t>
      </w:r>
      <w:r>
        <w:t xml:space="preserve">estimate </w:t>
      </w:r>
      <w:r w:rsidR="000237A8">
        <w:t xml:space="preserve">of </w:t>
      </w:r>
      <w:r>
        <w:t>costs</w:t>
      </w:r>
      <w:r w:rsidR="00510342">
        <w:t xml:space="preserve"> associated with loss of quality of life and years of life</w:t>
      </w:r>
      <w:r>
        <w:t xml:space="preserve"> </w:t>
      </w:r>
      <w:r w:rsidR="00510342">
        <w:t>due to</w:t>
      </w:r>
      <w:r>
        <w:t xml:space="preserve"> alcohol consumption and alcohol use disorders, alcohol use disorders account for </w:t>
      </w:r>
      <w:r w:rsidR="00E41019">
        <w:t xml:space="preserve">approximately </w:t>
      </w:r>
      <w:r>
        <w:t>28 percent</w:t>
      </w:r>
      <w:r w:rsidR="00E41019">
        <w:t xml:space="preserve"> of the total cost of alcohol harms</w:t>
      </w:r>
      <w:r>
        <w:t>, leaving 72 percent of the total cost due to non-disordered alcohol consumption</w:t>
      </w:r>
      <w:r w:rsidR="001B7050">
        <w:t>.</w:t>
      </w:r>
    </w:p>
    <w:p w14:paraId="124B90BF" w14:textId="46FDC47B" w:rsidR="00CB7732" w:rsidRDefault="00CB7732" w:rsidP="00CB7732">
      <w:pPr>
        <w:pStyle w:val="FigureCaption"/>
      </w:pPr>
      <w:bookmarkStart w:id="55" w:name="_Toc160633892"/>
      <w:r w:rsidRPr="00731CA6">
        <w:lastRenderedPageBreak/>
        <w:t>Figure </w:t>
      </w:r>
      <w:fldSimple w:instr=" SEQ Figure \* ARABIC ">
        <w:r w:rsidR="00AE166D">
          <w:rPr>
            <w:noProof/>
          </w:rPr>
          <w:t>4</w:t>
        </w:r>
      </w:fldSimple>
      <w:r>
        <w:t xml:space="preserve"> Breakdown of </w:t>
      </w:r>
      <w:r w:rsidR="000237A8">
        <w:t xml:space="preserve">the </w:t>
      </w:r>
      <w:r>
        <w:t xml:space="preserve">total estimated </w:t>
      </w:r>
      <w:r w:rsidRPr="006928B6">
        <w:t xml:space="preserve">value of increased risk of mortality and morbidity </w:t>
      </w:r>
      <w:r>
        <w:t>due to</w:t>
      </w:r>
      <w:r w:rsidR="00BB3717">
        <w:t xml:space="preserve"> </w:t>
      </w:r>
      <w:r w:rsidR="0045082E">
        <w:t xml:space="preserve">own </w:t>
      </w:r>
      <w:r>
        <w:t>alcohol consumption in New Zealand</w:t>
      </w:r>
      <w:bookmarkEnd w:id="55"/>
      <w:r>
        <w:t xml:space="preserve"> </w:t>
      </w:r>
    </w:p>
    <w:p w14:paraId="4B1F3C8F" w14:textId="77FCA57B" w:rsidR="00CB7732" w:rsidRDefault="00CB7732" w:rsidP="00CB7732">
      <w:pPr>
        <w:pStyle w:val="CaptionSubheading"/>
      </w:pPr>
      <w:r w:rsidRPr="006928B6">
        <w:t>Millions, 202</w:t>
      </w:r>
      <w:r w:rsidRPr="006928B6">
        <w:rPr>
          <w:rStyle w:val="CommentReference"/>
          <w:sz w:val="18"/>
          <w:szCs w:val="18"/>
        </w:rPr>
        <w:t>3</w:t>
      </w:r>
    </w:p>
    <w:p w14:paraId="61D2E4B7" w14:textId="12BDF950" w:rsidR="00CB7732" w:rsidRDefault="00CB7732" w:rsidP="00CB7732">
      <w:pPr>
        <w:pStyle w:val="USBodyText"/>
        <w:spacing w:after="0" w:line="240" w:lineRule="auto"/>
      </w:pPr>
      <w:r>
        <w:rPr>
          <w:noProof/>
        </w:rPr>
        <w:drawing>
          <wp:inline distT="0" distB="0" distL="0" distR="0" wp14:anchorId="204AD290" wp14:editId="7140A104">
            <wp:extent cx="3813175" cy="2160499"/>
            <wp:effectExtent l="0" t="0" r="0" b="0"/>
            <wp:docPr id="636803891" name="Picture 3" descr="The chart shows two stacked bars – one based on the Treasury low value and one based on the Treasury high value. The bars consist of two components: Non-disordered alcohol use and alcohol use disorder. The low value bar shows that the estimated value of non-disordered alcohol use is over $2 billion and the estimated value of alcohol use disorder is approximately $800 million, for a total of nearly $3 billion. The high value bar shows that the estimated value of non-disordered alcohol use is over $3 billion and the estimated value of alcohol use disorder is over $1 million, for a total of nearly $4.5 bill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03891" name="Picture 3" descr="The chart shows two stacked bars – one based on the Treasury low value and one based on the Treasury high value. The bars consist of two components: Non-disordered alcohol use and alcohol use disorder. The low value bar shows that the estimated value of non-disordered alcohol use is over $2 billion and the estimated value of alcohol use disorder is approximately $800 million, for a total of nearly $3 billion. The high value bar shows that the estimated value of non-disordered alcohol use is over $3 billion and the estimated value of alcohol use disorder is over $1 million, for a total of nearly $4.5 billion.">
                      <a:extLst>
                        <a:ext uri="{C183D7F6-B498-43B3-948B-1728B52AA6E4}">
                          <adec:decorative xmlns:adec="http://schemas.microsoft.com/office/drawing/2017/decorative" val="0"/>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4689" cy="2172688"/>
                    </a:xfrm>
                    <a:prstGeom prst="rect">
                      <a:avLst/>
                    </a:prstGeom>
                    <a:noFill/>
                  </pic:spPr>
                </pic:pic>
              </a:graphicData>
            </a:graphic>
          </wp:inline>
        </w:drawing>
      </w:r>
    </w:p>
    <w:p w14:paraId="4B964FF4" w14:textId="77A14B96" w:rsidR="00CB7732" w:rsidRDefault="00A0069B" w:rsidP="00A0069B">
      <w:pPr>
        <w:pStyle w:val="USSource"/>
      </w:pPr>
      <w:r>
        <w:t>Source: NZIER, based on</w:t>
      </w:r>
      <w:r>
        <w:fldChar w:fldCharType="begin"/>
      </w:r>
      <w:r w:rsidR="00F244F6">
        <w:instrText xml:space="preserve"> ADDIN ZOTERO_ITEM CSL_CITATION {"citationID":"EeBE3dyX","properties":{"formattedCitation":"(Chambers, Jackson, and Hoek 2021; The Treasury 2022)","plainCitation":"(Chambers, Jackson, and Hoek 2021; The Treasury 2022)","dontUpdate":true,"noteIndex":0},"citationItems":[{"id":63460,"uris":["http://zotero.org/groups/4944822/items/I2P87NJ9"],"itemData":{"id":63460,"type":"article-journal","container-title":"The Lancet Regional Health: Western Pacific","DOI":"10.1016/j.lanwpc.2021.100218","ISSN":"2666-6065","journalAbbreviation":"Lancet Reg Health West Pac","note":"PMID: 34527993\nPMCID: PMC8403919","page":"100218","source":"PubMed Central","title":"New Zealand's proposed ban on alcohol sponsorship of sport: a cost-effective, pro-equity and feasible move towards reducing alcohol-related harm","title-short":"New Zealand's proposed ban on alcohol sponsorship of sport","volume":"13","author":[{"family":"Chambers","given":"Tim"},{"family":"Jackson","given":"Nicki"},{"family":"Hoek","given":"Janet"}],"issued":{"date-parts":[["2021",7,19]]}},"label":"page"},{"id":71335,"uris":["http://zotero.org/groups/4944822/items/VWY2MJIJ"],"itemData":{"id":71335,"type":"webpage","abstract":"CBAx is a spreadsheet model by the Treasury that contains a common database to help agencies monetise impacts and do return on investment","language":"en","title":"CBAX impacts database","URL":"https://www.treasury.govt.nz/information-and-services/state-sector-leadership/investment-management/investment-planning/treasurys-cbax-tool","author":[{"family":"The Treasury","given":""}],"accessed":{"date-parts":[["2023",12,7]]},"issued":{"date-parts":[["2022"]]}},"label":"page"}],"schema":"https://github.com/citation-style-language/schema/raw/master/csl-citation.json"} </w:instrText>
      </w:r>
      <w:r>
        <w:fldChar w:fldCharType="separate"/>
      </w:r>
      <w:r w:rsidRPr="00A0069B">
        <w:t xml:space="preserve"> </w:t>
      </w:r>
      <w:r w:rsidRPr="00A0069B">
        <w:rPr>
          <w:rFonts w:cs="Calibri"/>
        </w:rPr>
        <w:t>IHME (2019)</w:t>
      </w:r>
      <w:r w:rsidRPr="00C85196">
        <w:rPr>
          <w:rFonts w:cs="Calibri"/>
        </w:rPr>
        <w:t xml:space="preserve">; The Treasury </w:t>
      </w:r>
      <w:r>
        <w:rPr>
          <w:rFonts w:cs="Calibri"/>
        </w:rPr>
        <w:t>(</w:t>
      </w:r>
      <w:r w:rsidRPr="00C85196">
        <w:rPr>
          <w:rFonts w:cs="Calibri"/>
        </w:rPr>
        <w:t>2022)</w:t>
      </w:r>
      <w:r>
        <w:fldChar w:fldCharType="end"/>
      </w:r>
    </w:p>
    <w:p w14:paraId="3922164E" w14:textId="23884B14" w:rsidR="00D15678" w:rsidRDefault="00490F1D" w:rsidP="00B02ED1">
      <w:pPr>
        <w:pStyle w:val="Heading2"/>
      </w:pPr>
      <w:bookmarkStart w:id="56" w:name="_Toc160633837"/>
      <w:r>
        <w:t>I</w:t>
      </w:r>
      <w:r w:rsidRPr="00490F1D">
        <w:t xml:space="preserve">ncreased risk of mortality and morbidity </w:t>
      </w:r>
      <w:r w:rsidR="0084167B">
        <w:t>due to</w:t>
      </w:r>
      <w:r w:rsidR="00921456">
        <w:t xml:space="preserve"> others</w:t>
      </w:r>
      <w:r w:rsidR="0084167B">
        <w:t>’ alcohol use</w:t>
      </w:r>
      <w:bookmarkEnd w:id="56"/>
      <w:r w:rsidR="00921456">
        <w:t xml:space="preserve"> </w:t>
      </w:r>
    </w:p>
    <w:p w14:paraId="24A3B801" w14:textId="355AF39C" w:rsidR="00E76BD3" w:rsidRDefault="00E76BD3" w:rsidP="00921456">
      <w:pPr>
        <w:pStyle w:val="USBodyText"/>
      </w:pPr>
      <w:r>
        <w:t>The above estimates of DALYs and the associated societal cost to New Zealand are limited to the impacts of alcohol consumption and alcohol use disorders on the drinker</w:t>
      </w:r>
      <w:r w:rsidR="00122707">
        <w:t xml:space="preserve"> (</w:t>
      </w:r>
      <w:r w:rsidR="00122707" w:rsidRPr="009B10B7">
        <w:t>Casswell et al. 2023</w:t>
      </w:r>
      <w:r w:rsidR="00122707">
        <w:t>)</w:t>
      </w:r>
      <w:r>
        <w:t>. However, alcohol use and alcohol use disorders can have significant impacts on others, including through</w:t>
      </w:r>
      <w:r w:rsidR="006C5593">
        <w:t xml:space="preserve"> three major </w:t>
      </w:r>
      <w:r w:rsidR="009B10B7">
        <w:t>areas of harm quantified by a New Zealand study</w:t>
      </w:r>
      <w:r w:rsidR="009B10B7" w:rsidRPr="009B10B7">
        <w:t xml:space="preserve"> (Casswell et al. 2023)</w:t>
      </w:r>
      <w:r>
        <w:t>:</w:t>
      </w:r>
    </w:p>
    <w:p w14:paraId="7EC950CA" w14:textId="65913D0A" w:rsidR="00E76BD3" w:rsidRDefault="00E76BD3" w:rsidP="00E76BD3">
      <w:pPr>
        <w:pStyle w:val="USBullet1"/>
      </w:pPr>
      <w:r>
        <w:t>FASD</w:t>
      </w:r>
    </w:p>
    <w:p w14:paraId="5C9DB32A" w14:textId="6FE3368C" w:rsidR="00E76BD3" w:rsidRDefault="000237A8" w:rsidP="00E76BD3">
      <w:pPr>
        <w:pStyle w:val="USBullet1"/>
      </w:pPr>
      <w:r>
        <w:t>i</w:t>
      </w:r>
      <w:r w:rsidR="00E76BD3">
        <w:t>nterpersonal violence</w:t>
      </w:r>
    </w:p>
    <w:p w14:paraId="7A15A98A" w14:textId="00A3B983" w:rsidR="00E76BD3" w:rsidRDefault="000237A8" w:rsidP="006F64C6">
      <w:pPr>
        <w:pStyle w:val="USBullet1"/>
      </w:pPr>
      <w:r>
        <w:t>r</w:t>
      </w:r>
      <w:r w:rsidR="00E76BD3">
        <w:t>oad crashes</w:t>
      </w:r>
      <w:r>
        <w:t>.</w:t>
      </w:r>
    </w:p>
    <w:p w14:paraId="3FDE7EC2" w14:textId="5B9DDB02" w:rsidR="00921456" w:rsidRDefault="00EF7A9B" w:rsidP="00921456">
      <w:pPr>
        <w:pStyle w:val="USBodyText"/>
      </w:pPr>
      <w:r w:rsidRPr="009B10B7">
        <w:t xml:space="preserve">Casswell et al. </w:t>
      </w:r>
      <w:r>
        <w:t>(</w:t>
      </w:r>
      <w:r w:rsidRPr="009B10B7">
        <w:t>2023)</w:t>
      </w:r>
      <w:r>
        <w:t xml:space="preserve"> </w:t>
      </w:r>
      <w:r w:rsidR="0042066F">
        <w:t xml:space="preserve">quantified the loss of life and quality of life experienced </w:t>
      </w:r>
      <w:r w:rsidR="00E76BD3">
        <w:t xml:space="preserve">as a result of </w:t>
      </w:r>
      <w:r>
        <w:t xml:space="preserve">these harms associated with </w:t>
      </w:r>
      <w:r w:rsidR="00E76BD3">
        <w:t xml:space="preserve">other people’s drinking, </w:t>
      </w:r>
      <w:r w:rsidR="000020A2">
        <w:t xml:space="preserve">also </w:t>
      </w:r>
      <w:r w:rsidR="00E76BD3">
        <w:t>using DALYs as the outcome measure</w:t>
      </w:r>
      <w:r w:rsidR="00166E53">
        <w:t>.</w:t>
      </w:r>
    </w:p>
    <w:p w14:paraId="2E6036A8" w14:textId="77777777" w:rsidR="00FC45E8" w:rsidRPr="00427BBE" w:rsidRDefault="00E12A16" w:rsidP="00921456">
      <w:pPr>
        <w:pStyle w:val="USBodyText"/>
      </w:pPr>
      <w:r w:rsidRPr="00427BBE">
        <w:t>Th</w:t>
      </w:r>
      <w:r w:rsidR="003F564B" w:rsidRPr="00427BBE">
        <w:t>e</w:t>
      </w:r>
      <w:r w:rsidRPr="00427BBE">
        <w:t xml:space="preserve"> study found that</w:t>
      </w:r>
      <w:r w:rsidR="00FC45E8" w:rsidRPr="00427BBE">
        <w:t>:</w:t>
      </w:r>
    </w:p>
    <w:p w14:paraId="20A1852E" w14:textId="77777777" w:rsidR="00FC45E8" w:rsidRPr="00427BBE" w:rsidRDefault="00D90669" w:rsidP="00FC45E8">
      <w:pPr>
        <w:pStyle w:val="USBullet1"/>
      </w:pPr>
      <w:r w:rsidRPr="00427BBE">
        <w:t xml:space="preserve">of the three impacts of others’ drinking that were analysed, FASD </w:t>
      </w:r>
      <w:r w:rsidR="00EC7258" w:rsidRPr="00427BBE">
        <w:t xml:space="preserve">contributed the </w:t>
      </w:r>
      <w:r w:rsidR="00855B3D" w:rsidRPr="00427BBE">
        <w:t xml:space="preserve">greatest share of total </w:t>
      </w:r>
      <w:proofErr w:type="gramStart"/>
      <w:r w:rsidR="00855B3D" w:rsidRPr="00427BBE">
        <w:t>DALYs</w:t>
      </w:r>
      <w:proofErr w:type="gramEnd"/>
    </w:p>
    <w:p w14:paraId="265EEF86" w14:textId="6BA2A38D" w:rsidR="00427BBE" w:rsidRPr="00427BBE" w:rsidRDefault="005B28CB" w:rsidP="00FC45E8">
      <w:pPr>
        <w:pStyle w:val="USBullet1"/>
      </w:pPr>
      <w:r w:rsidRPr="00427BBE">
        <w:t xml:space="preserve">the total DALYs from these three impacts of others’ drinking exceeded the number of DALYs </w:t>
      </w:r>
      <w:r w:rsidR="00043200" w:rsidRPr="00427BBE">
        <w:t>for drinkers, with the total DALYs in 2018 estimated to be</w:t>
      </w:r>
      <w:r w:rsidR="00E10DF6" w:rsidRPr="00427BBE">
        <w:t xml:space="preserve"> </w:t>
      </w:r>
      <w:r w:rsidR="0049205F" w:rsidRPr="00427BBE">
        <w:t>78,277</w:t>
      </w:r>
      <w:r w:rsidR="00267401" w:rsidRPr="00427BBE">
        <w:t xml:space="preserve"> (</w:t>
      </w:r>
      <w:r w:rsidR="00DF332F" w:rsidRPr="00427BBE">
        <w:t xml:space="preserve">14 percent higher </w:t>
      </w:r>
      <w:r w:rsidR="00267401" w:rsidRPr="00427BBE">
        <w:t>than the 68,548</w:t>
      </w:r>
      <w:r w:rsidR="00DF332F" w:rsidRPr="00427BBE">
        <w:t xml:space="preserve"> DALYs</w:t>
      </w:r>
      <w:r w:rsidR="00267401" w:rsidRPr="00427BBE">
        <w:t xml:space="preserve"> estimated in Section</w:t>
      </w:r>
      <w:r w:rsidR="00064186" w:rsidRPr="00427BBE">
        <w:t xml:space="preserve"> </w:t>
      </w:r>
      <w:r w:rsidR="00064186" w:rsidRPr="00427BBE">
        <w:fldChar w:fldCharType="begin"/>
      </w:r>
      <w:r w:rsidR="00064186" w:rsidRPr="00427BBE">
        <w:instrText xml:space="preserve"> REF _Ref156211763 \r \h </w:instrText>
      </w:r>
      <w:r w:rsidR="001F65D5" w:rsidRPr="00427BBE">
        <w:instrText xml:space="preserve"> \* MERGEFORMAT </w:instrText>
      </w:r>
      <w:r w:rsidR="00064186" w:rsidRPr="00427BBE">
        <w:fldChar w:fldCharType="separate"/>
      </w:r>
      <w:r w:rsidR="00AE166D">
        <w:t>3.1</w:t>
      </w:r>
      <w:r w:rsidR="00064186" w:rsidRPr="00427BBE">
        <w:fldChar w:fldCharType="end"/>
      </w:r>
      <w:r w:rsidR="001740CC" w:rsidRPr="00427BBE">
        <w:t xml:space="preserve"> even without adjusting the 2018 estimate of DALYs caused by others’ drinking to the 2023 population</w:t>
      </w:r>
      <w:r w:rsidR="00493214" w:rsidRPr="00427BBE">
        <w:t>)</w:t>
      </w:r>
      <w:r w:rsidR="000237A8">
        <w:t>.</w:t>
      </w:r>
      <w:r w:rsidR="00DF332F" w:rsidRPr="00427BBE">
        <w:t xml:space="preserve"> </w:t>
      </w:r>
    </w:p>
    <w:p w14:paraId="549C867D" w14:textId="4EF7C564" w:rsidR="00C34B71" w:rsidRDefault="00A42312" w:rsidP="00427BBE">
      <w:pPr>
        <w:pStyle w:val="USBullet1"/>
        <w:numPr>
          <w:ilvl w:val="0"/>
          <w:numId w:val="0"/>
        </w:numPr>
        <w:ind w:left="851"/>
      </w:pPr>
      <w:r w:rsidRPr="00427BBE">
        <w:fldChar w:fldCharType="begin"/>
      </w:r>
      <w:r w:rsidRPr="00427BBE">
        <w:instrText xml:space="preserve"> REF _Ref156227971 \h </w:instrText>
      </w:r>
      <w:r w:rsidR="001F65D5" w:rsidRPr="00427BBE">
        <w:instrText xml:space="preserve"> \* MERGEFORMAT </w:instrText>
      </w:r>
      <w:r w:rsidRPr="00427BBE">
        <w:fldChar w:fldCharType="separate"/>
      </w:r>
      <w:r w:rsidR="00AE166D" w:rsidRPr="00731CA6">
        <w:t xml:space="preserve">Table </w:t>
      </w:r>
      <w:r w:rsidR="00AE166D">
        <w:rPr>
          <w:noProof/>
        </w:rPr>
        <w:t>10</w:t>
      </w:r>
      <w:r w:rsidRPr="00427BBE">
        <w:fldChar w:fldCharType="end"/>
      </w:r>
      <w:r w:rsidR="00DF332F" w:rsidRPr="00427BBE">
        <w:t xml:space="preserve"> below presents the breakdown of DALYs from others’</w:t>
      </w:r>
      <w:r w:rsidR="006834AE" w:rsidRPr="00427BBE">
        <w:t xml:space="preserve"> </w:t>
      </w:r>
      <w:r w:rsidR="00DF332F" w:rsidRPr="00427BBE">
        <w:t>drinking</w:t>
      </w:r>
      <w:r w:rsidR="006834AE" w:rsidRPr="00427BBE">
        <w:t xml:space="preserve"> by cause.</w:t>
      </w:r>
      <w:r w:rsidR="00267401">
        <w:t xml:space="preserve"> </w:t>
      </w:r>
    </w:p>
    <w:p w14:paraId="35843EF3" w14:textId="188FE281" w:rsidR="005175A6" w:rsidRDefault="006876B0" w:rsidP="000768D7">
      <w:pPr>
        <w:pStyle w:val="TableCaption"/>
        <w:keepLines/>
      </w:pPr>
      <w:bookmarkStart w:id="57" w:name="_Ref156227971"/>
      <w:bookmarkStart w:id="58" w:name="_Toc160633917"/>
      <w:r w:rsidRPr="00731CA6">
        <w:lastRenderedPageBreak/>
        <w:t xml:space="preserve">Table </w:t>
      </w:r>
      <w:fldSimple w:instr=" SEQ Table \* ARABIC ">
        <w:r w:rsidR="00AE166D">
          <w:rPr>
            <w:noProof/>
          </w:rPr>
          <w:t>10</w:t>
        </w:r>
      </w:fldSimple>
      <w:bookmarkEnd w:id="57"/>
      <w:r w:rsidRPr="00731CA6">
        <w:t xml:space="preserve"> </w:t>
      </w:r>
      <w:r w:rsidR="00D42B63">
        <w:t>DALYs attributable to</w:t>
      </w:r>
      <w:r>
        <w:t xml:space="preserve"> </w:t>
      </w:r>
      <w:r w:rsidR="00D42B63">
        <w:t>others’ alcohol consumption</w:t>
      </w:r>
      <w:bookmarkEnd w:id="58"/>
      <w:r>
        <w:t xml:space="preserve"> </w:t>
      </w:r>
    </w:p>
    <w:p w14:paraId="53381CDF" w14:textId="4D5A9913" w:rsidR="006876B0" w:rsidRPr="006876B0" w:rsidRDefault="00D42B63" w:rsidP="005175A6">
      <w:pPr>
        <w:pStyle w:val="CaptionSubheading"/>
      </w:pPr>
      <w:r>
        <w:t>By ethnicity</w:t>
      </w:r>
      <w:r w:rsidR="006928B6">
        <w:t xml:space="preserve"> and total</w:t>
      </w:r>
    </w:p>
    <w:tbl>
      <w:tblPr>
        <w:tblStyle w:val="TableDefault"/>
        <w:tblW w:w="0" w:type="auto"/>
        <w:tblLook w:val="04A0" w:firstRow="1" w:lastRow="0" w:firstColumn="1" w:lastColumn="0" w:noHBand="0" w:noVBand="1"/>
      </w:tblPr>
      <w:tblGrid>
        <w:gridCol w:w="2498"/>
        <w:gridCol w:w="2067"/>
        <w:gridCol w:w="1917"/>
        <w:gridCol w:w="1738"/>
      </w:tblGrid>
      <w:tr w:rsidR="00261F06" w14:paraId="57834091" w14:textId="3E924346" w:rsidTr="006F64C6">
        <w:trPr>
          <w:cnfStyle w:val="100000000000" w:firstRow="1" w:lastRow="0" w:firstColumn="0" w:lastColumn="0" w:oddVBand="0" w:evenVBand="0" w:oddHBand="0" w:evenHBand="0" w:firstRowFirstColumn="0" w:firstRowLastColumn="0" w:lastRowFirstColumn="0" w:lastRowLastColumn="0"/>
        </w:trPr>
        <w:tc>
          <w:tcPr>
            <w:tcW w:w="2498" w:type="dxa"/>
          </w:tcPr>
          <w:p w14:paraId="57886763" w14:textId="36DB0D77" w:rsidR="00261F06" w:rsidRPr="00D50C8F" w:rsidRDefault="00261F06" w:rsidP="000768D7">
            <w:pPr>
              <w:pStyle w:val="USBodyText"/>
              <w:keepNext/>
              <w:keepLines/>
              <w:ind w:left="0"/>
              <w:rPr>
                <w:b/>
                <w:bCs/>
                <w:color w:val="FFFFFF" w:themeColor="background1"/>
                <w:sz w:val="20"/>
                <w:szCs w:val="20"/>
              </w:rPr>
            </w:pPr>
            <w:r w:rsidRPr="00D50C8F">
              <w:rPr>
                <w:b/>
                <w:bCs/>
                <w:color w:val="FFFFFF" w:themeColor="background1"/>
                <w:sz w:val="20"/>
                <w:szCs w:val="20"/>
              </w:rPr>
              <w:t>Cause</w:t>
            </w:r>
          </w:p>
        </w:tc>
        <w:tc>
          <w:tcPr>
            <w:tcW w:w="2067" w:type="dxa"/>
          </w:tcPr>
          <w:p w14:paraId="26F31BEE" w14:textId="01024ACD" w:rsidR="00261F06" w:rsidRPr="00D50C8F" w:rsidRDefault="00261F06" w:rsidP="000237A8">
            <w:pPr>
              <w:pStyle w:val="USBodyText"/>
              <w:keepNext/>
              <w:keepLines/>
              <w:ind w:left="0"/>
              <w:jc w:val="center"/>
              <w:rPr>
                <w:b/>
                <w:bCs/>
                <w:color w:val="FFFFFF" w:themeColor="background1"/>
                <w:sz w:val="20"/>
                <w:szCs w:val="20"/>
              </w:rPr>
            </w:pPr>
            <w:r w:rsidRPr="00D50C8F">
              <w:rPr>
                <w:b/>
                <w:bCs/>
                <w:color w:val="FFFFFF" w:themeColor="background1"/>
                <w:sz w:val="20"/>
                <w:szCs w:val="20"/>
              </w:rPr>
              <w:t xml:space="preserve">DALYs </w:t>
            </w:r>
            <w:r w:rsidR="00D50C8F" w:rsidRPr="00D50C8F">
              <w:rPr>
                <w:b/>
                <w:bCs/>
                <w:color w:val="FFFFFF" w:themeColor="background1"/>
                <w:sz w:val="20"/>
                <w:szCs w:val="20"/>
              </w:rPr>
              <w:t>Māori</w:t>
            </w:r>
          </w:p>
        </w:tc>
        <w:tc>
          <w:tcPr>
            <w:tcW w:w="1917" w:type="dxa"/>
          </w:tcPr>
          <w:p w14:paraId="5E19F9BA" w14:textId="6F840922" w:rsidR="00261F06" w:rsidRPr="00D50C8F" w:rsidRDefault="00261F06" w:rsidP="000237A8">
            <w:pPr>
              <w:pStyle w:val="USBodyText"/>
              <w:keepNext/>
              <w:keepLines/>
              <w:ind w:left="0"/>
              <w:jc w:val="center"/>
              <w:rPr>
                <w:b/>
                <w:bCs/>
                <w:color w:val="FFFFFF" w:themeColor="background1"/>
                <w:sz w:val="20"/>
                <w:szCs w:val="20"/>
              </w:rPr>
            </w:pPr>
            <w:r w:rsidRPr="00D50C8F">
              <w:rPr>
                <w:b/>
                <w:bCs/>
                <w:color w:val="FFFFFF" w:themeColor="background1"/>
                <w:sz w:val="20"/>
                <w:szCs w:val="20"/>
              </w:rPr>
              <w:t>DALYs non-</w:t>
            </w:r>
            <w:r w:rsidR="00D50C8F" w:rsidRPr="00D50C8F">
              <w:rPr>
                <w:b/>
                <w:bCs/>
                <w:color w:val="FFFFFF" w:themeColor="background1"/>
                <w:sz w:val="20"/>
                <w:szCs w:val="20"/>
              </w:rPr>
              <w:t>Māori</w:t>
            </w:r>
          </w:p>
        </w:tc>
        <w:tc>
          <w:tcPr>
            <w:tcW w:w="1738" w:type="dxa"/>
          </w:tcPr>
          <w:p w14:paraId="0C2BA50E" w14:textId="47041A9F" w:rsidR="00261F06" w:rsidRPr="00D50C8F" w:rsidRDefault="00261F06" w:rsidP="000237A8">
            <w:pPr>
              <w:pStyle w:val="USBodyText"/>
              <w:keepNext/>
              <w:keepLines/>
              <w:ind w:left="0"/>
              <w:jc w:val="center"/>
              <w:rPr>
                <w:b/>
                <w:bCs/>
                <w:color w:val="FFFFFF" w:themeColor="background1"/>
                <w:sz w:val="20"/>
                <w:szCs w:val="20"/>
              </w:rPr>
            </w:pPr>
            <w:r w:rsidRPr="00D50C8F">
              <w:rPr>
                <w:b/>
                <w:bCs/>
                <w:color w:val="FFFFFF" w:themeColor="background1"/>
                <w:sz w:val="20"/>
                <w:szCs w:val="20"/>
              </w:rPr>
              <w:t>DALYs total</w:t>
            </w:r>
          </w:p>
        </w:tc>
      </w:tr>
      <w:tr w:rsidR="00261F06" w14:paraId="30C2B16A" w14:textId="7C620201" w:rsidTr="006F64C6">
        <w:tc>
          <w:tcPr>
            <w:tcW w:w="2498" w:type="dxa"/>
          </w:tcPr>
          <w:p w14:paraId="6150E2F9" w14:textId="16961255" w:rsidR="00261F06" w:rsidRPr="00D50C8F" w:rsidRDefault="00261F06" w:rsidP="000768D7">
            <w:pPr>
              <w:pStyle w:val="USBodyText"/>
              <w:keepNext/>
              <w:keepLines/>
              <w:ind w:left="0"/>
              <w:rPr>
                <w:sz w:val="18"/>
                <w:szCs w:val="18"/>
              </w:rPr>
            </w:pPr>
            <w:r w:rsidRPr="00D50C8F">
              <w:rPr>
                <w:sz w:val="18"/>
                <w:szCs w:val="18"/>
              </w:rPr>
              <w:t>FASD</w:t>
            </w:r>
          </w:p>
        </w:tc>
        <w:tc>
          <w:tcPr>
            <w:tcW w:w="2067" w:type="dxa"/>
          </w:tcPr>
          <w:p w14:paraId="772064A9" w14:textId="62F07903" w:rsidR="00261F06" w:rsidRPr="00D50C8F" w:rsidRDefault="00EE5755" w:rsidP="000237A8">
            <w:pPr>
              <w:pStyle w:val="USBodyText"/>
              <w:keepNext/>
              <w:keepLines/>
              <w:ind w:left="0" w:right="632"/>
              <w:jc w:val="right"/>
              <w:rPr>
                <w:sz w:val="18"/>
                <w:szCs w:val="18"/>
              </w:rPr>
            </w:pPr>
            <w:r w:rsidRPr="00D50C8F">
              <w:rPr>
                <w:sz w:val="18"/>
                <w:szCs w:val="18"/>
              </w:rPr>
              <w:t>17,441</w:t>
            </w:r>
          </w:p>
        </w:tc>
        <w:tc>
          <w:tcPr>
            <w:tcW w:w="1917" w:type="dxa"/>
          </w:tcPr>
          <w:p w14:paraId="6F0454FF" w14:textId="50375722" w:rsidR="00261F06" w:rsidRPr="00D50C8F" w:rsidRDefault="00983959" w:rsidP="000237A8">
            <w:pPr>
              <w:pStyle w:val="USBodyText"/>
              <w:keepNext/>
              <w:keepLines/>
              <w:ind w:left="0" w:right="632"/>
              <w:jc w:val="right"/>
              <w:rPr>
                <w:sz w:val="18"/>
                <w:szCs w:val="18"/>
              </w:rPr>
            </w:pPr>
            <w:r w:rsidRPr="00D50C8F">
              <w:rPr>
                <w:sz w:val="18"/>
                <w:szCs w:val="18"/>
              </w:rPr>
              <w:t>53,227</w:t>
            </w:r>
          </w:p>
        </w:tc>
        <w:tc>
          <w:tcPr>
            <w:tcW w:w="1738" w:type="dxa"/>
          </w:tcPr>
          <w:p w14:paraId="56F3E924" w14:textId="5AF9EF29" w:rsidR="00261F06" w:rsidRPr="00D50C8F" w:rsidRDefault="009C207A" w:rsidP="000237A8">
            <w:pPr>
              <w:pStyle w:val="USBodyText"/>
              <w:keepNext/>
              <w:keepLines/>
              <w:ind w:left="0" w:right="632"/>
              <w:jc w:val="right"/>
              <w:rPr>
                <w:sz w:val="18"/>
                <w:szCs w:val="18"/>
              </w:rPr>
            </w:pPr>
            <w:r w:rsidRPr="00D50C8F">
              <w:rPr>
                <w:sz w:val="18"/>
                <w:szCs w:val="18"/>
              </w:rPr>
              <w:t>70,6</w:t>
            </w:r>
            <w:r w:rsidR="006876B0" w:rsidRPr="00D50C8F">
              <w:rPr>
                <w:sz w:val="18"/>
                <w:szCs w:val="18"/>
              </w:rPr>
              <w:t>68</w:t>
            </w:r>
          </w:p>
        </w:tc>
      </w:tr>
      <w:tr w:rsidR="00261F06" w14:paraId="389EE7EF" w14:textId="67C801BA" w:rsidTr="006F64C6">
        <w:trPr>
          <w:cnfStyle w:val="000000010000" w:firstRow="0" w:lastRow="0" w:firstColumn="0" w:lastColumn="0" w:oddVBand="0" w:evenVBand="0" w:oddHBand="0" w:evenHBand="1" w:firstRowFirstColumn="0" w:firstRowLastColumn="0" w:lastRowFirstColumn="0" w:lastRowLastColumn="0"/>
        </w:trPr>
        <w:tc>
          <w:tcPr>
            <w:tcW w:w="2498" w:type="dxa"/>
          </w:tcPr>
          <w:p w14:paraId="381CF976" w14:textId="5FFB319D" w:rsidR="00261F06" w:rsidRPr="00D50C8F" w:rsidRDefault="00261F06" w:rsidP="000768D7">
            <w:pPr>
              <w:pStyle w:val="USBodyText"/>
              <w:keepNext/>
              <w:keepLines/>
              <w:ind w:left="0"/>
              <w:rPr>
                <w:sz w:val="18"/>
                <w:szCs w:val="18"/>
              </w:rPr>
            </w:pPr>
            <w:r w:rsidRPr="00D50C8F">
              <w:rPr>
                <w:sz w:val="18"/>
                <w:szCs w:val="18"/>
              </w:rPr>
              <w:t>Interpersonal violence</w:t>
            </w:r>
          </w:p>
        </w:tc>
        <w:tc>
          <w:tcPr>
            <w:tcW w:w="2067" w:type="dxa"/>
          </w:tcPr>
          <w:p w14:paraId="4A9B086C" w14:textId="37BA9EDD" w:rsidR="00261F06" w:rsidRPr="00D50C8F" w:rsidRDefault="007C6626" w:rsidP="000237A8">
            <w:pPr>
              <w:pStyle w:val="USBodyText"/>
              <w:keepNext/>
              <w:keepLines/>
              <w:ind w:left="0" w:right="632"/>
              <w:jc w:val="right"/>
              <w:rPr>
                <w:sz w:val="18"/>
                <w:szCs w:val="18"/>
              </w:rPr>
            </w:pPr>
            <w:r w:rsidRPr="00D50C8F">
              <w:rPr>
                <w:sz w:val="18"/>
                <w:szCs w:val="18"/>
              </w:rPr>
              <w:t>1,110</w:t>
            </w:r>
          </w:p>
        </w:tc>
        <w:tc>
          <w:tcPr>
            <w:tcW w:w="1917" w:type="dxa"/>
          </w:tcPr>
          <w:p w14:paraId="7B13D267" w14:textId="16196E50" w:rsidR="00261F06" w:rsidRPr="00D50C8F" w:rsidRDefault="00B22592" w:rsidP="000237A8">
            <w:pPr>
              <w:pStyle w:val="USBodyText"/>
              <w:keepNext/>
              <w:keepLines/>
              <w:ind w:left="0" w:right="632"/>
              <w:jc w:val="right"/>
              <w:rPr>
                <w:sz w:val="18"/>
                <w:szCs w:val="18"/>
              </w:rPr>
            </w:pPr>
            <w:r w:rsidRPr="00D50C8F">
              <w:rPr>
                <w:sz w:val="18"/>
                <w:szCs w:val="18"/>
              </w:rPr>
              <w:t>1,556</w:t>
            </w:r>
          </w:p>
        </w:tc>
        <w:tc>
          <w:tcPr>
            <w:tcW w:w="1738" w:type="dxa"/>
          </w:tcPr>
          <w:p w14:paraId="7EF71B6D" w14:textId="3D759232" w:rsidR="00261F06" w:rsidRPr="00D50C8F" w:rsidRDefault="00983959" w:rsidP="000237A8">
            <w:pPr>
              <w:pStyle w:val="USBodyText"/>
              <w:keepNext/>
              <w:keepLines/>
              <w:ind w:left="0" w:right="632"/>
              <w:jc w:val="right"/>
              <w:rPr>
                <w:sz w:val="18"/>
                <w:szCs w:val="18"/>
              </w:rPr>
            </w:pPr>
            <w:r w:rsidRPr="00D50C8F">
              <w:rPr>
                <w:sz w:val="18"/>
                <w:szCs w:val="18"/>
              </w:rPr>
              <w:t>2,666</w:t>
            </w:r>
          </w:p>
        </w:tc>
      </w:tr>
      <w:tr w:rsidR="00261F06" w14:paraId="21E9903C" w14:textId="1C09911C" w:rsidTr="006F64C6">
        <w:tc>
          <w:tcPr>
            <w:tcW w:w="2498" w:type="dxa"/>
          </w:tcPr>
          <w:p w14:paraId="4334875A" w14:textId="6641257E" w:rsidR="00261F06" w:rsidRPr="00D50C8F" w:rsidRDefault="00261F06" w:rsidP="000768D7">
            <w:pPr>
              <w:pStyle w:val="USBodyText"/>
              <w:keepNext/>
              <w:keepLines/>
              <w:ind w:left="0"/>
              <w:rPr>
                <w:sz w:val="18"/>
                <w:szCs w:val="18"/>
              </w:rPr>
            </w:pPr>
            <w:r w:rsidRPr="00D50C8F">
              <w:rPr>
                <w:sz w:val="18"/>
                <w:szCs w:val="18"/>
              </w:rPr>
              <w:t>Road crashes</w:t>
            </w:r>
          </w:p>
        </w:tc>
        <w:tc>
          <w:tcPr>
            <w:tcW w:w="2067" w:type="dxa"/>
          </w:tcPr>
          <w:p w14:paraId="51396521" w14:textId="191E515D" w:rsidR="00261F06" w:rsidRPr="00D50C8F" w:rsidRDefault="00A81576" w:rsidP="000237A8">
            <w:pPr>
              <w:pStyle w:val="USBodyText"/>
              <w:keepNext/>
              <w:keepLines/>
              <w:ind w:left="0" w:right="632"/>
              <w:jc w:val="right"/>
              <w:rPr>
                <w:sz w:val="18"/>
                <w:szCs w:val="18"/>
              </w:rPr>
            </w:pPr>
            <w:r w:rsidRPr="00D50C8F">
              <w:rPr>
                <w:sz w:val="18"/>
                <w:szCs w:val="18"/>
              </w:rPr>
              <w:t>1,169</w:t>
            </w:r>
          </w:p>
        </w:tc>
        <w:tc>
          <w:tcPr>
            <w:tcW w:w="1917" w:type="dxa"/>
          </w:tcPr>
          <w:p w14:paraId="0AC4B830" w14:textId="52BCCAD7" w:rsidR="00261F06" w:rsidRPr="00D50C8F" w:rsidRDefault="00A81576" w:rsidP="000237A8">
            <w:pPr>
              <w:pStyle w:val="USBodyText"/>
              <w:keepNext/>
              <w:keepLines/>
              <w:ind w:left="0" w:right="632"/>
              <w:jc w:val="right"/>
              <w:rPr>
                <w:sz w:val="18"/>
                <w:szCs w:val="18"/>
              </w:rPr>
            </w:pPr>
            <w:r w:rsidRPr="00D50C8F">
              <w:rPr>
                <w:sz w:val="18"/>
                <w:szCs w:val="18"/>
              </w:rPr>
              <w:t>3,774</w:t>
            </w:r>
          </w:p>
        </w:tc>
        <w:tc>
          <w:tcPr>
            <w:tcW w:w="1738" w:type="dxa"/>
          </w:tcPr>
          <w:p w14:paraId="3610A109" w14:textId="2ED15501" w:rsidR="00261F06" w:rsidRPr="00D50C8F" w:rsidRDefault="00A81576" w:rsidP="000237A8">
            <w:pPr>
              <w:pStyle w:val="USBodyText"/>
              <w:keepNext/>
              <w:keepLines/>
              <w:ind w:left="0" w:right="632"/>
              <w:jc w:val="right"/>
              <w:rPr>
                <w:sz w:val="18"/>
                <w:szCs w:val="18"/>
              </w:rPr>
            </w:pPr>
            <w:r w:rsidRPr="00D50C8F">
              <w:rPr>
                <w:sz w:val="18"/>
                <w:szCs w:val="18"/>
              </w:rPr>
              <w:t>4,943</w:t>
            </w:r>
          </w:p>
        </w:tc>
      </w:tr>
    </w:tbl>
    <w:p w14:paraId="05452941" w14:textId="6E9D685C" w:rsidR="006834AE" w:rsidRDefault="006876B0" w:rsidP="006876B0">
      <w:pPr>
        <w:pStyle w:val="USSource"/>
      </w:pPr>
      <w:r>
        <w:t xml:space="preserve">Source: </w:t>
      </w:r>
      <w:bookmarkStart w:id="59" w:name="_Hlk156212519"/>
      <w:r w:rsidRPr="006876B0">
        <w:t>Casswell et al. 2023</w:t>
      </w:r>
      <w:bookmarkEnd w:id="59"/>
    </w:p>
    <w:p w14:paraId="0015B237" w14:textId="13F35E62" w:rsidR="00414045" w:rsidRDefault="00414045" w:rsidP="005B2413">
      <w:pPr>
        <w:pStyle w:val="Heading2"/>
      </w:pPr>
      <w:bookmarkStart w:id="60" w:name="_Ref157506793"/>
      <w:bookmarkStart w:id="61" w:name="_Toc160633838"/>
      <w:r>
        <w:t xml:space="preserve">Estimated </w:t>
      </w:r>
      <w:r w:rsidR="005175A6">
        <w:t xml:space="preserve">value of </w:t>
      </w:r>
      <w:r w:rsidR="005175A6" w:rsidRPr="00490F1D">
        <w:t>increased risk of mortality and morbidity</w:t>
      </w:r>
      <w:r w:rsidR="005175A6">
        <w:t xml:space="preserve"> due to </w:t>
      </w:r>
      <w:r w:rsidR="001F7F49">
        <w:t>others’ drinking</w:t>
      </w:r>
      <w:bookmarkEnd w:id="60"/>
      <w:bookmarkEnd w:id="61"/>
      <w:r w:rsidR="005934B7">
        <w:t xml:space="preserve"> </w:t>
      </w:r>
    </w:p>
    <w:p w14:paraId="0CE7805F" w14:textId="299C0F77" w:rsidR="00D4068F" w:rsidRDefault="00D4068F" w:rsidP="00B72D93">
      <w:pPr>
        <w:pStyle w:val="USBodyText"/>
      </w:pPr>
      <w:r>
        <w:t xml:space="preserve">From the estimates </w:t>
      </w:r>
      <w:r w:rsidR="00E53A24">
        <w:t xml:space="preserve">provided by </w:t>
      </w:r>
      <w:r w:rsidR="00E53A24" w:rsidRPr="006876B0">
        <w:t xml:space="preserve">Casswell et al. </w:t>
      </w:r>
      <w:r w:rsidR="00E53A24">
        <w:t>(</w:t>
      </w:r>
      <w:r w:rsidR="00E53A24" w:rsidRPr="006876B0">
        <w:t>2023</w:t>
      </w:r>
      <w:r w:rsidR="00E53A24">
        <w:t xml:space="preserve">), </w:t>
      </w:r>
      <w:r>
        <w:t xml:space="preserve">we conservatively </w:t>
      </w:r>
      <w:r w:rsidR="00A46ED4">
        <w:t>focus exclusively on the DALYs associated with FASD</w:t>
      </w:r>
      <w:r w:rsidR="00233987">
        <w:t xml:space="preserve"> because Casswell et al. (2023):</w:t>
      </w:r>
    </w:p>
    <w:p w14:paraId="34471FCA" w14:textId="7FBA9999" w:rsidR="00B72D93" w:rsidRDefault="00D35555" w:rsidP="00233987">
      <w:pPr>
        <w:pStyle w:val="USBullet1"/>
      </w:pPr>
      <w:r w:rsidRPr="00D35555">
        <w:t>Casswell et al. (2023)</w:t>
      </w:r>
      <w:r>
        <w:t xml:space="preserve"> </w:t>
      </w:r>
      <w:r w:rsidR="00E55EB5">
        <w:t xml:space="preserve">estimated DALYs from road crashes </w:t>
      </w:r>
      <w:r w:rsidR="00D82606">
        <w:t>based on alcohol involvement, which may overestimate the causal role of alcohol due to other factors also potentially playing an important causal role (</w:t>
      </w:r>
      <w:proofErr w:type="gramStart"/>
      <w:r w:rsidR="00D82606">
        <w:t>e.g.</w:t>
      </w:r>
      <w:proofErr w:type="gramEnd"/>
      <w:r w:rsidR="00D82606">
        <w:t xml:space="preserve"> illicit drugs, speed, etc</w:t>
      </w:r>
      <w:r w:rsidR="005D0BA9">
        <w:t>.</w:t>
      </w:r>
      <w:r w:rsidR="00D82606">
        <w:t>)</w:t>
      </w:r>
      <w:r>
        <w:t>. T</w:t>
      </w:r>
      <w:r w:rsidR="00E877CB">
        <w:t xml:space="preserve">his approach is inconsistent with our </w:t>
      </w:r>
      <w:r w:rsidR="005D0BA9">
        <w:t>approach to estimating road crash cost</w:t>
      </w:r>
      <w:r w:rsidR="0028083C">
        <w:t xml:space="preserve">s in </w:t>
      </w:r>
      <w:r w:rsidR="005D0BA9">
        <w:t xml:space="preserve">section </w:t>
      </w:r>
      <w:r w:rsidR="0028083C">
        <w:fldChar w:fldCharType="begin"/>
      </w:r>
      <w:r w:rsidR="0028083C">
        <w:instrText xml:space="preserve"> REF _Ref156212669 \r \h </w:instrText>
      </w:r>
      <w:r w:rsidR="0028083C">
        <w:fldChar w:fldCharType="separate"/>
      </w:r>
      <w:r w:rsidR="00AE166D">
        <w:t>4.3</w:t>
      </w:r>
      <w:r w:rsidR="0028083C">
        <w:fldChar w:fldCharType="end"/>
      </w:r>
      <w:r w:rsidR="00D4068F">
        <w:t>.</w:t>
      </w:r>
    </w:p>
    <w:p w14:paraId="6BA26D99" w14:textId="7EB7F7F4" w:rsidR="00A352A8" w:rsidRDefault="0041008A" w:rsidP="00233987">
      <w:pPr>
        <w:pStyle w:val="USBullet1"/>
      </w:pPr>
      <w:r w:rsidRPr="00D35555">
        <w:t>Casswell et al. (2023)</w:t>
      </w:r>
      <w:r>
        <w:t xml:space="preserve"> </w:t>
      </w:r>
      <w:r w:rsidR="00233987">
        <w:t xml:space="preserve">estimated DALYs from interpersonal violence based on </w:t>
      </w:r>
      <w:r w:rsidR="00822AD2">
        <w:t>a 2010</w:t>
      </w:r>
      <w:r w:rsidR="00233987">
        <w:t xml:space="preserve"> Australian study</w:t>
      </w:r>
      <w:r w:rsidR="005D0BA9">
        <w:t>,</w:t>
      </w:r>
      <w:r w:rsidR="000B310B">
        <w:t xml:space="preserve"> </w:t>
      </w:r>
      <w:r w:rsidR="00A352A8">
        <w:t xml:space="preserve">which conflicts with our approach to estimating </w:t>
      </w:r>
      <w:r w:rsidR="0027337F">
        <w:t>alcohol-</w:t>
      </w:r>
      <w:r w:rsidR="00A352A8">
        <w:t>attributable crimes in</w:t>
      </w:r>
      <w:r w:rsidR="00C36A06">
        <w:t xml:space="preserve"> </w:t>
      </w:r>
      <w:r w:rsidR="005D0BA9">
        <w:t xml:space="preserve">section </w:t>
      </w:r>
      <w:r w:rsidR="00C36A06">
        <w:fldChar w:fldCharType="begin"/>
      </w:r>
      <w:r w:rsidR="00C36A06">
        <w:instrText xml:space="preserve"> REF _Ref158034314 \r \h </w:instrText>
      </w:r>
      <w:r w:rsidR="00C36A06">
        <w:fldChar w:fldCharType="separate"/>
      </w:r>
      <w:r w:rsidR="00AE166D">
        <w:t>6</w:t>
      </w:r>
      <w:r w:rsidR="00C36A06">
        <w:fldChar w:fldCharType="end"/>
      </w:r>
      <w:r w:rsidR="00A352A8">
        <w:t xml:space="preserve">, which </w:t>
      </w:r>
      <w:r w:rsidR="00C36A06">
        <w:t>i</w:t>
      </w:r>
      <w:r w:rsidR="00A352A8">
        <w:t>s based on a more recent New Zealand study.</w:t>
      </w:r>
    </w:p>
    <w:p w14:paraId="7CA47CC5" w14:textId="0F2CF452" w:rsidR="00233987" w:rsidRDefault="00A352A8" w:rsidP="00A352A8">
      <w:pPr>
        <w:pStyle w:val="USBodyText"/>
      </w:pPr>
      <w:r>
        <w:t>While the exclusion of these two causes of DALYs from others</w:t>
      </w:r>
      <w:r w:rsidR="001878BE">
        <w:t>’ alcohol use</w:t>
      </w:r>
      <w:r w:rsidR="00844329">
        <w:t xml:space="preserve"> reduces the </w:t>
      </w:r>
      <w:r w:rsidR="000A6456">
        <w:t xml:space="preserve">total DALYs for cost estimation, the impact is small due to these two </w:t>
      </w:r>
      <w:r w:rsidR="00426D4F">
        <w:t xml:space="preserve">causes together making up less than 10 percent of </w:t>
      </w:r>
      <w:r w:rsidR="00D865B0">
        <w:t xml:space="preserve">the </w:t>
      </w:r>
      <w:r w:rsidR="00426D4F">
        <w:t xml:space="preserve">total </w:t>
      </w:r>
      <w:r w:rsidR="00D865B0">
        <w:t xml:space="preserve">estimated </w:t>
      </w:r>
      <w:r w:rsidR="00426D4F">
        <w:t>DALYs</w:t>
      </w:r>
      <w:r w:rsidR="00D865B0">
        <w:t xml:space="preserve"> from others’ alcohol use.</w:t>
      </w:r>
      <w:r w:rsidR="006D5726">
        <w:t xml:space="preserve"> </w:t>
      </w:r>
    </w:p>
    <w:p w14:paraId="57BB2589" w14:textId="3F38C807" w:rsidR="00D9525E" w:rsidRDefault="00D9525E" w:rsidP="00D9525E">
      <w:pPr>
        <w:pStyle w:val="USBodyText"/>
      </w:pPr>
      <w:r>
        <w:t>Casswell et al. (2023) provide DALY rates</w:t>
      </w:r>
      <w:r w:rsidR="0084585E">
        <w:t>, but only at a total population level</w:t>
      </w:r>
      <w:r w:rsidR="005D0BA9">
        <w:t>,</w:t>
      </w:r>
      <w:r w:rsidR="0084585E">
        <w:t xml:space="preserve"> which </w:t>
      </w:r>
      <w:r w:rsidR="00086A6C">
        <w:t xml:space="preserve">means </w:t>
      </w:r>
      <w:r w:rsidR="00175E51">
        <w:t xml:space="preserve">the number of DALYs cannot be </w:t>
      </w:r>
      <w:r w:rsidR="00753F65">
        <w:t>adjusted to the 2023 population</w:t>
      </w:r>
      <w:r w:rsidR="00B55BCF">
        <w:t xml:space="preserve"> in the same way that </w:t>
      </w:r>
      <w:r w:rsidR="003C6DE4">
        <w:t>the adjustment was made for previous DALY estimates in this section</w:t>
      </w:r>
      <w:r w:rsidR="00B55BCF">
        <w:t>.</w:t>
      </w:r>
      <w:r w:rsidR="00A463E5">
        <w:t xml:space="preserve"> However, based on Stats NZ’s </w:t>
      </w:r>
      <w:r w:rsidR="007C0724">
        <w:t>estimated resident population</w:t>
      </w:r>
      <w:r w:rsidR="00451F1F">
        <w:t xml:space="preserve"> as </w:t>
      </w:r>
      <w:r w:rsidR="00464C3D">
        <w:t>of</w:t>
      </w:r>
      <w:r w:rsidR="00451F1F">
        <w:t xml:space="preserve"> June 2018 and June 2023</w:t>
      </w:r>
      <w:r w:rsidR="005C0843">
        <w:t xml:space="preserve">, we </w:t>
      </w:r>
      <w:r w:rsidR="007A5F31">
        <w:t xml:space="preserve">apply a growth rate of </w:t>
      </w:r>
      <w:r w:rsidR="00E41275">
        <w:t xml:space="preserve">6.85 percent to the number of DALYs to </w:t>
      </w:r>
      <w:r w:rsidR="005079BA">
        <w:t xml:space="preserve">estimate a 2023 figure. This adjustment results in </w:t>
      </w:r>
      <w:r w:rsidR="00733393">
        <w:t>75,5</w:t>
      </w:r>
      <w:r w:rsidR="0013573B">
        <w:t>26</w:t>
      </w:r>
      <w:r w:rsidR="00733393">
        <w:t xml:space="preserve"> DALYs</w:t>
      </w:r>
      <w:r w:rsidR="005E3B47">
        <w:t xml:space="preserve"> in 2023 (from 70,6</w:t>
      </w:r>
      <w:r w:rsidR="000D309D">
        <w:t>84 in 2018)</w:t>
      </w:r>
      <w:r w:rsidR="00460375">
        <w:t>.</w:t>
      </w:r>
    </w:p>
    <w:p w14:paraId="17FD6595" w14:textId="7BC34553" w:rsidR="006C78EA" w:rsidRDefault="006C78EA" w:rsidP="00D9525E">
      <w:pPr>
        <w:pStyle w:val="USBodyText"/>
      </w:pPr>
      <w:r>
        <w:t xml:space="preserve">Applying the same DALY values used </w:t>
      </w:r>
      <w:r w:rsidR="006C2146">
        <w:t xml:space="preserve">throughout this section, we estimate </w:t>
      </w:r>
      <w:r w:rsidR="00EB1E19">
        <w:t xml:space="preserve">that </w:t>
      </w:r>
      <w:r w:rsidR="006C2146">
        <w:t xml:space="preserve">the </w:t>
      </w:r>
      <w:r w:rsidR="00486E81">
        <w:t xml:space="preserve">value of loss of life and loss of quality of life as a result of others’ drinking </w:t>
      </w:r>
      <w:r w:rsidR="007D0599">
        <w:t>causing</w:t>
      </w:r>
      <w:r w:rsidR="00486E81">
        <w:t xml:space="preserve"> FASD</w:t>
      </w:r>
      <w:r w:rsidR="002714EC">
        <w:t xml:space="preserve"> to be</w:t>
      </w:r>
      <w:r w:rsidR="00317750">
        <w:t xml:space="preserve"> </w:t>
      </w:r>
      <w:r w:rsidR="008D0C27">
        <w:t>at least</w:t>
      </w:r>
      <w:r w:rsidR="00317750">
        <w:t xml:space="preserve"> $</w:t>
      </w:r>
      <w:r w:rsidR="006C05FF">
        <w:t>3.</w:t>
      </w:r>
      <w:r w:rsidR="00C01876">
        <w:t>2</w:t>
      </w:r>
      <w:r w:rsidR="006717AC">
        <w:t xml:space="preserve"> billion </w:t>
      </w:r>
      <w:r w:rsidR="008D0C27">
        <w:t>and could pote</w:t>
      </w:r>
      <w:r w:rsidR="00EB1E19">
        <w:t>ntially be valued at up to</w:t>
      </w:r>
      <w:r w:rsidR="006717AC">
        <w:t xml:space="preserve"> $</w:t>
      </w:r>
      <w:r w:rsidR="00C01876">
        <w:t>4.8</w:t>
      </w:r>
      <w:r w:rsidR="005717F1">
        <w:t xml:space="preserve"> billion</w:t>
      </w:r>
      <w:r w:rsidR="00C133C3">
        <w:t xml:space="preserve"> </w:t>
      </w:r>
      <w:r w:rsidR="006F64C6">
        <w:t xml:space="preserve">(see </w:t>
      </w:r>
      <w:r w:rsidR="006F64C6">
        <w:fldChar w:fldCharType="begin"/>
      </w:r>
      <w:r w:rsidR="006F64C6">
        <w:instrText xml:space="preserve"> REF _Ref156214162 \h </w:instrText>
      </w:r>
      <w:r w:rsidR="006F64C6">
        <w:fldChar w:fldCharType="separate"/>
      </w:r>
      <w:r w:rsidR="00AE166D" w:rsidRPr="00731CA6">
        <w:t xml:space="preserve">Table </w:t>
      </w:r>
      <w:r w:rsidR="00AE166D">
        <w:rPr>
          <w:noProof/>
        </w:rPr>
        <w:t>11</w:t>
      </w:r>
      <w:r w:rsidR="006F64C6">
        <w:fldChar w:fldCharType="end"/>
      </w:r>
      <w:r w:rsidR="006F64C6">
        <w:t xml:space="preserve"> below)</w:t>
      </w:r>
      <w:r w:rsidR="00FE61AA">
        <w:t>.</w:t>
      </w:r>
    </w:p>
    <w:p w14:paraId="622DC658" w14:textId="484AB3F2" w:rsidR="00C01876" w:rsidRDefault="005934B7" w:rsidP="005934B7">
      <w:pPr>
        <w:pStyle w:val="TableCaption"/>
      </w:pPr>
      <w:bookmarkStart w:id="62" w:name="_Ref156214162"/>
      <w:bookmarkStart w:id="63" w:name="_Toc160633918"/>
      <w:r w:rsidRPr="00731CA6">
        <w:t xml:space="preserve">Table </w:t>
      </w:r>
      <w:fldSimple w:instr=" SEQ Table \* ARABIC ">
        <w:r w:rsidR="00AE166D">
          <w:rPr>
            <w:noProof/>
          </w:rPr>
          <w:t>11</w:t>
        </w:r>
      </w:fldSimple>
      <w:bookmarkEnd w:id="62"/>
      <w:r w:rsidRPr="00731CA6">
        <w:t xml:space="preserve"> </w:t>
      </w:r>
      <w:r>
        <w:t xml:space="preserve">Total </w:t>
      </w:r>
      <w:r w:rsidR="006928B6" w:rsidRPr="006928B6">
        <w:t xml:space="preserve">value of increased risk of mortality and morbidity </w:t>
      </w:r>
      <w:r w:rsidR="006928B6">
        <w:t xml:space="preserve">associated </w:t>
      </w:r>
      <w:r>
        <w:t xml:space="preserve">with </w:t>
      </w:r>
      <w:proofErr w:type="gramStart"/>
      <w:r>
        <w:t>FASD</w:t>
      </w:r>
      <w:bookmarkEnd w:id="63"/>
      <w:proofErr w:type="gramEnd"/>
    </w:p>
    <w:p w14:paraId="0F9AD6F2" w14:textId="5953FB5C" w:rsidR="002714EC" w:rsidRPr="0012186E" w:rsidRDefault="00C01876" w:rsidP="00C01876">
      <w:pPr>
        <w:pStyle w:val="CaptionSubheading"/>
      </w:pPr>
      <w:r>
        <w:t>B</w:t>
      </w:r>
      <w:r w:rsidR="005934B7">
        <w:t>ased on alternative values of a DALY</w:t>
      </w:r>
    </w:p>
    <w:tbl>
      <w:tblPr>
        <w:tblStyle w:val="TableDefault"/>
        <w:tblW w:w="0" w:type="auto"/>
        <w:tblLook w:val="04A0" w:firstRow="1" w:lastRow="0" w:firstColumn="1" w:lastColumn="0" w:noHBand="0" w:noVBand="1"/>
      </w:tblPr>
      <w:tblGrid>
        <w:gridCol w:w="2410"/>
        <w:gridCol w:w="1842"/>
        <w:gridCol w:w="1560"/>
        <w:gridCol w:w="2408"/>
      </w:tblGrid>
      <w:tr w:rsidR="000131BC" w14:paraId="756C8158" w14:textId="14D60945" w:rsidTr="00453ACA">
        <w:trPr>
          <w:cnfStyle w:val="100000000000" w:firstRow="1" w:lastRow="0" w:firstColumn="0" w:lastColumn="0" w:oddVBand="0" w:evenVBand="0" w:oddHBand="0" w:evenHBand="0" w:firstRowFirstColumn="0" w:firstRowLastColumn="0" w:lastRowFirstColumn="0" w:lastRowLastColumn="0"/>
        </w:trPr>
        <w:tc>
          <w:tcPr>
            <w:tcW w:w="2410" w:type="dxa"/>
          </w:tcPr>
          <w:p w14:paraId="4848997C" w14:textId="42AF39B9" w:rsidR="000131BC" w:rsidRPr="005B2413" w:rsidRDefault="009A400A" w:rsidP="00A40B61">
            <w:pPr>
              <w:pStyle w:val="USBodyText"/>
              <w:keepNext/>
              <w:keepLines/>
              <w:ind w:left="0"/>
              <w:rPr>
                <w:b/>
                <w:bCs/>
                <w:color w:val="FFFFFF" w:themeColor="background1"/>
                <w:sz w:val="20"/>
                <w:szCs w:val="20"/>
              </w:rPr>
            </w:pPr>
            <w:r>
              <w:rPr>
                <w:b/>
                <w:bCs/>
                <w:color w:val="FFFFFF" w:themeColor="background1"/>
                <w:sz w:val="20"/>
                <w:szCs w:val="20"/>
              </w:rPr>
              <w:t>Basis of DALY valuation</w:t>
            </w:r>
          </w:p>
        </w:tc>
        <w:tc>
          <w:tcPr>
            <w:tcW w:w="1842" w:type="dxa"/>
          </w:tcPr>
          <w:p w14:paraId="243512CC" w14:textId="31A053C6" w:rsidR="000131BC" w:rsidRPr="005B2413" w:rsidRDefault="001F2989" w:rsidP="00746298">
            <w:pPr>
              <w:pStyle w:val="USBodyText"/>
              <w:keepNext/>
              <w:keepLines/>
              <w:ind w:left="0"/>
              <w:jc w:val="center"/>
              <w:rPr>
                <w:b/>
                <w:bCs/>
                <w:color w:val="FFFFFF" w:themeColor="background1"/>
                <w:sz w:val="20"/>
                <w:szCs w:val="20"/>
              </w:rPr>
            </w:pPr>
            <w:r>
              <w:rPr>
                <w:b/>
                <w:bCs/>
                <w:color w:val="FFFFFF" w:themeColor="background1"/>
                <w:sz w:val="20"/>
                <w:szCs w:val="20"/>
              </w:rPr>
              <w:t xml:space="preserve">Total </w:t>
            </w:r>
            <w:r w:rsidR="00C157A2">
              <w:rPr>
                <w:b/>
                <w:bCs/>
                <w:color w:val="FFFFFF" w:themeColor="background1"/>
                <w:sz w:val="20"/>
                <w:szCs w:val="20"/>
              </w:rPr>
              <w:t>DALYs 2023</w:t>
            </w:r>
          </w:p>
        </w:tc>
        <w:tc>
          <w:tcPr>
            <w:tcW w:w="1560" w:type="dxa"/>
            <w:shd w:val="clear" w:color="auto" w:fill="0094C5"/>
          </w:tcPr>
          <w:p w14:paraId="231EF367" w14:textId="26B6E213" w:rsidR="000131BC" w:rsidRPr="005B2413" w:rsidRDefault="000131BC" w:rsidP="00746298">
            <w:pPr>
              <w:pStyle w:val="USBodyText"/>
              <w:keepNext/>
              <w:keepLines/>
              <w:ind w:left="0"/>
              <w:jc w:val="center"/>
              <w:rPr>
                <w:b/>
                <w:bCs/>
                <w:color w:val="FFFFFF" w:themeColor="background1"/>
                <w:sz w:val="20"/>
                <w:szCs w:val="20"/>
              </w:rPr>
            </w:pPr>
            <w:r w:rsidRPr="005B2413">
              <w:rPr>
                <w:b/>
                <w:bCs/>
                <w:color w:val="FFFFFF" w:themeColor="background1"/>
                <w:sz w:val="20"/>
                <w:szCs w:val="20"/>
              </w:rPr>
              <w:t>DALY value</w:t>
            </w:r>
          </w:p>
        </w:tc>
        <w:tc>
          <w:tcPr>
            <w:tcW w:w="2408" w:type="dxa"/>
          </w:tcPr>
          <w:p w14:paraId="722E66FE" w14:textId="66C0E062" w:rsidR="000131BC" w:rsidRPr="005B2413" w:rsidRDefault="000131BC" w:rsidP="00746298">
            <w:pPr>
              <w:pStyle w:val="USBodyText"/>
              <w:keepNext/>
              <w:keepLines/>
              <w:ind w:left="0"/>
              <w:jc w:val="center"/>
              <w:rPr>
                <w:b/>
                <w:bCs/>
                <w:color w:val="FFFFFF" w:themeColor="background1"/>
                <w:sz w:val="20"/>
                <w:szCs w:val="20"/>
              </w:rPr>
            </w:pPr>
            <w:r w:rsidRPr="005B2413">
              <w:rPr>
                <w:b/>
                <w:bCs/>
                <w:color w:val="FFFFFF" w:themeColor="background1"/>
                <w:sz w:val="20"/>
                <w:szCs w:val="20"/>
              </w:rPr>
              <w:t>Total DALY value</w:t>
            </w:r>
          </w:p>
        </w:tc>
      </w:tr>
      <w:tr w:rsidR="003B7907" w14:paraId="10D94C52" w14:textId="1FFA2004" w:rsidTr="003B7907">
        <w:tc>
          <w:tcPr>
            <w:tcW w:w="2410" w:type="dxa"/>
          </w:tcPr>
          <w:p w14:paraId="577847ED" w14:textId="24D65EA2" w:rsidR="003B7907" w:rsidRPr="0012186E" w:rsidRDefault="003B7907" w:rsidP="003B7907">
            <w:pPr>
              <w:pStyle w:val="USBodyText"/>
              <w:keepNext/>
              <w:keepLines/>
              <w:ind w:left="0"/>
              <w:rPr>
                <w:sz w:val="18"/>
                <w:szCs w:val="18"/>
              </w:rPr>
            </w:pPr>
            <w:r w:rsidRPr="0012186E">
              <w:rPr>
                <w:sz w:val="18"/>
                <w:szCs w:val="18"/>
              </w:rPr>
              <w:t>QALY value (Treasury, low)</w:t>
            </w:r>
          </w:p>
        </w:tc>
        <w:tc>
          <w:tcPr>
            <w:tcW w:w="1842" w:type="dxa"/>
            <w:tcBorders>
              <w:top w:val="nil"/>
              <w:left w:val="nil"/>
              <w:bottom w:val="single" w:sz="8" w:space="0" w:color="0094C5"/>
              <w:right w:val="nil"/>
            </w:tcBorders>
            <w:shd w:val="clear" w:color="auto" w:fill="auto"/>
            <w:vAlign w:val="center"/>
          </w:tcPr>
          <w:p w14:paraId="3C6C3753" w14:textId="28C3726E" w:rsidR="003B7907" w:rsidRPr="00C157A2" w:rsidRDefault="003B7907" w:rsidP="00746298">
            <w:pPr>
              <w:pStyle w:val="USBodyText"/>
              <w:keepNext/>
              <w:keepLines/>
              <w:ind w:left="0" w:right="459"/>
              <w:jc w:val="right"/>
              <w:rPr>
                <w:sz w:val="18"/>
                <w:szCs w:val="18"/>
              </w:rPr>
            </w:pPr>
            <w:r>
              <w:rPr>
                <w:rFonts w:cs="Calibri"/>
                <w:color w:val="000000"/>
                <w:sz w:val="18"/>
                <w:szCs w:val="18"/>
              </w:rPr>
              <w:t>75,526</w:t>
            </w:r>
          </w:p>
        </w:tc>
        <w:tc>
          <w:tcPr>
            <w:tcW w:w="1560" w:type="dxa"/>
            <w:tcBorders>
              <w:top w:val="nil"/>
              <w:left w:val="nil"/>
              <w:bottom w:val="single" w:sz="8" w:space="0" w:color="0094C5"/>
              <w:right w:val="nil"/>
            </w:tcBorders>
            <w:shd w:val="clear" w:color="auto" w:fill="auto"/>
            <w:vAlign w:val="center"/>
          </w:tcPr>
          <w:p w14:paraId="1E933808" w14:textId="277DAAC3" w:rsidR="003B7907" w:rsidRPr="0012186E" w:rsidRDefault="003B7907" w:rsidP="00746298">
            <w:pPr>
              <w:pStyle w:val="USBodyText"/>
              <w:keepNext/>
              <w:keepLines/>
              <w:ind w:left="0" w:right="459"/>
              <w:jc w:val="right"/>
              <w:rPr>
                <w:sz w:val="18"/>
                <w:szCs w:val="18"/>
              </w:rPr>
            </w:pPr>
            <w:r>
              <w:rPr>
                <w:rFonts w:cs="Calibri"/>
                <w:color w:val="000000"/>
                <w:sz w:val="18"/>
                <w:szCs w:val="18"/>
              </w:rPr>
              <w:t>$41,756</w:t>
            </w:r>
          </w:p>
        </w:tc>
        <w:tc>
          <w:tcPr>
            <w:tcW w:w="2408" w:type="dxa"/>
            <w:tcBorders>
              <w:top w:val="nil"/>
              <w:left w:val="nil"/>
              <w:bottom w:val="single" w:sz="8" w:space="0" w:color="0094C5"/>
              <w:right w:val="nil"/>
            </w:tcBorders>
            <w:shd w:val="clear" w:color="auto" w:fill="auto"/>
            <w:vAlign w:val="center"/>
          </w:tcPr>
          <w:p w14:paraId="59AB0C9F" w14:textId="53EC440A" w:rsidR="003B7907" w:rsidRPr="00A40B61" w:rsidRDefault="003B7907" w:rsidP="00746298">
            <w:pPr>
              <w:pStyle w:val="USBodyText"/>
              <w:keepNext/>
              <w:keepLines/>
              <w:ind w:left="0" w:right="459"/>
              <w:jc w:val="right"/>
              <w:rPr>
                <w:sz w:val="18"/>
                <w:szCs w:val="18"/>
              </w:rPr>
            </w:pPr>
            <w:r>
              <w:rPr>
                <w:rFonts w:cs="Calibri"/>
                <w:color w:val="000000"/>
                <w:sz w:val="18"/>
                <w:szCs w:val="18"/>
              </w:rPr>
              <w:t>$3,152,949,058</w:t>
            </w:r>
          </w:p>
        </w:tc>
      </w:tr>
      <w:tr w:rsidR="003B7907" w14:paraId="47E90536" w14:textId="02E05206">
        <w:trPr>
          <w:cnfStyle w:val="000000010000" w:firstRow="0" w:lastRow="0" w:firstColumn="0" w:lastColumn="0" w:oddVBand="0" w:evenVBand="0" w:oddHBand="0" w:evenHBand="1" w:firstRowFirstColumn="0" w:firstRowLastColumn="0" w:lastRowFirstColumn="0" w:lastRowLastColumn="0"/>
        </w:trPr>
        <w:tc>
          <w:tcPr>
            <w:tcW w:w="2410" w:type="dxa"/>
          </w:tcPr>
          <w:p w14:paraId="7B51AF37" w14:textId="4970849F" w:rsidR="003B7907" w:rsidRPr="0012186E" w:rsidRDefault="003B7907" w:rsidP="003B7907">
            <w:pPr>
              <w:pStyle w:val="USBodyText"/>
              <w:keepNext/>
              <w:keepLines/>
              <w:ind w:left="0"/>
              <w:rPr>
                <w:sz w:val="18"/>
                <w:szCs w:val="18"/>
              </w:rPr>
            </w:pPr>
            <w:r w:rsidRPr="0012186E">
              <w:rPr>
                <w:sz w:val="18"/>
                <w:szCs w:val="18"/>
              </w:rPr>
              <w:t>QALY value (Treasury, high)</w:t>
            </w:r>
          </w:p>
        </w:tc>
        <w:tc>
          <w:tcPr>
            <w:tcW w:w="1842" w:type="dxa"/>
            <w:tcBorders>
              <w:top w:val="nil"/>
              <w:left w:val="nil"/>
              <w:bottom w:val="single" w:sz="8" w:space="0" w:color="0094C5"/>
              <w:right w:val="nil"/>
            </w:tcBorders>
            <w:shd w:val="clear" w:color="000000" w:fill="EEECF0"/>
            <w:vAlign w:val="center"/>
          </w:tcPr>
          <w:p w14:paraId="07BBD17C" w14:textId="2265886B" w:rsidR="003B7907" w:rsidRPr="00C157A2" w:rsidRDefault="003B7907" w:rsidP="00746298">
            <w:pPr>
              <w:pStyle w:val="USBodyText"/>
              <w:keepNext/>
              <w:keepLines/>
              <w:ind w:left="0" w:right="459"/>
              <w:jc w:val="right"/>
              <w:rPr>
                <w:sz w:val="18"/>
                <w:szCs w:val="18"/>
              </w:rPr>
            </w:pPr>
            <w:r>
              <w:rPr>
                <w:rFonts w:cs="Calibri"/>
                <w:color w:val="000000"/>
                <w:sz w:val="18"/>
                <w:szCs w:val="18"/>
              </w:rPr>
              <w:t>75,526</w:t>
            </w:r>
          </w:p>
        </w:tc>
        <w:tc>
          <w:tcPr>
            <w:tcW w:w="1560" w:type="dxa"/>
            <w:tcBorders>
              <w:top w:val="nil"/>
              <w:left w:val="nil"/>
              <w:bottom w:val="single" w:sz="8" w:space="0" w:color="0094C5"/>
              <w:right w:val="nil"/>
            </w:tcBorders>
            <w:shd w:val="clear" w:color="000000" w:fill="EEECF0"/>
            <w:vAlign w:val="center"/>
          </w:tcPr>
          <w:p w14:paraId="4B60494E" w14:textId="2CCDBFBD" w:rsidR="003B7907" w:rsidRPr="0012186E" w:rsidRDefault="003B7907" w:rsidP="00746298">
            <w:pPr>
              <w:pStyle w:val="USBodyText"/>
              <w:keepNext/>
              <w:keepLines/>
              <w:ind w:left="0" w:right="459"/>
              <w:jc w:val="right"/>
              <w:rPr>
                <w:sz w:val="18"/>
                <w:szCs w:val="18"/>
              </w:rPr>
            </w:pPr>
            <w:r>
              <w:rPr>
                <w:rFonts w:cs="Calibri"/>
                <w:color w:val="000000"/>
                <w:sz w:val="18"/>
                <w:szCs w:val="18"/>
              </w:rPr>
              <w:t>$63,381</w:t>
            </w:r>
          </w:p>
        </w:tc>
        <w:tc>
          <w:tcPr>
            <w:tcW w:w="2408" w:type="dxa"/>
            <w:tcBorders>
              <w:top w:val="nil"/>
              <w:left w:val="nil"/>
              <w:bottom w:val="single" w:sz="8" w:space="0" w:color="0094C5"/>
              <w:right w:val="nil"/>
            </w:tcBorders>
            <w:shd w:val="clear" w:color="000000" w:fill="EEECF0"/>
            <w:vAlign w:val="center"/>
          </w:tcPr>
          <w:p w14:paraId="72B75C16" w14:textId="29C377D4" w:rsidR="003B7907" w:rsidRPr="00A40B61" w:rsidRDefault="003B7907" w:rsidP="00746298">
            <w:pPr>
              <w:pStyle w:val="USBodyText"/>
              <w:keepNext/>
              <w:keepLines/>
              <w:ind w:left="0" w:right="459"/>
              <w:jc w:val="right"/>
              <w:rPr>
                <w:sz w:val="18"/>
                <w:szCs w:val="18"/>
              </w:rPr>
            </w:pPr>
            <w:r>
              <w:rPr>
                <w:rFonts w:cs="Calibri"/>
                <w:color w:val="000000"/>
                <w:sz w:val="18"/>
                <w:szCs w:val="18"/>
              </w:rPr>
              <w:t>$4,785,828,725</w:t>
            </w:r>
          </w:p>
        </w:tc>
      </w:tr>
    </w:tbl>
    <w:p w14:paraId="4217A2CC" w14:textId="040F49D6" w:rsidR="008A1AFA" w:rsidRDefault="00D708FD" w:rsidP="008A1AFA">
      <w:pPr>
        <w:pStyle w:val="USSource"/>
      </w:pPr>
      <w:r>
        <w:t>Source</w:t>
      </w:r>
      <w:r w:rsidR="008A1AFA">
        <w:t>: NZIER, based on</w:t>
      </w:r>
      <w:r w:rsidR="00372959">
        <w:t xml:space="preserve"> </w:t>
      </w:r>
      <w:r w:rsidR="00372959">
        <w:fldChar w:fldCharType="begin"/>
      </w:r>
      <w:r w:rsidR="00F244F6">
        <w:instrText xml:space="preserve"> ADDIN ZOTERO_ITEM CSL_CITATION {"citationID":"DAgGf7OV","properties":{"custom":"Casswell et al. (2023)","formattedCitation":"Casswell et al. (2023)","plainCitation":"Casswell et al. (2023)","noteIndex":0},"citationItems":[{"id":72389,"uris":["http://zotero.org/groups/4944822/items/4UIXYY4G"],"itemData":{"id":72389,"type":"article","abstract":"Background: Quantifying the health burden of alcohol products has largely focused on harm to drinkers. However, this is an underestimate and needs to include alcohol’s harm to others. This study calculates Disability Adjusted Life Years (DALYs) for FASD, interpersonal violence and traffic injury due to another’s drinking.Methods: The involvement of others’ drinking was obtained from prevalence, AAF studies and administrative data. Disability weights (DW) for FASD were adapted from FAS weights using a Beta-Pert probability distribution; for interpersonal injury DWs used hospital events linked with injury compensation data to capture duration of disability; for traffic injury, DWs used hospital events capturing duration of disability. Populations were divided by ethnicity, age group and gender. A descriptive comparison was made with a previous estimate of alcohol attributable DALYs for drinkers.Findings: In 2018, 78,277 healthy years were lost in Aotearoa, NZ due to alcohol’s harm to others. The main contributor (90.3%) was FASD, then traffic crashes (6.3%) and interpersonal violence (3.4%). The indigenous population, Māori, were impacted at a higher rate. The burden of harm to others was greater than that on drinkers.Interpretation: Disability from FASD is a major contributor to alcohol’s harm to others. Taking FASD into account, the health burden of harm to others is larger than harm to the drinker. Ethnicity differences show inequity in harm to others. Quantification of the burden of harm informs the value of implementing effective alcohol policies and should include the full range of harms.Funding: Health Research Council of New Zealand.Declaration of Interest: No conflicts of interest to declareEthical Approval: : Low-risk ethics approval was received from Massey University. Approved application number 4000020372. A low-risk ethics application was appropriate as defined by a Massey University ethics checklist. All data in the Integrated Data Infrastructure are anonymous to researchers and de-identified.","DOI":"10.2139/ssrn.4425297","event-place":"Rochester, NY","genre":"SSRN Scholarly Paper","language":"en","number":"4425297","publisher-place":"Rochester, NY","source":"Social Science Research Network","title":"Quantifying Alcohol-Attributable Disability-Adjusted Life Years to Others than the Drinker in Aotearoa, New Zealand","URL":"https://papers.ssrn.com/abstract=4425297","author":[{"family":"Casswell","given":"Sally"},{"family":"Huckle","given":"Taisia"},{"family":"Romeo","given":"Jose S."},{"family":"Moewaka Barnes","given":"Helen"},{"family":"Connor","given":"Jennie"},{"family":"Rehm","given":"Jurgen"}],"accessed":{"date-parts":[["2024",1,15]]},"issued":{"date-parts":[["2023",4,27]]}}}],"schema":"https://github.com/citation-style-language/schema/raw/master/csl-citation.json"} </w:instrText>
      </w:r>
      <w:r w:rsidR="00372959">
        <w:fldChar w:fldCharType="separate"/>
      </w:r>
      <w:r w:rsidR="00372959" w:rsidRPr="00372959">
        <w:rPr>
          <w:rFonts w:cs="Calibri"/>
        </w:rPr>
        <w:t>Casswell et al. (2023)</w:t>
      </w:r>
      <w:r w:rsidR="00372959">
        <w:fldChar w:fldCharType="end"/>
      </w:r>
      <w:r w:rsidR="00372959">
        <w:t>,</w:t>
      </w:r>
      <w:r w:rsidR="008A1AFA">
        <w:t xml:space="preserve"> </w:t>
      </w:r>
      <w:r w:rsidR="008A1AFA">
        <w:fldChar w:fldCharType="begin"/>
      </w:r>
      <w:r w:rsidR="00F244F6">
        <w:instrText xml:space="preserve"> ADDIN ZOTERO_ITEM CSL_CITATION {"citationID":"Y3CK1bgp","properties":{"formattedCitation":"(Chambers, Jackson, and Hoek 2021; The Treasury 2022)","plainCitation":"(Chambers, Jackson, and Hoek 2021; The Treasury 2022)","dontUpdate":true,"noteIndex":0},"citationItems":[{"id":63460,"uris":["http://zotero.org/groups/4944822/items/I2P87NJ9"],"itemData":{"id":63460,"type":"article-journal","container-title":"The Lancet Regional Health: Western Pacific","DOI":"10.1016/j.lanwpc.2021.100218","ISSN":"2666-6065","journalAbbreviation":"Lancet Reg Health West Pac","note":"PMID: 34527993\nPMCID: PMC8403919","page":"100218","source":"PubMed Central","title":"New Zealand's proposed ban on alcohol sponsorship of sport: a cost-effective, pro-equity and feasible move towards reducing alcohol-related harm","title-short":"New Zealand's proposed ban on alcohol sponsorship of sport","volume":"13","author":[{"family":"Chambers","given":"Tim"},{"family":"Jackson","given":"Nicki"},{"family":"Hoek","given":"Janet"}],"issued":{"date-parts":[["2021",7,19]]}},"label":"page"},{"id":71335,"uris":["http://zotero.org/groups/4944822/items/VWY2MJIJ"],"itemData":{"id":71335,"type":"webpage","abstract":"CBAx is a spreadsheet model by the Treasury that contains a common database to help agencies monetise impacts and do return on investment","language":"en","title":"CBAX impacts database","URL":"https://www.treasury.govt.nz/information-and-services/state-sector-leadership/investment-management/investment-planning/treasurys-cbax-tool","author":[{"family":"The Treasury","given":""}],"accessed":{"date-parts":[["2023",12,7]]},"issued":{"date-parts":[["2022"]]}},"label":"page"}],"schema":"https://github.com/citation-style-language/schema/raw/master/csl-citation.json"} </w:instrText>
      </w:r>
      <w:r w:rsidR="008A1AFA">
        <w:fldChar w:fldCharType="separate"/>
      </w:r>
      <w:r w:rsidR="008A1AFA" w:rsidRPr="00C85196">
        <w:rPr>
          <w:rFonts w:cs="Calibri"/>
        </w:rPr>
        <w:t xml:space="preserve">The Treasury </w:t>
      </w:r>
      <w:r w:rsidR="008A1AFA">
        <w:rPr>
          <w:rFonts w:cs="Calibri"/>
        </w:rPr>
        <w:t>(</w:t>
      </w:r>
      <w:r w:rsidR="008A1AFA" w:rsidRPr="00C85196">
        <w:rPr>
          <w:rFonts w:cs="Calibri"/>
        </w:rPr>
        <w:t>2022)</w:t>
      </w:r>
      <w:r w:rsidR="008A1AFA">
        <w:fldChar w:fldCharType="end"/>
      </w:r>
      <w:r w:rsidR="008A1AFA">
        <w:t xml:space="preserve"> </w:t>
      </w:r>
    </w:p>
    <w:p w14:paraId="4B4D61DC" w14:textId="0340A7F8" w:rsidR="0012186E" w:rsidRDefault="0012186E" w:rsidP="00B02ED1">
      <w:pPr>
        <w:pStyle w:val="Heading2"/>
      </w:pPr>
      <w:bookmarkStart w:id="64" w:name="_Toc160633839"/>
      <w:r>
        <w:lastRenderedPageBreak/>
        <w:t xml:space="preserve">Total </w:t>
      </w:r>
      <w:r w:rsidR="007C3FCE">
        <w:t xml:space="preserve">estimated </w:t>
      </w:r>
      <w:r>
        <w:t xml:space="preserve">value </w:t>
      </w:r>
      <w:r w:rsidR="00935F0F">
        <w:t xml:space="preserve">of </w:t>
      </w:r>
      <w:r w:rsidR="00935F0F" w:rsidRPr="00935F0F">
        <w:t xml:space="preserve">increased risk of mortality and morbidity due to </w:t>
      </w:r>
      <w:r w:rsidR="00A60E39">
        <w:t xml:space="preserve">own and others’ </w:t>
      </w:r>
      <w:r w:rsidR="00935F0F">
        <w:t>alcohol consumption</w:t>
      </w:r>
      <w:bookmarkEnd w:id="64"/>
    </w:p>
    <w:p w14:paraId="346903AA" w14:textId="77777777" w:rsidR="00636395" w:rsidRDefault="002A488A" w:rsidP="00AC4DAE">
      <w:pPr>
        <w:pStyle w:val="USBodyText"/>
      </w:pPr>
      <w:r>
        <w:t xml:space="preserve">Aggregating the estimates </w:t>
      </w:r>
      <w:r w:rsidR="00700FA6">
        <w:t xml:space="preserve">described in this section provides </w:t>
      </w:r>
      <w:r w:rsidR="005B62D9">
        <w:t xml:space="preserve">an indication of the potential scale of </w:t>
      </w:r>
      <w:r w:rsidR="00A81AAF">
        <w:t xml:space="preserve">cost of alcohol harms from a societal perspective. In total, </w:t>
      </w:r>
      <w:r w:rsidR="00E950A8">
        <w:t>144,0</w:t>
      </w:r>
      <w:r w:rsidR="008261A7">
        <w:t>74</w:t>
      </w:r>
      <w:r w:rsidR="00E950A8">
        <w:t xml:space="preserve"> DALYs are estimated to have resulted from alcohol use in New Zealand in 2023</w:t>
      </w:r>
      <w:r w:rsidR="00DC2C09">
        <w:t xml:space="preserve">, with </w:t>
      </w:r>
      <w:r w:rsidR="009B1C85">
        <w:t xml:space="preserve">over half being associated with FASD </w:t>
      </w:r>
      <w:r w:rsidR="00974B32">
        <w:t>(</w:t>
      </w:r>
      <w:r w:rsidR="009B1C85">
        <w:t>the result of other people’s drinking</w:t>
      </w:r>
      <w:r w:rsidR="00974B32">
        <w:t>)</w:t>
      </w:r>
      <w:r w:rsidR="00556724">
        <w:t xml:space="preserve">. </w:t>
      </w:r>
    </w:p>
    <w:p w14:paraId="26254729" w14:textId="327DE1F9" w:rsidR="00A60E39" w:rsidRDefault="00556724" w:rsidP="00AC4DAE">
      <w:pPr>
        <w:pStyle w:val="USBodyText"/>
      </w:pPr>
      <w:r>
        <w:t xml:space="preserve">Using the </w:t>
      </w:r>
      <w:proofErr w:type="spellStart"/>
      <w:r>
        <w:t>VoSL</w:t>
      </w:r>
      <w:proofErr w:type="spellEnd"/>
      <w:r>
        <w:t xml:space="preserve">-based value of a DALY, the resulting total </w:t>
      </w:r>
      <w:r w:rsidR="00AF7EEF">
        <w:t xml:space="preserve">cost is estimated to be $9.1 billion with </w:t>
      </w:r>
      <w:r w:rsidR="00881FA4">
        <w:t xml:space="preserve">$4.8 billion associated with FASD and $4.3 billion attributable to </w:t>
      </w:r>
      <w:r w:rsidR="00180F1F">
        <w:t xml:space="preserve">drinkers’ </w:t>
      </w:r>
      <w:r w:rsidR="00881FA4">
        <w:t>own use of alcohol</w:t>
      </w:r>
      <w:r w:rsidR="009B1C85">
        <w:t xml:space="preserve"> (see </w:t>
      </w:r>
      <w:r w:rsidR="008203C6">
        <w:fldChar w:fldCharType="begin"/>
      </w:r>
      <w:r w:rsidR="008203C6">
        <w:instrText xml:space="preserve"> REF _Ref156228019 \h </w:instrText>
      </w:r>
      <w:r w:rsidR="008203C6">
        <w:fldChar w:fldCharType="separate"/>
      </w:r>
      <w:r w:rsidR="00AE166D" w:rsidRPr="00731CA6">
        <w:t>Figure </w:t>
      </w:r>
      <w:r w:rsidR="00AE166D">
        <w:rPr>
          <w:noProof/>
        </w:rPr>
        <w:t>5</w:t>
      </w:r>
      <w:r w:rsidR="008203C6">
        <w:fldChar w:fldCharType="end"/>
      </w:r>
      <w:r w:rsidR="009B1C85">
        <w:t xml:space="preserve"> below).</w:t>
      </w:r>
      <w:r w:rsidR="00636395">
        <w:t xml:space="preserve"> The alternative, lower value of a DALY reduces the total estimate to </w:t>
      </w:r>
      <w:r w:rsidR="00BB3717">
        <w:t>$6 billion.</w:t>
      </w:r>
    </w:p>
    <w:p w14:paraId="4C8B1944" w14:textId="1E80BA80" w:rsidR="009B1C85" w:rsidRDefault="009B1C85" w:rsidP="009B1C85">
      <w:pPr>
        <w:pStyle w:val="FigureCaption"/>
      </w:pPr>
      <w:bookmarkStart w:id="65" w:name="_Ref156228019"/>
      <w:bookmarkStart w:id="66" w:name="_Toc160633893"/>
      <w:bookmarkStart w:id="67" w:name="_Hlk160383721"/>
      <w:r w:rsidRPr="00731CA6">
        <w:t>Figure </w:t>
      </w:r>
      <w:fldSimple w:instr=" SEQ Figure \* ARABIC ">
        <w:r w:rsidR="00AE166D">
          <w:rPr>
            <w:noProof/>
          </w:rPr>
          <w:t>5</w:t>
        </w:r>
      </w:fldSimple>
      <w:bookmarkEnd w:id="65"/>
      <w:r>
        <w:t xml:space="preserve"> Breakdown of </w:t>
      </w:r>
      <w:r w:rsidR="00746298">
        <w:t xml:space="preserve">the </w:t>
      </w:r>
      <w:r>
        <w:t xml:space="preserve">total estimated </w:t>
      </w:r>
      <w:r w:rsidR="006928B6" w:rsidRPr="006928B6">
        <w:t xml:space="preserve">value of increased risk of mortality and morbidity </w:t>
      </w:r>
      <w:r w:rsidR="006928B6">
        <w:t xml:space="preserve">due to alcohol in </w:t>
      </w:r>
      <w:r>
        <w:t>New Zealand</w:t>
      </w:r>
      <w:r w:rsidR="00BB3717">
        <w:t xml:space="preserve">, including </w:t>
      </w:r>
      <w:proofErr w:type="gramStart"/>
      <w:r w:rsidR="00BB3717">
        <w:t>FASD</w:t>
      </w:r>
      <w:bookmarkEnd w:id="66"/>
      <w:proofErr w:type="gramEnd"/>
    </w:p>
    <w:p w14:paraId="4BD5ABC3" w14:textId="005E804D" w:rsidR="000A2103" w:rsidRPr="006928B6" w:rsidRDefault="00D85332" w:rsidP="006928B6">
      <w:pPr>
        <w:pStyle w:val="CaptionSubheading"/>
        <w:rPr>
          <w:rStyle w:val="CommentReference"/>
          <w:sz w:val="18"/>
          <w:szCs w:val="18"/>
        </w:rPr>
      </w:pPr>
      <w:bookmarkStart w:id="68" w:name="_Hlk156215735"/>
      <w:r>
        <w:t>$ m</w:t>
      </w:r>
      <w:r w:rsidR="00C14F43" w:rsidRPr="006928B6">
        <w:t xml:space="preserve">illions, </w:t>
      </w:r>
      <w:r w:rsidR="000A2103" w:rsidRPr="006928B6">
        <w:t>202</w:t>
      </w:r>
      <w:r w:rsidR="006928B6" w:rsidRPr="006928B6">
        <w:rPr>
          <w:rStyle w:val="CommentReference"/>
          <w:sz w:val="18"/>
          <w:szCs w:val="18"/>
        </w:rPr>
        <w:t>3</w:t>
      </w:r>
      <w:bookmarkEnd w:id="67"/>
    </w:p>
    <w:p w14:paraId="0D7B936B" w14:textId="66DE31BF" w:rsidR="000C23AB" w:rsidRDefault="000E4C0F" w:rsidP="000C23AB">
      <w:pPr>
        <w:pStyle w:val="CaptionSubheading"/>
      </w:pPr>
      <w:r>
        <w:rPr>
          <w:noProof/>
        </w:rPr>
        <w:drawing>
          <wp:inline distT="0" distB="0" distL="0" distR="0" wp14:anchorId="2B291860" wp14:editId="17DEA391">
            <wp:extent cx="3663950" cy="2733352"/>
            <wp:effectExtent l="0" t="0" r="0" b="0"/>
            <wp:docPr id="1696419159" name="Picture 4" descr="The chart shows stacked bars representing the total societal value of increased mortality and morbidity due to alcohol. The first bar shows a low value consisting of approximately $3 billion each for the impacts on the drinker from own use of alcohol and the FASD impacts, for a total of $6 billion in societal value. The second bar shows a high value consisting of over $4 billion for the impacts on the drinker from own use of alcohol and nearly $5 billion for FASD, for a total of just over $9 bill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9159" name="Picture 4" descr="The chart shows stacked bars representing the total societal value of increased mortality and morbidity due to alcohol. The first bar shows a low value consisting of approximately $3 billion each for the impacts on the drinker from own use of alcohol and the FASD impacts, for a total of $6 billion in societal value. The second bar shows a high value consisting of over $4 billion for the impacts on the drinker from own use of alcohol and nearly $5 billion for FASD, for a total of just over $9 billion.">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0049" cy="2745362"/>
                    </a:xfrm>
                    <a:prstGeom prst="rect">
                      <a:avLst/>
                    </a:prstGeom>
                    <a:noFill/>
                  </pic:spPr>
                </pic:pic>
              </a:graphicData>
            </a:graphic>
          </wp:inline>
        </w:drawing>
      </w:r>
    </w:p>
    <w:p w14:paraId="44233B21" w14:textId="3ABB1C30" w:rsidR="000C23AB" w:rsidRDefault="000C23AB" w:rsidP="000C23AB">
      <w:pPr>
        <w:pStyle w:val="CaptionSubheading"/>
      </w:pPr>
      <w:r>
        <w:t xml:space="preserve">FASD: </w:t>
      </w:r>
      <w:proofErr w:type="spellStart"/>
      <w:r>
        <w:t>Fetal</w:t>
      </w:r>
      <w:proofErr w:type="spellEnd"/>
      <w:r>
        <w:t xml:space="preserve"> alcohol spectrum disorder</w:t>
      </w:r>
    </w:p>
    <w:p w14:paraId="6155E67F" w14:textId="61830026" w:rsidR="00C34090" w:rsidRDefault="00C34090" w:rsidP="000A2103">
      <w:pPr>
        <w:pStyle w:val="CaptionSubheading"/>
      </w:pPr>
      <w:bookmarkStart w:id="69" w:name="_Hlk158221219"/>
      <w:r>
        <w:t xml:space="preserve">Note </w:t>
      </w:r>
      <w:r w:rsidR="00746298">
        <w:t xml:space="preserve">the </w:t>
      </w:r>
      <w:r>
        <w:t>exclusion of other costs associated with other’s use of alcohol</w:t>
      </w:r>
      <w:r w:rsidR="00D41BF0">
        <w:t xml:space="preserve"> that were quantified by </w:t>
      </w:r>
      <w:r w:rsidR="00D41BF0">
        <w:fldChar w:fldCharType="begin"/>
      </w:r>
      <w:r w:rsidR="00F244F6">
        <w:instrText xml:space="preserve"> ADDIN ZOTERO_ITEM CSL_CITATION {"citationID":"CJlaHg8d","properties":{"custom":"Casswell et al. (2023)","formattedCitation":"Casswell et al. (2023)","plainCitation":"Casswell et al. (2023)","noteIndex":0},"citationItems":[{"id":72389,"uris":["http://zotero.org/groups/4944822/items/4UIXYY4G"],"itemData":{"id":72389,"type":"article","abstract":"Background: Quantifying the health burden of alcohol products has largely focused on harm to drinkers. However, this is an underestimate and needs to include alcohol’s harm to others. This study calculates Disability Adjusted Life Years (DALYs) for FASD, interpersonal violence and traffic injury due to another’s drinking.Methods: The involvement of others’ drinking was obtained from prevalence, AAF studies and administrative data. Disability weights (DW) for FASD were adapted from FAS weights using a Beta-Pert probability distribution; for interpersonal injury DWs used hospital events linked with injury compensation data to capture duration of disability; for traffic injury, DWs used hospital events capturing duration of disability. Populations were divided by ethnicity, age group and gender. A descriptive comparison was made with a previous estimate of alcohol attributable DALYs for drinkers.Findings: In 2018, 78,277 healthy years were lost in Aotearoa, NZ due to alcohol’s harm to others. The main contributor (90.3%) was FASD, then traffic crashes (6.3%) and interpersonal violence (3.4%). The indigenous population, Māori, were impacted at a higher rate. The burden of harm to others was greater than that on drinkers.Interpretation: Disability from FASD is a major contributor to alcohol’s harm to others. Taking FASD into account, the health burden of harm to others is larger than harm to the drinker. Ethnicity differences show inequity in harm to others. Quantification of the burden of harm informs the value of implementing effective alcohol policies and should include the full range of harms.Funding: Health Research Council of New Zealand.Declaration of Interest: No conflicts of interest to declareEthical Approval: : Low-risk ethics approval was received from Massey University. Approved application number 4000020372. A low-risk ethics application was appropriate as defined by a Massey University ethics checklist. All data in the Integrated Data Infrastructure are anonymous to researchers and de-identified.","DOI":"10.2139/ssrn.4425297","event-place":"Rochester, NY","genre":"SSRN Scholarly Paper","language":"en","number":"4425297","publisher-place":"Rochester, NY","source":"Social Science Research Network","title":"Quantifying Alcohol-Attributable Disability-Adjusted Life Years to Others than the Drinker in Aotearoa, New Zealand","URL":"https://papers.ssrn.com/abstract=4425297","author":[{"family":"Casswell","given":"Sally"},{"family":"Huckle","given":"Taisia"},{"family":"Romeo","given":"Jose S."},{"family":"Moewaka Barnes","given":"Helen"},{"family":"Connor","given":"Jennie"},{"family":"Rehm","given":"Jurgen"}],"accessed":{"date-parts":[["2024",1,15]]},"issued":{"date-parts":[["2023",4,27]]}}}],"schema":"https://github.com/citation-style-language/schema/raw/master/csl-citation.json"} </w:instrText>
      </w:r>
      <w:r w:rsidR="00D41BF0">
        <w:fldChar w:fldCharType="separate"/>
      </w:r>
      <w:r w:rsidR="00D41BF0" w:rsidRPr="00372959">
        <w:rPr>
          <w:rFonts w:cs="Calibri"/>
        </w:rPr>
        <w:t>Casswell et al. (2023)</w:t>
      </w:r>
      <w:r w:rsidR="00D41BF0">
        <w:fldChar w:fldCharType="end"/>
      </w:r>
      <w:r w:rsidR="00D41BF0">
        <w:t xml:space="preserve"> due to reasons described in </w:t>
      </w:r>
      <w:r w:rsidR="00746298">
        <w:t>s</w:t>
      </w:r>
      <w:r w:rsidR="00D41BF0">
        <w:t xml:space="preserve">ection </w:t>
      </w:r>
      <w:r w:rsidR="00D41BF0">
        <w:fldChar w:fldCharType="begin"/>
      </w:r>
      <w:r w:rsidR="00D41BF0">
        <w:instrText xml:space="preserve"> REF _Ref157506793 \r \h </w:instrText>
      </w:r>
      <w:r w:rsidR="00D41BF0">
        <w:fldChar w:fldCharType="separate"/>
      </w:r>
      <w:r w:rsidR="00AE166D">
        <w:t>3.4</w:t>
      </w:r>
      <w:r w:rsidR="00D41BF0">
        <w:fldChar w:fldCharType="end"/>
      </w:r>
      <w:r w:rsidR="00D41BF0">
        <w:t>.</w:t>
      </w:r>
      <w:r w:rsidR="00762E02">
        <w:t xml:space="preserve"> </w:t>
      </w:r>
      <w:r w:rsidR="00746298">
        <w:t>The i</w:t>
      </w:r>
      <w:r w:rsidR="00762E02">
        <w:t xml:space="preserve">mpact on </w:t>
      </w:r>
      <w:r w:rsidR="00746298">
        <w:t xml:space="preserve">the </w:t>
      </w:r>
      <w:r w:rsidR="00762E02">
        <w:t>overall cost estimate is minor.</w:t>
      </w:r>
    </w:p>
    <w:bookmarkEnd w:id="69"/>
    <w:p w14:paraId="5F2B32F3" w14:textId="24CCD6B7" w:rsidR="000A2103" w:rsidRDefault="000A2103" w:rsidP="000A2103">
      <w:pPr>
        <w:pStyle w:val="CaptionSubheading"/>
      </w:pPr>
      <w:r>
        <w:t>Source: NZIER</w:t>
      </w:r>
    </w:p>
    <w:p w14:paraId="3BC6428C" w14:textId="5C202C23" w:rsidR="00B02ED1" w:rsidRDefault="00B02ED1" w:rsidP="00B02ED1">
      <w:pPr>
        <w:pStyle w:val="Heading2"/>
      </w:pPr>
      <w:bookmarkStart w:id="70" w:name="_Toc160633840"/>
      <w:bookmarkEnd w:id="68"/>
      <w:r>
        <w:t xml:space="preserve">Limitations of estimates of </w:t>
      </w:r>
      <w:r w:rsidR="00935F0F">
        <w:t xml:space="preserve">the </w:t>
      </w:r>
      <w:bookmarkStart w:id="71" w:name="_Hlk160380647"/>
      <w:r w:rsidR="00935F0F">
        <w:t xml:space="preserve">value of </w:t>
      </w:r>
      <w:r w:rsidR="00935F0F" w:rsidRPr="00935F0F">
        <w:t>increased risk of mortality and morbidity</w:t>
      </w:r>
      <w:bookmarkEnd w:id="71"/>
      <w:r w:rsidR="00935F0F" w:rsidRPr="00935F0F">
        <w:t xml:space="preserve"> due to alcohol consumption</w:t>
      </w:r>
      <w:bookmarkEnd w:id="70"/>
    </w:p>
    <w:p w14:paraId="3FF3C196" w14:textId="4A5B5237" w:rsidR="00B02ED1" w:rsidRDefault="00B02ED1" w:rsidP="00B02ED1">
      <w:pPr>
        <w:pStyle w:val="USBodyText"/>
      </w:pPr>
      <w:r>
        <w:t xml:space="preserve">In addition to the uncertainty regarding the value to society of a year of life or </w:t>
      </w:r>
      <w:r w:rsidR="00743657">
        <w:t xml:space="preserve">of </w:t>
      </w:r>
      <w:r>
        <w:t>a year of life in perfect health, which extends to estimates of any loss of life or quality of life</w:t>
      </w:r>
      <w:r w:rsidR="00743657">
        <w:t xml:space="preserve"> as measured by DALYs or any other </w:t>
      </w:r>
      <w:r w:rsidR="006A3AF8">
        <w:t>metric</w:t>
      </w:r>
      <w:r>
        <w:t xml:space="preserve">, a key concern regarding </w:t>
      </w:r>
      <w:r w:rsidR="002E25A0">
        <w:t>these</w:t>
      </w:r>
      <w:r>
        <w:t xml:space="preserve"> cost estimates is how they may be interpreted alongside direct and indirect cost estimates. </w:t>
      </w:r>
    </w:p>
    <w:p w14:paraId="05567156" w14:textId="446CAF96" w:rsidR="00B02ED1" w:rsidRDefault="00B02ED1" w:rsidP="00B02ED1">
      <w:pPr>
        <w:pStyle w:val="USBodyText"/>
      </w:pPr>
      <w:r>
        <w:t xml:space="preserve">Because the estimated value used to calculate intangible costs may reflect </w:t>
      </w:r>
      <w:proofErr w:type="gramStart"/>
      <w:r>
        <w:t>society’s</w:t>
      </w:r>
      <w:proofErr w:type="gramEnd"/>
      <w:r>
        <w:t xml:space="preserve"> or individuals’ expectations of the productive value of a year of life</w:t>
      </w:r>
      <w:r w:rsidR="00176693">
        <w:t xml:space="preserve"> (</w:t>
      </w:r>
      <w:r w:rsidR="006C1A12">
        <w:t>due to values frequently being derived from measures of economic production)</w:t>
      </w:r>
      <w:r>
        <w:t xml:space="preserve">, intangible cost estimates should be considered as a likely area of double-counting when a broad range of costs are aggregated </w:t>
      </w:r>
      <w:r>
        <w:lastRenderedPageBreak/>
        <w:t>in cost-of-illness reports. However, because the extent to which direct and indirect costs may be implicitly reflected in intangible costs is unknown, a prudent use of intangible cost estimates is to consider them an alternative</w:t>
      </w:r>
      <w:r w:rsidR="00F959D7">
        <w:t xml:space="preserve"> and potentially conservative </w:t>
      </w:r>
      <w:r>
        <w:t xml:space="preserve">approach to estimating total societal cost. </w:t>
      </w:r>
    </w:p>
    <w:p w14:paraId="266B85FC" w14:textId="3B04EC8E" w:rsidR="001106C4" w:rsidRDefault="00CB2899" w:rsidP="00B02ED1">
      <w:pPr>
        <w:pStyle w:val="USBodyText"/>
      </w:pPr>
      <w:r>
        <w:t xml:space="preserve">These concerns extend far beyond the costs of alcohol harms and apply to all </w:t>
      </w:r>
      <w:r w:rsidR="001804AD">
        <w:t xml:space="preserve">societal and intangible cost estimates of health sector concerns and cannot be resolved within this specific project. </w:t>
      </w:r>
      <w:r w:rsidR="00414315">
        <w:t>For this reason, these estimates should be interpreted with caution</w:t>
      </w:r>
      <w:r w:rsidR="005570EF">
        <w:t>.</w:t>
      </w:r>
      <w:r w:rsidR="00D92950">
        <w:t xml:space="preserve"> However, our use of a </w:t>
      </w:r>
      <w:r w:rsidR="00411082">
        <w:t xml:space="preserve">commonly used </w:t>
      </w:r>
      <w:r w:rsidR="00D92950">
        <w:t xml:space="preserve">value </w:t>
      </w:r>
      <w:r w:rsidR="00411082">
        <w:t xml:space="preserve">based on the </w:t>
      </w:r>
      <w:proofErr w:type="spellStart"/>
      <w:r w:rsidR="00411082">
        <w:t>VoSL</w:t>
      </w:r>
      <w:proofErr w:type="spellEnd"/>
      <w:r w:rsidR="00411082">
        <w:t xml:space="preserve"> </w:t>
      </w:r>
      <w:r w:rsidR="00D92950">
        <w:t xml:space="preserve">should provide confidence that the societal cost associated with DALYs caused by alcohol is </w:t>
      </w:r>
      <w:r w:rsidR="00411082">
        <w:t>likely to be in the range of</w:t>
      </w:r>
      <w:r w:rsidR="00D92950">
        <w:t xml:space="preserve"> </w:t>
      </w:r>
      <w:r w:rsidR="008A2D5D">
        <w:t xml:space="preserve">$6 to </w:t>
      </w:r>
      <w:r w:rsidR="00D92950">
        <w:t>$</w:t>
      </w:r>
      <w:r w:rsidR="00411082">
        <w:t>9</w:t>
      </w:r>
      <w:r w:rsidR="00D92950">
        <w:t xml:space="preserve"> billion.</w:t>
      </w:r>
      <w:r w:rsidR="005570EF">
        <w:t xml:space="preserve"> </w:t>
      </w:r>
    </w:p>
    <w:p w14:paraId="60469B8D" w14:textId="7D6F7049" w:rsidR="00B02ED1" w:rsidRDefault="00D92950" w:rsidP="00CF715C">
      <w:pPr>
        <w:pStyle w:val="USBodyText"/>
      </w:pPr>
      <w:r>
        <w:t>Additionally, t</w:t>
      </w:r>
      <w:r w:rsidR="00D339E9">
        <w:t xml:space="preserve">he costs associated with </w:t>
      </w:r>
      <w:r w:rsidR="00AF3138">
        <w:t>loss of life and loss of quality of life due to others’ drinking are likely to be underestimated</w:t>
      </w:r>
      <w:r w:rsidR="001044AA">
        <w:t xml:space="preserve"> d</w:t>
      </w:r>
      <w:r w:rsidR="00F67167">
        <w:t>ue to</w:t>
      </w:r>
      <w:r w:rsidR="00AF3138">
        <w:t xml:space="preserve"> the decision to exclude two other </w:t>
      </w:r>
      <w:r w:rsidR="00CF715C">
        <w:t>dimensions of these costs (</w:t>
      </w:r>
      <w:r w:rsidR="008E762B">
        <w:t>road crashes and interpersonal violence</w:t>
      </w:r>
      <w:r w:rsidR="0019188C">
        <w:t>)</w:t>
      </w:r>
      <w:r w:rsidR="008E762B">
        <w:t xml:space="preserve"> due to methodological concerns described in </w:t>
      </w:r>
      <w:r w:rsidR="007A19AD">
        <w:t xml:space="preserve">section </w:t>
      </w:r>
      <w:r w:rsidR="00B8467C">
        <w:fldChar w:fldCharType="begin"/>
      </w:r>
      <w:r w:rsidR="00B8467C">
        <w:instrText xml:space="preserve"> REF _Ref157506793 \r \h </w:instrText>
      </w:r>
      <w:r w:rsidR="00B8467C">
        <w:fldChar w:fldCharType="separate"/>
      </w:r>
      <w:r w:rsidR="00AE166D">
        <w:t>3.4</w:t>
      </w:r>
      <w:r w:rsidR="00B8467C">
        <w:fldChar w:fldCharType="end"/>
      </w:r>
      <w:r w:rsidR="001044AA">
        <w:t xml:space="preserve">. However, </w:t>
      </w:r>
      <w:r w:rsidR="00CF715C">
        <w:t xml:space="preserve">the impact </w:t>
      </w:r>
      <w:r w:rsidR="001044AA">
        <w:t>of these exclusions is expected to be</w:t>
      </w:r>
      <w:r w:rsidR="00CF715C">
        <w:t xml:space="preserve"> small due to these two causes together making up less than 10 percent of the total estimated DALYs from others’ alcohol use</w:t>
      </w:r>
      <w:r w:rsidR="00DF671A">
        <w:t xml:space="preserve"> reported by </w:t>
      </w:r>
      <w:r w:rsidR="00DF671A">
        <w:fldChar w:fldCharType="begin"/>
      </w:r>
      <w:r w:rsidR="00F244F6">
        <w:instrText xml:space="preserve"> ADDIN ZOTERO_ITEM CSL_CITATION {"citationID":"J8xmf8se","properties":{"custom":"Casswell et al. (2023)","formattedCitation":"Casswell et al. (2023)","plainCitation":"Casswell et al. (2023)","noteIndex":0},"citationItems":[{"id":72389,"uris":["http://zotero.org/groups/4944822/items/4UIXYY4G"],"itemData":{"id":72389,"type":"article","abstract":"Background: Quantifying the health burden of alcohol products has largely focused on harm to drinkers. However, this is an underestimate and needs to include alcohol’s harm to others. This study calculates Disability Adjusted Life Years (DALYs) for FASD, interpersonal violence and traffic injury due to another’s drinking.Methods: The involvement of others’ drinking was obtained from prevalence, AAF studies and administrative data. Disability weights (DW) for FASD were adapted from FAS weights using a Beta-Pert probability distribution; for interpersonal injury DWs used hospital events linked with injury compensation data to capture duration of disability; for traffic injury, DWs used hospital events capturing duration of disability. Populations were divided by ethnicity, age group and gender. A descriptive comparison was made with a previous estimate of alcohol attributable DALYs for drinkers.Findings: In 2018, 78,277 healthy years were lost in Aotearoa, NZ due to alcohol’s harm to others. The main contributor (90.3%) was FASD, then traffic crashes (6.3%) and interpersonal violence (3.4%). The indigenous population, Māori, were impacted at a higher rate. The burden of harm to others was greater than that on drinkers.Interpretation: Disability from FASD is a major contributor to alcohol’s harm to others. Taking FASD into account, the health burden of harm to others is larger than harm to the drinker. Ethnicity differences show inequity in harm to others. Quantification of the burden of harm informs the value of implementing effective alcohol policies and should include the full range of harms.Funding: Health Research Council of New Zealand.Declaration of Interest: No conflicts of interest to declareEthical Approval: : Low-risk ethics approval was received from Massey University. Approved application number 4000020372. A low-risk ethics application was appropriate as defined by a Massey University ethics checklist. All data in the Integrated Data Infrastructure are anonymous to researchers and de-identified.","DOI":"10.2139/ssrn.4425297","event-place":"Rochester, NY","genre":"SSRN Scholarly Paper","language":"en","number":"4425297","publisher-place":"Rochester, NY","source":"Social Science Research Network","title":"Quantifying Alcohol-Attributable Disability-Adjusted Life Years to Others than the Drinker in Aotearoa, New Zealand","URL":"https://papers.ssrn.com/abstract=4425297","author":[{"family":"Casswell","given":"Sally"},{"family":"Huckle","given":"Taisia"},{"family":"Romeo","given":"Jose S."},{"family":"Moewaka Barnes","given":"Helen"},{"family":"Connor","given":"Jennie"},{"family":"Rehm","given":"Jurgen"}],"accessed":{"date-parts":[["2024",1,15]]},"issued":{"date-parts":[["2023",4,27]]}}}],"schema":"https://github.com/citation-style-language/schema/raw/master/csl-citation.json"} </w:instrText>
      </w:r>
      <w:r w:rsidR="00DF671A">
        <w:fldChar w:fldCharType="separate"/>
      </w:r>
      <w:r w:rsidR="00DF671A" w:rsidRPr="00DF671A">
        <w:rPr>
          <w:rFonts w:cs="Calibri"/>
        </w:rPr>
        <w:t>Casswell et al. (2023)</w:t>
      </w:r>
      <w:r w:rsidR="00DF671A">
        <w:fldChar w:fldCharType="end"/>
      </w:r>
      <w:r w:rsidR="00F60B38">
        <w:t xml:space="preserve"> – approximately $</w:t>
      </w:r>
      <w:r w:rsidR="00E23A2A">
        <w:t>300</w:t>
      </w:r>
      <w:r w:rsidR="007A19AD">
        <w:t>–$</w:t>
      </w:r>
      <w:r w:rsidR="00E23A2A">
        <w:t>500</w:t>
      </w:r>
      <w:r w:rsidR="00701AF6">
        <w:t xml:space="preserve"> million.</w:t>
      </w:r>
    </w:p>
    <w:p w14:paraId="1BB559B3" w14:textId="77777777" w:rsidR="008603E0" w:rsidRDefault="008603E0">
      <w:pPr>
        <w:spacing w:after="160" w:line="259" w:lineRule="auto"/>
        <w:rPr>
          <w:rFonts w:eastAsiaTheme="majorEastAsia" w:cstheme="majorBidi"/>
          <w:b/>
          <w:color w:val="0094C5"/>
          <w:sz w:val="32"/>
          <w:szCs w:val="32"/>
        </w:rPr>
      </w:pPr>
      <w:r>
        <w:br w:type="page"/>
      </w:r>
    </w:p>
    <w:p w14:paraId="02A0D3C8" w14:textId="05DA1DC9" w:rsidR="00661DE0" w:rsidRDefault="00661DE0" w:rsidP="002F5351">
      <w:pPr>
        <w:pStyle w:val="Heading1"/>
      </w:pPr>
      <w:bookmarkStart w:id="72" w:name="_Toc160633841"/>
      <w:r>
        <w:lastRenderedPageBreak/>
        <w:t>Specific alcohol harms costs from a societal perspective</w:t>
      </w:r>
      <w:bookmarkEnd w:id="72"/>
    </w:p>
    <w:p w14:paraId="40BE847F" w14:textId="622054D6" w:rsidR="00661DE0" w:rsidRDefault="00D04757" w:rsidP="00661DE0">
      <w:pPr>
        <w:pStyle w:val="USBodyText"/>
      </w:pPr>
      <w:r>
        <w:t>A</w:t>
      </w:r>
      <w:r w:rsidR="00661DE0">
        <w:t>reas of alcohol harms that represent significant concerns to New Zealanders, to communities that are disproportionately affected</w:t>
      </w:r>
      <w:r w:rsidR="00A91F86">
        <w:t>, and that are associated with many unmeasured impacts on families and communities</w:t>
      </w:r>
      <w:r>
        <w:t xml:space="preserve"> are of critical importance for estimation from a societal perspective. Three </w:t>
      </w:r>
      <w:r w:rsidR="00476996">
        <w:t>key areas provided sufficient recent New Zealand evidence to be</w:t>
      </w:r>
      <w:r w:rsidR="00FC238A">
        <w:t xml:space="preserve"> included in this report:</w:t>
      </w:r>
    </w:p>
    <w:p w14:paraId="1A47E31B" w14:textId="694E1856" w:rsidR="00FC238A" w:rsidRDefault="00FC238A" w:rsidP="00FC238A">
      <w:pPr>
        <w:pStyle w:val="USBullet1"/>
      </w:pPr>
      <w:r>
        <w:t>intimate partner violence</w:t>
      </w:r>
    </w:p>
    <w:p w14:paraId="51EB5B84" w14:textId="324A44A0" w:rsidR="00FC238A" w:rsidRDefault="00FC238A" w:rsidP="00FC238A">
      <w:pPr>
        <w:pStyle w:val="USBullet1"/>
      </w:pPr>
      <w:r>
        <w:t>child maltreatment</w:t>
      </w:r>
    </w:p>
    <w:p w14:paraId="1B46AAA2" w14:textId="33B6F52D" w:rsidR="00FC238A" w:rsidRDefault="00FC238A" w:rsidP="00FC238A">
      <w:pPr>
        <w:pStyle w:val="USBullet1"/>
      </w:pPr>
      <w:r>
        <w:t>road crashes.</w:t>
      </w:r>
    </w:p>
    <w:p w14:paraId="36B30083" w14:textId="649F87CC" w:rsidR="00FC238A" w:rsidRDefault="00FC238A" w:rsidP="00EF3F63">
      <w:pPr>
        <w:pStyle w:val="USBullet1"/>
        <w:numPr>
          <w:ilvl w:val="0"/>
          <w:numId w:val="0"/>
        </w:numPr>
        <w:ind w:left="851"/>
      </w:pPr>
      <w:r>
        <w:t xml:space="preserve">All three of these </w:t>
      </w:r>
      <w:r w:rsidR="00442BF3">
        <w:t>include</w:t>
      </w:r>
      <w:r>
        <w:t xml:space="preserve"> </w:t>
      </w:r>
      <w:r w:rsidR="00442BF3">
        <w:t>harms that result from someone else’s drinking</w:t>
      </w:r>
      <w:r w:rsidR="000D0DC8">
        <w:t>.</w:t>
      </w:r>
    </w:p>
    <w:p w14:paraId="513CAEA7" w14:textId="274BDD0C" w:rsidR="002F5351" w:rsidRDefault="002F5351" w:rsidP="00EF3F63">
      <w:pPr>
        <w:pStyle w:val="Heading4"/>
      </w:pPr>
      <w:r>
        <w:t>Family harms</w:t>
      </w:r>
      <w:r w:rsidR="000D0DC8">
        <w:t xml:space="preserve"> are a significant concern but one that is largely hidden</w:t>
      </w:r>
      <w:r w:rsidR="000C5FA5">
        <w:t xml:space="preserve"> and poorly </w:t>
      </w:r>
      <w:proofErr w:type="gramStart"/>
      <w:r w:rsidR="000C5FA5">
        <w:t>understood</w:t>
      </w:r>
      <w:proofErr w:type="gramEnd"/>
    </w:p>
    <w:p w14:paraId="2005207A" w14:textId="6D1B602C" w:rsidR="002F5351" w:rsidRDefault="002F5351" w:rsidP="002F5351">
      <w:pPr>
        <w:pStyle w:val="USBodyText"/>
      </w:pPr>
      <w:r>
        <w:t>Family violence and other harms are an area of significant concern in New Zealand</w:t>
      </w:r>
      <w:r w:rsidR="00DD2B9A">
        <w:t>,</w:t>
      </w:r>
      <w:r>
        <w:t xml:space="preserve"> and research underscores the wide range of flow-on effects, often with high </w:t>
      </w:r>
      <w:r w:rsidR="000C5FA5">
        <w:t xml:space="preserve">associated </w:t>
      </w:r>
      <w:r>
        <w:t>costs</w:t>
      </w:r>
      <w:r w:rsidR="000C5FA5">
        <w:t>.</w:t>
      </w:r>
      <w:r>
        <w:t xml:space="preserve"> </w:t>
      </w:r>
    </w:p>
    <w:p w14:paraId="7FBB99B2" w14:textId="57C80654" w:rsidR="002F5351" w:rsidRDefault="002F5351" w:rsidP="002F5351">
      <w:pPr>
        <w:pStyle w:val="USBodyText"/>
      </w:pPr>
      <w:r w:rsidRPr="005543C1">
        <w:t xml:space="preserve">For example, women’s exposure to any lifetime intimate partner violence (IPV) (including physical, sexual, psychological, controlling behaviours, and economic abuse) has been found to increase the likelihood of adverse health outcomes </w:t>
      </w:r>
      <w:r w:rsidRPr="0010399A">
        <w:fldChar w:fldCharType="begin"/>
      </w:r>
      <w:r w:rsidR="00F244F6">
        <w:instrText xml:space="preserve"> ADDIN ZOTERO_ITEM CSL_CITATION {"citationID":"36J664Il","properties":{"formattedCitation":"(Mellar et al. 2023)","plainCitation":"(Mellar et al. 2023)","noteIndex":0},"citationItems":[{"id":70393,"uris":["http://zotero.org/groups/4944822/items/PRM6CNEA"],"itemData":{"id":70393,"type":"article-journal","abstract":"Intimate partner violence (IPV) is increasingly recognized as a contributing factor for long-term health problems; however, few studies have assessed these health outcomes using consistent and comprehensive IPV measures or representative population-based samples.To examine associations between women’s lifetime IPV exposure and self-reported health outcomes.The cross-sectional, retrospective 2019 New Zealand Family Violence Study, adapted from the World Health Organization’s Multi-Country Study on Violence Against Women, assessed data from 1431 ever-partnered women (63.7% of eligible women contacted) in New Zealand. The survey was conducted from March 2017 to March 2019, across 3 regions, which accounted for approximately 40% of the New Zealand population. Data analysis was performed from March to June 2022.Exposures were lifetime IPV by types (physical [severe/any], sexual, psychological, controlling behaviors, and economic abuse), any IPV (at least 1 type), and number of IPV types.Outcome measures were poor general health, recent pain or discomfort, recent pain medication use, frequent pain medication use, recent health care consultation, any diagnosed physical health condition, and any diagnosed mental health condition. Weighted proportions were used to describe the prevalence of IPV by sociodemographic characteristics; bivariate and multivariable logistic regressions were used for the odds of experiencing health outcomes by IPV exposure.The sample comprised 1431 ever-partnered women (mean [SD] age, 52.2 [17.1] years). The sample was closely comparable with New Zealand’s ethnic and area deprivation composition, although younger women were slightly underrepresented. More than half of the women (54.7%) reported any lifetime IPV exposure, of whom 58.8% experienced 2 or more IPV types. Compared with all other sociodemographic subgroups, women who reported food insecurity had the highest IPV prevalence for any IPV (69.9%) and all specific types. Exposure to any IPV and specific IPV types was significantly associated with increased likelihood of reporting adverse health outcomes. Compared with those unexposed to IPV, women who experienced any IPV were more likely to report poor general health (adjusted odds ratio [AOR], 2.02; 95% CI, 1.46-2.78), recent pain or discomfort (AOR, 1.81; 95% CI, 1.34-2.46), recent health care consultation (AOR, 1.29; 95% CI, 1.01-1.65), any diagnosed physical health condition (AOR, 1.49; 95% CI, 1.13-1.96), and any mental health condition (AOR, 2.78; 95% CI, 2.05-3.77). Findings suggested a cumulative or dose-response association because women who experienced multiple IPV types were more likely to report poorer health outcomes.In this cross-sectional study of women in New Zealand, IPV exposure was prevalent and associated with an increased likelihood of experiencing adverse health. Health care systems need to be mobilized to address IPV as a priority health issue.","container-title":"JAMA Network Open","DOI":"10.1001/jamanetworkopen.2023.1311","ISSN":"2574-3805","issue":"3","journalAbbreviation":"JAMA Network Open","page":"e231311","source":"Silverchair","title":"Association Between Women’s Exposure to Intimate Partner Violence and Self-reported Health Outcomes in New Zealand","volume":"6","author":[{"family":"Mellar","given":"Brooklyn M."},{"family":"Hashemi","given":"Ladan"},{"family":"Selak","given":"Vanessa"},{"family":"Gulliver","given":"Pauline J."},{"family":"McIntosh","given":"Tracey K.D."},{"family":"Fanslow","given":"Janet L."}],"issued":{"date-parts":[["2023",3,3]]}}}],"schema":"https://github.com/citation-style-language/schema/raw/master/csl-citation.json"} </w:instrText>
      </w:r>
      <w:r w:rsidRPr="0010399A">
        <w:fldChar w:fldCharType="separate"/>
      </w:r>
      <w:r w:rsidRPr="0010399A">
        <w:rPr>
          <w:rFonts w:cs="Calibri"/>
        </w:rPr>
        <w:t>(</w:t>
      </w:r>
      <w:proofErr w:type="spellStart"/>
      <w:r w:rsidRPr="0010399A">
        <w:rPr>
          <w:rFonts w:cs="Calibri"/>
        </w:rPr>
        <w:t>Mellar</w:t>
      </w:r>
      <w:proofErr w:type="spellEnd"/>
      <w:r w:rsidRPr="0010399A">
        <w:rPr>
          <w:rFonts w:cs="Calibri"/>
        </w:rPr>
        <w:t xml:space="preserve"> et al. 2023)</w:t>
      </w:r>
      <w:r w:rsidRPr="0010399A">
        <w:fldChar w:fldCharType="end"/>
      </w:r>
      <w:r w:rsidRPr="0010399A">
        <w:t>.</w:t>
      </w:r>
      <w:r w:rsidRPr="005543C1">
        <w:t xml:space="preserve"> Nearly half of all homicides and reported violent crimes are family </w:t>
      </w:r>
      <w:r w:rsidR="00DD2B9A" w:rsidRPr="005543C1">
        <w:t>violence</w:t>
      </w:r>
      <w:r w:rsidR="00DD2B9A">
        <w:t>-</w:t>
      </w:r>
      <w:r w:rsidRPr="005543C1">
        <w:t xml:space="preserve">related </w:t>
      </w:r>
      <w:r w:rsidRPr="005543C1">
        <w:fldChar w:fldCharType="begin"/>
      </w:r>
      <w:r w:rsidR="00F244F6">
        <w:instrText xml:space="preserve"> ADDIN ZOTERO_ITEM CSL_CITATION {"citationID":"Ln5dJx9l","properties":{"formattedCitation":"(Dissanayake and Bracewell 2022)","plainCitation":"(Dissanayake and Bracewell 2022)","noteIndex":0},"citationItems":[{"id":70392,"uris":["http://zotero.org/groups/4944822/items/BZAL6TGP"],"itemData":{"id":70392,"type":"article-journal","abstract":"This study investigates whether coverage of family violence that resulted in a death event in New Zealand mainstream media is biased across a range of key factors – namely the gender, ethnicity and age of victims, as well as the victim’s relationship to the primary aggressor. Our results are derived from a cohort of 946 articles published online by New Zealand media outlets. Analysing the number of media articles relating to victims from each group (exposure), the polarity of language used within the articles (sentiment) and their online presence (prominence), we find that although media coverage is generally quite equitable, certain groups of victims are severely under-represented in terms of the media coverage afforded to them. In addition, there are significant differences in the sentiment of articles written about victims from different groups. This study, therefore, identifies an opportunity for raising accurate community understanding of family violence in New Zealand and for supporting victims through objective media coverage.","container-title":"Kōtuitui: New Zealand Journal of Social Sciences Online","DOI":"10.1080/1177083X.2021.1976224","ISSN":"null","issue":"2","note":"publisher: Routledge\n_eprint: https://doi.org/10.1080/1177083X.2021.1976224","page":"242-259","source":"Taylor and Francis+NEJM","title":"Family violence in the news: an analysis of media reporting of family violence in Aotearoa New Zealand","title-short":"Family violence in the news","volume":"17","author":[{"family":"Dissanayake","given":"Harini"},{"family":"Bracewell","given":"Paul"}],"issued":{"date-parts":[["2022",4,3]]}}}],"schema":"https://github.com/citation-style-language/schema/raw/master/csl-citation.json"} </w:instrText>
      </w:r>
      <w:r w:rsidRPr="005543C1">
        <w:fldChar w:fldCharType="separate"/>
      </w:r>
      <w:r w:rsidRPr="005543C1">
        <w:rPr>
          <w:rFonts w:cs="Calibri"/>
        </w:rPr>
        <w:t>(Dissanayake and Bracewell 2022)</w:t>
      </w:r>
      <w:r w:rsidRPr="005543C1">
        <w:fldChar w:fldCharType="end"/>
      </w:r>
      <w:r w:rsidRPr="005543C1">
        <w:t>.</w:t>
      </w:r>
    </w:p>
    <w:p w14:paraId="5B043667" w14:textId="77777777" w:rsidR="002F5351" w:rsidRDefault="002F5351" w:rsidP="002F5351">
      <w:pPr>
        <w:pStyle w:val="USBodyText"/>
      </w:pPr>
      <w:r>
        <w:t>According to data from the Family Violence Clearinghouse</w:t>
      </w:r>
      <w:r w:rsidRPr="005543C1">
        <w:t>:</w:t>
      </w:r>
      <w:r>
        <w:t xml:space="preserve"> </w:t>
      </w:r>
    </w:p>
    <w:p w14:paraId="4BA7E742" w14:textId="77777777" w:rsidR="002F5351" w:rsidRDefault="002F5351" w:rsidP="002F5351">
      <w:pPr>
        <w:pStyle w:val="USBullet1"/>
      </w:pPr>
      <w:r w:rsidRPr="008357B9">
        <w:t xml:space="preserve">in 2016, there were </w:t>
      </w:r>
      <w:r>
        <w:t>ten</w:t>
      </w:r>
      <w:r w:rsidRPr="008357B9">
        <w:t xml:space="preserve"> homicides of children and young people under 20 years of age caused by a family </w:t>
      </w:r>
      <w:proofErr w:type="gramStart"/>
      <w:r w:rsidRPr="008357B9">
        <w:t>member</w:t>
      </w:r>
      <w:proofErr w:type="gramEnd"/>
    </w:p>
    <w:p w14:paraId="035FA0A7" w14:textId="77F671FC" w:rsidR="002F5351" w:rsidRDefault="002F5351" w:rsidP="002F5351">
      <w:pPr>
        <w:pStyle w:val="USBullet1"/>
      </w:pPr>
      <w:r w:rsidRPr="008357B9">
        <w:t>63 children aged 16 years or under were hospitali</w:t>
      </w:r>
      <w:r>
        <w:t>s</w:t>
      </w:r>
      <w:r w:rsidRPr="008357B9">
        <w:t xml:space="preserve">ed </w:t>
      </w:r>
      <w:r>
        <w:t>due to</w:t>
      </w:r>
      <w:r w:rsidRPr="008357B9">
        <w:t xml:space="preserve"> an assault perpetrated by a family member</w:t>
      </w:r>
      <w:r w:rsidR="00DD2B9A">
        <w:t>.</w:t>
      </w:r>
      <w:r w:rsidRPr="008357B9">
        <w:t xml:space="preserve"> </w:t>
      </w:r>
    </w:p>
    <w:p w14:paraId="06A2D9B3" w14:textId="3C7AF4F9" w:rsidR="002F5351" w:rsidRDefault="002F5351" w:rsidP="002F5351">
      <w:pPr>
        <w:pStyle w:val="USBullet1"/>
        <w:numPr>
          <w:ilvl w:val="0"/>
          <w:numId w:val="0"/>
        </w:numPr>
        <w:ind w:left="1276" w:hanging="425"/>
      </w:pPr>
      <w:r w:rsidRPr="005543C1">
        <w:fldChar w:fldCharType="begin"/>
      </w:r>
      <w:r w:rsidR="00F244F6">
        <w:instrText xml:space="preserve"> ADDIN ZOTERO_ITEM CSL_CITATION {"citationID":"KY5UaGhu","properties":{"formattedCitation":"(New Zealand Family Violence Clearinghouse 2017)","plainCitation":"(New Zealand Family Violence Clearinghouse 2017)","noteIndex":0},"citationItems":[{"id":71369,"uris":["http://zotero.org/groups/4944822/items/H6GTZH7F"],"itemData":{"id":71369,"type":"report","title":"Data Summaries 2017: Snapshot","URL":"https://nzfvc.org.nz/sites/nzfvc.org.nz/files/Data-summaries-snapshot-2017.pdf","author":[{"family":"New Zealand Family Violence Clearinghouse","given":""}],"accessed":{"date-parts":[["2023",12,7]]},"issued":{"date-parts":[["2017"]]}}}],"schema":"https://github.com/citation-style-language/schema/raw/master/csl-citation.json"} </w:instrText>
      </w:r>
      <w:r w:rsidRPr="005543C1">
        <w:fldChar w:fldCharType="separate"/>
      </w:r>
      <w:r w:rsidRPr="001B59AA">
        <w:rPr>
          <w:rFonts w:cs="Calibri"/>
        </w:rPr>
        <w:t>(New Zealand Family Violence Clearinghouse 2017)</w:t>
      </w:r>
      <w:r w:rsidRPr="005543C1">
        <w:fldChar w:fldCharType="end"/>
      </w:r>
    </w:p>
    <w:p w14:paraId="30864FE4" w14:textId="52E911C8" w:rsidR="002F5351" w:rsidRDefault="002F5351" w:rsidP="005B7BA8">
      <w:pPr>
        <w:pStyle w:val="USBodyText"/>
      </w:pPr>
      <w:r>
        <w:t>These data do not identify the proportion that is attributed to alcohol</w:t>
      </w:r>
      <w:r w:rsidR="000C5FA5">
        <w:t>, but alcohol is often found to be a factor in these cases.</w:t>
      </w:r>
    </w:p>
    <w:p w14:paraId="2BB3A995" w14:textId="2FA799B6" w:rsidR="002F5351" w:rsidRDefault="002F5351" w:rsidP="002F5351">
      <w:pPr>
        <w:pStyle w:val="USBodyText"/>
      </w:pPr>
      <w:r w:rsidRPr="005543C1">
        <w:t>Because family harm happen</w:t>
      </w:r>
      <w:r>
        <w:t>s</w:t>
      </w:r>
      <w:r w:rsidRPr="005543C1">
        <w:t xml:space="preserve"> behind closed doors and people do not always report incidents, not all of the evidence is clear</w:t>
      </w:r>
      <w:r>
        <w:t>-</w:t>
      </w:r>
      <w:r w:rsidRPr="005543C1">
        <w:t>cut. Estimates of the percentage of women who have been physically abused at least once by an intimate partner vary from 13 percent to 61 percent</w:t>
      </w:r>
      <w:r w:rsidR="00F935A8">
        <w:t>,</w:t>
      </w:r>
      <w:r w:rsidRPr="005543C1">
        <w:t xml:space="preserve"> and prevention strategies introduced by the New Zealand government have failed to reduce the level of violence </w:t>
      </w:r>
      <w:r w:rsidRPr="005543C1">
        <w:fldChar w:fldCharType="begin"/>
      </w:r>
      <w:r w:rsidR="00F244F6">
        <w:instrText xml:space="preserve"> ADDIN ZOTERO_ITEM CSL_CITATION {"citationID":"VPIQaTni","properties":{"formattedCitation":"(den Heyer 2022)","plainCitation":"(den Heyer 2022)","noteIndex":0},"citationItems":[{"id":70394,"uris":["http://zotero.org/groups/4944822/items/IEM5XB9J"],"itemData":{"id":70394,"type":"chapter","abstract":"Family violence is a serious social problem in New Zealand. It affects people regardless of their age, culture and income and causes psychological and emotional harm, injury and death. Research has found that between 13% and 61% of women (15–49 years old) have been physically abused at least once by an intimate partner, and in 2016, there were 10 homicides of children and young people under 20 years of age caused by a family member, and 63 children aged 16 years or under were hospitalized for an assault perpetrated by a family member (New Zealand Family Violence Clearinghouse, Data summaries 2017: snapshot. www.nzfvc.org.nz, 2017). In response to the incidence of family violence, the New Zealand Government introduced a number of prevention strategies. These, however, have failed to decrease the violence. There is a need to ensure that future strategies are more inclusive and are designed with the input from the community.","container-title":"Understanding and Preventing Community Violence: Global Criminological and Sociological Perspectives","event-place":"Cham","ISBN":"978-3-031-05075-6","language":"en","note":"DOI: 10.1007/978-3-031-05075-6_14","page":"235-253","publisher":"Springer International Publishing","publisher-place":"Cham","source":"Springer Link","title":"New Zealand’s Dirty Secret: Family Violence","title-short":"New Zealand’s Dirty Secret","URL":"https://doi.org/10.1007/978-3-031-05075-6_14","author":[{"family":"Heyer","given":"Garth","non-dropping-particle":"den"}],"editor":[{"family":"Albrecht","given":"James F."},{"family":"Heyer","given":"Garth","non-dropping-particle":"den"}],"accessed":{"date-parts":[["2023",10,20]]},"issued":{"date-parts":[["2022"]]}}}],"schema":"https://github.com/citation-style-language/schema/raw/master/csl-citation.json"} </w:instrText>
      </w:r>
      <w:r w:rsidRPr="005543C1">
        <w:fldChar w:fldCharType="separate"/>
      </w:r>
      <w:r w:rsidRPr="005543C1">
        <w:rPr>
          <w:rFonts w:cs="Calibri"/>
        </w:rPr>
        <w:t xml:space="preserve">(den </w:t>
      </w:r>
      <w:proofErr w:type="spellStart"/>
      <w:r w:rsidRPr="005543C1">
        <w:rPr>
          <w:rFonts w:cs="Calibri"/>
        </w:rPr>
        <w:t>Heyer</w:t>
      </w:r>
      <w:proofErr w:type="spellEnd"/>
      <w:r w:rsidRPr="005543C1">
        <w:rPr>
          <w:rFonts w:cs="Calibri"/>
        </w:rPr>
        <w:t xml:space="preserve"> 2022)</w:t>
      </w:r>
      <w:r w:rsidRPr="005543C1">
        <w:fldChar w:fldCharType="end"/>
      </w:r>
      <w:r w:rsidRPr="005543C1">
        <w:t xml:space="preserve">. </w:t>
      </w:r>
    </w:p>
    <w:p w14:paraId="267D851C" w14:textId="1FD581D4" w:rsidR="002F5351" w:rsidRDefault="002F5351" w:rsidP="002F5351">
      <w:pPr>
        <w:pStyle w:val="USBodyText"/>
      </w:pPr>
      <w:r w:rsidRPr="005543C1">
        <w:t xml:space="preserve">Despite variation in estimated prevalence, New Zealand is believed to have one of the highest rates of family violence in the developed world </w:t>
      </w:r>
      <w:r w:rsidRPr="005543C1">
        <w:fldChar w:fldCharType="begin"/>
      </w:r>
      <w:r w:rsidR="00F244F6">
        <w:instrText xml:space="preserve"> ADDIN ZOTERO_ITEM CSL_CITATION {"citationID":"MxIke32e","properties":{"formattedCitation":"(Dissanayake and Bracewell 2022)","plainCitation":"(Dissanayake and Bracewell 2022)","noteIndex":0},"citationItems":[{"id":70392,"uris":["http://zotero.org/groups/4944822/items/BZAL6TGP"],"itemData":{"id":70392,"type":"article-journal","abstract":"This study investigates whether coverage of family violence that resulted in a death event in New Zealand mainstream media is biased across a range of key factors – namely the gender, ethnicity and age of victims, as well as the victim’s relationship to the primary aggressor. Our results are derived from a cohort of 946 articles published online by New Zealand media outlets. Analysing the number of media articles relating to victims from each group (exposure), the polarity of language used within the articles (sentiment) and their online presence (prominence), we find that although media coverage is generally quite equitable, certain groups of victims are severely under-represented in terms of the media coverage afforded to them. In addition, there are significant differences in the sentiment of articles written about victims from different groups. This study, therefore, identifies an opportunity for raising accurate community understanding of family violence in New Zealand and for supporting victims through objective media coverage.","container-title":"Kōtuitui: New Zealand Journal of Social Sciences Online","DOI":"10.1080/1177083X.2021.1976224","ISSN":"null","issue":"2","note":"publisher: Routledge\n_eprint: https://doi.org/10.1080/1177083X.2021.1976224","page":"242-259","source":"Taylor and Francis+NEJM","title":"Family violence in the news: an analysis of media reporting of family violence in Aotearoa New Zealand","title-short":"Family violence in the news","volume":"17","author":[{"family":"Dissanayake","given":"Harini"},{"family":"Bracewell","given":"Paul"}],"issued":{"date-parts":[["2022",4,3]]}}}],"schema":"https://github.com/citation-style-language/schema/raw/master/csl-citation.json"} </w:instrText>
      </w:r>
      <w:r w:rsidRPr="005543C1">
        <w:fldChar w:fldCharType="separate"/>
      </w:r>
      <w:r w:rsidRPr="005543C1">
        <w:rPr>
          <w:rFonts w:cs="Calibri"/>
        </w:rPr>
        <w:t>(Dissanayake and Bracewell 2022)</w:t>
      </w:r>
      <w:r w:rsidRPr="005543C1">
        <w:fldChar w:fldCharType="end"/>
      </w:r>
      <w:r w:rsidR="00F935A8">
        <w:t>,</w:t>
      </w:r>
      <w:r>
        <w:t xml:space="preserve"> although it is not known how New Zealand compares to other countries on alcohol-attributable family harms.</w:t>
      </w:r>
    </w:p>
    <w:p w14:paraId="11B4E4EF" w14:textId="692B3800" w:rsidR="002F5351" w:rsidRDefault="00F207DC" w:rsidP="002F5351">
      <w:pPr>
        <w:pStyle w:val="USBodyText"/>
      </w:pPr>
      <w:r>
        <w:t>F</w:t>
      </w:r>
      <w:r w:rsidR="00DB62C7">
        <w:t>ollowing the introduction of the Family Violence Act 2018</w:t>
      </w:r>
      <w:r w:rsidR="00FE3A1B">
        <w:t>, f</w:t>
      </w:r>
      <w:r w:rsidR="002F5351" w:rsidRPr="00EF25F3">
        <w:t>amily violence offences include any offence involving</w:t>
      </w:r>
      <w:r w:rsidR="002F5351">
        <w:t>:</w:t>
      </w:r>
    </w:p>
    <w:p w14:paraId="63BF6FE7" w14:textId="77777777" w:rsidR="002F5351" w:rsidRDefault="002F5351" w:rsidP="002F5351">
      <w:pPr>
        <w:pStyle w:val="USBullet1"/>
      </w:pPr>
      <w:r>
        <w:t>assault on a family member (section 194A Crimes Act 1961)</w:t>
      </w:r>
    </w:p>
    <w:p w14:paraId="4234CAE8" w14:textId="77777777" w:rsidR="002F5351" w:rsidRDefault="002F5351" w:rsidP="002F5351">
      <w:pPr>
        <w:pStyle w:val="USBullet1"/>
      </w:pPr>
      <w:r>
        <w:lastRenderedPageBreak/>
        <w:t>common assault (domestic) (section 9 Summary Offences Act 1981 or section 196 Crimes Act 1961)</w:t>
      </w:r>
    </w:p>
    <w:p w14:paraId="7E5905E3" w14:textId="77777777" w:rsidR="002F5351" w:rsidRDefault="002F5351" w:rsidP="002F5351">
      <w:pPr>
        <w:pStyle w:val="USBullet1"/>
      </w:pPr>
      <w:r>
        <w:t>sexual offences against a spouse (section 128(4)/128B or section 129 Crimes Act 1961)</w:t>
      </w:r>
    </w:p>
    <w:p w14:paraId="3843CCFA" w14:textId="77777777" w:rsidR="002F5351" w:rsidRDefault="002F5351" w:rsidP="002F5351">
      <w:pPr>
        <w:pStyle w:val="USBullet1"/>
      </w:pPr>
      <w:r>
        <w:t>incest (section 130 or section 131 Crimes Act 1961)</w:t>
      </w:r>
    </w:p>
    <w:p w14:paraId="1C1B61DF" w14:textId="77777777" w:rsidR="002F5351" w:rsidRDefault="002F5351" w:rsidP="002F5351">
      <w:pPr>
        <w:pStyle w:val="USBullet1"/>
      </w:pPr>
      <w:r>
        <w:t>coercion to marry (section 207A Crimes Act 1961)</w:t>
      </w:r>
    </w:p>
    <w:p w14:paraId="618673B0" w14:textId="77777777" w:rsidR="002F5351" w:rsidRDefault="002F5351" w:rsidP="002F5351">
      <w:pPr>
        <w:pStyle w:val="USBullet1"/>
      </w:pPr>
      <w:r>
        <w:t>all offences included in the Domestic Violence Act 1995 (such as breach of protection order)</w:t>
      </w:r>
    </w:p>
    <w:p w14:paraId="7E11124E" w14:textId="7D0033A0" w:rsidR="002F5351" w:rsidRDefault="009E63E6" w:rsidP="002F5351">
      <w:pPr>
        <w:pStyle w:val="USBullet1"/>
      </w:pPr>
      <w:r>
        <w:t>other offences covered by the Family Violence Act</w:t>
      </w:r>
      <w:r w:rsidR="002F5351">
        <w:t xml:space="preserve"> (such as breach of protection order).</w:t>
      </w:r>
    </w:p>
    <w:p w14:paraId="6FF845B3" w14:textId="7979A81B" w:rsidR="002F5351" w:rsidRDefault="002F5351" w:rsidP="002F5351">
      <w:pPr>
        <w:pStyle w:val="USBodyText"/>
      </w:pPr>
      <w:r>
        <w:fldChar w:fldCharType="begin"/>
      </w:r>
      <w:r w:rsidR="00F244F6">
        <w:instrText xml:space="preserve"> ADDIN ZOTERO_ITEM CSL_CITATION {"citationID":"KUt92KMy","properties":{"formattedCitation":"(Ministry of Justice 2023b)","plainCitation":"(Ministry of Justice 2023b)","noteIndex":0},"citationItems":[{"id":71370,"uris":["http://zotero.org/groups/4944822/items/G8AY4SP6"],"itemData":{"id":71370,"type":"webpage","title":"Family violence tables","URL":"https://www.justice.govt.nz/justice-sector-policy/research-data/justice-statistics/data-tables","author":[{"family":"Ministry of Justice","given":""}],"accessed":{"date-parts":[["2023",12,7]]},"issued":{"date-parts":[["2023"]]}}}],"schema":"https://github.com/citation-style-language/schema/raw/master/csl-citation.json"} </w:instrText>
      </w:r>
      <w:r>
        <w:fldChar w:fldCharType="separate"/>
      </w:r>
      <w:r w:rsidRPr="0020496A">
        <w:rPr>
          <w:rFonts w:cs="Calibri"/>
        </w:rPr>
        <w:t>(Ministry of Justice 2023b)</w:t>
      </w:r>
      <w:r>
        <w:fldChar w:fldCharType="end"/>
      </w:r>
    </w:p>
    <w:p w14:paraId="2296DE8A" w14:textId="77777777" w:rsidR="002F5351" w:rsidRDefault="002F5351" w:rsidP="00CD512D">
      <w:pPr>
        <w:pStyle w:val="Heading4"/>
      </w:pPr>
      <w:r>
        <w:t>Prevalence of family harm</w:t>
      </w:r>
    </w:p>
    <w:p w14:paraId="10E40703" w14:textId="4BC0A2C0" w:rsidR="002F5351" w:rsidRDefault="002F5351" w:rsidP="002F5351">
      <w:pPr>
        <w:pStyle w:val="USBodyText"/>
      </w:pPr>
      <w:r>
        <w:t xml:space="preserve">Estimating the prevalence of family harm is challenging. It is widely acknowledged that many cases never come to the attention of authorities or involve accessing services. If cases are not recorded in either of these ways, there may be no data to reflect that the incident ever occurred, leading to </w:t>
      </w:r>
      <w:r w:rsidR="00F935A8">
        <w:t xml:space="preserve">an </w:t>
      </w:r>
      <w:r>
        <w:t xml:space="preserve">underestimation of prevalence. Where services are accessed, insufficient information may be collected to generate data that is useful for understanding the nature, severity, or prevalence of family harm. </w:t>
      </w:r>
    </w:p>
    <w:p w14:paraId="16EDBE62" w14:textId="34AFFECF" w:rsidR="002F5351" w:rsidRDefault="002F5351" w:rsidP="002F5351">
      <w:pPr>
        <w:pStyle w:val="USBodyText"/>
      </w:pPr>
      <w:r w:rsidRPr="005543C1">
        <w:t xml:space="preserve">A review of New Zealand data sources </w:t>
      </w:r>
      <w:r w:rsidRPr="005543C1">
        <w:fldChar w:fldCharType="begin"/>
      </w:r>
      <w:r w:rsidR="00F244F6">
        <w:instrText xml:space="preserve"> ADDIN ZOTERO_ITEM CSL_CITATION {"citationID":"gZgqZOQl","properties":{"custom":"(Gullliver and Fanslow, 2012)","formattedCitation":"(Gullliver and Fanslow, 2012)","plainCitation":"(Gullliver and Fanslow, 2012)","noteIndex":0},"citationItems":[{"id":68845,"uris":["http://zotero.org/groups/4944822/items/G9STLT3Z"],"itemData":{"id":68845,"type":"report","number":"Issues Paper 2","publisher":"New Zealand Family Violence Clearing House","title":"Measurement of family violence at a population level: What might be needed to develop reliable and valid family violence indicators?","URL":"https://scholar.google.co.nz/scholar_url?url=https://www.nzfvc.org.nz/sites/nzfvc.org.nz/files/Measurement-of-family-violence-at-a-population-level-June-2012.pdf&amp;hl=en&amp;sa=X&amp;ei=blLMZIq3NM6OygSauZrwBg&amp;scisig=AFWwaeb-x-_fixWCaBCEaY1fDkFc&amp;oi=scholarr","author":[{"family":"Gullliver","given":"Pauline"},{"family":"Fanslow","given":"Janet"}],"issued":{"date-parts":[["2012"]]}}}],"schema":"https://github.com/citation-style-language/schema/raw/master/csl-citation.json"} </w:instrText>
      </w:r>
      <w:r w:rsidRPr="005543C1">
        <w:fldChar w:fldCharType="separate"/>
      </w:r>
      <w:r w:rsidRPr="005543C1">
        <w:rPr>
          <w:rFonts w:cs="Calibri"/>
        </w:rPr>
        <w:t>(</w:t>
      </w:r>
      <w:proofErr w:type="spellStart"/>
      <w:r w:rsidRPr="005543C1">
        <w:rPr>
          <w:rFonts w:cs="Calibri"/>
        </w:rPr>
        <w:t>Gullliver</w:t>
      </w:r>
      <w:proofErr w:type="spellEnd"/>
      <w:r w:rsidRPr="005543C1">
        <w:rPr>
          <w:rFonts w:cs="Calibri"/>
        </w:rPr>
        <w:t xml:space="preserve"> and </w:t>
      </w:r>
      <w:proofErr w:type="spellStart"/>
      <w:r w:rsidRPr="005543C1">
        <w:rPr>
          <w:rFonts w:cs="Calibri"/>
        </w:rPr>
        <w:t>Fanslow</w:t>
      </w:r>
      <w:proofErr w:type="spellEnd"/>
      <w:r w:rsidRPr="005543C1">
        <w:rPr>
          <w:rFonts w:cs="Calibri"/>
        </w:rPr>
        <w:t>, 2012)</w:t>
      </w:r>
      <w:r w:rsidRPr="005543C1">
        <w:fldChar w:fldCharType="end"/>
      </w:r>
      <w:r w:rsidRPr="005543C1">
        <w:t xml:space="preserve"> from which information about family violence may be drawn concluded that none of the administrative datasets in New Zealand provide complete coverage of family violence and that the available data suffered from a range of problems. The report also agreed with an earlier review </w:t>
      </w:r>
      <w:r w:rsidRPr="005543C1">
        <w:fldChar w:fldCharType="begin"/>
      </w:r>
      <w:r w:rsidR="00F244F6">
        <w:instrText xml:space="preserve"> ADDIN ZOTERO_ITEM CSL_CITATION {"citationID":"8G7h3wIG","properties":{"formattedCitation":"(Lievore and Mayhew 2007)","plainCitation":"(Lievore and Mayhew 2007)","noteIndex":0},"citationItems":[{"id":68844,"uris":["http://zotero.org/groups/4944822/items/FG2YSPRM"],"itemData":{"id":68844,"type":"report","publisher":"Ministry of Social Development","title":"The scale and nature of family violence in New Zealand: A review and evaluation of knowledge","URL":"https://scholar.google.co.nz/scholar_url?url=https://www.msd.govt.nz/documents/about-msd-and-our-work/publications-resources/research/scale-nature/scale-and-nature.doc&amp;hl=en&amp;sa=X&amp;ei=01TMZKz8KuyEywSA_4GIAg&amp;scisig=AFWwaebX3ezs1FWcXc2lfIXB_nlE&amp;oi=scholarr","author":[{"family":"Lievore","given":""},{"family":"Mayhew","given":""}],"issued":{"date-parts":[["2007",4]]}}}],"schema":"https://github.com/citation-style-language/schema/raw/master/csl-citation.json"} </w:instrText>
      </w:r>
      <w:r w:rsidRPr="005543C1">
        <w:fldChar w:fldCharType="separate"/>
      </w:r>
      <w:r w:rsidRPr="005543C1">
        <w:rPr>
          <w:rFonts w:cs="Calibri"/>
        </w:rPr>
        <w:t>(</w:t>
      </w:r>
      <w:proofErr w:type="spellStart"/>
      <w:r w:rsidRPr="005543C1">
        <w:rPr>
          <w:rFonts w:cs="Calibri"/>
        </w:rPr>
        <w:t>Lievore</w:t>
      </w:r>
      <w:proofErr w:type="spellEnd"/>
      <w:r w:rsidRPr="005543C1">
        <w:rPr>
          <w:rFonts w:cs="Calibri"/>
        </w:rPr>
        <w:t xml:space="preserve"> and Mayhew 2007)</w:t>
      </w:r>
      <w:r w:rsidRPr="005543C1">
        <w:fldChar w:fldCharType="end"/>
      </w:r>
      <w:r w:rsidRPr="005543C1">
        <w:t xml:space="preserve"> that it</w:t>
      </w:r>
      <w:r>
        <w:t xml:space="preserve"> would not be possible to count all family violence cases using the available data, but observations about trends may be possible.</w:t>
      </w:r>
    </w:p>
    <w:p w14:paraId="39AD633C" w14:textId="77777777" w:rsidR="002F5351" w:rsidRDefault="002F5351" w:rsidP="002F5351">
      <w:pPr>
        <w:pStyle w:val="USBodyText"/>
      </w:pPr>
      <w:r>
        <w:t>One source of data from which trends may be observed is charges for offences against the Family Violence Act 2018 recorded by the Ministry of Justice. These are grouped into two categories:</w:t>
      </w:r>
    </w:p>
    <w:p w14:paraId="4BC4C006" w14:textId="77777777" w:rsidR="002F5351" w:rsidRDefault="002F5351" w:rsidP="002F5351">
      <w:pPr>
        <w:pStyle w:val="USBullet1"/>
      </w:pPr>
      <w:r>
        <w:t xml:space="preserve">family violence: </w:t>
      </w:r>
      <w:r w:rsidRPr="00EF25F3">
        <w:t>physical, sexual or psychological abuse by a person who is or has been in a family relationship</w:t>
      </w:r>
      <w:r>
        <w:t xml:space="preserve"> (</w:t>
      </w:r>
      <w:r w:rsidRPr="00885E7A">
        <w:t>as defined in section 9 of the Act</w:t>
      </w:r>
      <w:r>
        <w:t>)</w:t>
      </w:r>
    </w:p>
    <w:p w14:paraId="56078E1B" w14:textId="77777777" w:rsidR="002F5351" w:rsidRDefault="002F5351" w:rsidP="002F5351">
      <w:pPr>
        <w:pStyle w:val="USBullet1"/>
      </w:pPr>
      <w:r>
        <w:t>other offences (</w:t>
      </w:r>
      <w:r w:rsidRPr="00C10505">
        <w:t xml:space="preserve">any </w:t>
      </w:r>
      <w:r>
        <w:t xml:space="preserve">other </w:t>
      </w:r>
      <w:r w:rsidRPr="00C10505">
        <w:t>offence against the Family Violence Act</w:t>
      </w:r>
      <w:r>
        <w:t>, such as</w:t>
      </w:r>
      <w:r w:rsidRPr="00C10505">
        <w:t xml:space="preserve"> </w:t>
      </w:r>
      <w:r w:rsidRPr="00EF25F3">
        <w:t>breaching a protection order or failing to attend a non-violence</w:t>
      </w:r>
      <w:r>
        <w:t xml:space="preserve"> programme)</w:t>
      </w:r>
      <w:r w:rsidRPr="00EF25F3">
        <w:t>.</w:t>
      </w:r>
    </w:p>
    <w:p w14:paraId="7AE3792C" w14:textId="386C2852" w:rsidR="002F5351" w:rsidRDefault="002F5351" w:rsidP="002F5351">
      <w:pPr>
        <w:pStyle w:val="USBodyText"/>
      </w:pPr>
      <w:r>
        <w:t>According to the Ministry of Justice data, in 2022</w:t>
      </w:r>
      <w:r w:rsidR="00F935A8">
        <w:t>,</w:t>
      </w:r>
      <w:r>
        <w:t xml:space="preserve"> there were 28,288 </w:t>
      </w:r>
      <w:r w:rsidR="00B81AD0">
        <w:t>charges for</w:t>
      </w:r>
      <w:r w:rsidR="00AC53E7">
        <w:t xml:space="preserve"> </w:t>
      </w:r>
      <w:r>
        <w:t xml:space="preserve">family violence offences and 155,369 other offences against the Family Violence Act, resulting in a total of 183,657 </w:t>
      </w:r>
      <w:r w:rsidR="00AC53E7">
        <w:t xml:space="preserve">recorded </w:t>
      </w:r>
      <w:r w:rsidR="00B81AD0">
        <w:t>charges</w:t>
      </w:r>
      <w:r>
        <w:t>. This figure represents a significant decrease compared with the pre-</w:t>
      </w:r>
      <w:r w:rsidR="008F5872">
        <w:t>COVID-19</w:t>
      </w:r>
      <w:r>
        <w:t xml:space="preserve"> figures of 29,281 </w:t>
      </w:r>
      <w:r w:rsidR="00AC53E7">
        <w:t xml:space="preserve">recorded </w:t>
      </w:r>
      <w:r w:rsidR="00B81AD0">
        <w:t xml:space="preserve">charges for </w:t>
      </w:r>
      <w:r>
        <w:t xml:space="preserve">family violence offences, 182,278 other </w:t>
      </w:r>
      <w:r w:rsidR="00152660">
        <w:t>charges for</w:t>
      </w:r>
      <w:r w:rsidR="00AC53E7">
        <w:t xml:space="preserve"> </w:t>
      </w:r>
      <w:r>
        <w:t xml:space="preserve">offences, which generated a total of 211,559 </w:t>
      </w:r>
      <w:r w:rsidR="00152660">
        <w:t>charges</w:t>
      </w:r>
      <w:r>
        <w:t xml:space="preserve"> in 2019. Compared with the 2019 total, the 2022 total represents a 13 percent reduction in charges for offences against the Act</w:t>
      </w:r>
      <w:r w:rsidR="001808BA">
        <w:t xml:space="preserve"> (see </w:t>
      </w:r>
      <w:r w:rsidR="001808BA">
        <w:fldChar w:fldCharType="begin"/>
      </w:r>
      <w:r w:rsidR="001808BA">
        <w:instrText xml:space="preserve"> REF _Ref156153713 \h </w:instrText>
      </w:r>
      <w:r w:rsidR="001808BA">
        <w:fldChar w:fldCharType="separate"/>
      </w:r>
      <w:r w:rsidR="00AE166D" w:rsidRPr="00731CA6">
        <w:t xml:space="preserve">Table </w:t>
      </w:r>
      <w:r w:rsidR="00AE166D">
        <w:rPr>
          <w:noProof/>
        </w:rPr>
        <w:t>12</w:t>
      </w:r>
      <w:r w:rsidR="001808BA">
        <w:fldChar w:fldCharType="end"/>
      </w:r>
      <w:r w:rsidR="001808BA">
        <w:t xml:space="preserve"> and </w:t>
      </w:r>
      <w:r w:rsidR="00FC708F">
        <w:fldChar w:fldCharType="begin"/>
      </w:r>
      <w:r w:rsidR="00FC708F">
        <w:instrText xml:space="preserve"> REF _Ref156228143 \h </w:instrText>
      </w:r>
      <w:r w:rsidR="00FC708F">
        <w:fldChar w:fldCharType="separate"/>
      </w:r>
      <w:r w:rsidR="00AE166D" w:rsidRPr="00731CA6">
        <w:t>Figure </w:t>
      </w:r>
      <w:r w:rsidR="00AE166D">
        <w:rPr>
          <w:noProof/>
        </w:rPr>
        <w:t>6</w:t>
      </w:r>
      <w:r w:rsidR="00FC708F">
        <w:fldChar w:fldCharType="end"/>
      </w:r>
      <w:r w:rsidR="00CF0C8E">
        <w:t xml:space="preserve"> below)</w:t>
      </w:r>
      <w:r>
        <w:t>.</w:t>
      </w:r>
    </w:p>
    <w:p w14:paraId="03AC8540" w14:textId="4EC001A8" w:rsidR="002F5351" w:rsidRPr="00731CA6" w:rsidRDefault="002F5351" w:rsidP="00E1673E">
      <w:pPr>
        <w:pStyle w:val="TableCaption"/>
        <w:keepLines/>
      </w:pPr>
      <w:bookmarkStart w:id="73" w:name="_Ref156153713"/>
      <w:bookmarkStart w:id="74" w:name="_Toc160633919"/>
      <w:r w:rsidRPr="00731CA6">
        <w:lastRenderedPageBreak/>
        <w:t xml:space="preserve">Table </w:t>
      </w:r>
      <w:fldSimple w:instr=" SEQ Table \* ARABIC ">
        <w:r w:rsidR="00AE166D">
          <w:rPr>
            <w:noProof/>
          </w:rPr>
          <w:t>12</w:t>
        </w:r>
      </w:fldSimple>
      <w:bookmarkEnd w:id="73"/>
      <w:r w:rsidRPr="00731CA6">
        <w:t xml:space="preserve"> </w:t>
      </w:r>
      <w:r>
        <w:t>Charges for offences against the Family Violence Act 2018</w:t>
      </w:r>
      <w:bookmarkEnd w:id="74"/>
    </w:p>
    <w:p w14:paraId="0C8089E5" w14:textId="77777777" w:rsidR="002F5351" w:rsidRDefault="002F5351" w:rsidP="00E1673E">
      <w:pPr>
        <w:pStyle w:val="CaptionSubheading"/>
        <w:keepLines/>
      </w:pPr>
      <w:r w:rsidRPr="00166C8D">
        <w:t>Number of charges by</w:t>
      </w:r>
      <w:r>
        <w:t xml:space="preserve"> type and by</w:t>
      </w:r>
      <w:r w:rsidRPr="00166C8D">
        <w:t xml:space="preserve"> calendar year</w:t>
      </w:r>
      <w:r>
        <w:t>, 2015 to 2022</w:t>
      </w:r>
    </w:p>
    <w:tbl>
      <w:tblPr>
        <w:tblStyle w:val="TableDefault"/>
        <w:tblW w:w="8161" w:type="dxa"/>
        <w:tblLayout w:type="fixed"/>
        <w:tblLook w:val="04A0" w:firstRow="1" w:lastRow="0" w:firstColumn="1" w:lastColumn="0" w:noHBand="0" w:noVBand="1"/>
      </w:tblPr>
      <w:tblGrid>
        <w:gridCol w:w="1361"/>
        <w:gridCol w:w="850"/>
        <w:gridCol w:w="850"/>
        <w:gridCol w:w="850"/>
        <w:gridCol w:w="850"/>
        <w:gridCol w:w="850"/>
        <w:gridCol w:w="850"/>
        <w:gridCol w:w="850"/>
        <w:gridCol w:w="850"/>
      </w:tblGrid>
      <w:tr w:rsidR="002F5351" w14:paraId="0BEAD88A" w14:textId="77777777">
        <w:trPr>
          <w:cnfStyle w:val="100000000000" w:firstRow="1" w:lastRow="0" w:firstColumn="0" w:lastColumn="0" w:oddVBand="0" w:evenVBand="0" w:oddHBand="0" w:evenHBand="0" w:firstRowFirstColumn="0" w:firstRowLastColumn="0" w:lastRowFirstColumn="0" w:lastRowLastColumn="0"/>
        </w:trPr>
        <w:tc>
          <w:tcPr>
            <w:tcW w:w="1361" w:type="dxa"/>
          </w:tcPr>
          <w:p w14:paraId="3A36DF06" w14:textId="77777777" w:rsidR="002F5351" w:rsidRPr="00204B9B" w:rsidRDefault="002F5351" w:rsidP="00E1673E">
            <w:pPr>
              <w:pStyle w:val="TSTableHeadingWhite-TopRow"/>
              <w:rPr>
                <w:b w:val="0"/>
                <w:bCs/>
                <w:color w:val="FFFFFF" w:themeColor="background2"/>
                <w:sz w:val="20"/>
                <w:szCs w:val="20"/>
              </w:rPr>
            </w:pPr>
            <w:r w:rsidRPr="00204B9B">
              <w:t>Offence type</w:t>
            </w:r>
          </w:p>
        </w:tc>
        <w:tc>
          <w:tcPr>
            <w:tcW w:w="850" w:type="dxa"/>
          </w:tcPr>
          <w:p w14:paraId="6616B1EF" w14:textId="77777777" w:rsidR="002F5351" w:rsidRPr="00E04352" w:rsidRDefault="002F5351" w:rsidP="00E1673E">
            <w:pPr>
              <w:pStyle w:val="TSTableHeadingWhite-TopRow"/>
              <w:jc w:val="center"/>
              <w:rPr>
                <w:b w:val="0"/>
                <w:bCs/>
                <w:color w:val="FFFFFF" w:themeColor="background2"/>
                <w:sz w:val="20"/>
                <w:szCs w:val="20"/>
              </w:rPr>
            </w:pPr>
            <w:r w:rsidRPr="00E04352">
              <w:t>2015</w:t>
            </w:r>
          </w:p>
        </w:tc>
        <w:tc>
          <w:tcPr>
            <w:tcW w:w="850" w:type="dxa"/>
          </w:tcPr>
          <w:p w14:paraId="0FB505FA" w14:textId="77777777" w:rsidR="002F5351" w:rsidRPr="00E04352" w:rsidRDefault="002F5351" w:rsidP="00E1673E">
            <w:pPr>
              <w:pStyle w:val="TSTableHeadingWhite-TopRow"/>
              <w:jc w:val="center"/>
              <w:rPr>
                <w:b w:val="0"/>
                <w:bCs/>
                <w:color w:val="FFFFFF" w:themeColor="background2"/>
                <w:sz w:val="20"/>
                <w:szCs w:val="20"/>
              </w:rPr>
            </w:pPr>
            <w:r w:rsidRPr="00E04352">
              <w:t>2016</w:t>
            </w:r>
          </w:p>
        </w:tc>
        <w:tc>
          <w:tcPr>
            <w:tcW w:w="850" w:type="dxa"/>
          </w:tcPr>
          <w:p w14:paraId="2EB30DBB" w14:textId="77777777" w:rsidR="002F5351" w:rsidRPr="00204B9B" w:rsidRDefault="002F5351" w:rsidP="00E1673E">
            <w:pPr>
              <w:pStyle w:val="TSTableHeadingWhite-TopRow"/>
              <w:jc w:val="center"/>
              <w:rPr>
                <w:b w:val="0"/>
                <w:bCs/>
                <w:color w:val="FFFFFF" w:themeColor="background2"/>
                <w:sz w:val="20"/>
                <w:szCs w:val="20"/>
              </w:rPr>
            </w:pPr>
            <w:r w:rsidRPr="00204B9B">
              <w:t>2017</w:t>
            </w:r>
          </w:p>
        </w:tc>
        <w:tc>
          <w:tcPr>
            <w:tcW w:w="850" w:type="dxa"/>
          </w:tcPr>
          <w:p w14:paraId="26228478" w14:textId="77777777" w:rsidR="002F5351" w:rsidRPr="00204B9B" w:rsidRDefault="002F5351" w:rsidP="00E1673E">
            <w:pPr>
              <w:pStyle w:val="TSTableHeadingWhite-TopRow"/>
              <w:jc w:val="center"/>
              <w:rPr>
                <w:b w:val="0"/>
                <w:bCs/>
                <w:color w:val="FFFFFF" w:themeColor="background2"/>
                <w:sz w:val="20"/>
                <w:szCs w:val="20"/>
              </w:rPr>
            </w:pPr>
            <w:r w:rsidRPr="00204B9B">
              <w:t>2018</w:t>
            </w:r>
          </w:p>
        </w:tc>
        <w:tc>
          <w:tcPr>
            <w:tcW w:w="850" w:type="dxa"/>
          </w:tcPr>
          <w:p w14:paraId="1540B8A7" w14:textId="77777777" w:rsidR="002F5351" w:rsidRPr="00204B9B" w:rsidRDefault="002F5351" w:rsidP="00E1673E">
            <w:pPr>
              <w:pStyle w:val="TSTableHeadingWhite-TopRow"/>
              <w:jc w:val="center"/>
              <w:rPr>
                <w:b w:val="0"/>
                <w:bCs/>
                <w:color w:val="FFFFFF" w:themeColor="background2"/>
                <w:sz w:val="20"/>
                <w:szCs w:val="20"/>
              </w:rPr>
            </w:pPr>
            <w:r w:rsidRPr="00204B9B">
              <w:t>2019</w:t>
            </w:r>
          </w:p>
        </w:tc>
        <w:tc>
          <w:tcPr>
            <w:tcW w:w="850" w:type="dxa"/>
          </w:tcPr>
          <w:p w14:paraId="6EF895F6" w14:textId="77777777" w:rsidR="002F5351" w:rsidRPr="00204B9B" w:rsidRDefault="002F5351" w:rsidP="00E1673E">
            <w:pPr>
              <w:pStyle w:val="TSTableHeadingWhite-TopRow"/>
              <w:jc w:val="center"/>
              <w:rPr>
                <w:b w:val="0"/>
                <w:bCs/>
                <w:color w:val="FFFFFF" w:themeColor="background2"/>
                <w:sz w:val="20"/>
                <w:szCs w:val="20"/>
              </w:rPr>
            </w:pPr>
            <w:r w:rsidRPr="00204B9B">
              <w:t>2020</w:t>
            </w:r>
          </w:p>
        </w:tc>
        <w:tc>
          <w:tcPr>
            <w:tcW w:w="850" w:type="dxa"/>
          </w:tcPr>
          <w:p w14:paraId="519E0084" w14:textId="77777777" w:rsidR="002F5351" w:rsidRPr="00204B9B" w:rsidRDefault="002F5351" w:rsidP="00E1673E">
            <w:pPr>
              <w:pStyle w:val="TSTableHeadingWhite-TopRow"/>
              <w:jc w:val="center"/>
              <w:rPr>
                <w:b w:val="0"/>
                <w:bCs/>
                <w:color w:val="FFFFFF" w:themeColor="background2"/>
                <w:sz w:val="20"/>
                <w:szCs w:val="20"/>
              </w:rPr>
            </w:pPr>
            <w:r w:rsidRPr="00204B9B">
              <w:t>2021</w:t>
            </w:r>
          </w:p>
        </w:tc>
        <w:tc>
          <w:tcPr>
            <w:tcW w:w="850" w:type="dxa"/>
          </w:tcPr>
          <w:p w14:paraId="3586B56D" w14:textId="77777777" w:rsidR="002F5351" w:rsidRPr="00204B9B" w:rsidRDefault="002F5351" w:rsidP="00E1673E">
            <w:pPr>
              <w:pStyle w:val="TSTableHeadingWhite-TopRow"/>
              <w:jc w:val="center"/>
              <w:rPr>
                <w:b w:val="0"/>
                <w:bCs/>
                <w:color w:val="FFFFFF" w:themeColor="background2"/>
                <w:sz w:val="20"/>
                <w:szCs w:val="20"/>
              </w:rPr>
            </w:pPr>
            <w:r w:rsidRPr="00204B9B">
              <w:t>2022</w:t>
            </w:r>
          </w:p>
        </w:tc>
      </w:tr>
      <w:tr w:rsidR="002F5351" w14:paraId="3BBE4FE4" w14:textId="77777777">
        <w:tc>
          <w:tcPr>
            <w:tcW w:w="1361" w:type="dxa"/>
          </w:tcPr>
          <w:p w14:paraId="4B81D39D" w14:textId="77777777" w:rsidR="002F5351" w:rsidRPr="00204B9B" w:rsidRDefault="002F5351" w:rsidP="00E1673E">
            <w:pPr>
              <w:pStyle w:val="TSBodyText"/>
              <w:keepNext/>
              <w:keepLines/>
              <w:rPr>
                <w:szCs w:val="18"/>
              </w:rPr>
            </w:pPr>
            <w:r w:rsidRPr="00204B9B">
              <w:t>Family violence</w:t>
            </w:r>
          </w:p>
        </w:tc>
        <w:tc>
          <w:tcPr>
            <w:tcW w:w="850" w:type="dxa"/>
          </w:tcPr>
          <w:p w14:paraId="4EA011B0" w14:textId="77777777" w:rsidR="002F5351" w:rsidRPr="00E04352" w:rsidRDefault="002F5351" w:rsidP="00E1673E">
            <w:pPr>
              <w:pStyle w:val="TSBodyText"/>
              <w:keepNext/>
              <w:keepLines/>
              <w:rPr>
                <w:szCs w:val="18"/>
              </w:rPr>
            </w:pPr>
            <w:r w:rsidRPr="00E04352">
              <w:t xml:space="preserve">26,891 </w:t>
            </w:r>
          </w:p>
        </w:tc>
        <w:tc>
          <w:tcPr>
            <w:tcW w:w="850" w:type="dxa"/>
          </w:tcPr>
          <w:p w14:paraId="6DD37D1A" w14:textId="77777777" w:rsidR="002F5351" w:rsidRPr="00E04352" w:rsidRDefault="002F5351" w:rsidP="00E1673E">
            <w:pPr>
              <w:pStyle w:val="TSBodyText"/>
              <w:keepNext/>
              <w:keepLines/>
              <w:rPr>
                <w:szCs w:val="18"/>
              </w:rPr>
            </w:pPr>
            <w:r w:rsidRPr="00E04352">
              <w:t xml:space="preserve"> </w:t>
            </w:r>
            <w:r>
              <w:rPr>
                <w:szCs w:val="18"/>
              </w:rPr>
              <w:t>2</w:t>
            </w:r>
            <w:r w:rsidRPr="00E04352">
              <w:rPr>
                <w:szCs w:val="18"/>
              </w:rPr>
              <w:t xml:space="preserve">9,421 </w:t>
            </w:r>
          </w:p>
        </w:tc>
        <w:tc>
          <w:tcPr>
            <w:tcW w:w="850" w:type="dxa"/>
          </w:tcPr>
          <w:p w14:paraId="65734B6C" w14:textId="77777777" w:rsidR="002F5351" w:rsidRPr="00204B9B" w:rsidRDefault="002F5351" w:rsidP="00E1673E">
            <w:pPr>
              <w:pStyle w:val="TSBodyText"/>
              <w:keepNext/>
              <w:keepLines/>
              <w:rPr>
                <w:szCs w:val="18"/>
              </w:rPr>
            </w:pPr>
            <w:r w:rsidRPr="00204B9B">
              <w:t>29,265</w:t>
            </w:r>
          </w:p>
        </w:tc>
        <w:tc>
          <w:tcPr>
            <w:tcW w:w="850" w:type="dxa"/>
          </w:tcPr>
          <w:p w14:paraId="13216D8A" w14:textId="77777777" w:rsidR="002F5351" w:rsidRPr="00204B9B" w:rsidRDefault="002F5351" w:rsidP="00E1673E">
            <w:pPr>
              <w:pStyle w:val="TSBodyText"/>
              <w:keepNext/>
              <w:keepLines/>
              <w:rPr>
                <w:szCs w:val="18"/>
              </w:rPr>
            </w:pPr>
            <w:r w:rsidRPr="00204B9B">
              <w:t>28,848</w:t>
            </w:r>
          </w:p>
        </w:tc>
        <w:tc>
          <w:tcPr>
            <w:tcW w:w="850" w:type="dxa"/>
          </w:tcPr>
          <w:p w14:paraId="047411EA" w14:textId="77777777" w:rsidR="002F5351" w:rsidRPr="00204B9B" w:rsidRDefault="002F5351" w:rsidP="00E1673E">
            <w:pPr>
              <w:pStyle w:val="TSBodyText"/>
              <w:keepNext/>
              <w:keepLines/>
              <w:rPr>
                <w:szCs w:val="18"/>
              </w:rPr>
            </w:pPr>
            <w:r w:rsidRPr="00204B9B">
              <w:t>29,281</w:t>
            </w:r>
          </w:p>
        </w:tc>
        <w:tc>
          <w:tcPr>
            <w:tcW w:w="850" w:type="dxa"/>
          </w:tcPr>
          <w:p w14:paraId="73DFFC1F" w14:textId="77777777" w:rsidR="002F5351" w:rsidRPr="00204B9B" w:rsidRDefault="002F5351" w:rsidP="00E1673E">
            <w:pPr>
              <w:pStyle w:val="TSBodyText"/>
              <w:keepNext/>
              <w:keepLines/>
              <w:rPr>
                <w:szCs w:val="18"/>
              </w:rPr>
            </w:pPr>
            <w:r w:rsidRPr="00204B9B">
              <w:t>31,637</w:t>
            </w:r>
          </w:p>
        </w:tc>
        <w:tc>
          <w:tcPr>
            <w:tcW w:w="850" w:type="dxa"/>
          </w:tcPr>
          <w:p w14:paraId="72D8215A" w14:textId="77777777" w:rsidR="002F5351" w:rsidRPr="00204B9B" w:rsidRDefault="002F5351" w:rsidP="00E1673E">
            <w:pPr>
              <w:pStyle w:val="TSBodyText"/>
              <w:keepNext/>
              <w:keepLines/>
              <w:rPr>
                <w:szCs w:val="18"/>
              </w:rPr>
            </w:pPr>
            <w:r w:rsidRPr="00204B9B">
              <w:t>26,393</w:t>
            </w:r>
          </w:p>
        </w:tc>
        <w:tc>
          <w:tcPr>
            <w:tcW w:w="850" w:type="dxa"/>
          </w:tcPr>
          <w:p w14:paraId="68846FB5" w14:textId="77777777" w:rsidR="002F5351" w:rsidRPr="00204B9B" w:rsidRDefault="002F5351" w:rsidP="00E1673E">
            <w:pPr>
              <w:pStyle w:val="TSBodyText"/>
              <w:keepNext/>
              <w:keepLines/>
              <w:rPr>
                <w:szCs w:val="18"/>
              </w:rPr>
            </w:pPr>
            <w:r w:rsidRPr="00204B9B">
              <w:t>28,288</w:t>
            </w:r>
          </w:p>
        </w:tc>
      </w:tr>
      <w:tr w:rsidR="002F5351" w14:paraId="27DE8C5C" w14:textId="77777777">
        <w:trPr>
          <w:cnfStyle w:val="000000010000" w:firstRow="0" w:lastRow="0" w:firstColumn="0" w:lastColumn="0" w:oddVBand="0" w:evenVBand="0" w:oddHBand="0" w:evenHBand="1" w:firstRowFirstColumn="0" w:firstRowLastColumn="0" w:lastRowFirstColumn="0" w:lastRowLastColumn="0"/>
        </w:trPr>
        <w:tc>
          <w:tcPr>
            <w:tcW w:w="1361" w:type="dxa"/>
          </w:tcPr>
          <w:p w14:paraId="0F0BAF34" w14:textId="77777777" w:rsidR="002F5351" w:rsidRPr="00204B9B" w:rsidRDefault="002F5351" w:rsidP="00E1673E">
            <w:pPr>
              <w:pStyle w:val="TSBodyText"/>
              <w:keepNext/>
              <w:keepLines/>
              <w:rPr>
                <w:szCs w:val="18"/>
              </w:rPr>
            </w:pPr>
            <w:r w:rsidRPr="00204B9B">
              <w:t>Other offences</w:t>
            </w:r>
          </w:p>
        </w:tc>
        <w:tc>
          <w:tcPr>
            <w:tcW w:w="850" w:type="dxa"/>
          </w:tcPr>
          <w:p w14:paraId="4E4D1B68" w14:textId="77777777" w:rsidR="002F5351" w:rsidRPr="00E04352" w:rsidRDefault="002F5351" w:rsidP="00E1673E">
            <w:pPr>
              <w:pStyle w:val="TSBodyText"/>
              <w:keepNext/>
              <w:keepLines/>
              <w:rPr>
                <w:szCs w:val="18"/>
              </w:rPr>
            </w:pPr>
            <w:r w:rsidRPr="00E04352">
              <w:t xml:space="preserve"> </w:t>
            </w:r>
            <w:r>
              <w:rPr>
                <w:szCs w:val="18"/>
              </w:rPr>
              <w:t>18</w:t>
            </w:r>
            <w:r w:rsidRPr="00E04352">
              <w:rPr>
                <w:szCs w:val="18"/>
              </w:rPr>
              <w:t xml:space="preserve">6,180 </w:t>
            </w:r>
          </w:p>
        </w:tc>
        <w:tc>
          <w:tcPr>
            <w:tcW w:w="850" w:type="dxa"/>
          </w:tcPr>
          <w:p w14:paraId="7F21437D" w14:textId="77777777" w:rsidR="002F5351" w:rsidRPr="00E04352" w:rsidRDefault="002F5351" w:rsidP="00E1673E">
            <w:pPr>
              <w:pStyle w:val="TSBodyText"/>
              <w:keepNext/>
              <w:keepLines/>
              <w:rPr>
                <w:szCs w:val="18"/>
              </w:rPr>
            </w:pPr>
            <w:r w:rsidRPr="00E04352">
              <w:t xml:space="preserve"> </w:t>
            </w:r>
            <w:r>
              <w:rPr>
                <w:szCs w:val="18"/>
              </w:rPr>
              <w:t>19</w:t>
            </w:r>
            <w:r w:rsidRPr="00E04352">
              <w:rPr>
                <w:szCs w:val="18"/>
              </w:rPr>
              <w:t xml:space="preserve">2,315 </w:t>
            </w:r>
          </w:p>
        </w:tc>
        <w:tc>
          <w:tcPr>
            <w:tcW w:w="850" w:type="dxa"/>
          </w:tcPr>
          <w:p w14:paraId="3A270307" w14:textId="77777777" w:rsidR="002F5351" w:rsidRPr="00204B9B" w:rsidRDefault="002F5351" w:rsidP="00E1673E">
            <w:pPr>
              <w:pStyle w:val="TSBodyText"/>
              <w:keepNext/>
              <w:keepLines/>
              <w:rPr>
                <w:szCs w:val="18"/>
              </w:rPr>
            </w:pPr>
            <w:r w:rsidRPr="00204B9B">
              <w:t>199,764</w:t>
            </w:r>
          </w:p>
        </w:tc>
        <w:tc>
          <w:tcPr>
            <w:tcW w:w="850" w:type="dxa"/>
          </w:tcPr>
          <w:p w14:paraId="05ABFDB0" w14:textId="77777777" w:rsidR="002F5351" w:rsidRPr="00204B9B" w:rsidRDefault="002F5351" w:rsidP="00E1673E">
            <w:pPr>
              <w:pStyle w:val="TSBodyText"/>
              <w:keepNext/>
              <w:keepLines/>
              <w:rPr>
                <w:szCs w:val="18"/>
              </w:rPr>
            </w:pPr>
            <w:r w:rsidRPr="00204B9B">
              <w:t>187,244</w:t>
            </w:r>
          </w:p>
        </w:tc>
        <w:tc>
          <w:tcPr>
            <w:tcW w:w="850" w:type="dxa"/>
          </w:tcPr>
          <w:p w14:paraId="322FE9C2" w14:textId="77777777" w:rsidR="002F5351" w:rsidRPr="00204B9B" w:rsidRDefault="002F5351" w:rsidP="00E1673E">
            <w:pPr>
              <w:pStyle w:val="TSBodyText"/>
              <w:keepNext/>
              <w:keepLines/>
              <w:rPr>
                <w:szCs w:val="18"/>
              </w:rPr>
            </w:pPr>
            <w:r w:rsidRPr="00204B9B">
              <w:t>182,278</w:t>
            </w:r>
          </w:p>
        </w:tc>
        <w:tc>
          <w:tcPr>
            <w:tcW w:w="850" w:type="dxa"/>
          </w:tcPr>
          <w:p w14:paraId="73278061" w14:textId="77777777" w:rsidR="002F5351" w:rsidRPr="00204B9B" w:rsidRDefault="002F5351" w:rsidP="00E1673E">
            <w:pPr>
              <w:pStyle w:val="TSBodyText"/>
              <w:keepNext/>
              <w:keepLines/>
              <w:rPr>
                <w:szCs w:val="18"/>
              </w:rPr>
            </w:pPr>
            <w:r w:rsidRPr="00204B9B">
              <w:t>177,912</w:t>
            </w:r>
          </w:p>
        </w:tc>
        <w:tc>
          <w:tcPr>
            <w:tcW w:w="850" w:type="dxa"/>
          </w:tcPr>
          <w:p w14:paraId="4D74FF53" w14:textId="77777777" w:rsidR="002F5351" w:rsidRPr="00204B9B" w:rsidRDefault="002F5351" w:rsidP="00E1673E">
            <w:pPr>
              <w:pStyle w:val="TSBodyText"/>
              <w:keepNext/>
              <w:keepLines/>
              <w:rPr>
                <w:szCs w:val="18"/>
              </w:rPr>
            </w:pPr>
            <w:r w:rsidRPr="00204B9B">
              <w:t>151,709</w:t>
            </w:r>
          </w:p>
        </w:tc>
        <w:tc>
          <w:tcPr>
            <w:tcW w:w="850" w:type="dxa"/>
          </w:tcPr>
          <w:p w14:paraId="1C73F72F" w14:textId="77777777" w:rsidR="002F5351" w:rsidRPr="00204B9B" w:rsidRDefault="002F5351" w:rsidP="00E1673E">
            <w:pPr>
              <w:pStyle w:val="TSBodyText"/>
              <w:keepNext/>
              <w:keepLines/>
              <w:rPr>
                <w:szCs w:val="18"/>
              </w:rPr>
            </w:pPr>
            <w:r w:rsidRPr="00204B9B">
              <w:t>155,369</w:t>
            </w:r>
          </w:p>
        </w:tc>
      </w:tr>
      <w:tr w:rsidR="002F5351" w14:paraId="7C15AE29" w14:textId="77777777">
        <w:tc>
          <w:tcPr>
            <w:tcW w:w="1361" w:type="dxa"/>
          </w:tcPr>
          <w:p w14:paraId="1FBB6770" w14:textId="77777777" w:rsidR="002F5351" w:rsidRPr="00204B9B" w:rsidRDefault="002F5351" w:rsidP="00E1673E">
            <w:pPr>
              <w:pStyle w:val="TSBodyText"/>
              <w:keepNext/>
              <w:keepLines/>
              <w:rPr>
                <w:szCs w:val="18"/>
              </w:rPr>
            </w:pPr>
            <w:r w:rsidRPr="00204B9B">
              <w:t>Total</w:t>
            </w:r>
          </w:p>
        </w:tc>
        <w:tc>
          <w:tcPr>
            <w:tcW w:w="850" w:type="dxa"/>
          </w:tcPr>
          <w:p w14:paraId="737BE822" w14:textId="77777777" w:rsidR="002F5351" w:rsidRPr="005B6E6E" w:rsidRDefault="002F5351" w:rsidP="00E1673E">
            <w:pPr>
              <w:pStyle w:val="TSBodyText"/>
              <w:keepNext/>
              <w:keepLines/>
              <w:rPr>
                <w:szCs w:val="18"/>
              </w:rPr>
            </w:pPr>
            <w:r w:rsidRPr="005B6E6E">
              <w:t>213,071</w:t>
            </w:r>
          </w:p>
        </w:tc>
        <w:tc>
          <w:tcPr>
            <w:tcW w:w="850" w:type="dxa"/>
          </w:tcPr>
          <w:p w14:paraId="7385663F" w14:textId="77777777" w:rsidR="002F5351" w:rsidRPr="005B6E6E" w:rsidRDefault="002F5351" w:rsidP="00E1673E">
            <w:pPr>
              <w:pStyle w:val="TSBodyText"/>
              <w:keepNext/>
              <w:keepLines/>
              <w:rPr>
                <w:szCs w:val="18"/>
              </w:rPr>
            </w:pPr>
            <w:r w:rsidRPr="005B6E6E">
              <w:t>221,736</w:t>
            </w:r>
          </w:p>
        </w:tc>
        <w:tc>
          <w:tcPr>
            <w:tcW w:w="850" w:type="dxa"/>
          </w:tcPr>
          <w:p w14:paraId="5FB06F81" w14:textId="77777777" w:rsidR="002F5351" w:rsidRPr="00204B9B" w:rsidRDefault="002F5351" w:rsidP="00E1673E">
            <w:pPr>
              <w:pStyle w:val="TSBodyText"/>
              <w:keepNext/>
              <w:keepLines/>
              <w:rPr>
                <w:szCs w:val="18"/>
              </w:rPr>
            </w:pPr>
            <w:r w:rsidRPr="00204B9B">
              <w:t>229,029</w:t>
            </w:r>
          </w:p>
        </w:tc>
        <w:tc>
          <w:tcPr>
            <w:tcW w:w="850" w:type="dxa"/>
          </w:tcPr>
          <w:p w14:paraId="0EB28201" w14:textId="77777777" w:rsidR="002F5351" w:rsidRPr="00204B9B" w:rsidRDefault="002F5351" w:rsidP="00E1673E">
            <w:pPr>
              <w:pStyle w:val="TSBodyText"/>
              <w:keepNext/>
              <w:keepLines/>
              <w:rPr>
                <w:szCs w:val="18"/>
              </w:rPr>
            </w:pPr>
            <w:r w:rsidRPr="00204B9B">
              <w:t>216,092</w:t>
            </w:r>
          </w:p>
        </w:tc>
        <w:tc>
          <w:tcPr>
            <w:tcW w:w="850" w:type="dxa"/>
          </w:tcPr>
          <w:p w14:paraId="7132278B" w14:textId="77777777" w:rsidR="002F5351" w:rsidRPr="00204B9B" w:rsidRDefault="002F5351" w:rsidP="00E1673E">
            <w:pPr>
              <w:pStyle w:val="TSBodyText"/>
              <w:keepNext/>
              <w:keepLines/>
              <w:rPr>
                <w:szCs w:val="18"/>
              </w:rPr>
            </w:pPr>
            <w:r w:rsidRPr="00204B9B">
              <w:t>211,559</w:t>
            </w:r>
          </w:p>
        </w:tc>
        <w:tc>
          <w:tcPr>
            <w:tcW w:w="850" w:type="dxa"/>
          </w:tcPr>
          <w:p w14:paraId="2C23EEC4" w14:textId="77777777" w:rsidR="002F5351" w:rsidRPr="00204B9B" w:rsidRDefault="002F5351" w:rsidP="00E1673E">
            <w:pPr>
              <w:pStyle w:val="TSBodyText"/>
              <w:keepNext/>
              <w:keepLines/>
              <w:rPr>
                <w:szCs w:val="18"/>
              </w:rPr>
            </w:pPr>
            <w:r w:rsidRPr="00204B9B">
              <w:t>209,549</w:t>
            </w:r>
          </w:p>
        </w:tc>
        <w:tc>
          <w:tcPr>
            <w:tcW w:w="850" w:type="dxa"/>
          </w:tcPr>
          <w:p w14:paraId="798BA500" w14:textId="77777777" w:rsidR="002F5351" w:rsidRPr="00204B9B" w:rsidRDefault="002F5351" w:rsidP="00E1673E">
            <w:pPr>
              <w:pStyle w:val="TSBodyText"/>
              <w:keepNext/>
              <w:keepLines/>
              <w:rPr>
                <w:szCs w:val="18"/>
              </w:rPr>
            </w:pPr>
            <w:r w:rsidRPr="00204B9B">
              <w:t>178,102</w:t>
            </w:r>
          </w:p>
        </w:tc>
        <w:tc>
          <w:tcPr>
            <w:tcW w:w="850" w:type="dxa"/>
          </w:tcPr>
          <w:p w14:paraId="7D45DBFF" w14:textId="77777777" w:rsidR="002F5351" w:rsidRPr="00204B9B" w:rsidRDefault="002F5351" w:rsidP="00E1673E">
            <w:pPr>
              <w:pStyle w:val="TSBodyText"/>
              <w:keepNext/>
              <w:keepLines/>
              <w:rPr>
                <w:szCs w:val="18"/>
              </w:rPr>
            </w:pPr>
            <w:r w:rsidRPr="00204B9B">
              <w:t>183,657</w:t>
            </w:r>
          </w:p>
        </w:tc>
      </w:tr>
    </w:tbl>
    <w:p w14:paraId="66C743B8" w14:textId="77777777" w:rsidR="002F5351" w:rsidRDefault="002F5351" w:rsidP="002F5351">
      <w:pPr>
        <w:pStyle w:val="USSource"/>
      </w:pPr>
      <w:r>
        <w:t>Source: NZIER, Ministry of Justice data</w:t>
      </w:r>
    </w:p>
    <w:p w14:paraId="0605DBF8" w14:textId="54DA8EB0" w:rsidR="0068486E" w:rsidRDefault="0068486E" w:rsidP="0068486E">
      <w:pPr>
        <w:pStyle w:val="FigureCaption"/>
      </w:pPr>
      <w:bookmarkStart w:id="75" w:name="_Ref156228143"/>
      <w:bookmarkStart w:id="76" w:name="_Toc160633894"/>
      <w:r w:rsidRPr="00731CA6">
        <w:t>Figure </w:t>
      </w:r>
      <w:fldSimple w:instr=" SEQ Figure \* ARABIC ">
        <w:r w:rsidR="00AE166D">
          <w:rPr>
            <w:noProof/>
          </w:rPr>
          <w:t>6</w:t>
        </w:r>
      </w:fldSimple>
      <w:bookmarkEnd w:id="75"/>
      <w:r>
        <w:t xml:space="preserve"> Trends in charges for offences against the Family Violence Act 2018</w:t>
      </w:r>
      <w:bookmarkEnd w:id="76"/>
    </w:p>
    <w:p w14:paraId="29D45FAF" w14:textId="3E1C28B7" w:rsidR="0068486E" w:rsidRDefault="0068486E" w:rsidP="0068486E">
      <w:pPr>
        <w:pStyle w:val="CaptionSubheading"/>
      </w:pPr>
      <w:r>
        <w:t>Number of charges annually</w:t>
      </w:r>
    </w:p>
    <w:p w14:paraId="1FE7A8E8" w14:textId="19D111C0" w:rsidR="007D0650" w:rsidRDefault="0068486E" w:rsidP="002F5351">
      <w:pPr>
        <w:pStyle w:val="USBodyText"/>
      </w:pPr>
      <w:r>
        <w:rPr>
          <w:noProof/>
        </w:rPr>
        <w:drawing>
          <wp:inline distT="0" distB="0" distL="0" distR="0" wp14:anchorId="6782BB49" wp14:editId="6DF26FFE">
            <wp:extent cx="4145264" cy="2483709"/>
            <wp:effectExtent l="0" t="0" r="8255" b="0"/>
            <wp:docPr id="1808495410" name="Picture 1808495410" descr="The chart shows two lines representing family violence charges and other offences against the Family Violence Act 2018 from 2015 to 2022. Family violence charges are stable throughout the period at approximately 30,000 annually. Other charges show a slight increase at the start of the period from around 213,000 to 229,000 before a decrease to values between 150,000 and 155,000 in 2021 and 2022.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95410" name="Picture 1808495410" descr="The chart shows two lines representing family violence charges and other offences against the Family Violence Act 2018 from 2015 to 2022. Family violence charges are stable throughout the period at approximately 30,000 annually. Other charges show a slight increase at the start of the period from around 213,000 to 229,000 before a decrease to values between 150,000 and 155,000 in 2021 and 2022. ">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8965" cy="2485926"/>
                    </a:xfrm>
                    <a:prstGeom prst="rect">
                      <a:avLst/>
                    </a:prstGeom>
                    <a:noFill/>
                  </pic:spPr>
                </pic:pic>
              </a:graphicData>
            </a:graphic>
          </wp:inline>
        </w:drawing>
      </w:r>
    </w:p>
    <w:p w14:paraId="321D0756" w14:textId="3CF86BDC" w:rsidR="007D0650" w:rsidRDefault="007D0650" w:rsidP="002127B2">
      <w:pPr>
        <w:pStyle w:val="USSource"/>
      </w:pPr>
      <w:r>
        <w:t xml:space="preserve">Source: </w:t>
      </w:r>
      <w:r w:rsidRPr="007D0650">
        <w:t>NZIER, Ministry of Justice data</w:t>
      </w:r>
    </w:p>
    <w:p w14:paraId="057DC82F" w14:textId="77F2A789" w:rsidR="002F5351" w:rsidRDefault="002F5351" w:rsidP="002F5351">
      <w:pPr>
        <w:pStyle w:val="USBodyText"/>
      </w:pPr>
      <w:r>
        <w:t xml:space="preserve">The trend of decreasing </w:t>
      </w:r>
      <w:r w:rsidR="00CF0C8E">
        <w:t>total</w:t>
      </w:r>
      <w:r>
        <w:t xml:space="preserve"> </w:t>
      </w:r>
      <w:r w:rsidR="00152660">
        <w:t>charges for</w:t>
      </w:r>
      <w:r>
        <w:t xml:space="preserve"> offences under the Act during the </w:t>
      </w:r>
      <w:r w:rsidR="008F5872">
        <w:t>COVID-19</w:t>
      </w:r>
      <w:r>
        <w:t xml:space="preserve"> pandemic and restrictions of 2020 and 2021 is clear. What is not clear is whether 2022 continued to be affected by COVID-19-related issues that may underlie these reductions. Two years prior to the COVID-19 pandemic</w:t>
      </w:r>
      <w:r w:rsidR="006D2AD0">
        <w:t xml:space="preserve">, </w:t>
      </w:r>
      <w:r>
        <w:t xml:space="preserve">there were already decreasing </w:t>
      </w:r>
      <w:r w:rsidR="00152660">
        <w:t>charges</w:t>
      </w:r>
      <w:r>
        <w:t xml:space="preserve">, suggesting the 2022 figure could be part of a longer-term trend. </w:t>
      </w:r>
    </w:p>
    <w:p w14:paraId="45755A7D" w14:textId="094B3BC6" w:rsidR="002F5351" w:rsidRDefault="002F5351" w:rsidP="002F5351">
      <w:pPr>
        <w:pStyle w:val="USBodyText"/>
      </w:pPr>
      <w:r>
        <w:t>In terms of population prevalence, the 2022 figure indicates that based on a population of 5,127,400 in 2022,</w:t>
      </w:r>
      <w:r w:rsidRPr="00CD19C4">
        <w:rPr>
          <w:rStyle w:val="FootnoteReference"/>
        </w:rPr>
        <w:footnoteReference w:id="8"/>
      </w:r>
      <w:r>
        <w:t xml:space="preserve"> there was one charge for offences against the Family Violence Act in 2022 for every 28 people in New Zealand. </w:t>
      </w:r>
    </w:p>
    <w:p w14:paraId="421D35B7" w14:textId="05920880" w:rsidR="002F5351" w:rsidRDefault="002F5351" w:rsidP="002F5351">
      <w:pPr>
        <w:pStyle w:val="USBodyText"/>
      </w:pPr>
      <w:r>
        <w:t xml:space="preserve">What cannot be known is what proportion of actual family violence and other acts actually result in charges under the Act and whether and how this proportion </w:t>
      </w:r>
      <w:r w:rsidR="00187446">
        <w:t>might change</w:t>
      </w:r>
      <w:r>
        <w:t xml:space="preserve"> over time</w:t>
      </w:r>
      <w:r w:rsidR="00720FB2">
        <w:t xml:space="preserve">. </w:t>
      </w:r>
      <w:r w:rsidR="001566BB">
        <w:t>Reporting rates are generally considered to be low</w:t>
      </w:r>
      <w:r w:rsidR="00187446">
        <w:t xml:space="preserve"> due to</w:t>
      </w:r>
      <w:r w:rsidR="00B264F3">
        <w:t xml:space="preserve"> victims</w:t>
      </w:r>
      <w:r>
        <w:t xml:space="preserve"> fac</w:t>
      </w:r>
      <w:r w:rsidR="00187446">
        <w:t>ing</w:t>
      </w:r>
      <w:r>
        <w:t xml:space="preserve"> </w:t>
      </w:r>
      <w:r w:rsidR="00B264F3">
        <w:t xml:space="preserve">difficulties </w:t>
      </w:r>
      <w:r>
        <w:t>in coming forward</w:t>
      </w:r>
      <w:r w:rsidR="00B264F3">
        <w:t>,</w:t>
      </w:r>
      <w:r>
        <w:t xml:space="preserve"> and </w:t>
      </w:r>
      <w:r w:rsidR="0055165F">
        <w:t xml:space="preserve">the private nature of family harms poses challenges for </w:t>
      </w:r>
      <w:r>
        <w:t>establishing a sufficient evidence base for charges to be laid. This means the prevalence of family harm is likely to always be subject to significant uncertainty.</w:t>
      </w:r>
    </w:p>
    <w:p w14:paraId="75A2922E" w14:textId="77777777" w:rsidR="002F5351" w:rsidRDefault="002F5351" w:rsidP="002127B2">
      <w:pPr>
        <w:pStyle w:val="Heading4"/>
      </w:pPr>
      <w:r>
        <w:lastRenderedPageBreak/>
        <w:t>Attribution of family harm to alcohol</w:t>
      </w:r>
    </w:p>
    <w:p w14:paraId="78CEF3B5" w14:textId="35D5B41C" w:rsidR="002F5351" w:rsidRDefault="002F5351" w:rsidP="002F5351">
      <w:pPr>
        <w:pStyle w:val="USBodyText"/>
      </w:pPr>
      <w:r>
        <w:t>Estimating the costs of family harm associated with alcohol adds another layer of analytical complexity to this socially complex problem. This is because there can be a long timeframe over which the full range of consequences of family violence may occur (</w:t>
      </w:r>
      <w:proofErr w:type="gramStart"/>
      <w:r>
        <w:t>e.g.</w:t>
      </w:r>
      <w:proofErr w:type="gramEnd"/>
      <w:r>
        <w:t xml:space="preserve"> poor educational outcomes, mental health impacts and </w:t>
      </w:r>
      <w:r w:rsidR="00A77A23">
        <w:t>future</w:t>
      </w:r>
      <w:r>
        <w:t xml:space="preserve"> productivity of children affected by family harms, etc.) and the paucity of evidence on the attribution of family harms to alcohol. This paucity of evidence should not be understood as a weak or non-existent relationship between alcohol and family harm. The relationship is well acknowledged and has been for decades. Numerous studies dating back to the 1970s have consistently identified that alcohol use plays a key role in family harm </w:t>
      </w:r>
      <w:r>
        <w:fldChar w:fldCharType="begin"/>
      </w:r>
      <w:r w:rsidR="00F244F6">
        <w:instrText xml:space="preserve"> ADDIN ZOTERO_ITEM CSL_CITATION {"citationID":"5Hicancq","properties":{"formattedCitation":"(Miller 1990)","plainCitation":"(Miller 1990)","noteIndex":0},"citationItems":[{"id":71372,"uris":["http://zotero.org/groups/4944822/items/5MCPZU5I"],"itemData":{"id":71372,"type":"chapter","container-title":"Drugs and Violence: Causes, Correlates, and Consequences","ISBN":"978-0-16-028556-1","language":"en","note":"Google-Books-ID: m28izl7T9swC","publisher":"U.S. Department of Health and Human Services, Public Health Service, Alcohol, Drug Abuse, and Mental Health Administration, National Institute on Drug Abuse","source":"Google Books","title":"The Interrelationships between alcohol and drugs and family violence","editor":[{"family":"Rosa","given":"Mario De","dropping-particle":"la"},{"family":"Lambert","given":"Elizabeth Y."},{"family":"Gropper","given":"Bernard A."}],"author":[{"family":"Miller","given":"Brenda A"}],"issued":{"date-parts":[["1990"]]}}}],"schema":"https://github.com/citation-style-language/schema/raw/master/csl-citation.json"} </w:instrText>
      </w:r>
      <w:r>
        <w:fldChar w:fldCharType="separate"/>
      </w:r>
      <w:r w:rsidRPr="00C45903">
        <w:rPr>
          <w:rFonts w:cs="Calibri"/>
        </w:rPr>
        <w:t>(Miller 1990)</w:t>
      </w:r>
      <w:r>
        <w:fldChar w:fldCharType="end"/>
      </w:r>
      <w:r>
        <w:t>.</w:t>
      </w:r>
    </w:p>
    <w:p w14:paraId="3668507B" w14:textId="076408DF" w:rsidR="002F5351" w:rsidRDefault="002F5351" w:rsidP="002F5351">
      <w:pPr>
        <w:pStyle w:val="USBodyText"/>
      </w:pPr>
      <w:r>
        <w:t>The paucity of evidence on exactly how much family harm is attributable to alcohol versus other factors is due to the relationship being multidimensional and complex, highly individual, and dynamic. Behaviours leading to family harm are influenced by a wide range of factors which may be unrelated to alcohol or maybe the short term, long term or even intergenerational consequences of alcohol consumption. The interaction between alcohol and other contributing factors may be a stronger driver than any individual factor (alcohol use combined with mental illness</w:t>
      </w:r>
      <w:r w:rsidR="002812D6">
        <w:t>,</w:t>
      </w:r>
      <w:r>
        <w:t xml:space="preserve"> for example</w:t>
      </w:r>
      <w:r w:rsidR="002812D6">
        <w:t>,</w:t>
      </w:r>
      <w:r>
        <w:t xml:space="preserve"> may increase the risk of family harm more than the individual risk increase associated with either alcohol or mental illness). </w:t>
      </w:r>
    </w:p>
    <w:p w14:paraId="5AE43D8C" w14:textId="23B503A4" w:rsidR="002F5351" w:rsidRDefault="002F5351" w:rsidP="002F5351">
      <w:pPr>
        <w:pStyle w:val="USBodyText"/>
      </w:pPr>
      <w:r>
        <w:t xml:space="preserve">Alcohol </w:t>
      </w:r>
      <w:r w:rsidR="0087483C">
        <w:t xml:space="preserve">consumption increases </w:t>
      </w:r>
      <w:r w:rsidR="002812D6">
        <w:t xml:space="preserve">the </w:t>
      </w:r>
      <w:r w:rsidR="0087483C">
        <w:t>risk of victimisation in IPV</w:t>
      </w:r>
      <w:r w:rsidR="00F27631">
        <w:t>, as it does with some other crimes</w:t>
      </w:r>
      <w:r w:rsidR="002812D6">
        <w:t xml:space="preserve">. </w:t>
      </w:r>
      <w:r>
        <w:t xml:space="preserve">According to </w:t>
      </w:r>
      <w:proofErr w:type="spellStart"/>
      <w:r>
        <w:t>Superu</w:t>
      </w:r>
      <w:proofErr w:type="spellEnd"/>
      <w:r>
        <w:t xml:space="preserve"> </w:t>
      </w:r>
      <w:r>
        <w:fldChar w:fldCharType="begin"/>
      </w:r>
      <w:r w:rsidR="00F244F6">
        <w:instrText xml:space="preserve"> ADDIN ZOTERO_ITEM CSL_CITATION {"citationID":"pc7JqEWB","properties":{"formattedCitation":"(2015)","plainCitation":"(2015)","noteIndex":0},"citationItems":[{"id":68843,"uris":["http://zotero.org/groups/4944822/items/U6F9DXUS"],"itemData":{"id":68843,"type":"report","collection-title":"What works","publisher":"Superu Social Policy and Evaluation Research Unit","title":"Reducing the impact of alcohol on family violence","URL":"https://thehub.swa.govt.nz/assets/Uploads/What-works-Alcohol-Violence.pdf","author":[{"family":"Superu","given":""}],"issued":{"date-parts":[["2015",4]]}},"suppress-author":true}],"schema":"https://github.com/citation-style-language/schema/raw/master/csl-citation.json"} </w:instrText>
      </w:r>
      <w:r>
        <w:fldChar w:fldCharType="separate"/>
      </w:r>
      <w:r w:rsidRPr="00C45903">
        <w:rPr>
          <w:rFonts w:cs="Calibri"/>
        </w:rPr>
        <w:t>(2015)</w:t>
      </w:r>
      <w:r>
        <w:fldChar w:fldCharType="end"/>
      </w:r>
      <w:r>
        <w:t>, r</w:t>
      </w:r>
      <w:r w:rsidRPr="00D46764">
        <w:t xml:space="preserve">esearch indicates that the risk of </w:t>
      </w:r>
      <w:r w:rsidR="007C0F63">
        <w:t xml:space="preserve">being involved in </w:t>
      </w:r>
      <w:r>
        <w:t>IPV</w:t>
      </w:r>
      <w:r w:rsidRPr="00D46764">
        <w:t>, either as a perpetrator or victim</w:t>
      </w:r>
      <w:r>
        <w:t>, increases</w:t>
      </w:r>
      <w:r w:rsidRPr="00D46764">
        <w:t xml:space="preserve"> with the amount of alcohol consumed.</w:t>
      </w:r>
      <w:r>
        <w:t xml:space="preserve"> This dynamic adds additional complexity to this significant social problem. The World Health Organi</w:t>
      </w:r>
      <w:r w:rsidR="00CF0C8E">
        <w:t>z</w:t>
      </w:r>
      <w:r>
        <w:t xml:space="preserve">ation identifies a self-reinforcing cycle in which alcohol misuse and interpersonal violence both act as catalysts for each other </w:t>
      </w:r>
      <w:r>
        <w:fldChar w:fldCharType="begin"/>
      </w:r>
      <w:r w:rsidR="00F244F6">
        <w:instrText xml:space="preserve"> ADDIN ZOTERO_ITEM CSL_CITATION {"citationID":"XTPXljqv","properties":{"formattedCitation":"(World Health Organization 2006)","plainCitation":"(World Health Organization 2006)","noteIndex":0},"citationItems":[{"id":71374,"uris":["http://zotero.org/groups/4944822/items/UJXFLB44"],"itemData":{"id":71374,"type":"report","title":"Policy Briefing – Interpersonal violence and alcohol","author":[{"family":"World Health Organization","given":""}],"issued":{"date-parts":[["2006"]]}}}],"schema":"https://github.com/citation-style-language/schema/raw/master/csl-citation.json"} </w:instrText>
      </w:r>
      <w:r>
        <w:fldChar w:fldCharType="separate"/>
      </w:r>
      <w:r w:rsidRPr="006B66CE">
        <w:rPr>
          <w:rFonts w:cs="Calibri"/>
        </w:rPr>
        <w:t>(World Health Organization 2006)</w:t>
      </w:r>
      <w:r>
        <w:fldChar w:fldCharType="end"/>
      </w:r>
      <w:r>
        <w:t>.</w:t>
      </w:r>
    </w:p>
    <w:p w14:paraId="5F6E1372" w14:textId="72597FFE" w:rsidR="002F5351" w:rsidRDefault="002F5351" w:rsidP="002F5351">
      <w:pPr>
        <w:pStyle w:val="USBodyText"/>
      </w:pPr>
      <w:r>
        <w:t>While family harm can involve a range of behaviours, in this section</w:t>
      </w:r>
      <w:r w:rsidR="002812D6">
        <w:t>,</w:t>
      </w:r>
      <w:r>
        <w:t xml:space="preserve"> we focus on two forms of family harm where causal attribution to alcohol has been estimated in recent New Zealand studies:</w:t>
      </w:r>
    </w:p>
    <w:p w14:paraId="1CECDD3A" w14:textId="77777777" w:rsidR="002F5351" w:rsidRDefault="002F5351" w:rsidP="002F5351">
      <w:pPr>
        <w:pStyle w:val="USBullet1"/>
      </w:pPr>
      <w:r>
        <w:t xml:space="preserve">intimate partner violence (IPV) </w:t>
      </w:r>
    </w:p>
    <w:p w14:paraId="45EFACB9" w14:textId="77777777" w:rsidR="002F5351" w:rsidRDefault="002F5351" w:rsidP="002F5351">
      <w:pPr>
        <w:pStyle w:val="USBullet1"/>
      </w:pPr>
      <w:r>
        <w:t>child abuse and neglect.</w:t>
      </w:r>
    </w:p>
    <w:p w14:paraId="2E1070FC" w14:textId="77777777" w:rsidR="00CD512D" w:rsidRDefault="00CD512D" w:rsidP="002127B2">
      <w:pPr>
        <w:pStyle w:val="Heading2"/>
      </w:pPr>
      <w:bookmarkStart w:id="77" w:name="_Ref156156624"/>
      <w:bookmarkStart w:id="78" w:name="_Toc160633842"/>
      <w:r>
        <w:t>Intimate partner violence</w:t>
      </w:r>
      <w:bookmarkEnd w:id="77"/>
      <w:bookmarkEnd w:id="78"/>
    </w:p>
    <w:p w14:paraId="47CB2D04" w14:textId="276D2745" w:rsidR="00CD512D" w:rsidRPr="00662B65" w:rsidRDefault="00CD512D" w:rsidP="00CD512D">
      <w:pPr>
        <w:pStyle w:val="USBodyText"/>
      </w:pPr>
      <w:r w:rsidRPr="00662B65">
        <w:t xml:space="preserve">According to the World </w:t>
      </w:r>
      <w:r w:rsidRPr="00D11506">
        <w:t xml:space="preserve">Health Organization </w:t>
      </w:r>
      <w:r w:rsidRPr="00D11506">
        <w:fldChar w:fldCharType="begin"/>
      </w:r>
      <w:r w:rsidR="00F244F6">
        <w:instrText xml:space="preserve"> ADDIN ZOTERO_ITEM CSL_CITATION {"citationID":"zcec1ikH","properties":{"formattedCitation":"(Krug et al. 2002)","plainCitation":"(Krug et al. 2002)","noteIndex":0},"citationItems":[{"id":71412,"uris":["http://zotero.org/groups/4944822/items/E686MVQM"],"itemData":{"id":71412,"type":"report","abstract":"The World report on violence and health is the first comprehensive review of the problem of violence on a global scale – what it is, whom it affects and what can be done about it.","language":"en","publisher":"World Health Organization","title":"World report on violence and health","URL":"https://www.who.int/publications-detail-redirect/9241545615","author":[{"family":"Krug","given":"Etienne G."},{"family":"Dahlberg","given":"Linda L."},{"family":"Mercy","given":"James A."},{"family":"Zwi","given":"Anthony B."},{"family":"Lozano","given":"R"}],"accessed":{"date-parts":[["2023",12,8]]},"issued":{"date-parts":[["2002"]]}}}],"schema":"https://github.com/citation-style-language/schema/raw/master/csl-citation.json"} </w:instrText>
      </w:r>
      <w:r w:rsidRPr="00D11506">
        <w:fldChar w:fldCharType="separate"/>
      </w:r>
      <w:r w:rsidRPr="00D11506">
        <w:rPr>
          <w:rFonts w:cs="Calibri"/>
        </w:rPr>
        <w:t>(Krug et al. 2002)</w:t>
      </w:r>
      <w:r w:rsidRPr="00D11506">
        <w:fldChar w:fldCharType="end"/>
      </w:r>
      <w:r w:rsidRPr="00D11506">
        <w:t>,</w:t>
      </w:r>
      <w:r w:rsidRPr="00662B65">
        <w:t xml:space="preserve"> </w:t>
      </w:r>
      <w:r>
        <w:t>IPV</w:t>
      </w:r>
      <w:r w:rsidRPr="00662B65">
        <w:t xml:space="preserve"> is any behaviour within an intimate relationship that causes physical, psychological or sexual harm to those in the relationship. This can include harms related to:</w:t>
      </w:r>
    </w:p>
    <w:p w14:paraId="588AD881" w14:textId="77777777" w:rsidR="00CD512D" w:rsidRPr="00607A22" w:rsidRDefault="00CD512D" w:rsidP="00CD512D">
      <w:pPr>
        <w:pStyle w:val="USBullet1"/>
      </w:pPr>
      <w:r>
        <w:t>p</w:t>
      </w:r>
      <w:r w:rsidRPr="00607A22">
        <w:t>hysical aggression</w:t>
      </w:r>
      <w:r>
        <w:t xml:space="preserve">, including hitting, slapping, kicking or </w:t>
      </w:r>
      <w:proofErr w:type="gramStart"/>
      <w:r>
        <w:t>beating</w:t>
      </w:r>
      <w:proofErr w:type="gramEnd"/>
    </w:p>
    <w:p w14:paraId="61A0B5D6" w14:textId="21885324" w:rsidR="00CD512D" w:rsidRPr="00607A22" w:rsidRDefault="00CD512D" w:rsidP="00CD512D">
      <w:pPr>
        <w:pStyle w:val="USBullet1"/>
      </w:pPr>
      <w:r>
        <w:t>p</w:t>
      </w:r>
      <w:r w:rsidRPr="00607A22">
        <w:t>sychological abuse</w:t>
      </w:r>
      <w:r w:rsidR="002812D6">
        <w:t xml:space="preserve">, </w:t>
      </w:r>
      <w:r w:rsidRPr="00607A22">
        <w:t>such as intimidation, constant belittling and humilia</w:t>
      </w:r>
      <w:r>
        <w:t>tion</w:t>
      </w:r>
    </w:p>
    <w:p w14:paraId="6D6CBEF0" w14:textId="77777777" w:rsidR="00CD512D" w:rsidRPr="00607A22" w:rsidRDefault="00CD512D" w:rsidP="00CD512D">
      <w:pPr>
        <w:pStyle w:val="USBullet1"/>
      </w:pPr>
      <w:r>
        <w:t>f</w:t>
      </w:r>
      <w:r w:rsidRPr="00607A22">
        <w:t xml:space="preserve">orced intercourse </w:t>
      </w:r>
      <w:r>
        <w:t>or</w:t>
      </w:r>
      <w:r w:rsidRPr="00607A22">
        <w:t xml:space="preserve"> other forms of sexual </w:t>
      </w:r>
      <w:proofErr w:type="gramStart"/>
      <w:r w:rsidRPr="00607A22">
        <w:t>coercion</w:t>
      </w:r>
      <w:proofErr w:type="gramEnd"/>
    </w:p>
    <w:p w14:paraId="7FE5E21D" w14:textId="77777777" w:rsidR="00CD512D" w:rsidRDefault="00CD512D" w:rsidP="00CD512D">
      <w:pPr>
        <w:pStyle w:val="USBullet1"/>
      </w:pPr>
      <w:r>
        <w:t>c</w:t>
      </w:r>
      <w:r w:rsidRPr="00607A22">
        <w:t xml:space="preserve">ontrolling behaviours such as isolating a person from family and friends, monitoring their movements, </w:t>
      </w:r>
      <w:r>
        <w:t>or</w:t>
      </w:r>
      <w:r w:rsidRPr="00607A22">
        <w:t xml:space="preserve"> restricting access to information or </w:t>
      </w:r>
      <w:r>
        <w:t>services</w:t>
      </w:r>
      <w:r w:rsidRPr="00607A22">
        <w:t>.</w:t>
      </w:r>
    </w:p>
    <w:p w14:paraId="31206627" w14:textId="7FDBA09E" w:rsidR="00CD512D" w:rsidRDefault="00CD512D" w:rsidP="00CD512D">
      <w:pPr>
        <w:pStyle w:val="USBodyText"/>
      </w:pPr>
      <w:r>
        <w:t xml:space="preserve">According to a 2010 New Zealand report </w:t>
      </w:r>
      <w:r w:rsidRPr="00D11506">
        <w:fldChar w:fldCharType="begin"/>
      </w:r>
      <w:r w:rsidR="00F244F6">
        <w:instrText xml:space="preserve"> ADDIN ZOTERO_ITEM CSL_CITATION {"citationID":"fEsFPSpM","properties":{"formattedCitation":"(Fanslow et al. 2010)","plainCitation":"(Fanslow et al. 2010)","noteIndex":0},"citationItems":[{"id":71414,"uris":["http://zotero.org/groups/4944822/items/2XKFCEXU"],"itemData":{"id":71414,"type":"article-journal","abstract":"This study documents the prevalence of intimate partner violence (IPV) for four ethnic groups and explores ethnic-specific differences and similarities in women's attitudes. Data are from a cross-sectional survey of 2,674 ever-partnered women aged 18 to 64 years. High rates of IPV among all ethnic groups reinforce the need to retain and expand current prevention and intervention efforts. Violence was not regarded as normative for any ethnic group. All women, but Pacific and Asian women in particular, would benefit from interventions that reinforce women's acceptance of seeking and utilizing outside intervention in cases of partner maltreatment.","container-title":"Violence Against Women","DOI":"10.1177/1077801210373710","ISSN":"1552-8448","issue":"7","journalAbbreviation":"Violence Against Women","language":"eng","note":"PMID: 20558771","page":"812-831","source":"PubMed","title":"Juxtaposing beliefs and reality: prevalence rates of intimate partner violence and attitudes to violence and gender roles reported by New Zealand women","title-short":"Juxtaposing beliefs and reality","volume":"16","author":[{"family":"Fanslow","given":"Janet"},{"family":"Robinson","given":"Elizabeth"},{"family":"Crengle","given":"Sue"},{"family":"Perese","given":"Lana"}],"issued":{"date-parts":[["2010",7]]}}}],"schema":"https://github.com/citation-style-language/schema/raw/master/csl-citation.json"} </w:instrText>
      </w:r>
      <w:r w:rsidRPr="00D11506">
        <w:fldChar w:fldCharType="separate"/>
      </w:r>
      <w:r w:rsidRPr="00D11506">
        <w:rPr>
          <w:rFonts w:cs="Calibri"/>
        </w:rPr>
        <w:t>(</w:t>
      </w:r>
      <w:proofErr w:type="spellStart"/>
      <w:r w:rsidRPr="00D11506">
        <w:rPr>
          <w:rFonts w:cs="Calibri"/>
        </w:rPr>
        <w:t>Fanslow</w:t>
      </w:r>
      <w:proofErr w:type="spellEnd"/>
      <w:r w:rsidRPr="00D11506">
        <w:rPr>
          <w:rFonts w:cs="Calibri"/>
        </w:rPr>
        <w:t xml:space="preserve"> et al. 2010)</w:t>
      </w:r>
      <w:r w:rsidRPr="00D11506">
        <w:fldChar w:fldCharType="end"/>
      </w:r>
      <w:r w:rsidRPr="00D11506">
        <w:t>,</w:t>
      </w:r>
      <w:r>
        <w:t xml:space="preserve"> </w:t>
      </w:r>
      <w:r w:rsidR="002812D6">
        <w:t xml:space="preserve">the </w:t>
      </w:r>
      <w:r>
        <w:t>l</w:t>
      </w:r>
      <w:r w:rsidRPr="00F37569">
        <w:t>ifetime prevalence of physical and/or sexual IPV among Māori women (57.6</w:t>
      </w:r>
      <w:r>
        <w:t xml:space="preserve"> percent</w:t>
      </w:r>
      <w:r w:rsidRPr="00F37569">
        <w:t>) was significantly higher than that of Pacific women (32.4</w:t>
      </w:r>
      <w:r>
        <w:t xml:space="preserve"> percent</w:t>
      </w:r>
      <w:r w:rsidRPr="00F37569">
        <w:t>) and European/Other women (34.3</w:t>
      </w:r>
      <w:r>
        <w:t xml:space="preserve"> percent</w:t>
      </w:r>
      <w:r w:rsidRPr="00F37569">
        <w:t xml:space="preserve">). </w:t>
      </w:r>
      <w:r>
        <w:t xml:space="preserve">In </w:t>
      </w:r>
      <w:r>
        <w:lastRenderedPageBreak/>
        <w:t>contrast, A</w:t>
      </w:r>
      <w:r w:rsidRPr="00F37569">
        <w:t xml:space="preserve">sian women reported </w:t>
      </w:r>
      <w:r w:rsidR="002812D6">
        <w:t xml:space="preserve">a </w:t>
      </w:r>
      <w:r w:rsidRPr="00F37569">
        <w:t>significantly lower lifetime prevalence of IPV (11.5</w:t>
      </w:r>
      <w:r>
        <w:t xml:space="preserve"> percent</w:t>
      </w:r>
      <w:r w:rsidRPr="00F37569">
        <w:t>) compared with women of European</w:t>
      </w:r>
      <w:r>
        <w:t>/</w:t>
      </w:r>
      <w:proofErr w:type="gramStart"/>
      <w:r w:rsidRPr="00F37569">
        <w:t>Other</w:t>
      </w:r>
      <w:proofErr w:type="gramEnd"/>
      <w:r w:rsidRPr="00F37569">
        <w:t xml:space="preserve"> ethni</w:t>
      </w:r>
      <w:r>
        <w:t xml:space="preserve">city. </w:t>
      </w:r>
    </w:p>
    <w:p w14:paraId="42FBA422" w14:textId="09A898D3" w:rsidR="00CD512D" w:rsidRDefault="00CD512D" w:rsidP="00CD512D">
      <w:pPr>
        <w:pStyle w:val="USBodyText"/>
      </w:pPr>
      <w:r w:rsidRPr="00A84A99">
        <w:t>Alcohol has been identified by many studies as a major risk factor for IPV</w:t>
      </w:r>
      <w:r>
        <w:t xml:space="preserve"> </w:t>
      </w:r>
      <w:r>
        <w:fldChar w:fldCharType="begin"/>
      </w:r>
      <w:r w:rsidR="00F244F6">
        <w:instrText xml:space="preserve"> ADDIN ZOTERO_ITEM CSL_CITATION {"citationID":"zyyB3IcT","properties":{"formattedCitation":"(Devries et al. 2014)","plainCitation":"(Devries et al. 2014)","noteIndex":0},"citationItems":[{"id":68477,"uris":["http://zotero.org/groups/4944822/items/6S24M65D"],"itemData":{"id":68477,"type":"article-journal","abstract":"AIMS: To examine the evidence of association between intimate partner physical or sexual violence (IPV) victimization and alcohol consumption in women.\nMETHODS: We conducted a systematic review and meta-analysis of cross-sectional and longitudinal studies released before 6 June 2013. Studies providing an estimate of association between violence and alcohol consumption or alcohol use disorders were eligible for inclusion. Quality was assessed and random effects meta-analyses used to generate pooled odds ratios (OR) where appropriate. Higgins I(2) where P&lt;0.10 was taken to indicate heterogeneity.\nRESULTS: Fifty-five studies providing 102 estimates of association met the inclusion criteria. Most estimates were not controlled for partner alcohol use and other key confounders. Seven longitudinal studies provided 12 estimates of the association between alcohol and subsequent IPV; nine of 12 estimates showed a direction of increased odds of subsequent IPV, pooled OR=1.27 [95% confidence interval (CI)=1.07-1.52], I(2) =0%, P=0.437. Nine longitudinal studies provided 15 estimates of association between IPV and subsequent alcohol use; 14 of 15 estimates showed a direction of increased odds of subsequent alcohol use, pooled OR=1.25 (95% CI 1.02-1.52), I(2)=0%, P=0.751. Cross-sectional studies showed an association between IPV and alcohol use, pooled OR=1.80, 95% CI 1.58-2.06, but with substantial heterogeneity, I(2)=60.8%, P&lt;0.0001. Definition of alcohol use partly accounted for heterogeneity in cross-sectional estimates.\nCONCLUSIONS: There is a clear positive association between alcohol use and intimate partner physical or sexual violence victimization among women, suggesting a need for programming and research that addresses this link. However, the temporal direction of the association remains unclear. Longitudinal studies with multiple waves of data collection are needed.","container-title":"Addiction (Abingdon, England)","DOI":"10.1111/add.12393","ISSN":"1360-0443","issue":"3","journalAbbreviation":"Addiction","language":"eng","note":"PMID: 24329907","page":"379-391","source":"PubMed","title":"Intimate partner violence victimization and alcohol consumption in women: a systematic review and meta-analysis","title-short":"Intimate partner violence victimization and alcohol consumption in women","volume":"109","author":[{"family":"Devries","given":"Karen M."},{"family":"Child","given":"Jennifer C."},{"family":"Bacchus","given":"Loraine J."},{"family":"Mak","given":"Joelle"},{"family":"Falder","given":"Gail"},{"family":"Graham","given":"Kathryn"},{"family":"Watts","given":"Charlotte"},{"family":"Heise","given":"Lori"}],"issued":{"date-parts":[["2014",3]]}}}],"schema":"https://github.com/citation-style-language/schema/raw/master/csl-citation.json"} </w:instrText>
      </w:r>
      <w:r>
        <w:fldChar w:fldCharType="separate"/>
      </w:r>
      <w:r w:rsidRPr="006648DC">
        <w:rPr>
          <w:rFonts w:cs="Calibri"/>
        </w:rPr>
        <w:t>(Devries et al. 2014)</w:t>
      </w:r>
      <w:r>
        <w:fldChar w:fldCharType="end"/>
      </w:r>
      <w:r>
        <w:t xml:space="preserve">. According to a </w:t>
      </w:r>
      <w:proofErr w:type="spellStart"/>
      <w:r>
        <w:t>Superu</w:t>
      </w:r>
      <w:proofErr w:type="spellEnd"/>
      <w:r>
        <w:t xml:space="preserve"> report (2015), the published research is generally consistent in showing:</w:t>
      </w:r>
    </w:p>
    <w:p w14:paraId="4AD48E82" w14:textId="77777777" w:rsidR="00CD512D" w:rsidRDefault="00CD512D" w:rsidP="00CD512D">
      <w:pPr>
        <w:pStyle w:val="USBullet1"/>
      </w:pPr>
      <w:r>
        <w:t>a small to moderate association between alcohol use and male-to-female IPV</w:t>
      </w:r>
    </w:p>
    <w:p w14:paraId="576BE91E" w14:textId="28ABE3CA" w:rsidR="00CD512D" w:rsidRDefault="00CD512D" w:rsidP="00CD512D">
      <w:pPr>
        <w:pStyle w:val="USBullet1"/>
      </w:pPr>
      <w:r>
        <w:t>a larger association between alcohol use and male-to-female IPV among men who are the heaviest users (</w:t>
      </w:r>
      <w:proofErr w:type="gramStart"/>
      <w:r w:rsidR="009D23C3">
        <w:t>e.g.</w:t>
      </w:r>
      <w:proofErr w:type="gramEnd"/>
      <w:r w:rsidR="009D23C3">
        <w:t xml:space="preserve"> </w:t>
      </w:r>
      <w:r>
        <w:t>those in treatment for alcohol use disorders)</w:t>
      </w:r>
    </w:p>
    <w:p w14:paraId="61DB0035" w14:textId="77777777" w:rsidR="00CD512D" w:rsidRDefault="00CD512D" w:rsidP="00CD512D">
      <w:pPr>
        <w:pStyle w:val="USBullet1"/>
      </w:pPr>
      <w:r>
        <w:t>a small association between alcohol use and female-to-male IPV.</w:t>
      </w:r>
    </w:p>
    <w:p w14:paraId="29A3E911" w14:textId="44F0F8A0" w:rsidR="00CD512D" w:rsidRDefault="00CD512D" w:rsidP="00CD512D">
      <w:pPr>
        <w:pStyle w:val="Heading3"/>
      </w:pPr>
      <w:r>
        <w:t xml:space="preserve">Attribution </w:t>
      </w:r>
      <w:r w:rsidR="00E4249D">
        <w:t xml:space="preserve">of IPV </w:t>
      </w:r>
      <w:r>
        <w:t>to alcohol</w:t>
      </w:r>
    </w:p>
    <w:p w14:paraId="1030F5AA" w14:textId="78216D58" w:rsidR="00CD512D" w:rsidRDefault="00CD512D" w:rsidP="00CD512D">
      <w:pPr>
        <w:pStyle w:val="USBodyText"/>
      </w:pPr>
      <w:r>
        <w:t xml:space="preserve">A key piece of evidence regarding the causal attribution of alcohol in IPV is provided by the Christchurch Longitudinal Study, which found that </w:t>
      </w:r>
      <w:r w:rsidRPr="00BF0A8D">
        <w:t xml:space="preserve">alcohol use disorder was responsible for around </w:t>
      </w:r>
      <w:r>
        <w:t>five to nine percent</w:t>
      </w:r>
      <w:r w:rsidRPr="00BF0A8D">
        <w:t xml:space="preserve"> of IPV perpetration</w:t>
      </w:r>
      <w:r>
        <w:t xml:space="preserve"> based on strong controls for a range of other potential observed and unobserved explanatory variables</w:t>
      </w:r>
      <w:r w:rsidRPr="008C288B">
        <w:t xml:space="preserve"> </w:t>
      </w:r>
      <w:r>
        <w:fldChar w:fldCharType="begin"/>
      </w:r>
      <w:r w:rsidR="00F244F6">
        <w:instrText xml:space="preserve"> ADDIN ZOTERO_ITEM CSL_CITATION {"citationID":"gecWeiJP","properties":{"formattedCitation":"(Boden, Fergusson, and Horwood 2013)","plainCitation":"(Boden, Fergusson, and Horwood 2013)","noteIndex":0},"citationItems":[{"id":66495,"uris":["http://zotero.org/groups/4944822/items/69ZNNTAN"],"itemData":{"id":66495,"type":"article-journal","abstract":"Background\nThis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fldChar w:fldCharType="separate"/>
      </w:r>
      <w:r w:rsidRPr="00E50CE6">
        <w:rPr>
          <w:rFonts w:cs="Calibri"/>
        </w:rPr>
        <w:t>(Boden, Fergusson, and Horwood 2013)</w:t>
      </w:r>
      <w:r>
        <w:fldChar w:fldCharType="end"/>
      </w:r>
      <w:r>
        <w:t xml:space="preserve">. </w:t>
      </w:r>
    </w:p>
    <w:p w14:paraId="414D2EFC" w14:textId="23FB9F69" w:rsidR="00CD512D" w:rsidRDefault="00E4249D" w:rsidP="00CD512D">
      <w:pPr>
        <w:pStyle w:val="Heading3"/>
      </w:pPr>
      <w:r>
        <w:t xml:space="preserve">Estimated </w:t>
      </w:r>
      <w:r w:rsidR="0027337F">
        <w:t>alcohol-</w:t>
      </w:r>
      <w:r w:rsidR="008E579B">
        <w:t xml:space="preserve">attributable </w:t>
      </w:r>
      <w:r>
        <w:t xml:space="preserve">cost of </w:t>
      </w:r>
      <w:proofErr w:type="gramStart"/>
      <w:r>
        <w:t>IPV</w:t>
      </w:r>
      <w:proofErr w:type="gramEnd"/>
    </w:p>
    <w:p w14:paraId="4910442D" w14:textId="007D5AEC" w:rsidR="00CD512D" w:rsidRDefault="00CD512D" w:rsidP="00CD512D">
      <w:pPr>
        <w:pStyle w:val="USBodyText"/>
      </w:pPr>
      <w:r>
        <w:t xml:space="preserve">Kahui and Snively </w:t>
      </w:r>
      <w:r>
        <w:fldChar w:fldCharType="begin"/>
      </w:r>
      <w:r w:rsidR="00F244F6">
        <w:instrText xml:space="preserve"> ADDIN ZOTERO_ITEM CSL_CITATION {"citationID":"QCCeMZBH","properties":{"formattedCitation":"(2014)","plainCitation":"(2014)","noteIndex":0},"citationItems":[{"id":68838,"uris":["http://zotero.org/groups/4944822/items/BA5XDPNJ"],"itemData":{"id":68838,"type":"report","event-place":"Wellington","publisher":"The Glenn Inquiry","publisher-place":"Wellington","title":"Measuring the economic costs of child abuse and intimate partner violence to New Zealand","URL":"http://ndhadeliver.natlib.govt.nz/delivery/DeliveryManagerServlet?dps_pid=IE25595234&amp;dps_custom_att_1=ilsdb","author":[{"family":"Kahui","given":"Sherilee"},{"family":"Snively","given":"Suzanne"}],"issued":{"date-parts":[["2014"]]}},"suppress-author":true}],"schema":"https://github.com/citation-style-language/schema/raw/master/csl-citation.json"} </w:instrText>
      </w:r>
      <w:r>
        <w:fldChar w:fldCharType="separate"/>
      </w:r>
      <w:r w:rsidRPr="00BF39AA">
        <w:rPr>
          <w:rFonts w:cs="Calibri"/>
        </w:rPr>
        <w:t>(2014)</w:t>
      </w:r>
      <w:r>
        <w:fldChar w:fldCharType="end"/>
      </w:r>
      <w:r>
        <w:t xml:space="preserve"> estimated the economic costs of </w:t>
      </w:r>
      <w:r w:rsidR="00522A2C">
        <w:t>IPV</w:t>
      </w:r>
      <w:r>
        <w:t xml:space="preserve"> in New Zealand in 2014, producing a conservative estimate of $2</w:t>
      </w:r>
      <w:r w:rsidR="00565662">
        <w:t>.508</w:t>
      </w:r>
      <w:r>
        <w:t xml:space="preserve"> </w:t>
      </w:r>
      <w:r w:rsidR="00565662">
        <w:t>b</w:t>
      </w:r>
      <w:r>
        <w:t xml:space="preserve">illion for females and $207.6 million for males, based on confrontational crime among partnered people in 2008 as measured by the New Zealand Crime and Safety Survey </w:t>
      </w:r>
      <w:r w:rsidRPr="004B3158">
        <w:t>(NZCASS)</w:t>
      </w:r>
      <w:r>
        <w:t xml:space="preserve"> and incorporating both short-term and lifetime costs (e.g. years of life lost) resulting from those crimes</w:t>
      </w:r>
      <w:r w:rsidRPr="004B3158">
        <w:t>.</w:t>
      </w:r>
      <w:r>
        <w:t xml:space="preserve"> Moderate and high-end scenarios produced estimate</w:t>
      </w:r>
      <w:r w:rsidR="0020627E">
        <w:t>d</w:t>
      </w:r>
      <w:r>
        <w:t xml:space="preserve"> ranges of $2.852 billion to</w:t>
      </w:r>
      <w:r w:rsidRPr="008C288B">
        <w:t xml:space="preserve"> $4</w:t>
      </w:r>
      <w:r>
        <w:t>.</w:t>
      </w:r>
      <w:r w:rsidRPr="008C288B">
        <w:t>825</w:t>
      </w:r>
      <w:r>
        <w:t xml:space="preserve"> billion for females and $212.2 million to $586.1 million for males.</w:t>
      </w:r>
    </w:p>
    <w:p w14:paraId="101448E5" w14:textId="5FC38F86" w:rsidR="00CD512D" w:rsidRDefault="00CD512D" w:rsidP="00CD512D">
      <w:pPr>
        <w:pStyle w:val="USBodyText"/>
      </w:pPr>
      <w:r>
        <w:t xml:space="preserve">The Kahui and Snively (2014) estimates were derived by applying population prevalence estimates </w:t>
      </w:r>
      <w:r w:rsidR="006B6C00">
        <w:t>(</w:t>
      </w:r>
      <w:r w:rsidR="009A7F54">
        <w:t xml:space="preserve">based on the </w:t>
      </w:r>
      <w:r w:rsidR="0077632B">
        <w:t xml:space="preserve">2009 </w:t>
      </w:r>
      <w:r w:rsidR="009A7F54">
        <w:t>New Zealand Crime and Safety Survey)</w:t>
      </w:r>
      <w:r>
        <w:t xml:space="preserve"> to the 2014 population. The estimated </w:t>
      </w:r>
      <w:r w:rsidR="007A6792">
        <w:t xml:space="preserve">annual </w:t>
      </w:r>
      <w:r>
        <w:t xml:space="preserve">prevalence of IPV was 2.7 percent </w:t>
      </w:r>
      <w:r w:rsidRPr="006A403A">
        <w:t xml:space="preserve">in the female population </w:t>
      </w:r>
      <w:r>
        <w:t>and 1.7 percent in the male population in the conservative scenario</w:t>
      </w:r>
      <w:r w:rsidR="0020627E">
        <w:t>,</w:t>
      </w:r>
      <w:r>
        <w:t xml:space="preserve"> which </w:t>
      </w:r>
      <w:r w:rsidRPr="00A126E5">
        <w:t>use</w:t>
      </w:r>
      <w:r>
        <w:t>d</w:t>
      </w:r>
      <w:r w:rsidRPr="00A126E5">
        <w:t xml:space="preserve"> rates of confrontational crime among partnered people for IPV in 2008 measured by the NZCASS</w:t>
      </w:r>
      <w:r>
        <w:t>. Based on the total cost of $2.</w:t>
      </w:r>
      <w:r w:rsidR="001464F8">
        <w:t>716</w:t>
      </w:r>
      <w:r>
        <w:t xml:space="preserve"> billion</w:t>
      </w:r>
      <w:r w:rsidR="001464F8">
        <w:t xml:space="preserve"> and </w:t>
      </w:r>
      <w:r w:rsidR="0020627E">
        <w:t>Stats NZ</w:t>
      </w:r>
      <w:r>
        <w:t xml:space="preserve"> population estimates</w:t>
      </w:r>
      <w:r w:rsidR="003E1CF0">
        <w:t xml:space="preserve"> for </w:t>
      </w:r>
      <w:r w:rsidR="001464F8">
        <w:t xml:space="preserve">males and females aged 15+ in </w:t>
      </w:r>
      <w:r w:rsidR="00C32D69">
        <w:t>2014</w:t>
      </w:r>
      <w:r>
        <w:t xml:space="preserve">, there were </w:t>
      </w:r>
      <w:r w:rsidR="0045795F">
        <w:t>78,482</w:t>
      </w:r>
      <w:r>
        <w:t xml:space="preserve"> cases of IPV</w:t>
      </w:r>
      <w:r w:rsidR="00011A68">
        <w:t>,</w:t>
      </w:r>
      <w:r>
        <w:t xml:space="preserve"> with each case costing an average of $3</w:t>
      </w:r>
      <w:r w:rsidR="00272BA8">
        <w:t>4,60</w:t>
      </w:r>
      <w:r w:rsidR="00CE37F6">
        <w:t>2</w:t>
      </w:r>
      <w:r>
        <w:t xml:space="preserve"> (2014 dollars). </w:t>
      </w:r>
    </w:p>
    <w:p w14:paraId="753D24CC" w14:textId="0CEDBE5C" w:rsidR="00CD512D" w:rsidRDefault="00011A68" w:rsidP="00CD512D">
      <w:pPr>
        <w:pStyle w:val="USBodyText"/>
      </w:pPr>
      <w:r>
        <w:t>Without</w:t>
      </w:r>
      <w:r w:rsidR="00CD512D">
        <w:t xml:space="preserve"> new evidence from which to estimate the costs associated with IPV, we apply the </w:t>
      </w:r>
      <w:r w:rsidR="00CD512D">
        <w:fldChar w:fldCharType="begin"/>
      </w:r>
      <w:r w:rsidR="00F244F6">
        <w:instrText xml:space="preserve"> ADDIN ZOTERO_ITEM CSL_CITATION {"citationID":"YSDcMWaW","properties":{"formattedCitation":"(Boden, Fergusson, and Horwood 2012)","plainCitation":"(Boden, Fergusson, and Horwood 2012)","dontUpdate":true,"noteIndex":0},"citationItems":[{"id":"5TmlEWeQ/neEmoIsb","uris":["http://zotero.org/groups/4944822/items/Y8MXSH66"],"itemData":{"id":68625,"type":"article-journal","abstract":"BACKGROUND: This study examined the associations between measures of alcohol abuse/dependence (AAD) and violent offending and intimate partner violence (IPV) to age 30 in a New Zealand birth cohort.\nMETHODS: Outcomes included: measures of violent offending, violence victimization, and physical IPV perpetration and victimization.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 Those with five or more AAD symptoms had unadjusted rates of violence outcomes that ranged from 4.10 to 11.85 times higher than those with no symptoms, but these associations did not differ by gender. Adjustment of the associations for both unobserved fixed effects and time-dynamic covariate factors reduced the magnitude of the associations for violent offending, violence victimization and IPV perpetration, with those with five or more AAD symptoms having rates of violence outcomes that were 1.91-3.58 times higher than those with no symptoms. However, control for both fixed effects and time-dynamic covariate factors reduced the associations between AAD symptoms and physical IPV victimization to statistical non-significance (IRR=0.73, 95% CI: 0.51-1.06).\nCONCLUSIONS: The results suggest a causal association between alcohol misuse and violent offending/victimization and IPV perpetration, with estimates suggesting that alcohol use disorder accounted for approximately 4.6-9.3% of the reported violent offending/victimization and IPV perpetration in the cohort.","container-title":"Drug and Alcohol Dependence","DOI":"10.1016/j.drugalcdep.2011.09.023","ISSN":"1879-0046","issue":"1-2","journalAbbreviation":"Drug Alcohol Depend","language":"eng","note":"PMID: 22015176","page":"135-141","source":"PubMed","title":"Alcohol misuse and violent behavior: findings from a 30-year longitudinal study","title-short":"Alcohol misuse and violent behavior","volume":"122","author":[{"family":"Boden","given":"Joseph M."},{"family":"Fergusson","given":"David M."},{"family":"Horwood","given":"L. John"}],"issued":{"date-parts":[["2012",4,1]]}}}],"schema":"https://github.com/citation-style-language/schema/raw/master/csl-citation.json"} </w:instrText>
      </w:r>
      <w:r w:rsidR="00CD512D">
        <w:fldChar w:fldCharType="separate"/>
      </w:r>
      <w:r w:rsidR="00CD512D" w:rsidRPr="001E3391">
        <w:rPr>
          <w:rFonts w:cs="Calibri"/>
        </w:rPr>
        <w:t xml:space="preserve">Boden, Fergusson, and Horwood </w:t>
      </w:r>
      <w:r w:rsidR="00CD512D">
        <w:rPr>
          <w:rFonts w:cs="Calibri"/>
        </w:rPr>
        <w:t>(</w:t>
      </w:r>
      <w:r w:rsidR="00CD512D" w:rsidRPr="001E3391">
        <w:rPr>
          <w:rFonts w:cs="Calibri"/>
        </w:rPr>
        <w:t>2012)</w:t>
      </w:r>
      <w:r w:rsidR="00CD512D">
        <w:fldChar w:fldCharType="end"/>
      </w:r>
      <w:r w:rsidR="00CD512D">
        <w:t xml:space="preserve"> </w:t>
      </w:r>
      <w:r w:rsidR="0027337F">
        <w:t>alcohol-</w:t>
      </w:r>
      <w:r w:rsidR="00CD512D">
        <w:t>attributable fraction to the Kahui and Snively (2014) cost estimate with population growth adjustment and inflation adjustment to 2023 values. This results in an estimated total cost of IPV in 2023 of $</w:t>
      </w:r>
      <w:r w:rsidR="000F4212">
        <w:t>28</w:t>
      </w:r>
      <w:r w:rsidR="000668DE">
        <w:t>1</w:t>
      </w:r>
      <w:r w:rsidR="00CD512D">
        <w:t xml:space="preserve"> million (see </w:t>
      </w:r>
      <w:r w:rsidR="00CD512D">
        <w:fldChar w:fldCharType="begin"/>
      </w:r>
      <w:r w:rsidR="00CD512D">
        <w:instrText xml:space="preserve"> REF _Ref148976441 \h </w:instrText>
      </w:r>
      <w:r w:rsidR="00CD512D">
        <w:fldChar w:fldCharType="separate"/>
      </w:r>
      <w:r w:rsidR="00AE166D" w:rsidRPr="00731CA6">
        <w:t xml:space="preserve">Table </w:t>
      </w:r>
      <w:r w:rsidR="00AE166D">
        <w:rPr>
          <w:noProof/>
        </w:rPr>
        <w:t>13</w:t>
      </w:r>
      <w:r w:rsidR="00CD512D">
        <w:fldChar w:fldCharType="end"/>
      </w:r>
      <w:r w:rsidR="00CD512D">
        <w:t xml:space="preserve"> below).</w:t>
      </w:r>
    </w:p>
    <w:p w14:paraId="45B99B5F" w14:textId="45D19B3D" w:rsidR="00CD512D" w:rsidRPr="00731CA6" w:rsidRDefault="00CD512D" w:rsidP="00281F4C">
      <w:pPr>
        <w:pStyle w:val="TableCaption"/>
        <w:keepLines/>
      </w:pPr>
      <w:bookmarkStart w:id="79" w:name="_Ref148976441"/>
      <w:bookmarkStart w:id="80" w:name="_Toc160633920"/>
      <w:r w:rsidRPr="00731CA6">
        <w:lastRenderedPageBreak/>
        <w:t xml:space="preserve">Table </w:t>
      </w:r>
      <w:fldSimple w:instr=" SEQ Table \* ARABIC ">
        <w:r w:rsidR="00AE166D">
          <w:rPr>
            <w:noProof/>
          </w:rPr>
          <w:t>13</w:t>
        </w:r>
      </w:fldSimple>
      <w:bookmarkEnd w:id="79"/>
      <w:r w:rsidRPr="00731CA6">
        <w:t xml:space="preserve"> </w:t>
      </w:r>
      <w:r>
        <w:t xml:space="preserve">Estimated total societal cost of </w:t>
      </w:r>
      <w:proofErr w:type="gramStart"/>
      <w:r>
        <w:t>IPV</w:t>
      </w:r>
      <w:bookmarkEnd w:id="80"/>
      <w:proofErr w:type="gramEnd"/>
      <w:r>
        <w:t xml:space="preserve"> </w:t>
      </w:r>
    </w:p>
    <w:p w14:paraId="7C8A6FB0" w14:textId="58CB6220" w:rsidR="00CD512D" w:rsidRPr="00731CA6" w:rsidRDefault="00171950" w:rsidP="00281F4C">
      <w:pPr>
        <w:pStyle w:val="CaptionSubheading"/>
        <w:keepLines/>
      </w:pPr>
      <w:r>
        <w:t>2023</w:t>
      </w:r>
    </w:p>
    <w:tbl>
      <w:tblPr>
        <w:tblStyle w:val="TableDefault"/>
        <w:tblW w:w="8221" w:type="dxa"/>
        <w:tblLook w:val="0460" w:firstRow="1" w:lastRow="1" w:firstColumn="0" w:lastColumn="0" w:noHBand="0" w:noVBand="1"/>
      </w:tblPr>
      <w:tblGrid>
        <w:gridCol w:w="6519"/>
        <w:gridCol w:w="1702"/>
      </w:tblGrid>
      <w:tr w:rsidR="00CD512D" w:rsidRPr="0027337F" w14:paraId="6C60C256" w14:textId="77777777">
        <w:trPr>
          <w:cnfStyle w:val="100000000000" w:firstRow="1" w:lastRow="0" w:firstColumn="0" w:lastColumn="0" w:oddVBand="0" w:evenVBand="0" w:oddHBand="0" w:evenHBand="0" w:firstRowFirstColumn="0" w:firstRowLastColumn="0" w:lastRowFirstColumn="0" w:lastRowLastColumn="0"/>
        </w:trPr>
        <w:tc>
          <w:tcPr>
            <w:tcW w:w="3965" w:type="pct"/>
          </w:tcPr>
          <w:p w14:paraId="65EBAD85" w14:textId="77777777" w:rsidR="00CD512D" w:rsidRPr="0027337F" w:rsidRDefault="00CD512D" w:rsidP="00281F4C">
            <w:pPr>
              <w:pStyle w:val="TSTableHeadingWhite-TopRow"/>
            </w:pPr>
            <w:r w:rsidRPr="0027337F">
              <w:t>Parameter</w:t>
            </w:r>
          </w:p>
        </w:tc>
        <w:tc>
          <w:tcPr>
            <w:tcW w:w="1035" w:type="pct"/>
          </w:tcPr>
          <w:p w14:paraId="1D6CA774" w14:textId="77777777" w:rsidR="00CD512D" w:rsidRPr="0027337F" w:rsidRDefault="00CD512D" w:rsidP="00281F4C">
            <w:pPr>
              <w:pStyle w:val="TSTableHeadingWhite-TopRow"/>
            </w:pPr>
            <w:r w:rsidRPr="0027337F">
              <w:t>Value</w:t>
            </w:r>
          </w:p>
        </w:tc>
      </w:tr>
      <w:tr w:rsidR="00213C28" w:rsidRPr="00731CA6" w14:paraId="00A48339" w14:textId="77777777">
        <w:tc>
          <w:tcPr>
            <w:tcW w:w="3965" w:type="pct"/>
          </w:tcPr>
          <w:p w14:paraId="570C5C18" w14:textId="77777777" w:rsidR="00213C28" w:rsidRPr="0027337F" w:rsidRDefault="00213C28" w:rsidP="00281F4C">
            <w:pPr>
              <w:pStyle w:val="TSBodyText"/>
              <w:keepNext/>
              <w:keepLines/>
            </w:pPr>
            <w:r w:rsidRPr="0027337F">
              <w:t>Female prevalence of IPV</w:t>
            </w:r>
          </w:p>
        </w:tc>
        <w:tc>
          <w:tcPr>
            <w:tcW w:w="1035" w:type="pct"/>
          </w:tcPr>
          <w:p w14:paraId="1035F27E" w14:textId="24A26244" w:rsidR="00213C28" w:rsidRPr="0027337F" w:rsidRDefault="00213C28" w:rsidP="00281F4C">
            <w:pPr>
              <w:pStyle w:val="TSBodyText"/>
              <w:keepNext/>
              <w:keepLines/>
            </w:pPr>
            <w:r w:rsidRPr="0027337F">
              <w:t>2.70%</w:t>
            </w:r>
          </w:p>
        </w:tc>
      </w:tr>
      <w:tr w:rsidR="00213C28" w:rsidRPr="00731CA6" w14:paraId="6D5A5E0F" w14:textId="77777777">
        <w:trPr>
          <w:cnfStyle w:val="000000010000" w:firstRow="0" w:lastRow="0" w:firstColumn="0" w:lastColumn="0" w:oddVBand="0" w:evenVBand="0" w:oddHBand="0" w:evenHBand="1" w:firstRowFirstColumn="0" w:firstRowLastColumn="0" w:lastRowFirstColumn="0" w:lastRowLastColumn="0"/>
        </w:trPr>
        <w:tc>
          <w:tcPr>
            <w:tcW w:w="3965" w:type="pct"/>
          </w:tcPr>
          <w:p w14:paraId="424AE511" w14:textId="77777777" w:rsidR="00213C28" w:rsidRPr="0027337F" w:rsidRDefault="00213C28" w:rsidP="00281F4C">
            <w:pPr>
              <w:pStyle w:val="TSBodyText"/>
              <w:keepNext/>
              <w:keepLines/>
            </w:pPr>
            <w:r w:rsidRPr="0027337F">
              <w:t>Male prevalence of IPV</w:t>
            </w:r>
          </w:p>
        </w:tc>
        <w:tc>
          <w:tcPr>
            <w:tcW w:w="1035" w:type="pct"/>
          </w:tcPr>
          <w:p w14:paraId="4E42A254" w14:textId="20BB86D8" w:rsidR="00213C28" w:rsidRPr="0027337F" w:rsidRDefault="00213C28" w:rsidP="00281F4C">
            <w:pPr>
              <w:pStyle w:val="TSBodyText"/>
              <w:keepNext/>
              <w:keepLines/>
            </w:pPr>
            <w:r w:rsidRPr="0027337F">
              <w:t>1.70%</w:t>
            </w:r>
          </w:p>
        </w:tc>
      </w:tr>
      <w:tr w:rsidR="00213C28" w:rsidRPr="00731CA6" w14:paraId="73720C93" w14:textId="77777777">
        <w:tc>
          <w:tcPr>
            <w:tcW w:w="3965" w:type="pct"/>
          </w:tcPr>
          <w:p w14:paraId="3ED754B8" w14:textId="5AEE6E12" w:rsidR="00213C28" w:rsidRPr="0027337F" w:rsidRDefault="00213C28" w:rsidP="00281F4C">
            <w:pPr>
              <w:pStyle w:val="TSBodyText"/>
              <w:keepNext/>
              <w:keepLines/>
            </w:pPr>
            <w:r w:rsidRPr="0027337F">
              <w:t>Female population 2023 (aged 15</w:t>
            </w:r>
            <w:r w:rsidR="00011A68" w:rsidRPr="0027337F">
              <w:t>-</w:t>
            </w:r>
            <w:r w:rsidRPr="0027337F">
              <w:t>64)</w:t>
            </w:r>
          </w:p>
        </w:tc>
        <w:tc>
          <w:tcPr>
            <w:tcW w:w="1035" w:type="pct"/>
          </w:tcPr>
          <w:p w14:paraId="65D9E6A4" w14:textId="4D375672" w:rsidR="00213C28" w:rsidRPr="0027337F" w:rsidRDefault="00213C28" w:rsidP="00281F4C">
            <w:pPr>
              <w:pStyle w:val="TSBodyText"/>
              <w:keepNext/>
              <w:keepLines/>
            </w:pPr>
            <w:r w:rsidRPr="0027337F">
              <w:t>2,108,680</w:t>
            </w:r>
          </w:p>
        </w:tc>
      </w:tr>
      <w:tr w:rsidR="00213C28" w:rsidRPr="00731CA6" w14:paraId="544A5B11" w14:textId="77777777">
        <w:trPr>
          <w:cnfStyle w:val="000000010000" w:firstRow="0" w:lastRow="0" w:firstColumn="0" w:lastColumn="0" w:oddVBand="0" w:evenVBand="0" w:oddHBand="0" w:evenHBand="1" w:firstRowFirstColumn="0" w:firstRowLastColumn="0" w:lastRowFirstColumn="0" w:lastRowLastColumn="0"/>
        </w:trPr>
        <w:tc>
          <w:tcPr>
            <w:tcW w:w="3965" w:type="pct"/>
          </w:tcPr>
          <w:p w14:paraId="79594BED" w14:textId="424BCD9E" w:rsidR="00213C28" w:rsidRPr="0027337F" w:rsidRDefault="00213C28" w:rsidP="00281F4C">
            <w:pPr>
              <w:pStyle w:val="TSBodyText"/>
              <w:keepNext/>
              <w:keepLines/>
            </w:pPr>
            <w:r w:rsidRPr="0027337F">
              <w:t>Male population 2023 (aged 15</w:t>
            </w:r>
            <w:r w:rsidR="00011A68" w:rsidRPr="0027337F">
              <w:t>-</w:t>
            </w:r>
            <w:r w:rsidRPr="0027337F">
              <w:t>64)</w:t>
            </w:r>
          </w:p>
        </w:tc>
        <w:tc>
          <w:tcPr>
            <w:tcW w:w="1035" w:type="pct"/>
          </w:tcPr>
          <w:p w14:paraId="71C2ABEB" w14:textId="093EC0DC" w:rsidR="00213C28" w:rsidRPr="0027337F" w:rsidRDefault="00213C28" w:rsidP="00281F4C">
            <w:pPr>
              <w:pStyle w:val="TSBodyText"/>
              <w:keepNext/>
              <w:keepLines/>
            </w:pPr>
            <w:r w:rsidRPr="0027337F">
              <w:t>2,058,400</w:t>
            </w:r>
          </w:p>
        </w:tc>
      </w:tr>
      <w:tr w:rsidR="00213C28" w:rsidRPr="00731CA6" w14:paraId="0295FA88" w14:textId="77777777">
        <w:tc>
          <w:tcPr>
            <w:tcW w:w="3965" w:type="pct"/>
          </w:tcPr>
          <w:p w14:paraId="43948F64" w14:textId="77777777" w:rsidR="00213C28" w:rsidRPr="0027337F" w:rsidRDefault="00213C28" w:rsidP="00281F4C">
            <w:pPr>
              <w:pStyle w:val="TSBodyText"/>
              <w:keepNext/>
              <w:keepLines/>
            </w:pPr>
            <w:r w:rsidRPr="0027337F">
              <w:t>Total IPV cases</w:t>
            </w:r>
          </w:p>
        </w:tc>
        <w:tc>
          <w:tcPr>
            <w:tcW w:w="1035" w:type="pct"/>
          </w:tcPr>
          <w:p w14:paraId="354DBE9A" w14:textId="1A645F59" w:rsidR="00213C28" w:rsidRPr="0027337F" w:rsidRDefault="00213C28" w:rsidP="00281F4C">
            <w:pPr>
              <w:pStyle w:val="TSBodyText"/>
              <w:keepNext/>
              <w:keepLines/>
            </w:pPr>
            <w:r w:rsidRPr="0027337F">
              <w:t>91,927</w:t>
            </w:r>
          </w:p>
        </w:tc>
      </w:tr>
      <w:tr w:rsidR="00213C28" w:rsidRPr="00731CA6" w14:paraId="0D0F4FC8" w14:textId="77777777">
        <w:trPr>
          <w:cnfStyle w:val="000000010000" w:firstRow="0" w:lastRow="0" w:firstColumn="0" w:lastColumn="0" w:oddVBand="0" w:evenVBand="0" w:oddHBand="0" w:evenHBand="1" w:firstRowFirstColumn="0" w:firstRowLastColumn="0" w:lastRowFirstColumn="0" w:lastRowLastColumn="0"/>
        </w:trPr>
        <w:tc>
          <w:tcPr>
            <w:tcW w:w="3965" w:type="pct"/>
          </w:tcPr>
          <w:p w14:paraId="4EB8EC0D" w14:textId="77777777" w:rsidR="00213C28" w:rsidRPr="0027337F" w:rsidRDefault="00213C28" w:rsidP="00281F4C">
            <w:pPr>
              <w:pStyle w:val="TSBodyText"/>
              <w:keepNext/>
              <w:keepLines/>
            </w:pPr>
            <w:r w:rsidRPr="0027337F">
              <w:t>IPV cases attributable to alcohol (midpoint of 5-9%)</w:t>
            </w:r>
          </w:p>
        </w:tc>
        <w:tc>
          <w:tcPr>
            <w:tcW w:w="1035" w:type="pct"/>
          </w:tcPr>
          <w:p w14:paraId="274494DB" w14:textId="0555EDF6" w:rsidR="00213C28" w:rsidRPr="0027337F" w:rsidRDefault="00213C28" w:rsidP="00281F4C">
            <w:pPr>
              <w:pStyle w:val="TSBodyText"/>
              <w:keepNext/>
              <w:keepLines/>
            </w:pPr>
            <w:r w:rsidRPr="0027337F">
              <w:t>6,435</w:t>
            </w:r>
          </w:p>
        </w:tc>
      </w:tr>
      <w:tr w:rsidR="00213C28" w:rsidRPr="00731CA6" w14:paraId="4FC7E306" w14:textId="77777777">
        <w:tc>
          <w:tcPr>
            <w:tcW w:w="3965" w:type="pct"/>
          </w:tcPr>
          <w:p w14:paraId="1F74644E" w14:textId="77777777" w:rsidR="00213C28" w:rsidRPr="0027337F" w:rsidRDefault="00213C28" w:rsidP="00281F4C">
            <w:pPr>
              <w:pStyle w:val="TSBodyText"/>
              <w:keepNext/>
              <w:keepLines/>
            </w:pPr>
            <w:r w:rsidRPr="0027337F">
              <w:t>2014 cost per IPV case</w:t>
            </w:r>
          </w:p>
        </w:tc>
        <w:tc>
          <w:tcPr>
            <w:tcW w:w="1035" w:type="pct"/>
          </w:tcPr>
          <w:p w14:paraId="4F38C419" w14:textId="4A749B59" w:rsidR="00213C28" w:rsidRPr="0027337F" w:rsidRDefault="00213C28" w:rsidP="00281F4C">
            <w:pPr>
              <w:pStyle w:val="TSBodyText"/>
              <w:keepNext/>
              <w:keepLines/>
            </w:pPr>
            <w:r w:rsidRPr="0027337F">
              <w:t>$34,602</w:t>
            </w:r>
          </w:p>
        </w:tc>
      </w:tr>
      <w:tr w:rsidR="00213C28" w:rsidRPr="00731CA6" w14:paraId="40A10807" w14:textId="77777777">
        <w:trPr>
          <w:cnfStyle w:val="000000010000" w:firstRow="0" w:lastRow="0" w:firstColumn="0" w:lastColumn="0" w:oddVBand="0" w:evenVBand="0" w:oddHBand="0" w:evenHBand="1" w:firstRowFirstColumn="0" w:firstRowLastColumn="0" w:lastRowFirstColumn="0" w:lastRowLastColumn="0"/>
        </w:trPr>
        <w:tc>
          <w:tcPr>
            <w:tcW w:w="3965" w:type="pct"/>
          </w:tcPr>
          <w:p w14:paraId="425D4541" w14:textId="77777777" w:rsidR="00213C28" w:rsidRPr="0027337F" w:rsidRDefault="00213C28" w:rsidP="00281F4C">
            <w:pPr>
              <w:pStyle w:val="TSBodyText"/>
              <w:keepNext/>
              <w:keepLines/>
            </w:pPr>
            <w:r w:rsidRPr="0027337F">
              <w:t>2023 cost per IPV case</w:t>
            </w:r>
          </w:p>
        </w:tc>
        <w:tc>
          <w:tcPr>
            <w:tcW w:w="1035" w:type="pct"/>
          </w:tcPr>
          <w:p w14:paraId="0F36B3EB" w14:textId="08884317" w:rsidR="00213C28" w:rsidRPr="0027337F" w:rsidRDefault="00213C28" w:rsidP="00281F4C">
            <w:pPr>
              <w:pStyle w:val="TSBodyText"/>
              <w:keepNext/>
              <w:keepLines/>
            </w:pPr>
            <w:r w:rsidRPr="0027337F">
              <w:t>$43,598</w:t>
            </w:r>
          </w:p>
        </w:tc>
      </w:tr>
      <w:tr w:rsidR="00213C28" w:rsidRPr="00731CA6" w14:paraId="285B38EF" w14:textId="77777777">
        <w:trPr>
          <w:cnfStyle w:val="010000000000" w:firstRow="0" w:lastRow="1" w:firstColumn="0" w:lastColumn="0" w:oddVBand="0" w:evenVBand="0" w:oddHBand="0" w:evenHBand="0" w:firstRowFirstColumn="0" w:firstRowLastColumn="0" w:lastRowFirstColumn="0" w:lastRowLastColumn="0"/>
        </w:trPr>
        <w:tc>
          <w:tcPr>
            <w:tcW w:w="3965" w:type="pct"/>
          </w:tcPr>
          <w:p w14:paraId="7CBDBD38" w14:textId="5AF28E82" w:rsidR="00213C28" w:rsidRPr="0027337F" w:rsidRDefault="00213C28" w:rsidP="00281F4C">
            <w:pPr>
              <w:pStyle w:val="TSBodyText"/>
              <w:keepNext/>
              <w:keepLines/>
            </w:pPr>
            <w:r w:rsidRPr="0027337F">
              <w:t xml:space="preserve">2023 </w:t>
            </w:r>
            <w:r w:rsidR="002A6614" w:rsidRPr="0027337F">
              <w:t>alcohol</w:t>
            </w:r>
            <w:r w:rsidR="002A6614">
              <w:t>-</w:t>
            </w:r>
            <w:r w:rsidRPr="0027337F">
              <w:t>attributable cost of IPV</w:t>
            </w:r>
          </w:p>
        </w:tc>
        <w:tc>
          <w:tcPr>
            <w:tcW w:w="1035" w:type="pct"/>
          </w:tcPr>
          <w:p w14:paraId="161114E4" w14:textId="1F354677" w:rsidR="00213C28" w:rsidRPr="0027337F" w:rsidRDefault="00213C28" w:rsidP="00281F4C">
            <w:pPr>
              <w:pStyle w:val="TSBodyText"/>
              <w:keepNext/>
              <w:keepLines/>
            </w:pPr>
            <w:r w:rsidRPr="0027337F">
              <w:t>$280,549,604</w:t>
            </w:r>
          </w:p>
        </w:tc>
      </w:tr>
    </w:tbl>
    <w:p w14:paraId="5006C3D1" w14:textId="32808E9F" w:rsidR="00CD512D" w:rsidRDefault="00CD512D" w:rsidP="00281F4C">
      <w:pPr>
        <w:pStyle w:val="USSource"/>
        <w:keepNext/>
        <w:keepLines/>
        <w:spacing w:after="60"/>
      </w:pPr>
      <w:r>
        <w:t>*</w:t>
      </w:r>
      <w:r w:rsidRPr="00B536EB">
        <w:t xml:space="preserve"> The Kahui and Snively cost breakdown indicates that approximately </w:t>
      </w:r>
      <w:r>
        <w:t>51% of the total</w:t>
      </w:r>
      <w:r w:rsidRPr="00B536EB">
        <w:t xml:space="preserve"> cost is associated with pain, suffering and premature mortality. For this report, this cost is likely to have been captured in our estimates of the costs of DALYs associated with alcohol</w:t>
      </w:r>
      <w:r w:rsidR="0027337F">
        <w:t>-</w:t>
      </w:r>
      <w:r w:rsidRPr="00B536EB">
        <w:t>attributable morbid</w:t>
      </w:r>
      <w:r>
        <w:t>it</w:t>
      </w:r>
      <w:r w:rsidRPr="00B536EB">
        <w:t>y and mortality.</w:t>
      </w:r>
    </w:p>
    <w:p w14:paraId="2E9303F7" w14:textId="77777777" w:rsidR="00CD512D" w:rsidRDefault="00CD512D" w:rsidP="00CD512D">
      <w:pPr>
        <w:pStyle w:val="USSource"/>
        <w:rPr>
          <w:rFonts w:cs="Calibri"/>
        </w:rPr>
      </w:pPr>
      <w:r w:rsidRPr="00731CA6">
        <w:t xml:space="preserve">Source: </w:t>
      </w:r>
      <w:r>
        <w:t xml:space="preserve">NZIER, based on Kahui and Snively (2014), </w:t>
      </w:r>
      <w:r w:rsidRPr="00DD1020">
        <w:rPr>
          <w:rFonts w:cs="Calibri"/>
        </w:rPr>
        <w:t xml:space="preserve">Boden, Fergusson, and Horwood </w:t>
      </w:r>
      <w:r>
        <w:rPr>
          <w:rFonts w:cs="Calibri"/>
        </w:rPr>
        <w:t>(</w:t>
      </w:r>
      <w:r w:rsidRPr="00DD1020">
        <w:rPr>
          <w:rFonts w:cs="Calibri"/>
        </w:rPr>
        <w:t>2012</w:t>
      </w:r>
      <w:r>
        <w:rPr>
          <w:rFonts w:cs="Calibri"/>
        </w:rPr>
        <w:t>) and Statistics New Zealand population estimates and projections.</w:t>
      </w:r>
    </w:p>
    <w:p w14:paraId="590BE8CE" w14:textId="315A49D7" w:rsidR="00CD512D" w:rsidRDefault="00CD512D" w:rsidP="00CD512D">
      <w:pPr>
        <w:pStyle w:val="USBodyText"/>
      </w:pPr>
      <w:r>
        <w:t xml:space="preserve">It is important to note that </w:t>
      </w:r>
      <w:r>
        <w:fldChar w:fldCharType="begin"/>
      </w:r>
      <w:r w:rsidR="00F244F6">
        <w:instrText xml:space="preserve"> ADDIN ZOTERO_ITEM CSL_CITATION {"citationID":"REsxzN0W","properties":{"formattedCitation":"(Boden, Fergusson, and Horwood 2012)","plainCitation":"(Boden, Fergusson, and Horwood 2012)","dontUpdate":true,"noteIndex":0},"citationItems":[{"id":"5TmlEWeQ/neEmoIsb","uris":["http://zotero.org/groups/4944822/items/Y8MXSH66"],"itemData":{"id":68625,"type":"article-journal","abstract":"BACKGROUND: This study examined the associations between measures of alcohol abuse/dependence (AAD) and violent offending and intimate partner violence (IPV) to age 30 in a New Zealand birth cohort.\nMETHODS: Outcomes included: measures of violent offending, violence victimization, and physical IPV perpetration and victimization.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 Those with five or more AAD symptoms had unadjusted rates of violence outcomes that ranged from 4.10 to 11.85 times higher than those with no symptoms, but these associations did not differ by gender. Adjustment of the associations for both unobserved fixed effects and time-dynamic covariate factors reduced the magnitude of the associations for violent offending, violence victimization and IPV perpetration, with those with five or more AAD symptoms having rates of violence outcomes that were 1.91-3.58 times higher than those with no symptoms. However, control for both fixed effects and time-dynamic covariate factors reduced the associations between AAD symptoms and physical IPV victimization to statistical non-significance (IRR=0.73, 95% CI: 0.51-1.06).\nCONCLUSIONS: The results suggest a causal association between alcohol misuse and violent offending/victimization and IPV perpetration, with estimates suggesting that alcohol use disorder accounted for approximately 4.6-9.3% of the reported violent offending/victimization and IPV perpetration in the cohort.","container-title":"Drug and Alcohol Dependence","DOI":"10.1016/j.drugalcdep.2011.09.023","ISSN":"1879-0046","issue":"1-2","journalAbbreviation":"Drug Alcohol Depend","language":"eng","note":"PMID: 22015176","page":"135-141","source":"PubMed","title":"Alcohol misuse and violent behavior: findings from a 30-year longitudinal study","title-short":"Alcohol misuse and violent behavior","volume":"122","author":[{"family":"Boden","given":"Joseph M."},{"family":"Fergusson","given":"David M."},{"family":"Horwood","given":"L. John"}],"issued":{"date-parts":[["2012",4,1]]}}}],"schema":"https://github.com/citation-style-language/schema/raw/master/csl-citation.json"} </w:instrText>
      </w:r>
      <w:r>
        <w:fldChar w:fldCharType="separate"/>
      </w:r>
      <w:r w:rsidRPr="001E3391">
        <w:rPr>
          <w:rFonts w:cs="Calibri"/>
        </w:rPr>
        <w:t xml:space="preserve">Boden, Fergusson, and Horwood </w:t>
      </w:r>
      <w:r>
        <w:rPr>
          <w:rFonts w:cs="Calibri"/>
        </w:rPr>
        <w:t>(</w:t>
      </w:r>
      <w:r w:rsidRPr="001E3391">
        <w:rPr>
          <w:rFonts w:cs="Calibri"/>
        </w:rPr>
        <w:t>2012)</w:t>
      </w:r>
      <w:r>
        <w:fldChar w:fldCharType="end"/>
      </w:r>
      <w:r>
        <w:t xml:space="preserve"> estimate of alcohol attribution in IPV is based on alcohol use disorder only. I</w:t>
      </w:r>
      <w:r w:rsidRPr="00C95240">
        <w:t>ncidents of IPV may include many where alcohol was a causal factor without alcohol use disorder being present, so</w:t>
      </w:r>
      <w:r>
        <w:t xml:space="preserve"> cost estimates derived from this attributable fraction are</w:t>
      </w:r>
      <w:r w:rsidRPr="00C95240">
        <w:t xml:space="preserve"> likely to be an underestimate of the true </w:t>
      </w:r>
      <w:r>
        <w:t xml:space="preserve">cost of </w:t>
      </w:r>
      <w:proofErr w:type="gramStart"/>
      <w:r w:rsidR="0027337F">
        <w:t>alcohol-</w:t>
      </w:r>
      <w:r>
        <w:t>attributable</w:t>
      </w:r>
      <w:proofErr w:type="gramEnd"/>
      <w:r>
        <w:t xml:space="preserve"> IPV</w:t>
      </w:r>
      <w:r w:rsidRPr="00C95240">
        <w:t>.</w:t>
      </w:r>
      <w:r>
        <w:t xml:space="preserve"> However, according to a review of the evidence by</w:t>
      </w:r>
      <w:r w:rsidRPr="00470D60">
        <w:t xml:space="preserve"> </w:t>
      </w:r>
      <w:proofErr w:type="spellStart"/>
      <w:r w:rsidRPr="00470D60">
        <w:t>Superu</w:t>
      </w:r>
      <w:proofErr w:type="spellEnd"/>
      <w:r w:rsidRPr="00470D60">
        <w:t xml:space="preserve"> (</w:t>
      </w:r>
      <w:r w:rsidR="00E4249D" w:rsidRPr="00470D60">
        <w:t>April 2015</w:t>
      </w:r>
      <w:r w:rsidRPr="00470D60">
        <w:t>)</w:t>
      </w:r>
      <w:r w:rsidR="00011A68">
        <w:t>,</w:t>
      </w:r>
      <w:r w:rsidRPr="00470D60">
        <w:t xml:space="preserve"> the published research is generally consistent in showing that the association between alcohol use and male-to-female IPV is strongest among men who are in treatment for alcohol problems compared with those not in treatment.</w:t>
      </w:r>
    </w:p>
    <w:tbl>
      <w:tblPr>
        <w:tblStyle w:val="TableDefault"/>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220"/>
      </w:tblGrid>
      <w:tr w:rsidR="00342B05" w14:paraId="430ACA28" w14:textId="77777777" w:rsidTr="00953DAA">
        <w:trPr>
          <w:cnfStyle w:val="100000000000" w:firstRow="1" w:lastRow="0" w:firstColumn="0" w:lastColumn="0" w:oddVBand="0" w:evenVBand="0" w:oddHBand="0" w:evenHBand="0" w:firstRowFirstColumn="0" w:firstRowLastColumn="0" w:lastRowFirstColumn="0" w:lastRowLastColumn="0"/>
        </w:trPr>
        <w:tc>
          <w:tcPr>
            <w:tcW w:w="8220" w:type="dxa"/>
            <w:shd w:val="clear" w:color="auto" w:fill="C0EFFF"/>
          </w:tcPr>
          <w:p w14:paraId="5A96A7CD" w14:textId="77777777" w:rsidR="00342B05" w:rsidRPr="00342B05" w:rsidRDefault="00342B05" w:rsidP="00953DAA">
            <w:pPr>
              <w:pStyle w:val="Heading4"/>
              <w:spacing w:before="240" w:after="240"/>
              <w:ind w:left="0"/>
            </w:pPr>
            <w:r w:rsidRPr="00342B05">
              <w:t>Women’s Refuge</w:t>
            </w:r>
          </w:p>
          <w:p w14:paraId="60B041CE" w14:textId="188D8092" w:rsidR="00342B05" w:rsidRPr="00EC72B1" w:rsidRDefault="00342B05" w:rsidP="00953DAA">
            <w:pPr>
              <w:pStyle w:val="Heading4"/>
              <w:spacing w:before="120" w:after="120" w:line="240" w:lineRule="atLeast"/>
              <w:ind w:left="0"/>
              <w:rPr>
                <w:b w:val="0"/>
                <w:bCs/>
                <w:color w:val="auto"/>
                <w:sz w:val="22"/>
              </w:rPr>
            </w:pPr>
            <w:r w:rsidRPr="00EC72B1">
              <w:rPr>
                <w:b w:val="0"/>
                <w:bCs/>
                <w:color w:val="auto"/>
                <w:sz w:val="22"/>
              </w:rPr>
              <w:t xml:space="preserve">Women’s Refuge is New Zealand’s largest nationwide organisation supporting women and children experiencing family violence. According to the 2021/2022 annual report, the Women’s Refuge </w:t>
            </w:r>
            <w:r w:rsidRPr="00EC72B1">
              <w:rPr>
                <w:b w:val="0"/>
                <w:bCs/>
                <w:color w:val="auto"/>
                <w:sz w:val="22"/>
              </w:rPr>
              <w:fldChar w:fldCharType="begin"/>
            </w:r>
            <w:r w:rsidR="00F244F6">
              <w:rPr>
                <w:b w:val="0"/>
                <w:bCs/>
                <w:color w:val="auto"/>
                <w:sz w:val="22"/>
              </w:rPr>
              <w:instrText xml:space="preserve"> ADDIN ZOTERO_ITEM CSL_CITATION {"citationID":"J5Tkj5d5","properties":{"formattedCitation":"(2022)","plainCitation":"(2022)","noteIndex":0},"citationItems":[{"id":71399,"uris":["http://zotero.org/groups/4944822/items/HKQDTKLM"],"itemData":{"id":71399,"type":"report","title":"Annual report 2021-22","URL":"https://womensrefuge.org.nz/wp-content/uploads/2022/11/Annual-Report-2022-High-Res-1.pdf","author":[{"family":"Women's Refuge","given":""}],"accessed":{"date-parts":[["2023",12,7]]},"issued":{"date-parts":[["2022"]]}},"suppress-author":true}],"schema":"https://github.com/citation-style-language/schema/raw/master/csl-citation.json"} </w:instrText>
            </w:r>
            <w:r w:rsidRPr="00EC72B1">
              <w:rPr>
                <w:b w:val="0"/>
                <w:bCs/>
                <w:color w:val="auto"/>
                <w:sz w:val="22"/>
              </w:rPr>
              <w:fldChar w:fldCharType="separate"/>
            </w:r>
            <w:r w:rsidRPr="00EC72B1">
              <w:rPr>
                <w:b w:val="0"/>
                <w:bCs/>
                <w:color w:val="auto"/>
                <w:sz w:val="22"/>
              </w:rPr>
              <w:t>(2022)</w:t>
            </w:r>
            <w:r w:rsidRPr="00EC72B1">
              <w:rPr>
                <w:b w:val="0"/>
                <w:bCs/>
                <w:color w:val="auto"/>
                <w:sz w:val="22"/>
              </w:rPr>
              <w:fldChar w:fldCharType="end"/>
            </w:r>
            <w:r w:rsidRPr="00EC72B1">
              <w:rPr>
                <w:b w:val="0"/>
                <w:bCs/>
                <w:color w:val="auto"/>
                <w:sz w:val="22"/>
              </w:rPr>
              <w:t>:</w:t>
            </w:r>
          </w:p>
          <w:p w14:paraId="64D96FF9" w14:textId="77777777" w:rsidR="00342B05" w:rsidRPr="00FA3A30" w:rsidRDefault="00342B05" w:rsidP="00953DAA">
            <w:pPr>
              <w:pStyle w:val="TSBullet1"/>
              <w:spacing w:before="120" w:after="120" w:line="240" w:lineRule="atLeast"/>
              <w:rPr>
                <w:sz w:val="22"/>
              </w:rPr>
            </w:pPr>
            <w:r w:rsidRPr="00FA3A30">
              <w:rPr>
                <w:sz w:val="22"/>
              </w:rPr>
              <w:t xml:space="preserve">provided 59,000 safe nights in residential </w:t>
            </w:r>
            <w:proofErr w:type="gramStart"/>
            <w:r w:rsidRPr="00FA3A30">
              <w:rPr>
                <w:sz w:val="22"/>
              </w:rPr>
              <w:t>safehouses</w:t>
            </w:r>
            <w:proofErr w:type="gramEnd"/>
            <w:r w:rsidRPr="00FA3A30">
              <w:rPr>
                <w:sz w:val="22"/>
              </w:rPr>
              <w:t xml:space="preserve"> </w:t>
            </w:r>
          </w:p>
          <w:p w14:paraId="04A99221" w14:textId="77777777" w:rsidR="00342B05" w:rsidRPr="00FA3A30" w:rsidRDefault="00342B05" w:rsidP="00953DAA">
            <w:pPr>
              <w:pStyle w:val="TSBullet1"/>
              <w:spacing w:before="120" w:after="120" w:line="240" w:lineRule="atLeast"/>
              <w:rPr>
                <w:sz w:val="22"/>
              </w:rPr>
            </w:pPr>
            <w:r w:rsidRPr="00FA3A30">
              <w:rPr>
                <w:sz w:val="22"/>
              </w:rPr>
              <w:t xml:space="preserve">spent $36,835,000 to deliver services and fund refuges across New Zealand. </w:t>
            </w:r>
          </w:p>
          <w:p w14:paraId="317DD2BF" w14:textId="054128BE" w:rsidR="00342B05" w:rsidRPr="00FA3A30" w:rsidRDefault="00342B05" w:rsidP="00953DAA">
            <w:pPr>
              <w:pStyle w:val="Heading4"/>
              <w:spacing w:before="240" w:after="240" w:line="240" w:lineRule="atLeast"/>
              <w:ind w:left="0"/>
              <w:rPr>
                <w:b w:val="0"/>
                <w:bCs/>
                <w:color w:val="auto"/>
                <w:sz w:val="22"/>
              </w:rPr>
            </w:pPr>
            <w:r w:rsidRPr="00EC72B1">
              <w:rPr>
                <w:b w:val="0"/>
                <w:bCs/>
                <w:color w:val="auto"/>
                <w:sz w:val="22"/>
              </w:rPr>
              <w:t xml:space="preserve">Based on the Christchurch Longitudinal study’s estimate of </w:t>
            </w:r>
            <w:r w:rsidR="00DE1FA3">
              <w:rPr>
                <w:b w:val="0"/>
                <w:bCs/>
                <w:color w:val="auto"/>
                <w:sz w:val="22"/>
              </w:rPr>
              <w:t>5</w:t>
            </w:r>
            <w:r w:rsidR="00DE1FA3" w:rsidRPr="00EC72B1">
              <w:rPr>
                <w:b w:val="0"/>
                <w:bCs/>
                <w:color w:val="auto"/>
                <w:sz w:val="22"/>
              </w:rPr>
              <w:t xml:space="preserve"> </w:t>
            </w:r>
            <w:r w:rsidRPr="00EC72B1">
              <w:rPr>
                <w:b w:val="0"/>
                <w:bCs/>
                <w:color w:val="auto"/>
                <w:sz w:val="22"/>
              </w:rPr>
              <w:t xml:space="preserve">to </w:t>
            </w:r>
            <w:r w:rsidR="00DE1FA3">
              <w:rPr>
                <w:b w:val="0"/>
                <w:bCs/>
                <w:color w:val="auto"/>
                <w:sz w:val="22"/>
              </w:rPr>
              <w:t>9</w:t>
            </w:r>
            <w:r w:rsidR="00DE1FA3" w:rsidRPr="00EC72B1">
              <w:rPr>
                <w:b w:val="0"/>
                <w:bCs/>
                <w:color w:val="auto"/>
                <w:sz w:val="22"/>
              </w:rPr>
              <w:t xml:space="preserve"> </w:t>
            </w:r>
            <w:r w:rsidRPr="00EC72B1">
              <w:rPr>
                <w:b w:val="0"/>
                <w:bCs/>
                <w:color w:val="auto"/>
                <w:sz w:val="22"/>
              </w:rPr>
              <w:t>percent of IPV being attributable to alcohol, it means at least $1.8 million to $3.3 million in Women’s Refuge costs is potentially attributable to alcohol.</w:t>
            </w:r>
          </w:p>
        </w:tc>
      </w:tr>
    </w:tbl>
    <w:p w14:paraId="415AE600" w14:textId="77777777" w:rsidR="00B67833" w:rsidRDefault="00B67833" w:rsidP="00B67833">
      <w:pPr>
        <w:pStyle w:val="USBodyText"/>
      </w:pPr>
    </w:p>
    <w:p w14:paraId="679EE96D" w14:textId="2FC4B9E5" w:rsidR="00B67833" w:rsidRDefault="00B67833" w:rsidP="00B67833">
      <w:pPr>
        <w:pStyle w:val="Heading3"/>
      </w:pPr>
      <w:r>
        <w:t xml:space="preserve">Limitations of estimates of </w:t>
      </w:r>
      <w:r w:rsidR="002A6614">
        <w:t>alcohol-</w:t>
      </w:r>
      <w:r w:rsidR="00C519AE">
        <w:t xml:space="preserve">attributable costs of </w:t>
      </w:r>
      <w:r>
        <w:t>IPV</w:t>
      </w:r>
    </w:p>
    <w:p w14:paraId="566DDE1A" w14:textId="6CC11ED2" w:rsidR="00B67833" w:rsidRDefault="00B67833" w:rsidP="00B67833">
      <w:pPr>
        <w:pStyle w:val="USBodyText"/>
      </w:pPr>
      <w:r>
        <w:t xml:space="preserve">A single study identifying the fraction of </w:t>
      </w:r>
      <w:r w:rsidR="008E579B">
        <w:t xml:space="preserve">IPV </w:t>
      </w:r>
      <w:r>
        <w:t xml:space="preserve">attributable to </w:t>
      </w:r>
      <w:r w:rsidR="008E579B">
        <w:t>alcohol use disorder</w:t>
      </w:r>
      <w:r>
        <w:t xml:space="preserve"> informed the estimate presented above. This represents a promising but weak evidence base. </w:t>
      </w:r>
    </w:p>
    <w:p w14:paraId="4FEE6DAD" w14:textId="291C5ADD" w:rsidR="00B67833" w:rsidRDefault="00B67833" w:rsidP="00B67833">
      <w:pPr>
        <w:pStyle w:val="USBodyText"/>
      </w:pPr>
      <w:r>
        <w:lastRenderedPageBreak/>
        <w:t xml:space="preserve">Additionally, because that study restricted its consideration of </w:t>
      </w:r>
      <w:proofErr w:type="gramStart"/>
      <w:r w:rsidR="002A6614">
        <w:t>alcohol-</w:t>
      </w:r>
      <w:r>
        <w:t>attributable</w:t>
      </w:r>
      <w:proofErr w:type="gramEnd"/>
      <w:r>
        <w:t xml:space="preserve"> </w:t>
      </w:r>
      <w:r w:rsidR="008E579B">
        <w:t>IPV</w:t>
      </w:r>
      <w:r>
        <w:t xml:space="preserve"> to </w:t>
      </w:r>
      <w:r w:rsidR="008E579B">
        <w:t>alcohol use disorder</w:t>
      </w:r>
      <w:r>
        <w:t xml:space="preserve">, the fraction of </w:t>
      </w:r>
      <w:r w:rsidR="008E579B">
        <w:t>IPV cases</w:t>
      </w:r>
      <w:r>
        <w:t xml:space="preserve"> attributable to alcohol is likely to be an underestimate. It is likely that alcohol plays a causal role, alone or alongside other causal factors, in a higher fraction of </w:t>
      </w:r>
      <w:r w:rsidR="008E579B">
        <w:t>IPV</w:t>
      </w:r>
      <w:r>
        <w:t xml:space="preserve"> cases where the perpetrator</w:t>
      </w:r>
      <w:r w:rsidR="008E579B">
        <w:t xml:space="preserve"> and/or the victim</w:t>
      </w:r>
      <w:r>
        <w:t xml:space="preserve"> does not meet the criteria for </w:t>
      </w:r>
      <w:r w:rsidR="008E579B">
        <w:t>alcohol use disorder</w:t>
      </w:r>
      <w:r>
        <w:t>.</w:t>
      </w:r>
    </w:p>
    <w:p w14:paraId="08F264B6" w14:textId="3FD68D80" w:rsidR="00B67833" w:rsidRPr="00E4249D" w:rsidRDefault="00B67833" w:rsidP="00B67833">
      <w:pPr>
        <w:pStyle w:val="USBodyText"/>
      </w:pPr>
      <w:r>
        <w:t xml:space="preserve">Finally, it is possible that the total cost of </w:t>
      </w:r>
      <w:r w:rsidR="002A6614">
        <w:t>alcohol-</w:t>
      </w:r>
      <w:r>
        <w:t xml:space="preserve">attributable </w:t>
      </w:r>
      <w:r w:rsidR="008E579B">
        <w:t>IPV</w:t>
      </w:r>
      <w:r>
        <w:t xml:space="preserve"> is further underestimated by the use of </w:t>
      </w:r>
      <w:r w:rsidR="004C0936">
        <w:t>survey-reported</w:t>
      </w:r>
      <w:r>
        <w:t xml:space="preserve"> cases of </w:t>
      </w:r>
      <w:r w:rsidR="004C0936">
        <w:t>IPV</w:t>
      </w:r>
      <w:r w:rsidR="00011A68">
        <w:t>,</w:t>
      </w:r>
      <w:r w:rsidR="004C0936">
        <w:t xml:space="preserve"> which may not reveal the true prevalence of IPV in New Zealand</w:t>
      </w:r>
      <w:r>
        <w:t>.</w:t>
      </w:r>
    </w:p>
    <w:p w14:paraId="18722FB1" w14:textId="22F58E25" w:rsidR="00CD512D" w:rsidRDefault="00CD512D" w:rsidP="00CD512D">
      <w:pPr>
        <w:pStyle w:val="Heading2"/>
      </w:pPr>
      <w:bookmarkStart w:id="81" w:name="_Ref156156647"/>
      <w:bookmarkStart w:id="82" w:name="_Toc160633843"/>
      <w:r>
        <w:t xml:space="preserve">Child </w:t>
      </w:r>
      <w:r w:rsidR="00E4249D">
        <w:t>maltreatment</w:t>
      </w:r>
      <w:bookmarkEnd w:id="81"/>
      <w:bookmarkEnd w:id="82"/>
    </w:p>
    <w:p w14:paraId="6F9C5577" w14:textId="16C7E0C5" w:rsidR="00CD512D" w:rsidRDefault="00CD512D" w:rsidP="00CD512D">
      <w:pPr>
        <w:pStyle w:val="USBodyText"/>
      </w:pPr>
      <w:r>
        <w:t>New Zealand’s rates</w:t>
      </w:r>
      <w:r w:rsidRPr="009C6AF3">
        <w:t xml:space="preserve"> of child abuse are among the highest in </w:t>
      </w:r>
      <w:r>
        <w:t>high income countries</w:t>
      </w:r>
      <w:r w:rsidRPr="009C6AF3">
        <w:t xml:space="preserve">. On average, one </w:t>
      </w:r>
      <w:r>
        <w:t xml:space="preserve">New Zealand </w:t>
      </w:r>
      <w:r w:rsidRPr="009C6AF3">
        <w:t xml:space="preserve">child dies as a result of abuse every five weeks. Most </w:t>
      </w:r>
      <w:r>
        <w:t xml:space="preserve">victims of child abuse are </w:t>
      </w:r>
      <w:r w:rsidRPr="009C6AF3">
        <w:t>under five years</w:t>
      </w:r>
      <w:r>
        <w:t xml:space="preserve"> old, with the </w:t>
      </w:r>
      <w:r w:rsidRPr="009C6AF3">
        <w:t xml:space="preserve">largest group </w:t>
      </w:r>
      <w:r w:rsidR="00DE4681">
        <w:t xml:space="preserve">aged </w:t>
      </w:r>
      <w:r>
        <w:t>under</w:t>
      </w:r>
      <w:r w:rsidRPr="009C6AF3">
        <w:t xml:space="preserve"> one </w:t>
      </w:r>
      <w:r>
        <w:fldChar w:fldCharType="begin"/>
      </w:r>
      <w:r w:rsidR="00F244F6">
        <w:instrText xml:space="preserve"> ADDIN ZOTERO_ITEM CSL_CITATION {"citationID":"sXxV16XA","properties":{"formattedCitation":"(Nobilo 2016)","plainCitation":"(Nobilo 2016)","noteIndex":0},"citationItems":[{"id":70372,"uris":["http://zotero.org/groups/4944822/items/PLTS79DB"],"itemData":{"id":70372,"type":"post-weblog","abstract":"Written by Hilary Nobilo, MMH (Perinatal and Infant), PGDipChAd, PGCComChH  “Society reaps what it sows in nurturing its children. Whether abuse of a child is physical, psychological, or sexual, it sets off a ripple of hormonal changes that wire the child’s brain to cope with a malevolent world. It predisposes the child to have a […]","container-title":"Brainwave Trust Aotearoa","language":"en","title":"Why Should We Care? The Abuse and Neglect of Children in New Zealand","title-short":"Why Should We Care?","URL":"https://brainwave.org.nz/article/why-should-we-care-the-abuse-and-neglect-of-children-in-new-zealand/","author":[{"family":"Nobilo","given":"Hilary"}],"accessed":{"date-parts":[["2023",10,24]]},"issued":{"date-parts":[["2016"]]}}}],"schema":"https://github.com/citation-style-language/schema/raw/master/csl-citation.json"} </w:instrText>
      </w:r>
      <w:r>
        <w:fldChar w:fldCharType="separate"/>
      </w:r>
      <w:r w:rsidRPr="001E3391">
        <w:rPr>
          <w:rFonts w:cs="Calibri"/>
        </w:rPr>
        <w:t>(</w:t>
      </w:r>
      <w:proofErr w:type="spellStart"/>
      <w:r w:rsidRPr="001E3391">
        <w:rPr>
          <w:rFonts w:cs="Calibri"/>
        </w:rPr>
        <w:t>Nobilo</w:t>
      </w:r>
      <w:proofErr w:type="spellEnd"/>
      <w:r w:rsidRPr="001E3391">
        <w:rPr>
          <w:rFonts w:cs="Calibri"/>
        </w:rPr>
        <w:t xml:space="preserve"> 2016)</w:t>
      </w:r>
      <w:r>
        <w:fldChar w:fldCharType="end"/>
      </w:r>
      <w:r>
        <w:t>.</w:t>
      </w:r>
    </w:p>
    <w:p w14:paraId="3AD54AC0" w14:textId="62F19FA6" w:rsidR="00CD512D" w:rsidRDefault="00CD512D" w:rsidP="00CD512D">
      <w:pPr>
        <w:pStyle w:val="USBodyText"/>
      </w:pPr>
      <w:r w:rsidRPr="00C31B30">
        <w:t xml:space="preserve">Adults who abuse children </w:t>
      </w:r>
      <w:r>
        <w:t>may often have been</w:t>
      </w:r>
      <w:r w:rsidRPr="00C31B30">
        <w:t xml:space="preserve"> victims of </w:t>
      </w:r>
      <w:r>
        <w:t xml:space="preserve">childhood </w:t>
      </w:r>
      <w:r w:rsidRPr="00C31B30">
        <w:t xml:space="preserve">abuse and neglect </w:t>
      </w:r>
      <w:r>
        <w:t xml:space="preserve">and experience unresolved issues associated with trauma </w:t>
      </w:r>
      <w:r>
        <w:fldChar w:fldCharType="begin"/>
      </w:r>
      <w:r w:rsidR="00F244F6">
        <w:instrText xml:space="preserve"> ADDIN ZOTERO_ITEM CSL_CITATION {"citationID":"DAXQUBS2","properties":{"formattedCitation":"(Howe 2005)","plainCitation":"(Howe 2005)","noteIndex":0},"citationItems":[{"id":71375,"uris":["http://zotero.org/groups/4944822/items/N387Z84F"],"itemData":{"id":71375,"type":"book","abstract":"This exciting new book offers a survey of the field of child abuse and neglect from the perspective of modern developmental attachment theory. Using research evidence, this clear, compelling textbook answers the key questions any student or specialist in child welfare would ask.","edition":"1st edition","event-place":"Basingstoke","ISBN":"978-1-4039-4826-7","language":"English","number-of-pages":"332","publisher":"Red Globe Press","publisher-place":"Basingstoke","source":"Amazon","title":"Child Abuse and Neglect: Attachment, Development and Intervention","title-short":"Child Abuse and Neglect","author":[{"family":"Howe","given":"David"}],"issued":{"date-parts":[["2005",4,21]]}}}],"schema":"https://github.com/citation-style-language/schema/raw/master/csl-citation.json"} </w:instrText>
      </w:r>
      <w:r>
        <w:fldChar w:fldCharType="separate"/>
      </w:r>
      <w:r w:rsidRPr="00E6717C">
        <w:rPr>
          <w:rFonts w:cs="Calibri"/>
        </w:rPr>
        <w:t>(Howe 2005)</w:t>
      </w:r>
      <w:r>
        <w:fldChar w:fldCharType="end"/>
      </w:r>
      <w:r w:rsidRPr="00C31B30">
        <w:t>.</w:t>
      </w:r>
      <w:r>
        <w:t xml:space="preserve"> Risks that contribute to parents and caregivers becoming abusive or neglectful include d</w:t>
      </w:r>
      <w:r w:rsidRPr="00C31B30">
        <w:t>epression, substance abuse, mental health issues, poverty, poor parenting skills, difficulties in managing anger and lack of support</w:t>
      </w:r>
      <w:r>
        <w:t xml:space="preserve"> (</w:t>
      </w:r>
      <w:proofErr w:type="spellStart"/>
      <w:r>
        <w:t>Nobilo</w:t>
      </w:r>
      <w:proofErr w:type="spellEnd"/>
      <w:r>
        <w:t xml:space="preserve"> 2016).</w:t>
      </w:r>
    </w:p>
    <w:p w14:paraId="23A178E6" w14:textId="77777777" w:rsidR="00CD512D" w:rsidRDefault="00CD512D" w:rsidP="00CD512D">
      <w:pPr>
        <w:pStyle w:val="USBodyText"/>
      </w:pPr>
      <w:r>
        <w:t>The impacts of child maltreatment are diverse and include (but are not limited to):</w:t>
      </w:r>
    </w:p>
    <w:p w14:paraId="04A7DE88" w14:textId="77777777" w:rsidR="00CD512D" w:rsidRDefault="00CD512D" w:rsidP="00CD512D">
      <w:pPr>
        <w:pStyle w:val="USBullet1"/>
      </w:pPr>
      <w:r>
        <w:t xml:space="preserve">lost quality of life due to pain and suffering and lost years of life due to premature mortality directly caused by abuse or associated with ill health or </w:t>
      </w:r>
      <w:proofErr w:type="gramStart"/>
      <w:r>
        <w:t>suicide</w:t>
      </w:r>
      <w:proofErr w:type="gramEnd"/>
    </w:p>
    <w:p w14:paraId="3710CC1E" w14:textId="19E68DAF" w:rsidR="00CD512D" w:rsidRDefault="00CD512D" w:rsidP="00CD512D">
      <w:pPr>
        <w:pStyle w:val="USBullet1"/>
      </w:pPr>
      <w:r>
        <w:t xml:space="preserve">increased risk of physical and mental ill health, and </w:t>
      </w:r>
      <w:r w:rsidR="00693FA5">
        <w:t xml:space="preserve">engagement with </w:t>
      </w:r>
      <w:r>
        <w:t>alcohol and addiction services later in life</w:t>
      </w:r>
    </w:p>
    <w:p w14:paraId="1A736408" w14:textId="168662A6" w:rsidR="00CD512D" w:rsidRDefault="00E4249D" w:rsidP="00CD512D">
      <w:pPr>
        <w:pStyle w:val="USBullet1"/>
      </w:pPr>
      <w:r>
        <w:t>i</w:t>
      </w:r>
      <w:r w:rsidR="00CD512D">
        <w:t>ncreased risk of criminality, including victims of child maltreatment becoming perpetrators of child maltreatment later in life</w:t>
      </w:r>
    </w:p>
    <w:p w14:paraId="57D1452C" w14:textId="77777777" w:rsidR="00CD512D" w:rsidRDefault="00CD512D" w:rsidP="00CD512D">
      <w:pPr>
        <w:pStyle w:val="USBullet1"/>
      </w:pPr>
      <w:r>
        <w:t>poorer educational outcomes and reduced productivity, leading to lower incomes and the flow-on and intergenerational impacts of disadvantage.</w:t>
      </w:r>
    </w:p>
    <w:p w14:paraId="125780A7" w14:textId="56AE4829" w:rsidR="00CD512D" w:rsidRDefault="00CD512D" w:rsidP="00CD512D">
      <w:pPr>
        <w:pStyle w:val="USBodyText"/>
      </w:pPr>
      <w:r>
        <w:t xml:space="preserve">The number and proportion of substantiated child abuse and neglect findings in New Zealand have fallen significantly since 2013, from 18,595 to 10,426 (see </w:t>
      </w:r>
      <w:r>
        <w:fldChar w:fldCharType="begin"/>
      </w:r>
      <w:r>
        <w:instrText xml:space="preserve"> REF _Ref149040120 \h </w:instrText>
      </w:r>
      <w:r>
        <w:fldChar w:fldCharType="separate"/>
      </w:r>
      <w:r w:rsidR="00AE166D" w:rsidRPr="00731CA6">
        <w:t>Figure </w:t>
      </w:r>
      <w:r w:rsidR="00AE166D">
        <w:rPr>
          <w:noProof/>
        </w:rPr>
        <w:t>7</w:t>
      </w:r>
      <w:r>
        <w:fldChar w:fldCharType="end"/>
      </w:r>
      <w:r>
        <w:t xml:space="preserve"> below).</w:t>
      </w:r>
    </w:p>
    <w:p w14:paraId="41EF4E13" w14:textId="046F7EED" w:rsidR="00CD512D" w:rsidRDefault="00CD512D" w:rsidP="00CD512D">
      <w:pPr>
        <w:pStyle w:val="FigureCaption"/>
      </w:pPr>
      <w:bookmarkStart w:id="83" w:name="_Ref149040120"/>
      <w:bookmarkStart w:id="84" w:name="_Toc160633895"/>
      <w:r w:rsidRPr="00731CA6">
        <w:lastRenderedPageBreak/>
        <w:t>Figure </w:t>
      </w:r>
      <w:fldSimple w:instr=" SEQ Figure \* ARABIC ">
        <w:r w:rsidR="00AE166D">
          <w:rPr>
            <w:noProof/>
          </w:rPr>
          <w:t>7</w:t>
        </w:r>
      </w:fldSimple>
      <w:bookmarkEnd w:id="83"/>
      <w:r w:rsidRPr="00731CA6">
        <w:t xml:space="preserve"> </w:t>
      </w:r>
      <w:r>
        <w:t xml:space="preserve">Number of </w:t>
      </w:r>
      <w:r w:rsidRPr="00E14A8A">
        <w:t xml:space="preserve">children and young people with a substantiated abuse or neglect </w:t>
      </w:r>
      <w:proofErr w:type="gramStart"/>
      <w:r w:rsidRPr="00E14A8A">
        <w:t>finding</w:t>
      </w:r>
      <w:bookmarkEnd w:id="84"/>
      <w:proofErr w:type="gramEnd"/>
      <w:r w:rsidRPr="00E14A8A">
        <w:t xml:space="preserve"> </w:t>
      </w:r>
    </w:p>
    <w:p w14:paraId="14930CB7" w14:textId="6D85CAAF" w:rsidR="00CD512D" w:rsidRDefault="005828C2" w:rsidP="00CD512D">
      <w:pPr>
        <w:pStyle w:val="USBodyText"/>
      </w:pPr>
      <w:r>
        <w:rPr>
          <w:noProof/>
        </w:rPr>
        <w:drawing>
          <wp:inline distT="0" distB="0" distL="0" distR="0" wp14:anchorId="40BD9ACE" wp14:editId="5A68F0C8">
            <wp:extent cx="4835662" cy="2644145"/>
            <wp:effectExtent l="0" t="0" r="3175" b="3810"/>
            <wp:docPr id="1" name="Picture 1" descr="The chart shows bars representing the number of children and young people with a substantiated abuse or neglect finding in each year from 2013 to 2022. The highest number represented by the bars is in 2013 at over 18,000. This is followed by a marked decrease to under 12,000 in 2018. A slight increase to around 13,000 in 2019 persists to 2021 before a drop to just over 10,00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hart shows bars representing the number of children and young people with a substantiated abuse or neglect finding in each year from 2013 to 2022. The highest number represented by the bars is in 2013 at over 18,000. This is followed by a marked decrease to under 12,000 in 2018. A slight increase to around 13,000 in 2019 persists to 2021 before a drop to just over 10,000 in 2022."/>
                    <pic:cNvPicPr/>
                  </pic:nvPicPr>
                  <pic:blipFill>
                    <a:blip r:embed="rId32"/>
                    <a:stretch>
                      <a:fillRect/>
                    </a:stretch>
                  </pic:blipFill>
                  <pic:spPr>
                    <a:xfrm>
                      <a:off x="0" y="0"/>
                      <a:ext cx="4835662" cy="2644145"/>
                    </a:xfrm>
                    <a:prstGeom prst="rect">
                      <a:avLst/>
                    </a:prstGeom>
                  </pic:spPr>
                </pic:pic>
              </a:graphicData>
            </a:graphic>
          </wp:inline>
        </w:drawing>
      </w:r>
    </w:p>
    <w:p w14:paraId="685B8BD7" w14:textId="0C16DF4C" w:rsidR="00CD512D" w:rsidRDefault="00CD512D" w:rsidP="00CD512D">
      <w:pPr>
        <w:pStyle w:val="USSource"/>
      </w:pPr>
      <w:r>
        <w:t xml:space="preserve">Source: NZIER, based on data from </w:t>
      </w:r>
      <w:r>
        <w:fldChar w:fldCharType="begin"/>
      </w:r>
      <w:r w:rsidR="00F244F6">
        <w:instrText xml:space="preserve"> ADDIN ZOTERO_ITEM CSL_CITATION {"citationID":"9CTQ6EDj","properties":{"formattedCitation":"(Oranga Tamariki 2023)","plainCitation":"(Oranga Tamariki 2023)","dontUpdate":true,"noteIndex":0},"citationItems":[{"id":71378,"uris":["http://zotero.org/groups/4944822/items/JA92BQWS"],"itemData":{"id":71378,"type":"document","title":"Prevalence of Harm to Children in Aotearoa New Zealand","URL":"https://www.orangatamariki.govt.nz/assets/Uploads/About-us/Research/Latest-research/Prevalence-of-Harm-to-Children-and-Protective-Factors/Prevalence-of-Harm-to-Children-A3-2023.pdf","author":[{"family":"Oranga Tamariki","given":""}],"accessed":{"date-parts":[["2023",12,7]]},"issued":{"date-parts":[["2023"]]}}}],"schema":"https://github.com/citation-style-language/schema/raw/master/csl-citation.json"} </w:instrText>
      </w:r>
      <w:r>
        <w:fldChar w:fldCharType="separate"/>
      </w:r>
      <w:proofErr w:type="spellStart"/>
      <w:r w:rsidRPr="003F5868">
        <w:rPr>
          <w:rFonts w:cs="Calibri"/>
        </w:rPr>
        <w:t>Oranga</w:t>
      </w:r>
      <w:proofErr w:type="spellEnd"/>
      <w:r w:rsidRPr="003F5868">
        <w:rPr>
          <w:rFonts w:cs="Calibri"/>
        </w:rPr>
        <w:t xml:space="preserve"> Tamariki </w:t>
      </w:r>
      <w:r>
        <w:rPr>
          <w:rFonts w:cs="Calibri"/>
        </w:rPr>
        <w:t>(</w:t>
      </w:r>
      <w:r w:rsidRPr="003F5868">
        <w:rPr>
          <w:rFonts w:cs="Calibri"/>
        </w:rPr>
        <w:t>2023)</w:t>
      </w:r>
      <w:r>
        <w:fldChar w:fldCharType="end"/>
      </w:r>
    </w:p>
    <w:p w14:paraId="1B109C43" w14:textId="546A7484" w:rsidR="00CD512D" w:rsidRDefault="00CD512D" w:rsidP="00CD512D">
      <w:pPr>
        <w:pStyle w:val="USBodyText"/>
      </w:pPr>
      <w:r>
        <w:t xml:space="preserve">Based on a population aged 0 to 16 years, these results indicate that since 2013, the prevalence of abuse or neglect, based on substantiated cases, has declined from 1.8 percent to 0.95 percent (see </w:t>
      </w:r>
      <w:r>
        <w:fldChar w:fldCharType="begin"/>
      </w:r>
      <w:r>
        <w:instrText xml:space="preserve"> REF _Ref152850621 \h </w:instrText>
      </w:r>
      <w:r>
        <w:fldChar w:fldCharType="separate"/>
      </w:r>
      <w:r w:rsidR="00AE166D" w:rsidRPr="00731CA6">
        <w:t>Figure </w:t>
      </w:r>
      <w:r w:rsidR="00AE166D">
        <w:rPr>
          <w:noProof/>
        </w:rPr>
        <w:t>8</w:t>
      </w:r>
      <w:r>
        <w:fldChar w:fldCharType="end"/>
      </w:r>
      <w:r>
        <w:t xml:space="preserve"> below).</w:t>
      </w:r>
    </w:p>
    <w:p w14:paraId="6747720E" w14:textId="37DC3322" w:rsidR="00CD512D" w:rsidRDefault="00CD512D" w:rsidP="00CD512D">
      <w:pPr>
        <w:pStyle w:val="TableCaption"/>
      </w:pPr>
      <w:bookmarkStart w:id="85" w:name="_Ref152850621"/>
      <w:bookmarkStart w:id="86" w:name="_Toc160633896"/>
      <w:r w:rsidRPr="00731CA6">
        <w:t>Figure </w:t>
      </w:r>
      <w:fldSimple w:instr=" SEQ Figure \* ARABIC ">
        <w:r w:rsidR="00AE166D">
          <w:rPr>
            <w:noProof/>
          </w:rPr>
          <w:t>8</w:t>
        </w:r>
      </w:fldSimple>
      <w:bookmarkEnd w:id="85"/>
      <w:r w:rsidRPr="00731CA6">
        <w:t xml:space="preserve"> </w:t>
      </w:r>
      <w:r>
        <w:t xml:space="preserve">Prevalence of abuse or neglect based on substantiated </w:t>
      </w:r>
      <w:proofErr w:type="gramStart"/>
      <w:r>
        <w:t>cases</w:t>
      </w:r>
      <w:bookmarkEnd w:id="86"/>
      <w:proofErr w:type="gramEnd"/>
    </w:p>
    <w:p w14:paraId="3AEF7A5F" w14:textId="3D8E82CB" w:rsidR="00CD512D" w:rsidRPr="00327911" w:rsidRDefault="00CD512D" w:rsidP="00CD512D">
      <w:pPr>
        <w:pStyle w:val="CaptionSubheading"/>
      </w:pPr>
      <w:r>
        <w:t>Children aged 0</w:t>
      </w:r>
      <w:r w:rsidR="00955919">
        <w:t>–</w:t>
      </w:r>
      <w:r>
        <w:t xml:space="preserve">16 </w:t>
      </w:r>
      <w:proofErr w:type="gramStart"/>
      <w:r>
        <w:t>years</w:t>
      </w:r>
      <w:proofErr w:type="gramEnd"/>
    </w:p>
    <w:p w14:paraId="10366EF3" w14:textId="25443A0C" w:rsidR="00CD512D" w:rsidRPr="00731CA6" w:rsidRDefault="00CD25D1" w:rsidP="00CD512D">
      <w:pPr>
        <w:pStyle w:val="USPlaceholder"/>
        <w:keepLines/>
      </w:pPr>
      <w:r>
        <w:drawing>
          <wp:inline distT="0" distB="0" distL="0" distR="0" wp14:anchorId="4573B5E0" wp14:editId="614F7A7B">
            <wp:extent cx="4559817" cy="2862078"/>
            <wp:effectExtent l="0" t="0" r="0" b="0"/>
            <wp:docPr id="2" name="Picture 2" descr="The chart shows a line representing the prevalence of abuse or neglect based on substantiated cases annually from 2013 to 2022. The line shows a strong downward trend from 1.8% in 2013 to under 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chart shows a line representing the prevalence of abuse or neglect based on substantiated cases annually from 2013 to 2022. The line shows a strong downward trend from 1.8% in 2013 to under 1% in 2022."/>
                    <pic:cNvPicPr/>
                  </pic:nvPicPr>
                  <pic:blipFill>
                    <a:blip r:embed="rId33"/>
                    <a:stretch>
                      <a:fillRect/>
                    </a:stretch>
                  </pic:blipFill>
                  <pic:spPr>
                    <a:xfrm>
                      <a:off x="0" y="0"/>
                      <a:ext cx="4559817" cy="2862078"/>
                    </a:xfrm>
                    <a:prstGeom prst="rect">
                      <a:avLst/>
                    </a:prstGeom>
                  </pic:spPr>
                </pic:pic>
              </a:graphicData>
            </a:graphic>
          </wp:inline>
        </w:drawing>
      </w:r>
    </w:p>
    <w:p w14:paraId="134B0AFD" w14:textId="77777777" w:rsidR="00CD512D" w:rsidRPr="00731CA6" w:rsidRDefault="00CD512D" w:rsidP="00CD512D">
      <w:pPr>
        <w:pStyle w:val="USSource"/>
      </w:pPr>
      <w:r w:rsidRPr="00731CA6">
        <w:t xml:space="preserve">Source: </w:t>
      </w:r>
      <w:r>
        <w:t xml:space="preserve">NZIER, based on </w:t>
      </w:r>
      <w:proofErr w:type="spellStart"/>
      <w:r>
        <w:t>Oranga</w:t>
      </w:r>
      <w:proofErr w:type="spellEnd"/>
      <w:r>
        <w:t xml:space="preserve"> Tamariki (2023) and Stats NZ data</w:t>
      </w:r>
    </w:p>
    <w:p w14:paraId="40F153EB" w14:textId="23FB344A" w:rsidR="00CD512D" w:rsidRDefault="00CD512D" w:rsidP="00CD512D">
      <w:pPr>
        <w:pStyle w:val="Heading3"/>
      </w:pPr>
      <w:r>
        <w:lastRenderedPageBreak/>
        <w:t>Attribution</w:t>
      </w:r>
      <w:r w:rsidR="00E4249D">
        <w:t xml:space="preserve"> of child maltreatment</w:t>
      </w:r>
      <w:r>
        <w:t xml:space="preserve"> to alcohol</w:t>
      </w:r>
    </w:p>
    <w:p w14:paraId="052D2735" w14:textId="7975B9BC" w:rsidR="00CD512D" w:rsidRDefault="00CD512D" w:rsidP="00CD512D">
      <w:pPr>
        <w:pStyle w:val="USBodyText"/>
      </w:pPr>
      <w:r>
        <w:t xml:space="preserve">Like IPV, child maltreatment is a complex issue with multiple causal factors. The fact that alcohol plays a role </w:t>
      </w:r>
      <w:r w:rsidR="00C379F8">
        <w:t xml:space="preserve">in </w:t>
      </w:r>
      <w:r>
        <w:t xml:space="preserve">child abuse </w:t>
      </w:r>
      <w:r w:rsidR="00C379F8">
        <w:t xml:space="preserve">and neglect </w:t>
      </w:r>
      <w:r>
        <w:t>is not disputed, but until recently, little has been known about the extent of that role.</w:t>
      </w:r>
    </w:p>
    <w:p w14:paraId="5ABE2C41" w14:textId="1F3C68CF" w:rsidR="00B14C07" w:rsidRDefault="00CD512D" w:rsidP="00CD512D">
      <w:pPr>
        <w:pStyle w:val="USBodyText"/>
      </w:pPr>
      <w:r w:rsidRPr="005749D3">
        <w:t xml:space="preserve">A </w:t>
      </w:r>
      <w:r>
        <w:t xml:space="preserve">recently published </w:t>
      </w:r>
      <w:r w:rsidRPr="005749D3">
        <w:t xml:space="preserve">cohort study </w:t>
      </w:r>
      <w:r>
        <w:fldChar w:fldCharType="begin"/>
      </w:r>
      <w:r w:rsidR="00F244F6">
        <w:instrText xml:space="preserve"> ADDIN ZOTERO_ITEM CSL_CITATION {"citationID":"LDxDSL2f","properties":{"formattedCitation":"(Huckle and Romeo 2023)","plainCitation":"(Huckle and Romeo 2023)","noteIndex":0},"citationItems":[{"id":69796,"uris":["http://zotero.org/groups/4944822/items/9FZAYHIK"],"itemData":{"id":69796,"type":"article-journal","abstract":"Aims Children are an important group harmed by others' alcohol consumption. This study (1) compared the risk of occurrence of child maltreatment among children exposed versus not exposed to parents with an alcohol-attributable hospitalization or service use for mental health/addiction and (2) conducted sensitivity analyses to estimate the cases of child maltreatment that could be attributable to alcohol under two different conditions in New Zealand. Design A cohort study conducted among children 0−17 years and their parents (years 2000–2017) using the Statistics New Zealand Integrated Data Infrastructure. The New Zealand Health Survey 2017 was also used. Setting New Zealand. Participants 58 359 children aged 0–17 years and their parents. Measurements Survival analysis based on a Bayesian piecewise exponential model was used to estimate the risk of time to first substantiated child maltreatment event (identified from social service, hospital, mortality and police data) related to exposure to parents with an alcohol-attributable hospitalization or who used a mental health/addiction service (versus no exposure). Potential confounders were included for parents and children. The sensitivity analyses (i) estimated an alcohol-attributable admissions/service use fraction for maltreatment in 2017 and (ii) calculated a population-attributable fraction using the relative risk from the cohort and prevalence of hazardous drinking (AUDIT 8+) among parents in 2017. Findings There was a 65.1% [1.65; 95% confidence interval (CI) = 1.46−1.86] increased risk of child maltreatment if a child was exposed to parents who had an alcohol-attributable hospitalized or mental health/addictions service use. The sensitivity analyses estimated that in 2017 14.6% (CI = 14.0−15.3%) and 11.4% (95% CI = 8.4−14.3%) of the documented cases of child maltreatment in New Zealand could be attributable to parents with severe or hazardous consumption. Conclusions In New Zealand, exposure to parents with an alcohol-attributable hospitalization or service use is a risk factor for substantiated child maltreatment.","container-title":"Addiction","DOI":"10.1111/add.16111","ISSN":"1360-0443","issue":"4","language":"en","license":"© 2022 The Authors. Addiction published by John Wiley &amp; Sons Ltd on behalf of Society for the Study of Addiction.","note":"_eprint: https://onlinelibrary.wiley.com/doi/pdf/10.1111/add.16111","page":"669-677","source":"Wiley Online Library","title":"Estimating child maltreatment cases that could be alcohol-attributable in New Zealand","volume":"118","author":[{"family":"Huckle","given":"Taisia"},{"family":"Romeo","given":"Jose S."}],"issued":{"date-parts":[["2023"]]}}}],"schema":"https://github.com/citation-style-language/schema/raw/master/csl-citation.json"} </w:instrText>
      </w:r>
      <w:r>
        <w:fldChar w:fldCharType="separate"/>
      </w:r>
      <w:r w:rsidRPr="00561F66">
        <w:rPr>
          <w:rFonts w:cs="Calibri"/>
        </w:rPr>
        <w:t>(Huckle and Romeo 2023)</w:t>
      </w:r>
      <w:r>
        <w:fldChar w:fldCharType="end"/>
      </w:r>
      <w:r w:rsidRPr="005749D3">
        <w:t xml:space="preserve"> of 58,359 New Ze</w:t>
      </w:r>
      <w:r>
        <w:t>a</w:t>
      </w:r>
      <w:r w:rsidRPr="005749D3">
        <w:t>land children aged 0-17 years and their parents between the years 2000 and 2017, using data from the Integrated Data Infrastructure (IDI)</w:t>
      </w:r>
      <w:r>
        <w:t>,</w:t>
      </w:r>
      <w:r w:rsidRPr="005749D3">
        <w:t xml:space="preserve"> calculated a population-attributable fraction</w:t>
      </w:r>
      <w:r>
        <w:t xml:space="preserve"> of child maltreatment</w:t>
      </w:r>
      <w:r w:rsidRPr="005749D3">
        <w:t xml:space="preserve"> using the relative risk from the cohort and prevalence of hazardous drinking among parents. </w:t>
      </w:r>
      <w:r w:rsidR="00B14C07">
        <w:t>The study defined child maltreatment as</w:t>
      </w:r>
      <w:r w:rsidR="00B14C07" w:rsidRPr="00B14C07">
        <w:t xml:space="preserve"> physical abuse (child assault, physical abuse), neglect or abandonment, emotional/psychological abuse, sexual abuse and intimate partner violence in the household</w:t>
      </w:r>
      <w:r w:rsidR="00B14C07">
        <w:t>.</w:t>
      </w:r>
    </w:p>
    <w:p w14:paraId="3045BEA6" w14:textId="55D2CCEE" w:rsidR="00CD512D" w:rsidRDefault="00CD512D" w:rsidP="00CD512D">
      <w:pPr>
        <w:pStyle w:val="USBodyText"/>
      </w:pPr>
      <w:r w:rsidRPr="005749D3">
        <w:t xml:space="preserve">The study found a 65.1 percent increased risk of child maltreatment for children exposed to parents with an alcohol-attributable hospitalisation or mental health/addictions service use and that in 2017, </w:t>
      </w:r>
      <w:r>
        <w:t>11.4 percent</w:t>
      </w:r>
      <w:r w:rsidRPr="005749D3">
        <w:t xml:space="preserve"> of the documented cases of child maltreatment in New Zealand could be attributable to parents with hazardous consumption of alcohol</w:t>
      </w:r>
      <w:r>
        <w:t xml:space="preserve"> (AUDIT 8+</w:t>
      </w:r>
      <w:r w:rsidRPr="00CD19C4">
        <w:rPr>
          <w:rStyle w:val="FootnoteReference"/>
        </w:rPr>
        <w:footnoteReference w:id="9"/>
      </w:r>
      <w:r>
        <w:t>)</w:t>
      </w:r>
      <w:r w:rsidR="005A6099">
        <w:t xml:space="preserve"> </w:t>
      </w:r>
      <w:r w:rsidR="005A6099">
        <w:fldChar w:fldCharType="begin"/>
      </w:r>
      <w:r w:rsidR="00F244F6">
        <w:instrText xml:space="preserve"> ADDIN ZOTERO_ITEM CSL_CITATION {"citationID":"ojcipfEG","properties":{"formattedCitation":"(Huckle and Romeo 2023)","plainCitation":"(Huckle and Romeo 2023)","noteIndex":0},"citationItems":[{"id":69796,"uris":["http://zotero.org/groups/4944822/items/9FZAYHIK"],"itemData":{"id":69796,"type":"article-journal","abstract":"Aims Children are an important group harmed by others' alcohol consumption. This study (1) compared the risk of occurrence of child maltreatment among children exposed versus not exposed to parents with an alcohol-attributable hospitalization or service use for mental health/addiction and (2) conducted sensitivity analyses to estimate the cases of child maltreatment that could be attributable to alcohol under two different conditions in New Zealand. Design A cohort study conducted among children 0−17 years and their parents (years 2000–2017) using the Statistics New Zealand Integrated Data Infrastructure. The New Zealand Health Survey 2017 was also used. Setting New Zealand. Participants 58 359 children aged 0–17 years and their parents. Measurements Survival analysis based on a Bayesian piecewise exponential model was used to estimate the risk of time to first substantiated child maltreatment event (identified from social service, hospital, mortality and police data) related to exposure to parents with an alcohol-attributable hospitalization or who used a mental health/addiction service (versus no exposure). Potential confounders were included for parents and children. The sensitivity analyses (i) estimated an alcohol-attributable admissions/service use fraction for maltreatment in 2017 and (ii) calculated a population-attributable fraction using the relative risk from the cohort and prevalence of hazardous drinking (AUDIT 8+) among parents in 2017. Findings There was a 65.1% [1.65; 95% confidence interval (CI) = 1.46−1.86] increased risk of child maltreatment if a child was exposed to parents who had an alcohol-attributable hospitalized or mental health/addictions service use. The sensitivity analyses estimated that in 2017 14.6% (CI = 14.0−15.3%) and 11.4% (95% CI = 8.4−14.3%) of the documented cases of child maltreatment in New Zealand could be attributable to parents with severe or hazardous consumption. Conclusions In New Zealand, exposure to parents with an alcohol-attributable hospitalization or service use is a risk factor for substantiated child maltreatment.","container-title":"Addiction","DOI":"10.1111/add.16111","ISSN":"1360-0443","issue":"4","language":"en","license":"© 2022 The Authors. Addiction published by John Wiley &amp; Sons Ltd on behalf of Society for the Study of Addiction.","note":"_eprint: https://onlinelibrary.wiley.com/doi/pdf/10.1111/add.16111","page":"669-677","source":"Wiley Online Library","title":"Estimating child maltreatment cases that could be alcohol-attributable in New Zealand","volume":"118","author":[{"family":"Huckle","given":"Taisia"},{"family":"Romeo","given":"Jose S."}],"issued":{"date-parts":[["2023"]]}}}],"schema":"https://github.com/citation-style-language/schema/raw/master/csl-citation.json"} </w:instrText>
      </w:r>
      <w:r w:rsidR="005A6099">
        <w:fldChar w:fldCharType="separate"/>
      </w:r>
      <w:r w:rsidR="005A6099" w:rsidRPr="00561F66">
        <w:rPr>
          <w:rFonts w:cs="Calibri"/>
        </w:rPr>
        <w:t>(Huckle and Romeo 2023)</w:t>
      </w:r>
      <w:r w:rsidR="005A6099">
        <w:fldChar w:fldCharType="end"/>
      </w:r>
      <w:r w:rsidRPr="005749D3">
        <w:t>.</w:t>
      </w:r>
    </w:p>
    <w:p w14:paraId="33D066A1" w14:textId="6B8D967A" w:rsidR="00CD512D" w:rsidRPr="004F47CE" w:rsidRDefault="00E4249D" w:rsidP="00CD512D">
      <w:pPr>
        <w:pStyle w:val="Heading3"/>
      </w:pPr>
      <w:r>
        <w:t>Estimated</w:t>
      </w:r>
      <w:r w:rsidR="00C519AE">
        <w:t xml:space="preserve"> </w:t>
      </w:r>
      <w:r w:rsidR="002A6614">
        <w:t>alcohol-</w:t>
      </w:r>
      <w:r w:rsidR="00C519AE">
        <w:t xml:space="preserve">attributable </w:t>
      </w:r>
      <w:r>
        <w:t xml:space="preserve">cost of child </w:t>
      </w:r>
      <w:proofErr w:type="gramStart"/>
      <w:r>
        <w:t>maltreatment</w:t>
      </w:r>
      <w:proofErr w:type="gramEnd"/>
    </w:p>
    <w:p w14:paraId="5CFDF418" w14:textId="22CEF2A0" w:rsidR="00CD512D" w:rsidRDefault="00CD512D" w:rsidP="00CD512D">
      <w:pPr>
        <w:pStyle w:val="USBodyText"/>
      </w:pPr>
      <w:r>
        <w:t xml:space="preserve">We identified one major report within the last ten years that provided estimates of the costs of child maltreatment in New Zealand: the same report that informed our estimates of the alcohol-attributable cost of IPV: </w:t>
      </w:r>
      <w:r>
        <w:fldChar w:fldCharType="begin"/>
      </w:r>
      <w:r w:rsidR="00F244F6">
        <w:instrText xml:space="preserve"> ADDIN ZOTERO_ITEM CSL_CITATION {"citationID":"MEbu6T4Q","properties":{"custom":"Kahui and Snively (2014)","formattedCitation":"Kahui and Snively (2014)","plainCitation":"Kahui and Snively (2014)","noteIndex":0},"citationItems":[{"id":68838,"uris":["http://zotero.org/groups/4944822/items/BA5XDPNJ"],"itemData":{"id":68838,"type":"report","event-place":"Wellington","publisher":"The Glenn Inquiry","publisher-place":"Wellington","title":"Measuring the economic costs of child abuse and intimate partner violence to New Zealand","URL":"http://ndhadeliver.natlib.govt.nz/delivery/DeliveryManagerServlet?dps_pid=IE25595234&amp;dps_custom_att_1=ilsdb","author":[{"family":"Kahui","given":"Sherilee"},{"family":"Snively","given":"Suzanne"}],"issued":{"date-parts":[["2014"]]}}}],"schema":"https://github.com/citation-style-language/schema/raw/master/csl-citation.json"} </w:instrText>
      </w:r>
      <w:r>
        <w:fldChar w:fldCharType="separate"/>
      </w:r>
      <w:r w:rsidRPr="006E6AD9">
        <w:rPr>
          <w:rFonts w:cs="Calibri"/>
        </w:rPr>
        <w:t>Kahui and Snively (2014)</w:t>
      </w:r>
      <w:r>
        <w:fldChar w:fldCharType="end"/>
      </w:r>
      <w:r>
        <w:t>. This report identified that a conservative scenario cost of child maltreatment, based on only substantiated cases of child abuse (n=</w:t>
      </w:r>
      <w:r w:rsidRPr="0018506F">
        <w:t>18,595</w:t>
      </w:r>
      <w:r>
        <w:t xml:space="preserve">), in New Zealand was </w:t>
      </w:r>
      <w:r w:rsidRPr="002D443A">
        <w:t xml:space="preserve">$918.6 </w:t>
      </w:r>
      <w:r>
        <w:t>million in 2014. Moderate and high-end scenarios are estimated at $980.6 million and $1.1349 billion, respectively. In their estimation of the costs of child maltreatment, the authors include six cost categories:</w:t>
      </w:r>
    </w:p>
    <w:p w14:paraId="158A331C" w14:textId="31D2B8E3" w:rsidR="00CD512D" w:rsidRDefault="00CD512D" w:rsidP="00CD512D">
      <w:pPr>
        <w:pStyle w:val="USBullet1"/>
      </w:pPr>
      <w:r w:rsidRPr="00744602">
        <w:t>Pain, suffering and premature mortality costs ass</w:t>
      </w:r>
      <w:r w:rsidR="002A6614">
        <w:t>o</w:t>
      </w:r>
      <w:r w:rsidRPr="00744602">
        <w:t xml:space="preserve">ciated with the victims'/survivors’ experience of </w:t>
      </w:r>
      <w:proofErr w:type="gramStart"/>
      <w:r w:rsidRPr="00744602">
        <w:t>violence</w:t>
      </w:r>
      <w:proofErr w:type="gramEnd"/>
      <w:r w:rsidRPr="00744602">
        <w:t xml:space="preserve"> </w:t>
      </w:r>
    </w:p>
    <w:p w14:paraId="71D76C58" w14:textId="77777777" w:rsidR="00CD512D" w:rsidRDefault="00CD512D" w:rsidP="00CD512D">
      <w:pPr>
        <w:pStyle w:val="USBullet1"/>
      </w:pPr>
      <w:r>
        <w:t>Health services costs</w:t>
      </w:r>
    </w:p>
    <w:p w14:paraId="70646E7E" w14:textId="77777777" w:rsidR="00CD512D" w:rsidRDefault="00CD512D" w:rsidP="00CD512D">
      <w:pPr>
        <w:pStyle w:val="USBullet1"/>
      </w:pPr>
      <w:r w:rsidRPr="00744602">
        <w:t xml:space="preserve">Productivity-related costs, based on research carried out for the New Zealand Public Service Association (PSA) in early </w:t>
      </w:r>
      <w:proofErr w:type="gramStart"/>
      <w:r w:rsidRPr="00744602">
        <w:t>2014</w:t>
      </w:r>
      <w:proofErr w:type="gramEnd"/>
      <w:r w:rsidRPr="00744602">
        <w:t xml:space="preserve"> </w:t>
      </w:r>
    </w:p>
    <w:p w14:paraId="57EFC1CC" w14:textId="7C0BABF6" w:rsidR="00CD512D" w:rsidRDefault="00CD512D" w:rsidP="00CD512D">
      <w:pPr>
        <w:pStyle w:val="USBullet1"/>
      </w:pPr>
      <w:r w:rsidRPr="00744602">
        <w:t>Consumption-related costs, includ</w:t>
      </w:r>
      <w:r>
        <w:t>ing</w:t>
      </w:r>
      <w:r w:rsidRPr="00744602">
        <w:t xml:space="preserve"> the rise in cost of living as a result of living in a single-earner </w:t>
      </w:r>
      <w:proofErr w:type="gramStart"/>
      <w:r w:rsidRPr="00744602">
        <w:t>household</w:t>
      </w:r>
      <w:proofErr w:type="gramEnd"/>
    </w:p>
    <w:p w14:paraId="23EA89D9" w14:textId="66D0F1DA" w:rsidR="00CD512D" w:rsidRDefault="00CD512D" w:rsidP="00CD512D">
      <w:pPr>
        <w:pStyle w:val="USBullet1"/>
      </w:pPr>
      <w:r w:rsidRPr="00744602">
        <w:t xml:space="preserve">Administrative and other costs, including </w:t>
      </w:r>
      <w:r w:rsidR="001235A3">
        <w:t>P</w:t>
      </w:r>
      <w:r w:rsidRPr="00744602">
        <w:t xml:space="preserve">olice, incarceration, court system costs, victim/survivor support, and violence prevention </w:t>
      </w:r>
      <w:proofErr w:type="gramStart"/>
      <w:r w:rsidRPr="00744602">
        <w:t>programs</w:t>
      </w:r>
      <w:proofErr w:type="gramEnd"/>
      <w:r w:rsidRPr="00744602">
        <w:t xml:space="preserve"> </w:t>
      </w:r>
    </w:p>
    <w:p w14:paraId="77B72265" w14:textId="77777777" w:rsidR="00CD512D" w:rsidRDefault="00CD512D" w:rsidP="00CD512D">
      <w:pPr>
        <w:pStyle w:val="USBullet1"/>
      </w:pPr>
      <w:r w:rsidRPr="00744602">
        <w:t>Transfer costs</w:t>
      </w:r>
      <w:r>
        <w:t xml:space="preserve"> (</w:t>
      </w:r>
      <w:r w:rsidRPr="00744602">
        <w:t>the inefficiencies associated with government benefits such as victim/survivor compensation and lost taxes</w:t>
      </w:r>
      <w:r>
        <w:t>).</w:t>
      </w:r>
    </w:p>
    <w:p w14:paraId="47AF715B" w14:textId="77777777" w:rsidR="00CD512D" w:rsidRDefault="00CD512D" w:rsidP="00CD512D">
      <w:pPr>
        <w:pStyle w:val="USBodyText"/>
      </w:pPr>
      <w:r>
        <w:t xml:space="preserve">The cost estimates did not </w:t>
      </w:r>
      <w:proofErr w:type="gramStart"/>
      <w:r>
        <w:t>take into account</w:t>
      </w:r>
      <w:proofErr w:type="gramEnd"/>
      <w:r>
        <w:t xml:space="preserve"> potential future productivity losses for victims of child maltreatment.</w:t>
      </w:r>
    </w:p>
    <w:p w14:paraId="309C82DB" w14:textId="0BFB7F25" w:rsidR="00CD512D" w:rsidRDefault="00CD512D" w:rsidP="00CD512D">
      <w:pPr>
        <w:pStyle w:val="USBodyText"/>
      </w:pPr>
      <w:r>
        <w:lastRenderedPageBreak/>
        <w:t xml:space="preserve">Amongst the cost categories captured by the Kahui and Snively methodology, pain, suffering and premature mortality costs may already be captured in our own estimates of </w:t>
      </w:r>
      <w:proofErr w:type="gramStart"/>
      <w:r>
        <w:t>alcohol-attributable</w:t>
      </w:r>
      <w:proofErr w:type="gramEnd"/>
      <w:r>
        <w:t xml:space="preserve"> DALYs, although the extent of overlap is not possible to quantify without an in-depth analysis of the data informing both the Kahui and Snively study and the </w:t>
      </w:r>
      <w:r w:rsidR="00B32EC3">
        <w:t>GBD</w:t>
      </w:r>
      <w:r>
        <w:t xml:space="preserve"> study that estimated the DALYs attributable to alcohol. </w:t>
      </w:r>
      <w:r w:rsidRPr="00D31C21">
        <w:t xml:space="preserve">The </w:t>
      </w:r>
      <w:r w:rsidR="00B32EC3">
        <w:t>GBD</w:t>
      </w:r>
      <w:r w:rsidRPr="00D31C21">
        <w:t xml:space="preserve"> estimates are based on systematic assessments of </w:t>
      </w:r>
      <w:r>
        <w:t>a wide range of</w:t>
      </w:r>
      <w:r w:rsidRPr="00D31C21">
        <w:t xml:space="preserve"> data on </w:t>
      </w:r>
      <w:r w:rsidR="00B32EC3">
        <w:t xml:space="preserve">the </w:t>
      </w:r>
      <w:r w:rsidRPr="00D31C21">
        <w:t>incidence, prevalence, duration, and severity of conditions, often relying on inconsistent, fragmented or partial data available from different studies</w:t>
      </w:r>
      <w:r>
        <w:t xml:space="preserve"> </w:t>
      </w:r>
      <w:r>
        <w:fldChar w:fldCharType="begin"/>
      </w:r>
      <w:r w:rsidR="00F244F6">
        <w:instrText xml:space="preserve"> ADDIN ZOTERO_ITEM CSL_CITATION {"citationID":"hJcKdvet","properties":{"formattedCitation":"(World Health Organization 2011)","plainCitation":"(World Health Organization 2011)","noteIndex":0},"citationItems":[{"id":71220,"uris":["http://zotero.org/groups/4944822/items/CF9KSSTQ"],"itemData":{"id":71220,"type":"chapter","abstract":"The Global Burden of Disease study introduced a new metric – the “disability adjusted life year” (DALY) – to simultaneously quantify the burden of disease from premature mortality and from disability (1).","container-title":"World Report on Disability 2011","language":"en","publisher":"World Health Organization","source":"www.ncbi.nlm.nih.gov","title":"Global Burden of Disease methodology","URL":"https://www.ncbi.nlm.nih.gov/books/NBK304069/","author":[{"family":"World Health Organization","given":""}],"accessed":{"date-parts":[["2023",12,3]]},"issued":{"date-parts":[["2011"]]}}}],"schema":"https://github.com/citation-style-language/schema/raw/master/csl-citation.json"} </w:instrText>
      </w:r>
      <w:r>
        <w:fldChar w:fldCharType="separate"/>
      </w:r>
      <w:r w:rsidRPr="000172CC">
        <w:rPr>
          <w:rFonts w:cs="Calibri"/>
        </w:rPr>
        <w:t>(World Health Organization 2011)</w:t>
      </w:r>
      <w:r>
        <w:fldChar w:fldCharType="end"/>
      </w:r>
      <w:r>
        <w:t>.</w:t>
      </w:r>
    </w:p>
    <w:p w14:paraId="5ED99C9B" w14:textId="567AE91F" w:rsidR="00B00728" w:rsidRDefault="00CD512D" w:rsidP="004371DE">
      <w:pPr>
        <w:pStyle w:val="USBodyText"/>
      </w:pPr>
      <w:r>
        <w:t xml:space="preserve">To estimate a 2023 cost of </w:t>
      </w:r>
      <w:r w:rsidR="00255395">
        <w:t>alcohol-</w:t>
      </w:r>
      <w:r>
        <w:t xml:space="preserve">attributable child maltreatment, we inflate the cost per case estimated by Kahui and Snively (2014) using the CPI and apply this 2023 cost to the most recent number of substantiated cases of abuse or neglect (10,426 cases in the year ending 2022 – see </w:t>
      </w:r>
      <w:r>
        <w:fldChar w:fldCharType="begin"/>
      </w:r>
      <w:r>
        <w:instrText xml:space="preserve"> REF _Ref149040120 \h </w:instrText>
      </w:r>
      <w:r>
        <w:fldChar w:fldCharType="separate"/>
      </w:r>
      <w:r w:rsidR="00AE166D" w:rsidRPr="00731CA6">
        <w:t>Figure </w:t>
      </w:r>
      <w:r w:rsidR="00AE166D">
        <w:rPr>
          <w:noProof/>
        </w:rPr>
        <w:t>7</w:t>
      </w:r>
      <w:r>
        <w:fldChar w:fldCharType="end"/>
      </w:r>
      <w:r>
        <w:t>)</w:t>
      </w:r>
      <w:r w:rsidR="008F5872">
        <w:t>.</w:t>
      </w:r>
      <w:r w:rsidRPr="00CD19C4">
        <w:rPr>
          <w:rStyle w:val="FootnoteReference"/>
        </w:rPr>
        <w:footnoteReference w:id="10"/>
      </w:r>
      <w:r>
        <w:t xml:space="preserve"> We then apply the </w:t>
      </w:r>
      <w:r w:rsidR="00255395">
        <w:t>population-</w:t>
      </w:r>
      <w:r>
        <w:t>attributable fraction estimated by Huckle and Romeo (2023). The result is a cost of just under $74 million (see</w:t>
      </w:r>
      <w:r w:rsidR="008F5872">
        <w:t xml:space="preserve"> </w:t>
      </w:r>
      <w:r w:rsidR="008F5872">
        <w:fldChar w:fldCharType="begin"/>
      </w:r>
      <w:r w:rsidR="008F5872">
        <w:instrText xml:space="preserve"> REF _Ref160446593 \h </w:instrText>
      </w:r>
      <w:r w:rsidR="008F5872">
        <w:fldChar w:fldCharType="separate"/>
      </w:r>
      <w:r w:rsidR="00AE166D" w:rsidRPr="00731CA6">
        <w:t xml:space="preserve">Table </w:t>
      </w:r>
      <w:r w:rsidR="00AE166D">
        <w:rPr>
          <w:noProof/>
        </w:rPr>
        <w:t>14</w:t>
      </w:r>
      <w:r w:rsidR="008F5872">
        <w:fldChar w:fldCharType="end"/>
      </w:r>
      <w:r>
        <w:t xml:space="preserve"> below). </w:t>
      </w:r>
    </w:p>
    <w:p w14:paraId="4F842A1B" w14:textId="30907CE6" w:rsidR="00CD512D" w:rsidRPr="00731CA6" w:rsidRDefault="00CD512D" w:rsidP="00CD6339">
      <w:pPr>
        <w:pStyle w:val="TableCaption"/>
        <w:keepLines/>
      </w:pPr>
      <w:bookmarkStart w:id="87" w:name="_Ref160446593"/>
      <w:bookmarkStart w:id="88" w:name="_Toc160633921"/>
      <w:r w:rsidRPr="00731CA6">
        <w:t xml:space="preserve">Table </w:t>
      </w:r>
      <w:fldSimple w:instr=" SEQ Table \* ARABIC ">
        <w:r w:rsidR="00AE166D">
          <w:rPr>
            <w:noProof/>
          </w:rPr>
          <w:t>14</w:t>
        </w:r>
      </w:fldSimple>
      <w:bookmarkEnd w:id="87"/>
      <w:r w:rsidRPr="00731CA6">
        <w:t xml:space="preserve"> </w:t>
      </w:r>
      <w:r>
        <w:t>Estimation of the cost of alcohol-attributable child maltreatment</w:t>
      </w:r>
      <w:bookmarkEnd w:id="88"/>
    </w:p>
    <w:p w14:paraId="1C5038BC" w14:textId="2C2157E0" w:rsidR="00CD512D" w:rsidRPr="00AC048D" w:rsidRDefault="00171950" w:rsidP="00CD6339">
      <w:pPr>
        <w:pStyle w:val="CaptionSubheading"/>
        <w:keepLines/>
      </w:pPr>
      <w:r>
        <w:t>2023</w:t>
      </w:r>
    </w:p>
    <w:tbl>
      <w:tblPr>
        <w:tblStyle w:val="TableDefault"/>
        <w:tblW w:w="0" w:type="auto"/>
        <w:tblLook w:val="04A0" w:firstRow="1" w:lastRow="0" w:firstColumn="1" w:lastColumn="0" w:noHBand="0" w:noVBand="1"/>
      </w:tblPr>
      <w:tblGrid>
        <w:gridCol w:w="6066"/>
        <w:gridCol w:w="1984"/>
      </w:tblGrid>
      <w:tr w:rsidR="00CD512D" w14:paraId="68812012" w14:textId="77777777">
        <w:trPr>
          <w:cnfStyle w:val="100000000000" w:firstRow="1" w:lastRow="0" w:firstColumn="0" w:lastColumn="0" w:oddVBand="0" w:evenVBand="0" w:oddHBand="0" w:evenHBand="0" w:firstRowFirstColumn="0" w:firstRowLastColumn="0" w:lastRowFirstColumn="0" w:lastRowLastColumn="0"/>
        </w:trPr>
        <w:tc>
          <w:tcPr>
            <w:tcW w:w="6066" w:type="dxa"/>
          </w:tcPr>
          <w:p w14:paraId="4C9D3F7D" w14:textId="77777777" w:rsidR="00CD512D" w:rsidRPr="00595CA6" w:rsidRDefault="00CD512D" w:rsidP="00AC048D">
            <w:pPr>
              <w:pStyle w:val="TSTableHeadingWhite-TopRow"/>
            </w:pPr>
            <w:r w:rsidRPr="00595CA6">
              <w:t>Parameter</w:t>
            </w:r>
          </w:p>
        </w:tc>
        <w:tc>
          <w:tcPr>
            <w:tcW w:w="1984" w:type="dxa"/>
          </w:tcPr>
          <w:p w14:paraId="47998B48" w14:textId="77777777" w:rsidR="00CD512D" w:rsidRPr="00595CA6" w:rsidRDefault="00CD512D" w:rsidP="00AC048D">
            <w:pPr>
              <w:pStyle w:val="TSTableHeadingWhite-TopRow"/>
              <w:jc w:val="center"/>
            </w:pPr>
            <w:r w:rsidRPr="00595CA6">
              <w:t>Value</w:t>
            </w:r>
          </w:p>
        </w:tc>
      </w:tr>
      <w:tr w:rsidR="00CD512D" w14:paraId="0F96EAAD" w14:textId="77777777">
        <w:tc>
          <w:tcPr>
            <w:tcW w:w="6066" w:type="dxa"/>
          </w:tcPr>
          <w:p w14:paraId="3CB8475A" w14:textId="77777777" w:rsidR="00CD512D" w:rsidRPr="00255395" w:rsidRDefault="00CD512D" w:rsidP="00255395">
            <w:pPr>
              <w:pStyle w:val="TSBodyText"/>
            </w:pPr>
            <w:r w:rsidRPr="00255395">
              <w:t>Previously estimated cost of child maltreatment based on 2013 cases (2014 dollars)</w:t>
            </w:r>
          </w:p>
        </w:tc>
        <w:tc>
          <w:tcPr>
            <w:tcW w:w="1984" w:type="dxa"/>
          </w:tcPr>
          <w:p w14:paraId="0496285B" w14:textId="77777777" w:rsidR="00CD512D" w:rsidRPr="00255395" w:rsidRDefault="00CD512D" w:rsidP="00255395">
            <w:pPr>
              <w:pStyle w:val="TSBodyText"/>
              <w:ind w:right="718"/>
              <w:jc w:val="right"/>
            </w:pPr>
            <w:r w:rsidRPr="00255395">
              <w:t>$918.6 m</w:t>
            </w:r>
          </w:p>
        </w:tc>
      </w:tr>
      <w:tr w:rsidR="00CD512D" w14:paraId="6F305D1F" w14:textId="77777777">
        <w:trPr>
          <w:cnfStyle w:val="000000010000" w:firstRow="0" w:lastRow="0" w:firstColumn="0" w:lastColumn="0" w:oddVBand="0" w:evenVBand="0" w:oddHBand="0" w:evenHBand="1" w:firstRowFirstColumn="0" w:firstRowLastColumn="0" w:lastRowFirstColumn="0" w:lastRowLastColumn="0"/>
        </w:trPr>
        <w:tc>
          <w:tcPr>
            <w:tcW w:w="6066" w:type="dxa"/>
          </w:tcPr>
          <w:p w14:paraId="2BB5AA7E" w14:textId="77777777" w:rsidR="00CD512D" w:rsidRPr="00255395" w:rsidRDefault="00CD512D" w:rsidP="00255395">
            <w:pPr>
              <w:pStyle w:val="TSBodyText"/>
            </w:pPr>
            <w:r w:rsidRPr="00255395">
              <w:t>Number of cases of child maltreatment in previous cost estimate</w:t>
            </w:r>
          </w:p>
        </w:tc>
        <w:tc>
          <w:tcPr>
            <w:tcW w:w="1984" w:type="dxa"/>
          </w:tcPr>
          <w:p w14:paraId="735A6DBA" w14:textId="77777777" w:rsidR="00CD512D" w:rsidRPr="00255395" w:rsidRDefault="00CD512D" w:rsidP="00255395">
            <w:pPr>
              <w:pStyle w:val="TSBodyText"/>
              <w:ind w:right="718"/>
              <w:jc w:val="right"/>
            </w:pPr>
            <w:r w:rsidRPr="00255395">
              <w:t>18,595</w:t>
            </w:r>
          </w:p>
        </w:tc>
      </w:tr>
      <w:tr w:rsidR="00CD512D" w14:paraId="4F3C604C" w14:textId="77777777">
        <w:tc>
          <w:tcPr>
            <w:tcW w:w="6066" w:type="dxa"/>
          </w:tcPr>
          <w:p w14:paraId="2D716579" w14:textId="77777777" w:rsidR="00CD512D" w:rsidRPr="00255395" w:rsidRDefault="00CD512D" w:rsidP="00255395">
            <w:pPr>
              <w:pStyle w:val="TSBodyText"/>
            </w:pPr>
            <w:r w:rsidRPr="00255395">
              <w:t xml:space="preserve">2014 cost per case of child maltreatment </w:t>
            </w:r>
          </w:p>
        </w:tc>
        <w:tc>
          <w:tcPr>
            <w:tcW w:w="1984" w:type="dxa"/>
          </w:tcPr>
          <w:p w14:paraId="724EAC7E" w14:textId="77777777" w:rsidR="00CD512D" w:rsidRPr="00255395" w:rsidRDefault="00CD512D" w:rsidP="00255395">
            <w:pPr>
              <w:pStyle w:val="TSBodyText"/>
              <w:ind w:right="718"/>
              <w:jc w:val="right"/>
            </w:pPr>
            <w:r w:rsidRPr="00255395">
              <w:t>$49,400</w:t>
            </w:r>
          </w:p>
        </w:tc>
      </w:tr>
      <w:tr w:rsidR="00CD512D" w14:paraId="7B9EEB8C" w14:textId="77777777">
        <w:trPr>
          <w:cnfStyle w:val="000000010000" w:firstRow="0" w:lastRow="0" w:firstColumn="0" w:lastColumn="0" w:oddVBand="0" w:evenVBand="0" w:oddHBand="0" w:evenHBand="1" w:firstRowFirstColumn="0" w:firstRowLastColumn="0" w:lastRowFirstColumn="0" w:lastRowLastColumn="0"/>
        </w:trPr>
        <w:tc>
          <w:tcPr>
            <w:tcW w:w="6066" w:type="dxa"/>
          </w:tcPr>
          <w:p w14:paraId="5A472DA2" w14:textId="77777777" w:rsidR="00CD512D" w:rsidRPr="00255395" w:rsidRDefault="00CD512D" w:rsidP="00255395">
            <w:pPr>
              <w:pStyle w:val="TSBodyText"/>
            </w:pPr>
            <w:r w:rsidRPr="00255395">
              <w:t xml:space="preserve">2023 cost per case of child maltreatment </w:t>
            </w:r>
          </w:p>
        </w:tc>
        <w:tc>
          <w:tcPr>
            <w:tcW w:w="1984" w:type="dxa"/>
          </w:tcPr>
          <w:p w14:paraId="77AE7A83" w14:textId="77777777" w:rsidR="00CD512D" w:rsidRPr="00255395" w:rsidRDefault="00CD512D" w:rsidP="00255395">
            <w:pPr>
              <w:pStyle w:val="TSBodyText"/>
              <w:ind w:right="718"/>
              <w:jc w:val="right"/>
            </w:pPr>
            <w:r w:rsidRPr="00255395">
              <w:t>$62,244</w:t>
            </w:r>
          </w:p>
        </w:tc>
      </w:tr>
      <w:tr w:rsidR="00CD512D" w14:paraId="668E6A05" w14:textId="77777777">
        <w:tc>
          <w:tcPr>
            <w:tcW w:w="6066" w:type="dxa"/>
          </w:tcPr>
          <w:p w14:paraId="1ABF52B9" w14:textId="77777777" w:rsidR="00CD512D" w:rsidRPr="00255395" w:rsidRDefault="00CD512D" w:rsidP="00255395">
            <w:pPr>
              <w:pStyle w:val="TSBodyText"/>
            </w:pPr>
            <w:r w:rsidRPr="00255395">
              <w:t>Number of cases of child maltreatment in 2023 (based on 2022)</w:t>
            </w:r>
          </w:p>
        </w:tc>
        <w:tc>
          <w:tcPr>
            <w:tcW w:w="1984" w:type="dxa"/>
          </w:tcPr>
          <w:p w14:paraId="38D5363C" w14:textId="77777777" w:rsidR="00CD512D" w:rsidRPr="00255395" w:rsidRDefault="00CD512D" w:rsidP="00255395">
            <w:pPr>
              <w:pStyle w:val="TSBodyText"/>
              <w:ind w:right="718"/>
              <w:jc w:val="right"/>
            </w:pPr>
            <w:r w:rsidRPr="00255395">
              <w:t>10,426</w:t>
            </w:r>
          </w:p>
        </w:tc>
      </w:tr>
      <w:tr w:rsidR="00CD512D" w14:paraId="3D01505B" w14:textId="77777777" w:rsidTr="00CD6339">
        <w:trPr>
          <w:cnfStyle w:val="000000010000" w:firstRow="0" w:lastRow="0" w:firstColumn="0" w:lastColumn="0" w:oddVBand="0" w:evenVBand="0" w:oddHBand="0" w:evenHBand="1" w:firstRowFirstColumn="0" w:firstRowLastColumn="0" w:lastRowFirstColumn="0" w:lastRowLastColumn="0"/>
        </w:trPr>
        <w:tc>
          <w:tcPr>
            <w:tcW w:w="6066" w:type="dxa"/>
          </w:tcPr>
          <w:p w14:paraId="008633F0" w14:textId="77777777" w:rsidR="00CD512D" w:rsidRPr="00255395" w:rsidRDefault="00CD512D" w:rsidP="00255395">
            <w:pPr>
              <w:pStyle w:val="TSBodyText"/>
            </w:pPr>
            <w:r w:rsidRPr="00255395">
              <w:t>Total cost of child maltreatment in 2023 dollars</w:t>
            </w:r>
          </w:p>
        </w:tc>
        <w:tc>
          <w:tcPr>
            <w:tcW w:w="1984" w:type="dxa"/>
          </w:tcPr>
          <w:p w14:paraId="378323CD" w14:textId="77777777" w:rsidR="00CD512D" w:rsidRPr="00255395" w:rsidRDefault="00CD512D" w:rsidP="00255395">
            <w:pPr>
              <w:pStyle w:val="TSBodyText"/>
              <w:ind w:right="718"/>
              <w:jc w:val="right"/>
            </w:pPr>
            <w:r w:rsidRPr="00255395">
              <w:t>$648,960,889</w:t>
            </w:r>
          </w:p>
        </w:tc>
      </w:tr>
      <w:tr w:rsidR="00CD512D" w14:paraId="5384E67E" w14:textId="77777777" w:rsidTr="00CD6339">
        <w:tc>
          <w:tcPr>
            <w:tcW w:w="6066" w:type="dxa"/>
          </w:tcPr>
          <w:p w14:paraId="7674930A" w14:textId="73DAF20E" w:rsidR="00CD512D" w:rsidRPr="00255395" w:rsidRDefault="00255395" w:rsidP="00255395">
            <w:pPr>
              <w:pStyle w:val="TSBodyText"/>
            </w:pPr>
            <w:r w:rsidRPr="00255395">
              <w:t>Alcohol</w:t>
            </w:r>
            <w:r>
              <w:t>-</w:t>
            </w:r>
            <w:r w:rsidR="00CD512D" w:rsidRPr="00255395">
              <w:t>attributable % of child maltreatment cases</w:t>
            </w:r>
          </w:p>
        </w:tc>
        <w:tc>
          <w:tcPr>
            <w:tcW w:w="1984" w:type="dxa"/>
          </w:tcPr>
          <w:p w14:paraId="7139DA9E" w14:textId="77777777" w:rsidR="00CD512D" w:rsidRPr="00255395" w:rsidRDefault="00CD512D" w:rsidP="00255395">
            <w:pPr>
              <w:pStyle w:val="TSBodyText"/>
              <w:ind w:right="718"/>
              <w:jc w:val="right"/>
            </w:pPr>
            <w:r w:rsidRPr="00255395">
              <w:t>11.4%</w:t>
            </w:r>
          </w:p>
        </w:tc>
      </w:tr>
      <w:tr w:rsidR="00CD512D" w14:paraId="68172627" w14:textId="77777777" w:rsidTr="00CD6339">
        <w:trPr>
          <w:cnfStyle w:val="000000010000" w:firstRow="0" w:lastRow="0" w:firstColumn="0" w:lastColumn="0" w:oddVBand="0" w:evenVBand="0" w:oddHBand="0" w:evenHBand="1" w:firstRowFirstColumn="0" w:firstRowLastColumn="0" w:lastRowFirstColumn="0" w:lastRowLastColumn="0"/>
        </w:trPr>
        <w:tc>
          <w:tcPr>
            <w:tcW w:w="6066" w:type="dxa"/>
          </w:tcPr>
          <w:p w14:paraId="2C8B5CCC" w14:textId="3184EC96" w:rsidR="00CD512D" w:rsidRPr="00255395" w:rsidRDefault="00255395" w:rsidP="00255395">
            <w:pPr>
              <w:pStyle w:val="TSBodyText"/>
            </w:pPr>
            <w:r w:rsidRPr="00255395">
              <w:t>Alcohol</w:t>
            </w:r>
            <w:r>
              <w:t>-</w:t>
            </w:r>
            <w:r w:rsidR="00CD512D" w:rsidRPr="00255395">
              <w:t>attributable cost of child maltreatment in 2023</w:t>
            </w:r>
          </w:p>
        </w:tc>
        <w:tc>
          <w:tcPr>
            <w:tcW w:w="1984" w:type="dxa"/>
          </w:tcPr>
          <w:p w14:paraId="7973BC99" w14:textId="77777777" w:rsidR="00CD512D" w:rsidRPr="00255395" w:rsidRDefault="00CD512D" w:rsidP="00255395">
            <w:pPr>
              <w:pStyle w:val="TSBodyText"/>
              <w:ind w:right="718"/>
              <w:jc w:val="right"/>
            </w:pPr>
            <w:r w:rsidRPr="00255395">
              <w:t>$73,981,541</w:t>
            </w:r>
          </w:p>
        </w:tc>
      </w:tr>
    </w:tbl>
    <w:p w14:paraId="23DA4053" w14:textId="08695FAF" w:rsidR="00CD512D" w:rsidRDefault="00CD512D" w:rsidP="00255395">
      <w:pPr>
        <w:pStyle w:val="USNote"/>
      </w:pPr>
      <w:r>
        <w:t>*</w:t>
      </w:r>
      <w:r w:rsidRPr="00B22CE1">
        <w:t xml:space="preserve">The Kahui and Snively </w:t>
      </w:r>
      <w:r>
        <w:t>report indicates that</w:t>
      </w:r>
      <w:r w:rsidRPr="00B22CE1">
        <w:t xml:space="preserve"> approximately </w:t>
      </w:r>
      <w:r>
        <w:t>55</w:t>
      </w:r>
      <w:r w:rsidRPr="00B22CE1">
        <w:t>% of the total cost is associated with pain, suffering and premature mortality. For this report, this cost is likely to have been captured in our estimates of the costs of DALYs associated with alcohol</w:t>
      </w:r>
      <w:r w:rsidR="00255395">
        <w:t>-</w:t>
      </w:r>
      <w:r w:rsidRPr="00B22CE1">
        <w:t>attributable morbid</w:t>
      </w:r>
      <w:r>
        <w:t>it</w:t>
      </w:r>
      <w:r w:rsidRPr="00B22CE1">
        <w:t>y and mortality</w:t>
      </w:r>
      <w:r>
        <w:t>, so the amount presented here represents 45% of the total alcohol-attributable cost of child maltreatment.</w:t>
      </w:r>
    </w:p>
    <w:p w14:paraId="06E26DF9" w14:textId="77777777" w:rsidR="00CD512D" w:rsidRPr="00255395" w:rsidRDefault="00CD512D" w:rsidP="00255395">
      <w:pPr>
        <w:pStyle w:val="USSource"/>
      </w:pPr>
      <w:r w:rsidRPr="00255395">
        <w:t xml:space="preserve">Source: NZIER, based on Kahui and Snively 2014, Romeo and Huckle 2023, </w:t>
      </w:r>
      <w:proofErr w:type="spellStart"/>
      <w:r w:rsidRPr="00255395">
        <w:t>Oranga</w:t>
      </w:r>
      <w:proofErr w:type="spellEnd"/>
      <w:r w:rsidRPr="00255395">
        <w:t xml:space="preserve"> Tamariki data</w:t>
      </w:r>
    </w:p>
    <w:p w14:paraId="5C2FC0DE" w14:textId="3F76BB46" w:rsidR="00E4249D" w:rsidRDefault="00E4249D" w:rsidP="00E4249D">
      <w:pPr>
        <w:pStyle w:val="Heading3"/>
      </w:pPr>
      <w:r>
        <w:t xml:space="preserve">Limitations of estimates of </w:t>
      </w:r>
      <w:r w:rsidR="00C519AE">
        <w:t>alcohol</w:t>
      </w:r>
      <w:r w:rsidR="00255395">
        <w:t>-</w:t>
      </w:r>
      <w:r w:rsidR="00C519AE">
        <w:t xml:space="preserve">attributable costs of </w:t>
      </w:r>
      <w:r>
        <w:t>child maltreatment</w:t>
      </w:r>
    </w:p>
    <w:p w14:paraId="11E9D7BB" w14:textId="77777777" w:rsidR="00332CE3" w:rsidRDefault="001E0AD7" w:rsidP="001E0AD7">
      <w:pPr>
        <w:pStyle w:val="USBodyText"/>
      </w:pPr>
      <w:r>
        <w:t xml:space="preserve">A single study identifying the fraction of child maltreatment attributable to </w:t>
      </w:r>
      <w:r w:rsidR="00D55677">
        <w:t xml:space="preserve">hazardous drinking informed the estimate presented above. </w:t>
      </w:r>
      <w:r w:rsidR="00A41A7C">
        <w:t xml:space="preserve">This represents a promising but weak evidence base. </w:t>
      </w:r>
    </w:p>
    <w:p w14:paraId="3C8555AF" w14:textId="4B906F1B" w:rsidR="00E4249D" w:rsidRDefault="00A41A7C" w:rsidP="001E0AD7">
      <w:pPr>
        <w:pStyle w:val="USBodyText"/>
      </w:pPr>
      <w:r>
        <w:t xml:space="preserve">Additionally, because that study restricted its consideration of </w:t>
      </w:r>
      <w:r w:rsidR="00255395">
        <w:t>alcohol-</w:t>
      </w:r>
      <w:r>
        <w:t>attributable child maltreatment to</w:t>
      </w:r>
      <w:r w:rsidR="007B5CE6">
        <w:t xml:space="preserve"> hazardous drinking, the fraction of child maltreatment attributable to alcohol is likely to be an underestimate. It is likely that alcohol plays a causal role</w:t>
      </w:r>
      <w:r w:rsidR="00332CE3">
        <w:t xml:space="preserve">, alone or </w:t>
      </w:r>
      <w:r w:rsidR="00332CE3">
        <w:lastRenderedPageBreak/>
        <w:t>alongside other causal factors, in a higher fraction of child maltreatment cases where the perpetrator does not meet the criteria for hazardous drinking.</w:t>
      </w:r>
    </w:p>
    <w:p w14:paraId="2431E74F" w14:textId="7F032E9B" w:rsidR="00E4249D" w:rsidRPr="00E4249D" w:rsidRDefault="00332CE3" w:rsidP="00E4249D">
      <w:pPr>
        <w:pStyle w:val="USBodyText"/>
      </w:pPr>
      <w:r>
        <w:t xml:space="preserve">Finally, </w:t>
      </w:r>
      <w:r w:rsidR="00FC2F26">
        <w:t xml:space="preserve">it is possible that the total cost of </w:t>
      </w:r>
      <w:r w:rsidR="00255395">
        <w:t>alcohol-</w:t>
      </w:r>
      <w:r w:rsidR="00FC2F26">
        <w:t xml:space="preserve">attributable child maltreatment is further underestimated by the use of substantiated </w:t>
      </w:r>
      <w:r w:rsidR="006174E3">
        <w:t>cases of child maltreatment</w:t>
      </w:r>
      <w:r w:rsidR="00A82FCF">
        <w:t xml:space="preserve">, with many more cases being unreported or unsubstantiated, including potentially a large share </w:t>
      </w:r>
      <w:r w:rsidR="00B67833">
        <w:t>in which alcohol played a causal role.</w:t>
      </w:r>
    </w:p>
    <w:p w14:paraId="5242245B" w14:textId="77777777" w:rsidR="002F5351" w:rsidRPr="000D5902" w:rsidRDefault="002F5351" w:rsidP="00E4249D">
      <w:pPr>
        <w:pStyle w:val="Heading2"/>
      </w:pPr>
      <w:bookmarkStart w:id="89" w:name="_Ref156212669"/>
      <w:bookmarkStart w:id="90" w:name="_Toc160633844"/>
      <w:r w:rsidRPr="000D5902">
        <w:t>Road crashes</w:t>
      </w:r>
      <w:bookmarkEnd w:id="89"/>
      <w:bookmarkEnd w:id="90"/>
      <w:r w:rsidRPr="000D5902">
        <w:t xml:space="preserve"> </w:t>
      </w:r>
    </w:p>
    <w:p w14:paraId="4E79A02F" w14:textId="77777777" w:rsidR="002F5351" w:rsidRDefault="002F5351" w:rsidP="002F5351">
      <w:pPr>
        <w:pStyle w:val="USBodyText"/>
      </w:pPr>
      <w:r>
        <w:t>Alcohol is known to be a significant contributor to road crashes, alone or in combination with speed and/or drugs. In 2022, t</w:t>
      </w:r>
      <w:r w:rsidRPr="00277E48">
        <w:t>here were 111 deaths on New Zealand’s roads involving a driver over the</w:t>
      </w:r>
      <w:r>
        <w:t xml:space="preserve"> prescribed</w:t>
      </w:r>
      <w:r w:rsidRPr="00277E48">
        <w:t xml:space="preserve"> limit</w:t>
      </w:r>
      <w:r>
        <w:t xml:space="preserve"> (Knell 2023)</w:t>
      </w:r>
      <w:r w:rsidRPr="00277E48">
        <w:t>.</w:t>
      </w:r>
      <w:r>
        <w:t xml:space="preserve"> Hazardous drinking and hazardous driving, including driving under the influence of alcohol and other drugs, are behaviours that are disproportionately concentrated in young New Zealanders, so the loss of life years in fatal crashes involving alcohol can be very high.</w:t>
      </w:r>
    </w:p>
    <w:p w14:paraId="2E22A975" w14:textId="381FDB4F" w:rsidR="002F5351" w:rsidRDefault="002F5351" w:rsidP="002F5351">
      <w:pPr>
        <w:pStyle w:val="USBodyText"/>
      </w:pPr>
      <w:r>
        <w:t>Because road crashes may involve catastrophic consequences, not only for a driver who may be intoxicated but for passengers, drivers of other vehicles, pedestrians and cyclists, the New Zealand Police dedicate significant resources to reducing the problem, with alcohol being a major target.</w:t>
      </w:r>
    </w:p>
    <w:p w14:paraId="02CBC3C0" w14:textId="0856D577" w:rsidR="002F5351" w:rsidRDefault="002F5351" w:rsidP="002F5351">
      <w:pPr>
        <w:pStyle w:val="USBodyText"/>
      </w:pPr>
      <w:r w:rsidRPr="001B46D7">
        <w:t xml:space="preserve">According to the NZ Police 2018 Alcohol Action Plan, 4,400 breath tests </w:t>
      </w:r>
      <w:r>
        <w:t>we</w:t>
      </w:r>
      <w:r w:rsidRPr="001B46D7">
        <w:t xml:space="preserve">re undertaken </w:t>
      </w:r>
      <w:r w:rsidR="6586CBE2">
        <w:t>daily</w:t>
      </w:r>
      <w:r>
        <w:t xml:space="preserve"> </w:t>
      </w:r>
      <w:r w:rsidRPr="001B46D7">
        <w:t>to assess blood alcohol levels (</w:t>
      </w:r>
      <w:r>
        <w:fldChar w:fldCharType="begin"/>
      </w:r>
      <w:r w:rsidR="00F244F6">
        <w:instrText xml:space="preserve"> ADDIN ZOTERO_ITEM CSL_CITATION {"citationID":"rZYwRo6D","properties":{"formattedCitation":"(New Zealand Police 2018)","plainCitation":"(New Zealand Police 2018)","dontUpdate":true,"noteIndex":0},"citationItems":[{"id":71359,"uris":["http://zotero.org/groups/4944822/items/QLDI78AF"],"itemData":{"id":71359,"type":"webpage","abstract":"The Alcohol Action Plan 2018 assists in reducing alcohol-related harm, offending and victimisation by setting out guiding principles and key actions for staff at all levels of our organisation.","container-title":"New Zealand Police","language":"en","title":"Alcohol Action Plan 2018","URL":"https://www.police.govt.nz/about-us/publication/alcohol-action-plan-2018","author":[{"family":"New Zealand Police","given":""}],"accessed":{"date-parts":[["2023",12,7]]},"issued":{"date-parts":[["2018"]]}}}],"schema":"https://github.com/citation-style-language/schema/raw/master/csl-citation.json"} </w:instrText>
      </w:r>
      <w:r>
        <w:fldChar w:fldCharType="separate"/>
      </w:r>
      <w:r w:rsidRPr="005B54CB">
        <w:rPr>
          <w:rFonts w:cs="Calibri"/>
        </w:rPr>
        <w:t>New Zealand Police 2018)</w:t>
      </w:r>
      <w:r>
        <w:fldChar w:fldCharType="end"/>
      </w:r>
      <w:r w:rsidRPr="001B46D7">
        <w:t>. Since 2018, increased effort</w:t>
      </w:r>
      <w:r w:rsidR="00273733">
        <w:t>s</w:t>
      </w:r>
      <w:r w:rsidRPr="001B46D7">
        <w:t xml:space="preserve"> to prevent alcohol-related road accidents </w:t>
      </w:r>
      <w:r w:rsidR="00273733">
        <w:t>have</w:t>
      </w:r>
      <w:r w:rsidRPr="001B46D7">
        <w:t xml:space="preserve"> seen roadside tests increase to over 2.6 million in the 2022/23 fiscal year – an average of 7,295 tests per day </w:t>
      </w:r>
      <w:r>
        <w:fldChar w:fldCharType="begin"/>
      </w:r>
      <w:r w:rsidR="00F244F6">
        <w:instrText xml:space="preserve"> ADDIN ZOTERO_ITEM CSL_CITATION {"citationID":"mJ9sgLkK","properties":{"formattedCitation":"(Knell 2023)","plainCitation":"(Knell 2023)","noteIndex":0},"citationItems":[{"id":71388,"uris":["http://zotero.org/groups/4944822/items/N9H2JDFK"],"itemData":{"id":71388,"type":"article-newspaper","abstract":"On the back of 111 deaths in 2022 involving a driver or rider over the limit, efforts have been stepped up – but still short of the 3 million target.","container-title":"The Post","language":"en","title":"One million more drink driving tests than last year","title-short":"‘Keep the public guessing’","URL":"https://www.thepost.co.nz/nz-news/350081837/one-million-more-drink-driving-tests-last-year","author":[{"family":"Knell","given":"Conor"}],"accessed":{"date-parts":[["2023",12,7]]},"issued":{"date-parts":[["2023",10,1]]}}}],"schema":"https://github.com/citation-style-language/schema/raw/master/csl-citation.json"} </w:instrText>
      </w:r>
      <w:r>
        <w:fldChar w:fldCharType="separate"/>
      </w:r>
      <w:r w:rsidRPr="00C64CF2">
        <w:rPr>
          <w:rFonts w:cs="Calibri"/>
        </w:rPr>
        <w:t>(Knell 2023)</w:t>
      </w:r>
      <w:r>
        <w:fldChar w:fldCharType="end"/>
      </w:r>
      <w:r>
        <w:t>.</w:t>
      </w:r>
    </w:p>
    <w:p w14:paraId="5E2152D9" w14:textId="43EF3E04" w:rsidR="002F5351" w:rsidRDefault="002F5351" w:rsidP="002F5351">
      <w:pPr>
        <w:pStyle w:val="USBodyText"/>
      </w:pPr>
      <w:r>
        <w:t>Although data presented by NZ Police, the Ministry of Justice and Stats NZ do not align perfectly due to NZ Police being the only data source that differentiates between alcohol and other substances in driving offences, the data reveal that most charges related to alcohol do not result in a prison, home or community detention sentence</w:t>
      </w:r>
      <w:r w:rsidR="00AC048D">
        <w:t xml:space="preserve"> </w:t>
      </w:r>
      <w:r>
        <w:t xml:space="preserve">(see </w:t>
      </w:r>
      <w:r w:rsidR="00F070D6">
        <w:fldChar w:fldCharType="begin"/>
      </w:r>
      <w:r w:rsidR="00F070D6">
        <w:instrText xml:space="preserve"> REF _Ref156228407 \h </w:instrText>
      </w:r>
      <w:r w:rsidR="00F070D6">
        <w:fldChar w:fldCharType="separate"/>
      </w:r>
      <w:r w:rsidR="00AE166D" w:rsidRPr="00731CA6">
        <w:t xml:space="preserve">Table </w:t>
      </w:r>
      <w:r w:rsidR="00AE166D">
        <w:rPr>
          <w:noProof/>
        </w:rPr>
        <w:t>15</w:t>
      </w:r>
      <w:r w:rsidR="00F070D6">
        <w:fldChar w:fldCharType="end"/>
      </w:r>
      <w:r w:rsidR="00AD09C7">
        <w:t xml:space="preserve"> </w:t>
      </w:r>
      <w:r>
        <w:t>below).</w:t>
      </w:r>
    </w:p>
    <w:p w14:paraId="3F742E38" w14:textId="64AF9ADF" w:rsidR="002F5351" w:rsidRPr="00731CA6" w:rsidRDefault="002F5351" w:rsidP="00CD6339">
      <w:pPr>
        <w:pStyle w:val="TableCaption"/>
        <w:keepLines/>
      </w:pPr>
      <w:bookmarkStart w:id="91" w:name="_Ref156228407"/>
      <w:bookmarkStart w:id="92" w:name="_Toc160633922"/>
      <w:r w:rsidRPr="00731CA6">
        <w:lastRenderedPageBreak/>
        <w:t xml:space="preserve">Table </w:t>
      </w:r>
      <w:fldSimple w:instr=" SEQ Table \* ARABIC ">
        <w:r w:rsidR="00AE166D">
          <w:rPr>
            <w:noProof/>
          </w:rPr>
          <w:t>15</w:t>
        </w:r>
      </w:fldSimple>
      <w:bookmarkEnd w:id="91"/>
      <w:r w:rsidRPr="00731CA6">
        <w:t xml:space="preserve"> </w:t>
      </w:r>
      <w:r>
        <w:t xml:space="preserve">Driving under the influence (DUI) </w:t>
      </w:r>
      <w:proofErr w:type="gramStart"/>
      <w:r>
        <w:t>data</w:t>
      </w:r>
      <w:bookmarkEnd w:id="92"/>
      <w:proofErr w:type="gramEnd"/>
    </w:p>
    <w:p w14:paraId="671DED96" w14:textId="77777777" w:rsidR="002F5351" w:rsidRPr="00731CA6" w:rsidRDefault="002F5351" w:rsidP="00CD6339">
      <w:pPr>
        <w:pStyle w:val="CaptionSubheading"/>
        <w:keepLines/>
      </w:pPr>
    </w:p>
    <w:tbl>
      <w:tblPr>
        <w:tblStyle w:val="TableDefault"/>
        <w:tblW w:w="8221" w:type="dxa"/>
        <w:tblLook w:val="0460" w:firstRow="1" w:lastRow="1" w:firstColumn="0" w:lastColumn="0" w:noHBand="0" w:noVBand="1"/>
      </w:tblPr>
      <w:tblGrid>
        <w:gridCol w:w="1559"/>
        <w:gridCol w:w="5388"/>
        <w:gridCol w:w="1274"/>
      </w:tblGrid>
      <w:tr w:rsidR="002F5351" w:rsidRPr="00731CA6" w14:paraId="1B1DA09A" w14:textId="77777777">
        <w:trPr>
          <w:cnfStyle w:val="100000000000" w:firstRow="1" w:lastRow="0" w:firstColumn="0" w:lastColumn="0" w:oddVBand="0" w:evenVBand="0" w:oddHBand="0" w:evenHBand="0" w:firstRowFirstColumn="0" w:firstRowLastColumn="0" w:lastRowFirstColumn="0" w:lastRowLastColumn="0"/>
        </w:trPr>
        <w:tc>
          <w:tcPr>
            <w:tcW w:w="948" w:type="pct"/>
          </w:tcPr>
          <w:p w14:paraId="02308C21" w14:textId="77777777" w:rsidR="002F5351" w:rsidRPr="00731CA6" w:rsidRDefault="002F5351" w:rsidP="00F070D6">
            <w:pPr>
              <w:pStyle w:val="TSTableHeadingWhite-TopRow"/>
            </w:pPr>
            <w:r>
              <w:t>Data source</w:t>
            </w:r>
          </w:p>
        </w:tc>
        <w:tc>
          <w:tcPr>
            <w:tcW w:w="3277" w:type="pct"/>
          </w:tcPr>
          <w:p w14:paraId="1B7C9266" w14:textId="77777777" w:rsidR="002F5351" w:rsidRPr="00731CA6" w:rsidRDefault="002F5351" w:rsidP="00F070D6">
            <w:pPr>
              <w:pStyle w:val="TSTableHeadingWhite-TopRow"/>
            </w:pPr>
            <w:r>
              <w:t>Definition</w:t>
            </w:r>
          </w:p>
        </w:tc>
        <w:tc>
          <w:tcPr>
            <w:tcW w:w="775" w:type="pct"/>
          </w:tcPr>
          <w:p w14:paraId="150926AE" w14:textId="77777777" w:rsidR="002F5351" w:rsidRPr="00731CA6" w:rsidRDefault="002F5351" w:rsidP="00F070D6">
            <w:pPr>
              <w:pStyle w:val="TSTableHeadingWhite-TopRow"/>
              <w:jc w:val="center"/>
            </w:pPr>
            <w:r>
              <w:t xml:space="preserve">2022/23 </w:t>
            </w:r>
          </w:p>
        </w:tc>
      </w:tr>
      <w:tr w:rsidR="002F5351" w:rsidRPr="00731CA6" w14:paraId="3633460E" w14:textId="77777777">
        <w:tc>
          <w:tcPr>
            <w:tcW w:w="948" w:type="pct"/>
          </w:tcPr>
          <w:p w14:paraId="5AA7010C" w14:textId="77777777" w:rsidR="002F5351" w:rsidRPr="00731CA6" w:rsidRDefault="002F5351" w:rsidP="00CD6339">
            <w:pPr>
              <w:pStyle w:val="TSBodyText"/>
              <w:keepNext/>
              <w:keepLines/>
            </w:pPr>
            <w:r>
              <w:t>NZ Police</w:t>
            </w:r>
          </w:p>
        </w:tc>
        <w:tc>
          <w:tcPr>
            <w:tcW w:w="3277" w:type="pct"/>
          </w:tcPr>
          <w:p w14:paraId="53DFFFAD" w14:textId="77777777" w:rsidR="002F5351" w:rsidRPr="00731CA6" w:rsidRDefault="002F5351" w:rsidP="00CD6339">
            <w:pPr>
              <w:pStyle w:val="TSBodyText"/>
              <w:keepNext/>
              <w:keepLines/>
            </w:pPr>
            <w:r>
              <w:t>Alcohol-related driver offences* (excludes drug-related driver offences)</w:t>
            </w:r>
          </w:p>
        </w:tc>
        <w:tc>
          <w:tcPr>
            <w:tcW w:w="775" w:type="pct"/>
          </w:tcPr>
          <w:p w14:paraId="53607347" w14:textId="77777777" w:rsidR="002F5351" w:rsidRPr="00731CA6" w:rsidRDefault="002F5351" w:rsidP="00CD6339">
            <w:pPr>
              <w:pStyle w:val="TSBodyText"/>
              <w:keepNext/>
              <w:keepLines/>
              <w:ind w:right="181"/>
              <w:jc w:val="right"/>
            </w:pPr>
            <w:r>
              <w:t>25,315</w:t>
            </w:r>
          </w:p>
        </w:tc>
      </w:tr>
      <w:tr w:rsidR="002F5351" w:rsidRPr="00731CA6" w14:paraId="13FC80F8" w14:textId="77777777">
        <w:trPr>
          <w:cnfStyle w:val="000000010000" w:firstRow="0" w:lastRow="0" w:firstColumn="0" w:lastColumn="0" w:oddVBand="0" w:evenVBand="0" w:oddHBand="0" w:evenHBand="1" w:firstRowFirstColumn="0" w:firstRowLastColumn="0" w:lastRowFirstColumn="0" w:lastRowLastColumn="0"/>
        </w:trPr>
        <w:tc>
          <w:tcPr>
            <w:tcW w:w="948" w:type="pct"/>
          </w:tcPr>
          <w:p w14:paraId="68136A10" w14:textId="77777777" w:rsidR="002F5351" w:rsidRPr="00731CA6" w:rsidRDefault="002F5351" w:rsidP="00CD6339">
            <w:pPr>
              <w:pStyle w:val="TSBodyText"/>
              <w:keepNext/>
              <w:keepLines/>
            </w:pPr>
            <w:r>
              <w:t>Ministry of Justice</w:t>
            </w:r>
          </w:p>
        </w:tc>
        <w:tc>
          <w:tcPr>
            <w:tcW w:w="3277" w:type="pct"/>
          </w:tcPr>
          <w:p w14:paraId="4BD8E5FE" w14:textId="77777777" w:rsidR="002F5351" w:rsidRPr="00731CA6" w:rsidRDefault="002F5351" w:rsidP="00CD6339">
            <w:pPr>
              <w:pStyle w:val="TSBodyText"/>
              <w:keepNext/>
              <w:keepLines/>
            </w:pPr>
            <w:r>
              <w:t>Convicted charges under ANZSOC group “</w:t>
            </w:r>
            <w:r w:rsidRPr="00680AEA">
              <w:t>Driving under the influence of alcohol or other substance</w:t>
            </w:r>
            <w:r>
              <w:t>” (includes cases where alcohol may not have been involved)</w:t>
            </w:r>
          </w:p>
        </w:tc>
        <w:tc>
          <w:tcPr>
            <w:tcW w:w="775" w:type="pct"/>
          </w:tcPr>
          <w:p w14:paraId="5AFC169E" w14:textId="77777777" w:rsidR="002F5351" w:rsidRPr="00731CA6" w:rsidRDefault="002F5351" w:rsidP="00CD6339">
            <w:pPr>
              <w:pStyle w:val="TSBodyText"/>
              <w:keepNext/>
              <w:keepLines/>
              <w:ind w:right="181"/>
              <w:jc w:val="right"/>
            </w:pPr>
            <w:r>
              <w:t>478</w:t>
            </w:r>
          </w:p>
        </w:tc>
      </w:tr>
      <w:tr w:rsidR="002F5351" w:rsidRPr="00731CA6" w14:paraId="0F68AC78" w14:textId="77777777">
        <w:tc>
          <w:tcPr>
            <w:tcW w:w="948" w:type="pct"/>
          </w:tcPr>
          <w:p w14:paraId="58EC6E34" w14:textId="77777777" w:rsidR="002F5351" w:rsidRDefault="002F5351" w:rsidP="00CD6339">
            <w:pPr>
              <w:pStyle w:val="TSBodyText"/>
              <w:keepNext/>
              <w:keepLines/>
            </w:pPr>
            <w:r>
              <w:t>Ministry of Justice</w:t>
            </w:r>
          </w:p>
        </w:tc>
        <w:tc>
          <w:tcPr>
            <w:tcW w:w="3277" w:type="pct"/>
          </w:tcPr>
          <w:p w14:paraId="014C9F01" w14:textId="77777777" w:rsidR="002F5351" w:rsidRDefault="002F5351" w:rsidP="00CD6339">
            <w:pPr>
              <w:pStyle w:val="TSBodyText"/>
              <w:keepNext/>
              <w:keepLines/>
            </w:pPr>
            <w:r>
              <w:t>Convicted charges under ANZSOC group “</w:t>
            </w:r>
            <w:r w:rsidRPr="005561A7">
              <w:t>Exceed the prescribed content of alcohol or other substance limit</w:t>
            </w:r>
            <w:r>
              <w:t xml:space="preserve">” </w:t>
            </w:r>
            <w:r w:rsidRPr="00740E3E">
              <w:t>(includes cases where alcohol may not have been involved)</w:t>
            </w:r>
          </w:p>
        </w:tc>
        <w:tc>
          <w:tcPr>
            <w:tcW w:w="775" w:type="pct"/>
          </w:tcPr>
          <w:p w14:paraId="737CA23B" w14:textId="77777777" w:rsidR="002F5351" w:rsidRDefault="002F5351" w:rsidP="00CD6339">
            <w:pPr>
              <w:pStyle w:val="TSBodyText"/>
              <w:keepNext/>
              <w:keepLines/>
              <w:ind w:right="181"/>
              <w:jc w:val="right"/>
            </w:pPr>
            <w:r>
              <w:t>15,392</w:t>
            </w:r>
          </w:p>
        </w:tc>
      </w:tr>
      <w:tr w:rsidR="002F5351" w:rsidRPr="00731CA6" w14:paraId="54B41C89" w14:textId="77777777">
        <w:trPr>
          <w:cnfStyle w:val="000000010000" w:firstRow="0" w:lastRow="0" w:firstColumn="0" w:lastColumn="0" w:oddVBand="0" w:evenVBand="0" w:oddHBand="0" w:evenHBand="1" w:firstRowFirstColumn="0" w:firstRowLastColumn="0" w:lastRowFirstColumn="0" w:lastRowLastColumn="0"/>
        </w:trPr>
        <w:tc>
          <w:tcPr>
            <w:tcW w:w="948" w:type="pct"/>
            <w:vAlign w:val="center"/>
          </w:tcPr>
          <w:p w14:paraId="3DAD4059" w14:textId="77777777" w:rsidR="002F5351" w:rsidRDefault="002F5351" w:rsidP="00CD6339">
            <w:pPr>
              <w:pStyle w:val="TSBodyText"/>
              <w:keepNext/>
              <w:keepLines/>
            </w:pPr>
            <w:r>
              <w:t>Ministry of Justice</w:t>
            </w:r>
          </w:p>
        </w:tc>
        <w:tc>
          <w:tcPr>
            <w:tcW w:w="3277" w:type="pct"/>
          </w:tcPr>
          <w:p w14:paraId="3A8A7E7C" w14:textId="77777777" w:rsidR="002F5351" w:rsidRDefault="002F5351" w:rsidP="00CD6339">
            <w:pPr>
              <w:pStyle w:val="TSBodyText"/>
              <w:keepNext/>
              <w:keepLines/>
            </w:pPr>
            <w:r>
              <w:t xml:space="preserve">People receiving a prison sentence on a conviction of </w:t>
            </w:r>
            <w:r w:rsidRPr="00732C1E">
              <w:t>ANZSOC group “Driving under the influence of alcohol or other substance”</w:t>
            </w:r>
            <w:r>
              <w:t xml:space="preserve"> or “</w:t>
            </w:r>
            <w:r w:rsidRPr="00732C1E">
              <w:t>ANZSOC group “Exceed the prescribed content of alcohol or other substance limit”</w:t>
            </w:r>
            <w:r>
              <w:t xml:space="preserve"> </w:t>
            </w:r>
            <w:r w:rsidRPr="00FD2510">
              <w:t>(includes cases where alcohol may not have been</w:t>
            </w:r>
            <w:r>
              <w:t xml:space="preserve"> </w:t>
            </w:r>
            <w:r w:rsidRPr="00FD2510">
              <w:t>involved)</w:t>
            </w:r>
            <w:r>
              <w:t xml:space="preserve"> </w:t>
            </w:r>
          </w:p>
        </w:tc>
        <w:tc>
          <w:tcPr>
            <w:tcW w:w="775" w:type="pct"/>
          </w:tcPr>
          <w:p w14:paraId="6E2320F4" w14:textId="77777777" w:rsidR="002F5351" w:rsidRDefault="002F5351" w:rsidP="00CD6339">
            <w:pPr>
              <w:pStyle w:val="TSBodyText"/>
              <w:keepNext/>
              <w:keepLines/>
              <w:ind w:right="181"/>
              <w:jc w:val="right"/>
            </w:pPr>
            <w:r>
              <w:t>248</w:t>
            </w:r>
          </w:p>
        </w:tc>
      </w:tr>
      <w:tr w:rsidR="002F5351" w:rsidRPr="00731CA6" w14:paraId="09D31A0C" w14:textId="77777777">
        <w:trPr>
          <w:cantSplit/>
        </w:trPr>
        <w:tc>
          <w:tcPr>
            <w:tcW w:w="948" w:type="pct"/>
            <w:vAlign w:val="center"/>
          </w:tcPr>
          <w:p w14:paraId="1CB7A331" w14:textId="77777777" w:rsidR="002F5351" w:rsidRDefault="002F5351" w:rsidP="00CD6339">
            <w:pPr>
              <w:pStyle w:val="TSBodyText"/>
              <w:keepNext/>
              <w:keepLines/>
            </w:pPr>
            <w:r>
              <w:t>Ministry of Justice</w:t>
            </w:r>
          </w:p>
        </w:tc>
        <w:tc>
          <w:tcPr>
            <w:tcW w:w="3277" w:type="pct"/>
          </w:tcPr>
          <w:p w14:paraId="4BFC4619" w14:textId="77777777" w:rsidR="002F5351" w:rsidRDefault="002F5351" w:rsidP="00CD6339">
            <w:pPr>
              <w:pStyle w:val="TSBodyText"/>
              <w:keepNext/>
              <w:keepLines/>
            </w:pPr>
            <w:r>
              <w:t xml:space="preserve">People receiving a sentence of home or community detention </w:t>
            </w:r>
            <w:r w:rsidRPr="00462811">
              <w:t>on a conviction of ANZSOC group “Driving under the influence of alcohol or other substance” or “ANZSOC group “Exceed the prescribed content of alcohol or other substance limit” (includes cases where alcohol may not have been involved)</w:t>
            </w:r>
          </w:p>
        </w:tc>
        <w:tc>
          <w:tcPr>
            <w:tcW w:w="775" w:type="pct"/>
          </w:tcPr>
          <w:p w14:paraId="281A08DF" w14:textId="77777777" w:rsidR="002F5351" w:rsidRDefault="002F5351" w:rsidP="00CD6339">
            <w:pPr>
              <w:pStyle w:val="TSBodyText"/>
              <w:keepNext/>
              <w:keepLines/>
              <w:ind w:right="181"/>
              <w:jc w:val="right"/>
            </w:pPr>
            <w:r>
              <w:t>1,665</w:t>
            </w:r>
          </w:p>
        </w:tc>
      </w:tr>
      <w:tr w:rsidR="002F5351" w:rsidRPr="00731CA6" w14:paraId="15549010" w14:textId="77777777">
        <w:trPr>
          <w:cnfStyle w:val="010000000000" w:firstRow="0" w:lastRow="1" w:firstColumn="0" w:lastColumn="0" w:oddVBand="0" w:evenVBand="0" w:oddHBand="0" w:evenHBand="0" w:firstRowFirstColumn="0" w:firstRowLastColumn="0" w:lastRowFirstColumn="0" w:lastRowLastColumn="0"/>
        </w:trPr>
        <w:tc>
          <w:tcPr>
            <w:tcW w:w="948" w:type="pct"/>
          </w:tcPr>
          <w:p w14:paraId="029AF955" w14:textId="677D1F84" w:rsidR="002F5351" w:rsidRPr="00731CA6" w:rsidRDefault="000935E3" w:rsidP="00CD6339">
            <w:pPr>
              <w:pStyle w:val="TSBodyText"/>
              <w:keepNext/>
              <w:keepLines/>
            </w:pPr>
            <w:r>
              <w:t>Stats NZ</w:t>
            </w:r>
          </w:p>
        </w:tc>
        <w:tc>
          <w:tcPr>
            <w:tcW w:w="3277" w:type="pct"/>
          </w:tcPr>
          <w:p w14:paraId="0E5BE37C" w14:textId="77777777" w:rsidR="002F5351" w:rsidRPr="00731CA6" w:rsidRDefault="002F5351" w:rsidP="00CD6339">
            <w:pPr>
              <w:pStyle w:val="TSBodyText"/>
              <w:keepNext/>
              <w:keepLines/>
            </w:pPr>
            <w:r>
              <w:t xml:space="preserve">Number of adults convicted for driving offences related to alcohol or drugs where this was the most serious offence </w:t>
            </w:r>
            <w:r w:rsidRPr="00740E3E">
              <w:t>(includes cases where alcohol may not have been involved)</w:t>
            </w:r>
          </w:p>
        </w:tc>
        <w:tc>
          <w:tcPr>
            <w:tcW w:w="775" w:type="pct"/>
          </w:tcPr>
          <w:p w14:paraId="7632C8F7" w14:textId="77777777" w:rsidR="002F5351" w:rsidRPr="00731CA6" w:rsidRDefault="002F5351" w:rsidP="00AD09C7">
            <w:pPr>
              <w:pStyle w:val="TSBodyText"/>
              <w:keepNext/>
              <w:keepLines/>
              <w:jc w:val="right"/>
            </w:pPr>
            <w:r>
              <w:t>13,354</w:t>
            </w:r>
          </w:p>
        </w:tc>
      </w:tr>
    </w:tbl>
    <w:p w14:paraId="682771AE" w14:textId="58221547" w:rsidR="002F5351" w:rsidRDefault="002F5351" w:rsidP="00CD6339">
      <w:pPr>
        <w:pStyle w:val="USSource"/>
        <w:keepNext/>
        <w:keepLines/>
        <w:spacing w:after="120"/>
      </w:pPr>
      <w:r>
        <w:t xml:space="preserve">* Offences include infringement offences (common traffic offences where an infringement notice is given, </w:t>
      </w:r>
      <w:proofErr w:type="gramStart"/>
      <w:r w:rsidR="00602781">
        <w:t>e.g</w:t>
      </w:r>
      <w:r>
        <w:t>.</w:t>
      </w:r>
      <w:proofErr w:type="gramEnd"/>
      <w:r>
        <w:t xml:space="preserve"> a notice of a lower level breach of the breath alcohol limits), category 1 offences, and category 2 and 3 offences. Infringement offices only result in court action when the offending party chooses to challenge the notice. Infringement offences do not result in convictions. Category 1 offences may result in a criminal conviction but do not lead to prison sentences. Category 2 and 3 offences may result in a criminal conviction and a prison sentence.</w:t>
      </w:r>
    </w:p>
    <w:p w14:paraId="4C40FF12" w14:textId="77777777" w:rsidR="002F5351" w:rsidRPr="00731CA6" w:rsidRDefault="002F5351" w:rsidP="002F5351">
      <w:pPr>
        <w:pStyle w:val="USSource"/>
      </w:pPr>
      <w:r w:rsidRPr="00731CA6">
        <w:t xml:space="preserve">Source: </w:t>
      </w:r>
      <w:r>
        <w:t>NZ Police, Ministry of Justice, Stats NZ</w:t>
      </w:r>
    </w:p>
    <w:p w14:paraId="74862DBA" w14:textId="392D27DD" w:rsidR="002F5351" w:rsidRDefault="002F5351" w:rsidP="002F5351">
      <w:pPr>
        <w:pStyle w:val="USBodyText"/>
      </w:pPr>
      <w:r>
        <w:t xml:space="preserve">A shortcoming of the data is that it does not reveal what led to the charges and convictions. Some drivers are stopped by the preventive efforts of </w:t>
      </w:r>
      <w:r w:rsidR="00473EA9">
        <w:t xml:space="preserve">the </w:t>
      </w:r>
      <w:r w:rsidR="001235A3">
        <w:t>P</w:t>
      </w:r>
      <w:r>
        <w:t>olice, which in some cases may avert serious or catastrophic consequences. In other cases, charges are laid after those consequences have occurred.</w:t>
      </w:r>
    </w:p>
    <w:p w14:paraId="5A9530C1" w14:textId="2A57AC24" w:rsidR="002F5351" w:rsidRDefault="002F5351" w:rsidP="002F5351">
      <w:pPr>
        <w:pStyle w:val="USBodyText"/>
      </w:pPr>
      <w:r>
        <w:t xml:space="preserve">According to the Ministry of Transport </w:t>
      </w:r>
      <w:r>
        <w:fldChar w:fldCharType="begin"/>
      </w:r>
      <w:r w:rsidR="00F244F6">
        <w:instrText xml:space="preserve"> ADDIN ZOTERO_ITEM CSL_CITATION {"citationID":"r3NlAcbr","properties":{"formattedCitation":"(Ministry of Transport 2022)","plainCitation":"(Ministry of Transport 2022)","dontUpdate":true,"noteIndex":0},"citationItems":[{"id":71390,"uris":["http://zotero.org/groups/4944822/items/RXPXR6DH"],"itemData":{"id":71390,"type":"webpage","title":"Alcohol and drugs","URL":"https://www.transport.govt.nz/statistics-and-insights/safety-annual-statistics/sheet/alcohol-and-drugs","author":[{"family":"Ministry of Transport","given":""}],"accessed":{"date-parts":[["2023",12,7]]},"issued":{"date-parts":[["2022"]]}}}],"schema":"https://github.com/citation-style-language/schema/raw/master/csl-citation.json"} </w:instrText>
      </w:r>
      <w:r>
        <w:fldChar w:fldCharType="separate"/>
      </w:r>
      <w:r w:rsidRPr="001B59AA">
        <w:rPr>
          <w:rFonts w:cs="Calibri"/>
        </w:rPr>
        <w:t>(2022)</w:t>
      </w:r>
      <w:r>
        <w:fldChar w:fldCharType="end"/>
      </w:r>
      <w:r>
        <w:t>, o</w:t>
      </w:r>
      <w:r w:rsidRPr="00514EAC">
        <w:t>f all drivers involved in fatal crashes, the 20</w:t>
      </w:r>
      <w:r>
        <w:t>–</w:t>
      </w:r>
      <w:r w:rsidRPr="00514EAC">
        <w:t>24 year age group has the greatest number of drivers affected by alcohol</w:t>
      </w:r>
      <w:r>
        <w:t xml:space="preserve"> and/or </w:t>
      </w:r>
      <w:r w:rsidRPr="00514EAC">
        <w:t>drugs. For older drivers, alcohol</w:t>
      </w:r>
      <w:r>
        <w:t xml:space="preserve"> and </w:t>
      </w:r>
      <w:r w:rsidRPr="00514EAC">
        <w:t>drugs generally decrease as contributing factor</w:t>
      </w:r>
      <w:r>
        <w:t>s</w:t>
      </w:r>
      <w:r w:rsidRPr="00514EAC">
        <w:t xml:space="preserve"> in fatal crashes.</w:t>
      </w:r>
      <w:r>
        <w:t xml:space="preserve"> </w:t>
      </w:r>
    </w:p>
    <w:p w14:paraId="287C4371" w14:textId="77777777" w:rsidR="002F5351" w:rsidRDefault="002F5351" w:rsidP="00CA045A">
      <w:pPr>
        <w:pStyle w:val="Heading3"/>
      </w:pPr>
      <w:r>
        <w:t>Road crashes attribution to alcohol</w:t>
      </w:r>
    </w:p>
    <w:p w14:paraId="42340C09" w14:textId="77777777" w:rsidR="002F5351" w:rsidRDefault="002F5351" w:rsidP="002F5351">
      <w:pPr>
        <w:pStyle w:val="USBodyText"/>
      </w:pPr>
      <w:r>
        <w:t>The Ministry of Transport collects and analyses detailed data on road crashes, including road crashes where alcohol was involved, and has provided recent estimates of the total social cost of road crashes along with a breakdown by type of crash and cost component.</w:t>
      </w:r>
    </w:p>
    <w:p w14:paraId="64854DDD" w14:textId="77777777" w:rsidR="002F5351" w:rsidRDefault="002F5351" w:rsidP="002F5351">
      <w:pPr>
        <w:pStyle w:val="USBodyText"/>
      </w:pPr>
      <w:r>
        <w:t>The Ministry of Transport also provides data on the share of road crashes where alcohol and/or drugs were a contributing factor, based on:</w:t>
      </w:r>
    </w:p>
    <w:p w14:paraId="6908F551" w14:textId="77777777" w:rsidR="002F5351" w:rsidRDefault="002F5351" w:rsidP="002F5351">
      <w:pPr>
        <w:pStyle w:val="USBullet1"/>
      </w:pPr>
      <w:r>
        <w:t>the</w:t>
      </w:r>
      <w:r w:rsidRPr="00C177D1">
        <w:t xml:space="preserve"> driver’s blood or breath alcohol level </w:t>
      </w:r>
      <w:r>
        <w:t>is</w:t>
      </w:r>
      <w:r w:rsidRPr="00C177D1">
        <w:t xml:space="preserve"> </w:t>
      </w:r>
      <w:r>
        <w:t xml:space="preserve">found to be </w:t>
      </w:r>
      <w:r w:rsidRPr="00C177D1">
        <w:t xml:space="preserve">above the legal </w:t>
      </w:r>
      <w:proofErr w:type="gramStart"/>
      <w:r w:rsidRPr="00C177D1">
        <w:t>limit</w:t>
      </w:r>
      <w:proofErr w:type="gramEnd"/>
    </w:p>
    <w:p w14:paraId="17B8230F" w14:textId="77777777" w:rsidR="002F5351" w:rsidRDefault="002F5351" w:rsidP="002F5351">
      <w:pPr>
        <w:pStyle w:val="USBullet1"/>
      </w:pPr>
      <w:r w:rsidRPr="00C177D1">
        <w:lastRenderedPageBreak/>
        <w:t xml:space="preserve">drugs proved to be in the driver’s </w:t>
      </w:r>
      <w:proofErr w:type="gramStart"/>
      <w:r w:rsidRPr="00C177D1">
        <w:t>blood</w:t>
      </w:r>
      <w:proofErr w:type="gramEnd"/>
    </w:p>
    <w:p w14:paraId="0E25A8E1" w14:textId="77777777" w:rsidR="002F5351" w:rsidRDefault="002F5351" w:rsidP="002F5351">
      <w:pPr>
        <w:pStyle w:val="USBullet1"/>
      </w:pPr>
      <w:r w:rsidRPr="00C177D1">
        <w:t>the attending officer suspect</w:t>
      </w:r>
      <w:r>
        <w:t>ed</w:t>
      </w:r>
      <w:r w:rsidRPr="00C177D1">
        <w:t xml:space="preserve"> that alcohol/drug consumption contributed to the crash</w:t>
      </w:r>
      <w:r>
        <w:t>.</w:t>
      </w:r>
    </w:p>
    <w:p w14:paraId="55CC7C94" w14:textId="57C77D6C" w:rsidR="002F5351" w:rsidRDefault="002F5351" w:rsidP="002F5351">
      <w:pPr>
        <w:pStyle w:val="USBodyText"/>
      </w:pPr>
      <w:r>
        <w:t xml:space="preserve">The Ministry of Transport breaks down the factors contributing to fatal crashes from 2019 to 2021 in the figure below, identifying that 12 percent of fatal crashes involve alcohol, 12 percent involve alcohol and drugs, and 20 percent involve only drugs (see </w:t>
      </w:r>
      <w:r w:rsidR="00F070D6">
        <w:fldChar w:fldCharType="begin"/>
      </w:r>
      <w:r w:rsidR="00F070D6">
        <w:instrText xml:space="preserve"> REF _Ref156228466 \h </w:instrText>
      </w:r>
      <w:r w:rsidR="00F070D6">
        <w:fldChar w:fldCharType="separate"/>
      </w:r>
      <w:r w:rsidR="00AE166D">
        <w:t>F</w:t>
      </w:r>
      <w:r w:rsidR="00AE166D" w:rsidRPr="00731CA6">
        <w:t>igure </w:t>
      </w:r>
      <w:r w:rsidR="00AE166D">
        <w:rPr>
          <w:noProof/>
        </w:rPr>
        <w:t>9</w:t>
      </w:r>
      <w:r w:rsidR="00F070D6">
        <w:fldChar w:fldCharType="end"/>
      </w:r>
      <w:r>
        <w:t xml:space="preserve"> below). </w:t>
      </w:r>
    </w:p>
    <w:p w14:paraId="20D4267D" w14:textId="70692AC8" w:rsidR="002F5351" w:rsidRDefault="002F5351" w:rsidP="002F5351">
      <w:pPr>
        <w:pStyle w:val="FigureCaption"/>
        <w:rPr>
          <w:rStyle w:val="FollowedHyperlink"/>
          <w:color w:val="0094C5"/>
          <w:u w:val="none"/>
        </w:rPr>
      </w:pPr>
      <w:bookmarkStart w:id="93" w:name="_Ref156228466"/>
      <w:bookmarkStart w:id="94" w:name="_Toc160633897"/>
      <w:r>
        <w:t>F</w:t>
      </w:r>
      <w:r w:rsidRPr="00731CA6">
        <w:t>igure </w:t>
      </w:r>
      <w:fldSimple w:instr=" SEQ Figure \* ARABIC ">
        <w:r w:rsidR="00AE166D">
          <w:rPr>
            <w:noProof/>
          </w:rPr>
          <w:t>9</w:t>
        </w:r>
      </w:fldSimple>
      <w:bookmarkEnd w:id="93"/>
      <w:r>
        <w:rPr>
          <w:rStyle w:val="FollowedHyperlink"/>
          <w:color w:val="0094C5"/>
          <w:u w:val="none"/>
        </w:rPr>
        <w:t xml:space="preserve"> </w:t>
      </w:r>
      <w:r w:rsidRPr="00660992">
        <w:rPr>
          <w:rStyle w:val="FollowedHyperlink"/>
          <w:color w:val="0094C5"/>
          <w:u w:val="none"/>
        </w:rPr>
        <w:t>Driver alcohol and/or drugs as contributing factors in fatal crashes</w:t>
      </w:r>
      <w:bookmarkEnd w:id="94"/>
      <w:r w:rsidRPr="00660992">
        <w:rPr>
          <w:rStyle w:val="FollowedHyperlink"/>
          <w:color w:val="0094C5"/>
          <w:u w:val="none"/>
        </w:rPr>
        <w:t xml:space="preserve"> </w:t>
      </w:r>
    </w:p>
    <w:p w14:paraId="05D55265" w14:textId="145F0BAD" w:rsidR="002F5351" w:rsidRPr="0038706E" w:rsidRDefault="002F5351" w:rsidP="002F5351">
      <w:pPr>
        <w:pStyle w:val="CaptionSubheading"/>
        <w:rPr>
          <w:rStyle w:val="FollowedHyperlink"/>
          <w:color w:val="auto"/>
          <w:u w:val="none"/>
        </w:rPr>
      </w:pPr>
      <w:r w:rsidRPr="00BF4139">
        <w:rPr>
          <w:rStyle w:val="FollowedHyperlink"/>
          <w:color w:val="auto"/>
          <w:u w:val="none"/>
        </w:rPr>
        <w:t>2019</w:t>
      </w:r>
      <w:r w:rsidR="00473EA9">
        <w:rPr>
          <w:rStyle w:val="FollowedHyperlink"/>
          <w:color w:val="auto"/>
          <w:u w:val="none"/>
        </w:rPr>
        <w:t>–</w:t>
      </w:r>
      <w:r w:rsidRPr="00BF4139">
        <w:rPr>
          <w:rStyle w:val="FollowedHyperlink"/>
          <w:color w:val="auto"/>
          <w:u w:val="none"/>
        </w:rPr>
        <w:t>2021</w:t>
      </w:r>
    </w:p>
    <w:p w14:paraId="63C69D05" w14:textId="77777777" w:rsidR="002F5351" w:rsidRDefault="002F5351" w:rsidP="002F5351">
      <w:pPr>
        <w:pStyle w:val="USBodyText"/>
      </w:pPr>
      <w:r>
        <w:rPr>
          <w:noProof/>
        </w:rPr>
        <w:drawing>
          <wp:inline distT="0" distB="0" distL="0" distR="0" wp14:anchorId="30BF2F2A" wp14:editId="44EFB890">
            <wp:extent cx="4167946" cy="2857500"/>
            <wp:effectExtent l="0" t="0" r="4445" b="0"/>
            <wp:docPr id="1042150365" name="Picture 1042150365" descr="The chart is a pie chart showing the percentage of fatal crashes estimated to be caused by alcohol and drugs (12%), alcohol only (12%), drugs only (20%), and neither drugs nor alcohol (other factor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50365" name="Picture 1042150365" descr="The chart is a pie chart showing the percentage of fatal crashes estimated to be caused by alcohol and drugs (12%), alcohol only (12%), drugs only (20%), and neither drugs nor alcohol (other factors)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0280" cy="2859100"/>
                    </a:xfrm>
                    <a:prstGeom prst="rect">
                      <a:avLst/>
                    </a:prstGeom>
                    <a:noFill/>
                  </pic:spPr>
                </pic:pic>
              </a:graphicData>
            </a:graphic>
          </wp:inline>
        </w:drawing>
      </w:r>
    </w:p>
    <w:p w14:paraId="5582A8B9" w14:textId="77777777" w:rsidR="002F5351" w:rsidRDefault="002F5351" w:rsidP="002F5351">
      <w:pPr>
        <w:pStyle w:val="USSource"/>
      </w:pPr>
      <w:r>
        <w:t>Source: NZIER, Ministry of Transport data</w:t>
      </w:r>
    </w:p>
    <w:p w14:paraId="108FAE3B" w14:textId="6ABFE6DE" w:rsidR="002F5351" w:rsidRDefault="002F5351" w:rsidP="002F5351">
      <w:pPr>
        <w:pStyle w:val="USBodyText"/>
      </w:pPr>
      <w:r>
        <w:t xml:space="preserve">The Ministry of Transport also indicates that in 2021, the most recent year for which crash data is analysed by contributing factor, there were 285 fatal crashes (Ministry of Transport annual crash statement 2021). Based on these facts, alcohol alone is estimated to cause between 12 percent and 24 percent of all </w:t>
      </w:r>
      <w:r w:rsidRPr="005D4A3F">
        <w:t xml:space="preserve">fatal crashes </w:t>
      </w:r>
      <w:r>
        <w:t xml:space="preserve">or 34 to 68 fatal vehicle crashes per year (see </w:t>
      </w:r>
      <w:r w:rsidR="00791B32">
        <w:fldChar w:fldCharType="begin"/>
      </w:r>
      <w:r w:rsidR="00791B32">
        <w:instrText xml:space="preserve"> REF _Ref156155291 \h </w:instrText>
      </w:r>
      <w:r w:rsidR="00791B32">
        <w:fldChar w:fldCharType="separate"/>
      </w:r>
      <w:r w:rsidR="00AE166D" w:rsidRPr="00731CA6">
        <w:t xml:space="preserve">Table </w:t>
      </w:r>
      <w:r w:rsidR="00AE166D">
        <w:rPr>
          <w:noProof/>
        </w:rPr>
        <w:t>16</w:t>
      </w:r>
      <w:r w:rsidR="00791B32">
        <w:fldChar w:fldCharType="end"/>
      </w:r>
      <w:r>
        <w:t xml:space="preserve"> below).</w:t>
      </w:r>
    </w:p>
    <w:p w14:paraId="731BCBEC" w14:textId="1C224FA2" w:rsidR="002F5351" w:rsidRPr="00731CA6" w:rsidRDefault="002F5351" w:rsidP="002F5351">
      <w:pPr>
        <w:pStyle w:val="TableCaption"/>
      </w:pPr>
      <w:bookmarkStart w:id="95" w:name="_Ref156155291"/>
      <w:bookmarkStart w:id="96" w:name="_Toc160633923"/>
      <w:r w:rsidRPr="00731CA6">
        <w:t xml:space="preserve">Table </w:t>
      </w:r>
      <w:fldSimple w:instr=" SEQ Table \* ARABIC ">
        <w:r w:rsidR="00AE166D">
          <w:rPr>
            <w:noProof/>
          </w:rPr>
          <w:t>16</w:t>
        </w:r>
      </w:fldSimple>
      <w:bookmarkEnd w:id="95"/>
      <w:r w:rsidRPr="00731CA6">
        <w:t xml:space="preserve"> </w:t>
      </w:r>
      <w:r>
        <w:t>Estimation of alcohol-attributable fatal vehicle crashes</w:t>
      </w:r>
      <w:bookmarkEnd w:id="96"/>
    </w:p>
    <w:p w14:paraId="0C6B094F" w14:textId="77777777" w:rsidR="002F5351" w:rsidRPr="00731CA6" w:rsidRDefault="002F5351" w:rsidP="002F5351">
      <w:pPr>
        <w:pStyle w:val="CaptionSubheading"/>
      </w:pPr>
    </w:p>
    <w:tbl>
      <w:tblPr>
        <w:tblStyle w:val="TableDefault"/>
        <w:tblW w:w="8220" w:type="dxa"/>
        <w:tblLook w:val="0460" w:firstRow="1" w:lastRow="1" w:firstColumn="0" w:lastColumn="0" w:noHBand="0" w:noVBand="1"/>
      </w:tblPr>
      <w:tblGrid>
        <w:gridCol w:w="2740"/>
        <w:gridCol w:w="2741"/>
        <w:gridCol w:w="2739"/>
      </w:tblGrid>
      <w:tr w:rsidR="002F5351" w:rsidRPr="00731CA6" w14:paraId="2D1B6FAA" w14:textId="77777777">
        <w:trPr>
          <w:cnfStyle w:val="100000000000" w:firstRow="1" w:lastRow="0" w:firstColumn="0" w:lastColumn="0" w:oddVBand="0" w:evenVBand="0" w:oddHBand="0" w:evenHBand="0" w:firstRowFirstColumn="0" w:firstRowLastColumn="0" w:lastRowFirstColumn="0" w:lastRowLastColumn="0"/>
        </w:trPr>
        <w:tc>
          <w:tcPr>
            <w:tcW w:w="1667" w:type="pct"/>
          </w:tcPr>
          <w:p w14:paraId="0150D6D2" w14:textId="77777777" w:rsidR="002F5351" w:rsidRPr="00731CA6" w:rsidRDefault="002F5351">
            <w:pPr>
              <w:pStyle w:val="TSTableHeadingWhite-TopRow"/>
            </w:pPr>
          </w:p>
        </w:tc>
        <w:tc>
          <w:tcPr>
            <w:tcW w:w="1667" w:type="pct"/>
          </w:tcPr>
          <w:p w14:paraId="154DF5D5" w14:textId="77777777" w:rsidR="002F5351" w:rsidRPr="00731CA6" w:rsidRDefault="002F5351">
            <w:pPr>
              <w:pStyle w:val="TSTableHeadingWhite-TopRow"/>
              <w:jc w:val="center"/>
            </w:pPr>
            <w:r>
              <w:t>Low estimate (alcohol alone)</w:t>
            </w:r>
          </w:p>
        </w:tc>
        <w:tc>
          <w:tcPr>
            <w:tcW w:w="1666" w:type="pct"/>
          </w:tcPr>
          <w:p w14:paraId="6ADCA10D" w14:textId="77777777" w:rsidR="002F5351" w:rsidRPr="00731CA6" w:rsidRDefault="002F5351">
            <w:pPr>
              <w:pStyle w:val="TSTableHeadingWhite-TopRow"/>
              <w:jc w:val="center"/>
            </w:pPr>
            <w:r>
              <w:t>High estimate (alcohol and drugs)</w:t>
            </w:r>
          </w:p>
        </w:tc>
      </w:tr>
      <w:tr w:rsidR="002F5351" w:rsidRPr="00731CA6" w14:paraId="5456407F" w14:textId="77777777">
        <w:tc>
          <w:tcPr>
            <w:tcW w:w="1667" w:type="pct"/>
          </w:tcPr>
          <w:p w14:paraId="10979943" w14:textId="77777777" w:rsidR="002F5351" w:rsidRPr="00731CA6" w:rsidRDefault="002F5351">
            <w:pPr>
              <w:pStyle w:val="TSBodyText"/>
            </w:pPr>
            <w:r w:rsidRPr="00EF524D">
              <w:t>Number of crashes</w:t>
            </w:r>
          </w:p>
        </w:tc>
        <w:tc>
          <w:tcPr>
            <w:tcW w:w="1667" w:type="pct"/>
          </w:tcPr>
          <w:p w14:paraId="22DF6447" w14:textId="77777777" w:rsidR="002F5351" w:rsidRPr="00731CA6" w:rsidRDefault="002F5351">
            <w:pPr>
              <w:pStyle w:val="TSBodyText"/>
              <w:ind w:right="1122"/>
              <w:jc w:val="right"/>
            </w:pPr>
            <w:r w:rsidRPr="00EF524D">
              <w:t>285</w:t>
            </w:r>
          </w:p>
        </w:tc>
        <w:tc>
          <w:tcPr>
            <w:tcW w:w="1666" w:type="pct"/>
          </w:tcPr>
          <w:p w14:paraId="6F16AF76" w14:textId="77777777" w:rsidR="002F5351" w:rsidRPr="00731CA6" w:rsidRDefault="002F5351">
            <w:pPr>
              <w:pStyle w:val="TSBodyText"/>
              <w:ind w:right="1122"/>
              <w:jc w:val="right"/>
            </w:pPr>
            <w:r w:rsidRPr="00EF524D">
              <w:t>285</w:t>
            </w:r>
          </w:p>
        </w:tc>
      </w:tr>
      <w:tr w:rsidR="002F5351" w:rsidRPr="00731CA6" w14:paraId="25FC730D" w14:textId="77777777">
        <w:trPr>
          <w:cnfStyle w:val="000000010000" w:firstRow="0" w:lastRow="0" w:firstColumn="0" w:lastColumn="0" w:oddVBand="0" w:evenVBand="0" w:oddHBand="0" w:evenHBand="1" w:firstRowFirstColumn="0" w:firstRowLastColumn="0" w:lastRowFirstColumn="0" w:lastRowLastColumn="0"/>
        </w:trPr>
        <w:tc>
          <w:tcPr>
            <w:tcW w:w="1667" w:type="pct"/>
          </w:tcPr>
          <w:p w14:paraId="0BF52115" w14:textId="77777777" w:rsidR="002F5351" w:rsidRPr="00731CA6" w:rsidRDefault="002F5351">
            <w:pPr>
              <w:pStyle w:val="TSBodyText"/>
            </w:pPr>
            <w:r w:rsidRPr="00EF524D">
              <w:t>Percentage of crashes where alcohol was a contributing factor</w:t>
            </w:r>
          </w:p>
        </w:tc>
        <w:tc>
          <w:tcPr>
            <w:tcW w:w="1667" w:type="pct"/>
          </w:tcPr>
          <w:p w14:paraId="5602C70B" w14:textId="77777777" w:rsidR="002F5351" w:rsidRPr="00731CA6" w:rsidRDefault="002F5351">
            <w:pPr>
              <w:pStyle w:val="TSBodyText"/>
              <w:ind w:right="1122"/>
              <w:jc w:val="right"/>
            </w:pPr>
            <w:r w:rsidRPr="00EF524D">
              <w:t>12%</w:t>
            </w:r>
          </w:p>
        </w:tc>
        <w:tc>
          <w:tcPr>
            <w:tcW w:w="1666" w:type="pct"/>
          </w:tcPr>
          <w:p w14:paraId="439AD57A" w14:textId="77777777" w:rsidR="002F5351" w:rsidRPr="00731CA6" w:rsidRDefault="002F5351">
            <w:pPr>
              <w:pStyle w:val="TSBodyText"/>
              <w:ind w:right="1122"/>
              <w:jc w:val="right"/>
            </w:pPr>
            <w:r w:rsidRPr="00EF524D">
              <w:t>24%</w:t>
            </w:r>
          </w:p>
        </w:tc>
      </w:tr>
      <w:tr w:rsidR="002F5351" w:rsidRPr="00731CA6" w14:paraId="7CCC01D5" w14:textId="77777777">
        <w:trPr>
          <w:cnfStyle w:val="010000000000" w:firstRow="0" w:lastRow="1" w:firstColumn="0" w:lastColumn="0" w:oddVBand="0" w:evenVBand="0" w:oddHBand="0" w:evenHBand="0" w:firstRowFirstColumn="0" w:firstRowLastColumn="0" w:lastRowFirstColumn="0" w:lastRowLastColumn="0"/>
        </w:trPr>
        <w:tc>
          <w:tcPr>
            <w:tcW w:w="1667" w:type="pct"/>
          </w:tcPr>
          <w:p w14:paraId="60D6895F" w14:textId="77777777" w:rsidR="002F5351" w:rsidRPr="00731CA6" w:rsidRDefault="002F5351">
            <w:pPr>
              <w:pStyle w:val="TSBodyText"/>
            </w:pPr>
            <w:r w:rsidRPr="00EF524D">
              <w:t>Number of crashes potentially caused by alcohol</w:t>
            </w:r>
          </w:p>
        </w:tc>
        <w:tc>
          <w:tcPr>
            <w:tcW w:w="1667" w:type="pct"/>
          </w:tcPr>
          <w:p w14:paraId="2160DE93" w14:textId="77777777" w:rsidR="002F5351" w:rsidRPr="00731CA6" w:rsidRDefault="002F5351">
            <w:pPr>
              <w:pStyle w:val="TSBodyText"/>
              <w:ind w:right="1122"/>
              <w:jc w:val="right"/>
            </w:pPr>
            <w:r w:rsidRPr="00EF524D">
              <w:t xml:space="preserve"> 34.20 </w:t>
            </w:r>
          </w:p>
        </w:tc>
        <w:tc>
          <w:tcPr>
            <w:tcW w:w="1666" w:type="pct"/>
          </w:tcPr>
          <w:p w14:paraId="1C4777CF" w14:textId="77777777" w:rsidR="002F5351" w:rsidRPr="00731CA6" w:rsidRDefault="002F5351">
            <w:pPr>
              <w:pStyle w:val="TSBodyText"/>
              <w:ind w:right="1122"/>
              <w:jc w:val="right"/>
            </w:pPr>
            <w:r w:rsidRPr="00EF524D">
              <w:t xml:space="preserve"> 68.40 </w:t>
            </w:r>
          </w:p>
        </w:tc>
      </w:tr>
    </w:tbl>
    <w:p w14:paraId="396F4D14" w14:textId="77777777" w:rsidR="002F5351" w:rsidRPr="00731CA6" w:rsidRDefault="002F5351" w:rsidP="002F5351">
      <w:pPr>
        <w:pStyle w:val="USSource"/>
      </w:pPr>
      <w:r w:rsidRPr="00731CA6">
        <w:t xml:space="preserve">Source: </w:t>
      </w:r>
      <w:r>
        <w:t>NZIER, Ministry of Transport data</w:t>
      </w:r>
    </w:p>
    <w:p w14:paraId="7DECC61D" w14:textId="77777777" w:rsidR="002F5351" w:rsidRDefault="002F5351" w:rsidP="002F5351">
      <w:pPr>
        <w:pStyle w:val="USBodyText"/>
      </w:pPr>
      <w:r>
        <w:lastRenderedPageBreak/>
        <w:t>The Ministry of Transport does not provide a breakdown of serious injury and minor injury crashes that identify those where alcohol and drugs alone were contributing factors. However, it does indicate that in 2021, there were:</w:t>
      </w:r>
    </w:p>
    <w:p w14:paraId="7F793C2B" w14:textId="77777777" w:rsidR="002F5351" w:rsidRDefault="002F5351" w:rsidP="002F5351">
      <w:pPr>
        <w:pStyle w:val="USBullet1"/>
      </w:pPr>
      <w:r>
        <w:t xml:space="preserve">178 serious injury crashes involving alcohol and/or </w:t>
      </w:r>
      <w:proofErr w:type="gramStart"/>
      <w:r>
        <w:t>drugs</w:t>
      </w:r>
      <w:proofErr w:type="gramEnd"/>
    </w:p>
    <w:p w14:paraId="690644B7" w14:textId="77777777" w:rsidR="002F5351" w:rsidRDefault="002F5351" w:rsidP="002F5351">
      <w:pPr>
        <w:pStyle w:val="USBullet1"/>
      </w:pPr>
      <w:r w:rsidRPr="00960F85">
        <w:t>956 minor injury crashes</w:t>
      </w:r>
      <w:r>
        <w:t xml:space="preserve"> involving alcohol and/or drugs.</w:t>
      </w:r>
    </w:p>
    <w:p w14:paraId="30870D81" w14:textId="672F848E" w:rsidR="002F5351" w:rsidRDefault="002F5351" w:rsidP="002F5351">
      <w:pPr>
        <w:pStyle w:val="USBodyText"/>
      </w:pPr>
      <w:r>
        <w:t xml:space="preserve">For most serious and minor injury crashes involving alcohol and/or drugs, </w:t>
      </w:r>
      <w:r w:rsidR="001235A3">
        <w:t>P</w:t>
      </w:r>
      <w:r>
        <w:t xml:space="preserve">olice would be expected to attend to the scene and offences related to driving under the influence of alcohol and/or drugs are likely to be recorded. According to data extracted from NZ Police </w:t>
      </w:r>
      <w:r w:rsidRPr="00C35A32">
        <w:t>(</w:t>
      </w:r>
      <w:r w:rsidRPr="00C35A32">
        <w:fldChar w:fldCharType="begin"/>
      </w:r>
      <w:r w:rsidR="00F244F6">
        <w:instrText xml:space="preserve"> ADDIN ZOTERO_ITEM CSL_CITATION {"citationID":"17IgDZ6b","properties":{"formattedCitation":"(New Zealand Police 2023)","plainCitation":"(New Zealand Police 2023)","dontUpdate":true,"noteIndex":0},"citationItems":[{"id":71394,"uris":["http://zotero.org/groups/4944822/items/QV3L9RUC"],"itemData":{"id":71394,"type":"webpage","abstract":"This offence data reflects unsafe driver behaviours commonly associated with road trauma.","container-title":"New Zealand Police","language":"en","title":"Road policing driver offence data - January 2009 to June 2023","URL":"https://www.police.govt.nz/about-us/publication/road-policing-driver-offence-data-january-2009-june-2023","author":[{"family":"New Zealand Police","given":""}],"accessed":{"date-parts":[["2023",12,7]]},"issued":{"date-parts":[["2023"]]}}}],"schema":"https://github.com/citation-style-language/schema/raw/master/csl-citation.json"} </w:instrText>
      </w:r>
      <w:r w:rsidRPr="00C35A32">
        <w:fldChar w:fldCharType="separate"/>
      </w:r>
      <w:r w:rsidRPr="00C35A32">
        <w:rPr>
          <w:rFonts w:cs="Calibri"/>
        </w:rPr>
        <w:t>2023)</w:t>
      </w:r>
      <w:r w:rsidRPr="00C35A32">
        <w:fldChar w:fldCharType="end"/>
      </w:r>
      <w:r>
        <w:t xml:space="preserve"> on </w:t>
      </w:r>
      <w:r w:rsidRPr="003D42F4">
        <w:t>offences relating to driving under the influence of alcohol and</w:t>
      </w:r>
      <w:r>
        <w:t>/or</w:t>
      </w:r>
      <w:r w:rsidRPr="003D42F4">
        <w:t xml:space="preserve"> drugs</w:t>
      </w:r>
      <w:r>
        <w:t xml:space="preserve">, 97 percent of offences are related to alcohol only (no other drugs). We estimate the number of serious and minor vehicle crashes attributable to alcohol based on these facts to be 173 and 936, respectively (see </w:t>
      </w:r>
      <w:r w:rsidR="00791B32">
        <w:fldChar w:fldCharType="begin"/>
      </w:r>
      <w:r w:rsidR="00791B32">
        <w:instrText xml:space="preserve"> REF _Ref156155310 \h </w:instrText>
      </w:r>
      <w:r w:rsidR="00791B32">
        <w:fldChar w:fldCharType="separate"/>
      </w:r>
      <w:r w:rsidR="00AE166D" w:rsidRPr="00731CA6">
        <w:t xml:space="preserve">Table </w:t>
      </w:r>
      <w:r w:rsidR="00AE166D">
        <w:rPr>
          <w:noProof/>
        </w:rPr>
        <w:t>17</w:t>
      </w:r>
      <w:r w:rsidR="00791B32">
        <w:fldChar w:fldCharType="end"/>
      </w:r>
      <w:r>
        <w:t xml:space="preserve"> below)</w:t>
      </w:r>
      <w:r w:rsidR="00102C5F">
        <w:t>.</w:t>
      </w:r>
    </w:p>
    <w:p w14:paraId="481DCC5A" w14:textId="66E92ECC" w:rsidR="002F5351" w:rsidRPr="00731CA6" w:rsidRDefault="002F5351" w:rsidP="002F5351">
      <w:pPr>
        <w:pStyle w:val="TableCaption"/>
      </w:pPr>
      <w:bookmarkStart w:id="97" w:name="_Ref156155310"/>
      <w:bookmarkStart w:id="98" w:name="_Toc160633924"/>
      <w:r w:rsidRPr="00731CA6">
        <w:t xml:space="preserve">Table </w:t>
      </w:r>
      <w:fldSimple w:instr=" SEQ Table \* ARABIC ">
        <w:r w:rsidR="00AE166D">
          <w:rPr>
            <w:noProof/>
          </w:rPr>
          <w:t>17</w:t>
        </w:r>
      </w:fldSimple>
      <w:bookmarkEnd w:id="97"/>
      <w:r w:rsidRPr="00731CA6">
        <w:t xml:space="preserve"> </w:t>
      </w:r>
      <w:r>
        <w:t>Estimation of alcohol-attributable serious and minor injury vehicle crashes</w:t>
      </w:r>
      <w:bookmarkEnd w:id="98"/>
    </w:p>
    <w:p w14:paraId="3A358544" w14:textId="77777777" w:rsidR="002F5351" w:rsidRPr="00731CA6" w:rsidRDefault="002F5351" w:rsidP="002F5351">
      <w:pPr>
        <w:pStyle w:val="CaptionSubheading"/>
      </w:pPr>
    </w:p>
    <w:tbl>
      <w:tblPr>
        <w:tblStyle w:val="TableDefault"/>
        <w:tblW w:w="8220" w:type="dxa"/>
        <w:tblLook w:val="0460" w:firstRow="1" w:lastRow="1" w:firstColumn="0" w:lastColumn="0" w:noHBand="0" w:noVBand="1"/>
      </w:tblPr>
      <w:tblGrid>
        <w:gridCol w:w="2740"/>
        <w:gridCol w:w="2741"/>
        <w:gridCol w:w="2739"/>
      </w:tblGrid>
      <w:tr w:rsidR="002F5351" w:rsidRPr="00731CA6" w14:paraId="0DBE41CC" w14:textId="77777777">
        <w:trPr>
          <w:cnfStyle w:val="100000000000" w:firstRow="1" w:lastRow="0" w:firstColumn="0" w:lastColumn="0" w:oddVBand="0" w:evenVBand="0" w:oddHBand="0" w:evenHBand="0" w:firstRowFirstColumn="0" w:firstRowLastColumn="0" w:lastRowFirstColumn="0" w:lastRowLastColumn="0"/>
        </w:trPr>
        <w:tc>
          <w:tcPr>
            <w:tcW w:w="1667" w:type="pct"/>
          </w:tcPr>
          <w:p w14:paraId="3246631C" w14:textId="77777777" w:rsidR="002F5351" w:rsidRPr="00731CA6" w:rsidRDefault="002F5351">
            <w:pPr>
              <w:pStyle w:val="TSTableHeadingWhite-TopRow"/>
            </w:pPr>
          </w:p>
        </w:tc>
        <w:tc>
          <w:tcPr>
            <w:tcW w:w="1667" w:type="pct"/>
          </w:tcPr>
          <w:p w14:paraId="5155081B" w14:textId="77777777" w:rsidR="002F5351" w:rsidRPr="00731CA6" w:rsidRDefault="002F5351">
            <w:pPr>
              <w:pStyle w:val="TSTableHeadingWhite-TopRow"/>
              <w:jc w:val="center"/>
            </w:pPr>
            <w:r>
              <w:t>Serious injury crashes</w:t>
            </w:r>
          </w:p>
        </w:tc>
        <w:tc>
          <w:tcPr>
            <w:tcW w:w="1666" w:type="pct"/>
          </w:tcPr>
          <w:p w14:paraId="4624D2F8" w14:textId="77777777" w:rsidR="002F5351" w:rsidRPr="00731CA6" w:rsidRDefault="002F5351">
            <w:pPr>
              <w:pStyle w:val="TSTableHeadingWhite-TopRow"/>
              <w:jc w:val="center"/>
            </w:pPr>
            <w:r>
              <w:t>Minor injury crashes</w:t>
            </w:r>
          </w:p>
        </w:tc>
      </w:tr>
      <w:tr w:rsidR="00D2435B" w:rsidRPr="00731CA6" w14:paraId="55A4CE0A" w14:textId="77777777">
        <w:tc>
          <w:tcPr>
            <w:tcW w:w="1667" w:type="pct"/>
          </w:tcPr>
          <w:p w14:paraId="56EEF072" w14:textId="77777777" w:rsidR="00D2435B" w:rsidRPr="00731CA6" w:rsidRDefault="00D2435B" w:rsidP="00D2435B">
            <w:pPr>
              <w:pStyle w:val="TSBodyText"/>
            </w:pPr>
            <w:r w:rsidRPr="00EF524D">
              <w:t>Number of crashes</w:t>
            </w:r>
            <w:r>
              <w:t xml:space="preserve"> involving alcohol and/or drugs as contributing factors</w:t>
            </w:r>
          </w:p>
        </w:tc>
        <w:tc>
          <w:tcPr>
            <w:tcW w:w="1667" w:type="pct"/>
          </w:tcPr>
          <w:p w14:paraId="278B2E3E" w14:textId="19AD48D1" w:rsidR="00D2435B" w:rsidRPr="00731CA6" w:rsidRDefault="00D2435B" w:rsidP="00D2435B">
            <w:pPr>
              <w:pStyle w:val="TSBodyText"/>
              <w:ind w:right="1263"/>
              <w:jc w:val="right"/>
            </w:pPr>
            <w:r w:rsidRPr="00BC3DEE">
              <w:t>178</w:t>
            </w:r>
          </w:p>
        </w:tc>
        <w:tc>
          <w:tcPr>
            <w:tcW w:w="1666" w:type="pct"/>
          </w:tcPr>
          <w:p w14:paraId="2179B86C" w14:textId="553B157D" w:rsidR="00D2435B" w:rsidRPr="00731CA6" w:rsidRDefault="00D2435B" w:rsidP="00D2435B">
            <w:pPr>
              <w:pStyle w:val="TSBodyText"/>
              <w:ind w:right="1263"/>
              <w:jc w:val="right"/>
            </w:pPr>
            <w:r w:rsidRPr="00BC3DEE">
              <w:t>965</w:t>
            </w:r>
          </w:p>
        </w:tc>
      </w:tr>
      <w:tr w:rsidR="00D2435B" w:rsidRPr="00731CA6" w14:paraId="42C9047C" w14:textId="77777777">
        <w:trPr>
          <w:cnfStyle w:val="000000010000" w:firstRow="0" w:lastRow="0" w:firstColumn="0" w:lastColumn="0" w:oddVBand="0" w:evenVBand="0" w:oddHBand="0" w:evenHBand="1" w:firstRowFirstColumn="0" w:firstRowLastColumn="0" w:lastRowFirstColumn="0" w:lastRowLastColumn="0"/>
        </w:trPr>
        <w:tc>
          <w:tcPr>
            <w:tcW w:w="1667" w:type="pct"/>
          </w:tcPr>
          <w:p w14:paraId="2E81486D" w14:textId="250F0244" w:rsidR="00D2435B" w:rsidRPr="00731CA6" w:rsidRDefault="00D2435B" w:rsidP="00D2435B">
            <w:pPr>
              <w:pStyle w:val="TSBodyText"/>
            </w:pPr>
            <w:r w:rsidRPr="00EF524D">
              <w:t xml:space="preserve">Percentage </w:t>
            </w:r>
            <w:r>
              <w:t>involving alcohol alone (based on DUI data</w:t>
            </w:r>
            <w:r w:rsidR="00F33403">
              <w:t>*</w:t>
            </w:r>
            <w:r>
              <w:t>)</w:t>
            </w:r>
          </w:p>
        </w:tc>
        <w:tc>
          <w:tcPr>
            <w:tcW w:w="1667" w:type="pct"/>
          </w:tcPr>
          <w:p w14:paraId="30C43B91" w14:textId="5DF33FFE" w:rsidR="00D2435B" w:rsidRPr="00731CA6" w:rsidRDefault="00D2435B" w:rsidP="00D2435B">
            <w:pPr>
              <w:pStyle w:val="TSBodyText"/>
              <w:ind w:right="1263"/>
              <w:jc w:val="right"/>
            </w:pPr>
            <w:r w:rsidRPr="00BC3DEE">
              <w:t>97%</w:t>
            </w:r>
          </w:p>
        </w:tc>
        <w:tc>
          <w:tcPr>
            <w:tcW w:w="1666" w:type="pct"/>
          </w:tcPr>
          <w:p w14:paraId="732DE577" w14:textId="698E97E1" w:rsidR="00D2435B" w:rsidRPr="00731CA6" w:rsidRDefault="00D2435B" w:rsidP="00D2435B">
            <w:pPr>
              <w:pStyle w:val="TSBodyText"/>
              <w:ind w:right="1263"/>
              <w:jc w:val="right"/>
            </w:pPr>
            <w:r w:rsidRPr="00BC3DEE">
              <w:t>97%</w:t>
            </w:r>
          </w:p>
        </w:tc>
      </w:tr>
      <w:tr w:rsidR="00D2435B" w:rsidRPr="00731CA6" w14:paraId="4C5FA901" w14:textId="77777777">
        <w:trPr>
          <w:cnfStyle w:val="010000000000" w:firstRow="0" w:lastRow="1" w:firstColumn="0" w:lastColumn="0" w:oddVBand="0" w:evenVBand="0" w:oddHBand="0" w:evenHBand="0" w:firstRowFirstColumn="0" w:firstRowLastColumn="0" w:lastRowFirstColumn="0" w:lastRowLastColumn="0"/>
        </w:trPr>
        <w:tc>
          <w:tcPr>
            <w:tcW w:w="1667" w:type="pct"/>
          </w:tcPr>
          <w:p w14:paraId="34BDE56F" w14:textId="77777777" w:rsidR="00D2435B" w:rsidRPr="00731CA6" w:rsidRDefault="00D2435B" w:rsidP="00D2435B">
            <w:pPr>
              <w:pStyle w:val="TSBodyText"/>
            </w:pPr>
            <w:r w:rsidRPr="00EF524D">
              <w:t>Number of crashes potentially caused by alcohol</w:t>
            </w:r>
          </w:p>
        </w:tc>
        <w:tc>
          <w:tcPr>
            <w:tcW w:w="1667" w:type="pct"/>
          </w:tcPr>
          <w:p w14:paraId="7417ABBD" w14:textId="2D764165" w:rsidR="00D2435B" w:rsidRPr="00731CA6" w:rsidRDefault="00D2435B" w:rsidP="00D2435B">
            <w:pPr>
              <w:pStyle w:val="TSBodyText"/>
              <w:ind w:right="1263"/>
              <w:jc w:val="right"/>
            </w:pPr>
            <w:r w:rsidRPr="00BC3DEE">
              <w:t>17</w:t>
            </w:r>
            <w:r>
              <w:t>3</w:t>
            </w:r>
          </w:p>
        </w:tc>
        <w:tc>
          <w:tcPr>
            <w:tcW w:w="1666" w:type="pct"/>
          </w:tcPr>
          <w:p w14:paraId="4B245863" w14:textId="62075C93" w:rsidR="00D2435B" w:rsidRPr="00731CA6" w:rsidRDefault="00D2435B" w:rsidP="00D2435B">
            <w:pPr>
              <w:pStyle w:val="TSBodyText"/>
              <w:ind w:right="1263"/>
              <w:jc w:val="right"/>
            </w:pPr>
            <w:r w:rsidRPr="00BC3DEE">
              <w:t>936</w:t>
            </w:r>
          </w:p>
        </w:tc>
      </w:tr>
    </w:tbl>
    <w:p w14:paraId="03B899CD" w14:textId="7504DB36" w:rsidR="00F33403" w:rsidRDefault="00F33403" w:rsidP="00076B7D">
      <w:pPr>
        <w:pStyle w:val="USSource"/>
        <w:spacing w:after="120"/>
      </w:pPr>
      <w:r>
        <w:t>*</w:t>
      </w:r>
      <w:r w:rsidR="00081D7F">
        <w:t>This data is not disaggregated by type of crash.</w:t>
      </w:r>
    </w:p>
    <w:p w14:paraId="0CE35971" w14:textId="4BD69FAD" w:rsidR="002F5351" w:rsidRDefault="002F5351" w:rsidP="002F5351">
      <w:pPr>
        <w:pStyle w:val="USSource"/>
      </w:pPr>
      <w:r w:rsidRPr="00731CA6">
        <w:t xml:space="preserve">Source: </w:t>
      </w:r>
      <w:r>
        <w:t>NZIER, Ministry of Transport data and NZ Police data</w:t>
      </w:r>
    </w:p>
    <w:p w14:paraId="08EB01DF" w14:textId="77777777" w:rsidR="002F5351" w:rsidRPr="00731CA6" w:rsidRDefault="002F5351" w:rsidP="002F5351">
      <w:pPr>
        <w:pStyle w:val="USBodyText"/>
      </w:pPr>
      <w:r>
        <w:t>Based on the estimation of alcohol-attributable fatal, serious and minor vehicle crashes, the total number of vehicle crashes attributable to alcohol is between 1,143 and 1,177.</w:t>
      </w:r>
    </w:p>
    <w:p w14:paraId="3AB375DE" w14:textId="77777777" w:rsidR="002F5351" w:rsidRDefault="002F5351" w:rsidP="00791B32">
      <w:pPr>
        <w:pStyle w:val="Heading3"/>
      </w:pPr>
      <w:r>
        <w:t xml:space="preserve">Estimated alcohol-attributable cost of road </w:t>
      </w:r>
      <w:proofErr w:type="gramStart"/>
      <w:r>
        <w:t>crashes</w:t>
      </w:r>
      <w:proofErr w:type="gramEnd"/>
    </w:p>
    <w:p w14:paraId="11BDA5C9" w14:textId="6418AE5F" w:rsidR="002F5351" w:rsidRDefault="002F5351" w:rsidP="002F5351">
      <w:pPr>
        <w:pStyle w:val="USBodyText"/>
      </w:pPr>
      <w:r>
        <w:t>Road crashes are expected to result in total soci</w:t>
      </w:r>
      <w:r w:rsidR="004371DE">
        <w:t>et</w:t>
      </w:r>
      <w:r>
        <w:t xml:space="preserve">al costs of between </w:t>
      </w:r>
      <w:r w:rsidRPr="006D6A53">
        <w:t>$3</w:t>
      </w:r>
      <w:r>
        <w:t>8,190</w:t>
      </w:r>
      <w:r w:rsidRPr="006D6A53">
        <w:t xml:space="preserve"> to $</w:t>
      </w:r>
      <w:r>
        <w:t>6,660,222</w:t>
      </w:r>
      <w:r w:rsidRPr="006D6A53">
        <w:t xml:space="preserve"> </w:t>
      </w:r>
      <w:r>
        <w:t xml:space="preserve">per crash </w:t>
      </w:r>
      <w:r w:rsidRPr="006D6A53">
        <w:t>in 2023</w:t>
      </w:r>
      <w:r>
        <w:t xml:space="preserve">, based on the Ministry of Transport estimate of $33,500 and $5,842,300 in 2021 prices </w:t>
      </w:r>
      <w:r>
        <w:fldChar w:fldCharType="begin"/>
      </w:r>
      <w:r w:rsidR="00F244F6">
        <w:instrText xml:space="preserve"> ADDIN ZOTERO_ITEM CSL_CITATION {"citationID":"op3R8QGL","properties":{"formattedCitation":"(Ministry of Transport 2021)","plainCitation":"(Ministry of Transport 2021)","noteIndex":0},"citationItems":[{"id":71397,"uris":["http://zotero.org/groups/4944822/items/PLEEA4A8"],"itemData":{"id":71397,"type":"report","event-place":"Wellington","publisher":"Ministry of Transport","publisher-place":"Wellington","title":"Social cost of road crashes and injuries - June 2020 update","URL":"https://www.transport.govt.nz/assets/Uploads/Social-Cost-of-Road-Crashes-and-Injuries-2020_final.pdf","author":[{"family":"Ministry of Transport","given":""}],"accessed":{"date-parts":[["2023",12,7]]},"issued":{"date-parts":[["2021"]]}}}],"schema":"https://github.com/citation-style-language/schema/raw/master/csl-citation.json"} </w:instrText>
      </w:r>
      <w:r>
        <w:fldChar w:fldCharType="separate"/>
      </w:r>
      <w:r w:rsidRPr="008A7294">
        <w:rPr>
          <w:rFonts w:cs="Calibri"/>
        </w:rPr>
        <w:t>(Ministry of Transport 2021)</w:t>
      </w:r>
      <w:r>
        <w:fldChar w:fldCharType="end"/>
      </w:r>
      <w:r>
        <w:t>.</w:t>
      </w:r>
    </w:p>
    <w:p w14:paraId="338DC538" w14:textId="117551BF" w:rsidR="002F5351" w:rsidRDefault="002F5351" w:rsidP="002F5351">
      <w:pPr>
        <w:pStyle w:val="USBodyText"/>
      </w:pPr>
      <w:r>
        <w:t xml:space="preserve">As shown in </w:t>
      </w:r>
      <w:r w:rsidR="00F070D6">
        <w:fldChar w:fldCharType="begin"/>
      </w:r>
      <w:r w:rsidR="00F070D6">
        <w:instrText xml:space="preserve"> REF _Ref156228589 \h </w:instrText>
      </w:r>
      <w:r w:rsidR="00F070D6">
        <w:fldChar w:fldCharType="separate"/>
      </w:r>
      <w:r w:rsidR="00AE166D" w:rsidRPr="00731CA6">
        <w:t xml:space="preserve">Table </w:t>
      </w:r>
      <w:r w:rsidR="00AE166D">
        <w:rPr>
          <w:noProof/>
        </w:rPr>
        <w:t>18</w:t>
      </w:r>
      <w:r w:rsidR="00F070D6">
        <w:fldChar w:fldCharType="end"/>
      </w:r>
      <w:r>
        <w:t>, o</w:t>
      </w:r>
      <w:r w:rsidRPr="00CC3514">
        <w:t>ver 90 percent of the total soci</w:t>
      </w:r>
      <w:r w:rsidR="004371DE">
        <w:t>et</w:t>
      </w:r>
      <w:r w:rsidRPr="00CC3514">
        <w:t xml:space="preserve">al cost </w:t>
      </w:r>
      <w:r>
        <w:t xml:space="preserve">of fatal and serious injury crashes and over 70 percent of the total social cost of minor injury crashes </w:t>
      </w:r>
      <w:r w:rsidRPr="00CC3514">
        <w:t>is made up of loss of life and quality</w:t>
      </w:r>
      <w:r>
        <w:t xml:space="preserve"> of life due to permanent disability.</w:t>
      </w:r>
    </w:p>
    <w:p w14:paraId="60D3CDD5" w14:textId="6B8C7409" w:rsidR="002F5351" w:rsidRDefault="00F070D6" w:rsidP="002F5351">
      <w:pPr>
        <w:pStyle w:val="TableCaption"/>
      </w:pPr>
      <w:bookmarkStart w:id="99" w:name="_Ref156228589"/>
      <w:bookmarkStart w:id="100" w:name="_Toc160633925"/>
      <w:r w:rsidRPr="00731CA6">
        <w:t xml:space="preserve">Table </w:t>
      </w:r>
      <w:fldSimple w:instr=" SEQ Table \* ARABIC ">
        <w:r w:rsidR="00AE166D">
          <w:rPr>
            <w:noProof/>
          </w:rPr>
          <w:t>18</w:t>
        </w:r>
      </w:fldSimple>
      <w:bookmarkEnd w:id="99"/>
      <w:r w:rsidR="00095A3C">
        <w:rPr>
          <w:noProof/>
        </w:rPr>
        <w:t xml:space="preserve"> </w:t>
      </w:r>
      <w:r w:rsidR="002F5351">
        <w:t xml:space="preserve">Average social cost of a vehicle </w:t>
      </w:r>
      <w:proofErr w:type="gramStart"/>
      <w:r w:rsidR="002F5351">
        <w:t>crash</w:t>
      </w:r>
      <w:proofErr w:type="gramEnd"/>
      <w:r w:rsidR="002F5351">
        <w:t xml:space="preserve"> by severity and cost component</w:t>
      </w:r>
      <w:bookmarkEnd w:id="100"/>
    </w:p>
    <w:p w14:paraId="388C5213" w14:textId="77777777" w:rsidR="002F5351" w:rsidRPr="00DE1072" w:rsidRDefault="002F5351" w:rsidP="002F5351">
      <w:pPr>
        <w:pStyle w:val="CaptionSubheading"/>
      </w:pPr>
      <w:r>
        <w:t>2023 dollars</w:t>
      </w:r>
    </w:p>
    <w:tbl>
      <w:tblPr>
        <w:tblStyle w:val="TableDefault"/>
        <w:tblW w:w="0" w:type="auto"/>
        <w:tblLook w:val="04A0" w:firstRow="1" w:lastRow="0" w:firstColumn="1" w:lastColumn="0" w:noHBand="0" w:noVBand="1"/>
      </w:tblPr>
      <w:tblGrid>
        <w:gridCol w:w="1858"/>
        <w:gridCol w:w="1119"/>
        <w:gridCol w:w="992"/>
        <w:gridCol w:w="992"/>
        <w:gridCol w:w="992"/>
        <w:gridCol w:w="1276"/>
        <w:gridCol w:w="991"/>
      </w:tblGrid>
      <w:tr w:rsidR="002F5351" w14:paraId="055DA4B6" w14:textId="77777777">
        <w:trPr>
          <w:cnfStyle w:val="100000000000" w:firstRow="1" w:lastRow="0" w:firstColumn="0" w:lastColumn="0" w:oddVBand="0" w:evenVBand="0" w:oddHBand="0" w:evenHBand="0" w:firstRowFirstColumn="0" w:firstRowLastColumn="0" w:lastRowFirstColumn="0" w:lastRowLastColumn="0"/>
        </w:trPr>
        <w:tc>
          <w:tcPr>
            <w:tcW w:w="1858" w:type="dxa"/>
            <w:tcBorders>
              <w:bottom w:val="single" w:sz="6" w:space="0" w:color="0094C5" w:themeColor="accent1"/>
            </w:tcBorders>
          </w:tcPr>
          <w:p w14:paraId="7A3579BE" w14:textId="77777777" w:rsidR="002F5351" w:rsidRDefault="002F5351">
            <w:pPr>
              <w:pStyle w:val="TSTableHeadingWhite-TopRow"/>
            </w:pPr>
          </w:p>
        </w:tc>
        <w:tc>
          <w:tcPr>
            <w:tcW w:w="2111" w:type="dxa"/>
            <w:gridSpan w:val="2"/>
            <w:tcBorders>
              <w:bottom w:val="single" w:sz="6" w:space="0" w:color="0094C5" w:themeColor="accent1"/>
            </w:tcBorders>
          </w:tcPr>
          <w:p w14:paraId="708C5BDE" w14:textId="77777777" w:rsidR="002F5351" w:rsidRDefault="002F5351">
            <w:pPr>
              <w:pStyle w:val="TSTableHeadingWhite-TopRow"/>
              <w:jc w:val="center"/>
            </w:pPr>
            <w:r>
              <w:t>Fatal crash</w:t>
            </w:r>
          </w:p>
        </w:tc>
        <w:tc>
          <w:tcPr>
            <w:tcW w:w="1984" w:type="dxa"/>
            <w:gridSpan w:val="2"/>
            <w:tcBorders>
              <w:bottom w:val="single" w:sz="6" w:space="0" w:color="0094C5" w:themeColor="accent1"/>
            </w:tcBorders>
          </w:tcPr>
          <w:p w14:paraId="53AD3893" w14:textId="77777777" w:rsidR="002F5351" w:rsidRDefault="002F5351">
            <w:pPr>
              <w:pStyle w:val="TSTableHeadingWhite-TopRow"/>
              <w:jc w:val="center"/>
            </w:pPr>
            <w:r>
              <w:t>Serious injury crash</w:t>
            </w:r>
          </w:p>
        </w:tc>
        <w:tc>
          <w:tcPr>
            <w:tcW w:w="2267" w:type="dxa"/>
            <w:gridSpan w:val="2"/>
            <w:tcBorders>
              <w:bottom w:val="single" w:sz="6" w:space="0" w:color="0094C5" w:themeColor="accent1"/>
            </w:tcBorders>
          </w:tcPr>
          <w:p w14:paraId="37605304" w14:textId="77777777" w:rsidR="002F5351" w:rsidRDefault="002F5351">
            <w:pPr>
              <w:pStyle w:val="TSTableHeadingWhite-TopRow"/>
              <w:jc w:val="center"/>
            </w:pPr>
            <w:r>
              <w:t>Minor injury crash</w:t>
            </w:r>
          </w:p>
        </w:tc>
      </w:tr>
      <w:tr w:rsidR="002F5351" w14:paraId="3B9BDB7E" w14:textId="77777777">
        <w:tc>
          <w:tcPr>
            <w:tcW w:w="1858" w:type="dxa"/>
            <w:shd w:val="clear" w:color="auto" w:fill="auto"/>
          </w:tcPr>
          <w:p w14:paraId="74848EF0" w14:textId="77777777" w:rsidR="002F5351" w:rsidRDefault="002F5351" w:rsidP="00081D7F">
            <w:pPr>
              <w:pStyle w:val="TSBodyText"/>
            </w:pPr>
          </w:p>
        </w:tc>
        <w:tc>
          <w:tcPr>
            <w:tcW w:w="1119" w:type="dxa"/>
            <w:shd w:val="clear" w:color="auto" w:fill="auto"/>
          </w:tcPr>
          <w:p w14:paraId="1C6C8F91" w14:textId="77777777" w:rsidR="002F5351" w:rsidRDefault="002F5351" w:rsidP="00081D7F">
            <w:pPr>
              <w:pStyle w:val="TSBodyText"/>
            </w:pPr>
            <w:r>
              <w:t>Cost per crash</w:t>
            </w:r>
          </w:p>
        </w:tc>
        <w:tc>
          <w:tcPr>
            <w:tcW w:w="992" w:type="dxa"/>
            <w:shd w:val="clear" w:color="auto" w:fill="auto"/>
          </w:tcPr>
          <w:p w14:paraId="0BCC6341" w14:textId="77777777" w:rsidR="002F5351" w:rsidRDefault="002F5351" w:rsidP="00081D7F">
            <w:pPr>
              <w:pStyle w:val="TSBodyText"/>
            </w:pPr>
            <w:r>
              <w:t>% of total</w:t>
            </w:r>
          </w:p>
        </w:tc>
        <w:tc>
          <w:tcPr>
            <w:tcW w:w="992" w:type="dxa"/>
            <w:shd w:val="clear" w:color="auto" w:fill="auto"/>
          </w:tcPr>
          <w:p w14:paraId="3B086338" w14:textId="77777777" w:rsidR="002F5351" w:rsidRDefault="002F5351" w:rsidP="00081D7F">
            <w:pPr>
              <w:pStyle w:val="TSBodyText"/>
            </w:pPr>
            <w:r>
              <w:t>Cost per crash</w:t>
            </w:r>
          </w:p>
        </w:tc>
        <w:tc>
          <w:tcPr>
            <w:tcW w:w="992" w:type="dxa"/>
            <w:shd w:val="clear" w:color="auto" w:fill="auto"/>
          </w:tcPr>
          <w:p w14:paraId="4BD3346F" w14:textId="77777777" w:rsidR="002F5351" w:rsidRDefault="002F5351" w:rsidP="00081D7F">
            <w:pPr>
              <w:pStyle w:val="TSBodyText"/>
            </w:pPr>
            <w:r>
              <w:t>% of total</w:t>
            </w:r>
          </w:p>
        </w:tc>
        <w:tc>
          <w:tcPr>
            <w:tcW w:w="1276" w:type="dxa"/>
            <w:shd w:val="clear" w:color="auto" w:fill="auto"/>
          </w:tcPr>
          <w:p w14:paraId="008F5F0B" w14:textId="77777777" w:rsidR="002F5351" w:rsidRDefault="002F5351" w:rsidP="00081D7F">
            <w:pPr>
              <w:pStyle w:val="TSBodyText"/>
            </w:pPr>
            <w:r>
              <w:t>Cost per crash</w:t>
            </w:r>
          </w:p>
        </w:tc>
        <w:tc>
          <w:tcPr>
            <w:tcW w:w="991" w:type="dxa"/>
            <w:shd w:val="clear" w:color="auto" w:fill="auto"/>
          </w:tcPr>
          <w:p w14:paraId="173DDEDF" w14:textId="77777777" w:rsidR="002F5351" w:rsidRDefault="002F5351" w:rsidP="00081D7F">
            <w:pPr>
              <w:pStyle w:val="TSBodyText"/>
            </w:pPr>
            <w:r>
              <w:t>% of total</w:t>
            </w:r>
          </w:p>
        </w:tc>
      </w:tr>
      <w:tr w:rsidR="002F5351" w14:paraId="08B8CA1E" w14:textId="77777777">
        <w:trPr>
          <w:cnfStyle w:val="000000010000" w:firstRow="0" w:lastRow="0" w:firstColumn="0" w:lastColumn="0" w:oddVBand="0" w:evenVBand="0" w:oddHBand="0" w:evenHBand="1" w:firstRowFirstColumn="0" w:firstRowLastColumn="0" w:lastRowFirstColumn="0" w:lastRowLastColumn="0"/>
        </w:trPr>
        <w:tc>
          <w:tcPr>
            <w:tcW w:w="1858" w:type="dxa"/>
          </w:tcPr>
          <w:p w14:paraId="654044E1" w14:textId="77777777" w:rsidR="002F5351" w:rsidRPr="00FC2FA4" w:rsidRDefault="002F5351" w:rsidP="00081D7F">
            <w:pPr>
              <w:pStyle w:val="TSBodyText"/>
              <w:rPr>
                <w:rFonts w:cs="Calibri"/>
                <w:sz w:val="20"/>
                <w:szCs w:val="20"/>
              </w:rPr>
            </w:pPr>
            <w:r w:rsidRPr="00FC2FA4">
              <w:rPr>
                <w:rFonts w:cs="Calibri"/>
                <w:sz w:val="20"/>
                <w:szCs w:val="20"/>
              </w:rPr>
              <w:lastRenderedPageBreak/>
              <w:t>Loss of life/</w:t>
            </w:r>
            <w:r>
              <w:rPr>
                <w:rFonts w:cs="Calibri"/>
                <w:sz w:val="20"/>
                <w:szCs w:val="20"/>
              </w:rPr>
              <w:t xml:space="preserve">quality of life due to </w:t>
            </w:r>
            <w:r w:rsidRPr="00FC2FA4">
              <w:rPr>
                <w:rFonts w:cs="Calibri"/>
                <w:sz w:val="20"/>
                <w:szCs w:val="20"/>
              </w:rPr>
              <w:t>permanent disability</w:t>
            </w:r>
          </w:p>
        </w:tc>
        <w:tc>
          <w:tcPr>
            <w:tcW w:w="1119" w:type="dxa"/>
          </w:tcPr>
          <w:p w14:paraId="6D9F54A3" w14:textId="77777777" w:rsidR="002F5351" w:rsidRPr="00FC2FA4" w:rsidRDefault="002F5351" w:rsidP="00081D7F">
            <w:pPr>
              <w:pStyle w:val="TSBodyText"/>
              <w:rPr>
                <w:rFonts w:cs="Calibri"/>
                <w:szCs w:val="18"/>
              </w:rPr>
            </w:pPr>
            <w:r w:rsidRPr="00FC2FA4">
              <w:rPr>
                <w:rFonts w:cs="Calibri"/>
                <w:color w:val="000000"/>
                <w:szCs w:val="18"/>
              </w:rPr>
              <w:t>6,582,360</w:t>
            </w:r>
          </w:p>
        </w:tc>
        <w:tc>
          <w:tcPr>
            <w:tcW w:w="992" w:type="dxa"/>
          </w:tcPr>
          <w:p w14:paraId="147ED672" w14:textId="77777777" w:rsidR="002F5351" w:rsidRPr="00FC2FA4" w:rsidRDefault="002F5351" w:rsidP="00081D7F">
            <w:pPr>
              <w:pStyle w:val="TSBodyText"/>
              <w:rPr>
                <w:rFonts w:cs="Calibri"/>
                <w:color w:val="000000"/>
                <w:szCs w:val="18"/>
              </w:rPr>
            </w:pPr>
            <w:r w:rsidRPr="00FC2FA4">
              <w:rPr>
                <w:rFonts w:cs="Calibri"/>
                <w:color w:val="000000"/>
                <w:szCs w:val="18"/>
              </w:rPr>
              <w:t>98.8%</w:t>
            </w:r>
          </w:p>
        </w:tc>
        <w:tc>
          <w:tcPr>
            <w:tcW w:w="992" w:type="dxa"/>
          </w:tcPr>
          <w:p w14:paraId="60F5962C" w14:textId="77777777" w:rsidR="002F5351" w:rsidRPr="00FC2FA4" w:rsidRDefault="002F5351" w:rsidP="00081D7F">
            <w:pPr>
              <w:pStyle w:val="TSBodyText"/>
              <w:rPr>
                <w:rFonts w:cs="Calibri"/>
                <w:szCs w:val="18"/>
              </w:rPr>
            </w:pPr>
            <w:r w:rsidRPr="00FC2FA4">
              <w:rPr>
                <w:rFonts w:cs="Calibri"/>
                <w:color w:val="000000"/>
                <w:szCs w:val="18"/>
              </w:rPr>
              <w:t>635,892</w:t>
            </w:r>
          </w:p>
        </w:tc>
        <w:tc>
          <w:tcPr>
            <w:tcW w:w="992" w:type="dxa"/>
          </w:tcPr>
          <w:p w14:paraId="488F101E" w14:textId="77777777" w:rsidR="002F5351" w:rsidRPr="00FC2FA4" w:rsidRDefault="002F5351" w:rsidP="00081D7F">
            <w:pPr>
              <w:pStyle w:val="TSBodyText"/>
              <w:rPr>
                <w:rFonts w:cs="Calibri"/>
                <w:color w:val="000000"/>
                <w:szCs w:val="18"/>
              </w:rPr>
            </w:pPr>
            <w:r w:rsidRPr="00FC2FA4">
              <w:rPr>
                <w:rFonts w:cs="Calibri"/>
                <w:color w:val="000000"/>
                <w:szCs w:val="18"/>
              </w:rPr>
              <w:t>94.3%</w:t>
            </w:r>
          </w:p>
        </w:tc>
        <w:tc>
          <w:tcPr>
            <w:tcW w:w="1276" w:type="dxa"/>
          </w:tcPr>
          <w:p w14:paraId="336A2B96" w14:textId="77777777" w:rsidR="002F5351" w:rsidRPr="00FC2FA4" w:rsidRDefault="002F5351" w:rsidP="00081D7F">
            <w:pPr>
              <w:pStyle w:val="TSBodyText"/>
              <w:rPr>
                <w:rFonts w:cs="Calibri"/>
                <w:szCs w:val="18"/>
              </w:rPr>
            </w:pPr>
            <w:r w:rsidRPr="00FC2FA4">
              <w:rPr>
                <w:rFonts w:cs="Calibri"/>
                <w:color w:val="000000"/>
                <w:szCs w:val="18"/>
              </w:rPr>
              <w:t>27,018</w:t>
            </w:r>
          </w:p>
        </w:tc>
        <w:tc>
          <w:tcPr>
            <w:tcW w:w="991" w:type="dxa"/>
          </w:tcPr>
          <w:p w14:paraId="0B16E76C" w14:textId="77777777" w:rsidR="002F5351" w:rsidRPr="00FC2FA4" w:rsidRDefault="002F5351" w:rsidP="00081D7F">
            <w:pPr>
              <w:pStyle w:val="TSBodyText"/>
              <w:rPr>
                <w:rFonts w:cs="Calibri"/>
                <w:color w:val="000000"/>
                <w:szCs w:val="18"/>
              </w:rPr>
            </w:pPr>
            <w:r w:rsidRPr="00FC2FA4">
              <w:rPr>
                <w:rFonts w:cs="Calibri"/>
                <w:color w:val="000000"/>
                <w:szCs w:val="18"/>
              </w:rPr>
              <w:t>70.7%</w:t>
            </w:r>
          </w:p>
        </w:tc>
      </w:tr>
      <w:tr w:rsidR="002F5351" w14:paraId="313D7160" w14:textId="77777777">
        <w:tc>
          <w:tcPr>
            <w:tcW w:w="1858" w:type="dxa"/>
          </w:tcPr>
          <w:p w14:paraId="342E96FF" w14:textId="77777777" w:rsidR="002F5351" w:rsidRPr="00FC2FA4" w:rsidRDefault="002F5351" w:rsidP="00081D7F">
            <w:pPr>
              <w:pStyle w:val="TSBodyText"/>
              <w:rPr>
                <w:rFonts w:cs="Calibri"/>
                <w:sz w:val="20"/>
                <w:szCs w:val="20"/>
              </w:rPr>
            </w:pPr>
            <w:r w:rsidRPr="00FC2FA4">
              <w:rPr>
                <w:rFonts w:cs="Calibri"/>
                <w:sz w:val="20"/>
                <w:szCs w:val="20"/>
              </w:rPr>
              <w:t>Loss of output (temporary disability)</w:t>
            </w:r>
          </w:p>
        </w:tc>
        <w:tc>
          <w:tcPr>
            <w:tcW w:w="1119" w:type="dxa"/>
          </w:tcPr>
          <w:p w14:paraId="7A639404" w14:textId="77777777" w:rsidR="002F5351" w:rsidRPr="00FC2FA4" w:rsidRDefault="002F5351" w:rsidP="00081D7F">
            <w:pPr>
              <w:pStyle w:val="TSBodyText"/>
              <w:rPr>
                <w:rFonts w:cs="Calibri"/>
                <w:szCs w:val="18"/>
              </w:rPr>
            </w:pPr>
            <w:r w:rsidRPr="00FC2FA4">
              <w:rPr>
                <w:rFonts w:cs="Calibri"/>
                <w:szCs w:val="18"/>
              </w:rPr>
              <w:t>1,140</w:t>
            </w:r>
          </w:p>
        </w:tc>
        <w:tc>
          <w:tcPr>
            <w:tcW w:w="992" w:type="dxa"/>
          </w:tcPr>
          <w:p w14:paraId="5932666C" w14:textId="77777777" w:rsidR="002F5351" w:rsidRPr="00FC2FA4" w:rsidRDefault="002F5351" w:rsidP="00081D7F">
            <w:pPr>
              <w:pStyle w:val="TSBodyText"/>
              <w:rPr>
                <w:rFonts w:cs="Calibri"/>
                <w:szCs w:val="18"/>
              </w:rPr>
            </w:pPr>
            <w:r w:rsidRPr="00FC2FA4">
              <w:rPr>
                <w:rFonts w:cs="Calibri"/>
                <w:color w:val="000000"/>
                <w:szCs w:val="18"/>
              </w:rPr>
              <w:t>0.0%</w:t>
            </w:r>
          </w:p>
        </w:tc>
        <w:tc>
          <w:tcPr>
            <w:tcW w:w="992" w:type="dxa"/>
          </w:tcPr>
          <w:p w14:paraId="7D901892" w14:textId="77777777" w:rsidR="002F5351" w:rsidRPr="00FC2FA4" w:rsidRDefault="002F5351" w:rsidP="00081D7F">
            <w:pPr>
              <w:pStyle w:val="TSBodyText"/>
              <w:rPr>
                <w:rFonts w:cs="Calibri"/>
                <w:szCs w:val="18"/>
              </w:rPr>
            </w:pPr>
            <w:r w:rsidRPr="00FC2FA4">
              <w:rPr>
                <w:rFonts w:cs="Calibri"/>
                <w:szCs w:val="18"/>
              </w:rPr>
              <w:t>2,736</w:t>
            </w:r>
          </w:p>
        </w:tc>
        <w:tc>
          <w:tcPr>
            <w:tcW w:w="992" w:type="dxa"/>
          </w:tcPr>
          <w:p w14:paraId="1C0B82FD" w14:textId="77777777" w:rsidR="002F5351" w:rsidRPr="00FC2FA4" w:rsidRDefault="002F5351" w:rsidP="00081D7F">
            <w:pPr>
              <w:pStyle w:val="TSBodyText"/>
              <w:rPr>
                <w:rFonts w:cs="Calibri"/>
                <w:szCs w:val="18"/>
              </w:rPr>
            </w:pPr>
            <w:r w:rsidRPr="00FC2FA4">
              <w:rPr>
                <w:rFonts w:cs="Calibri"/>
                <w:color w:val="000000"/>
                <w:szCs w:val="18"/>
              </w:rPr>
              <w:t>0.4%</w:t>
            </w:r>
          </w:p>
        </w:tc>
        <w:tc>
          <w:tcPr>
            <w:tcW w:w="1276" w:type="dxa"/>
          </w:tcPr>
          <w:p w14:paraId="00ACF7C2" w14:textId="77777777" w:rsidR="002F5351" w:rsidRPr="00FC2FA4" w:rsidRDefault="002F5351" w:rsidP="00081D7F">
            <w:pPr>
              <w:pStyle w:val="TSBodyText"/>
              <w:rPr>
                <w:rFonts w:cs="Calibri"/>
                <w:szCs w:val="18"/>
              </w:rPr>
            </w:pPr>
            <w:r w:rsidRPr="00FC2FA4">
              <w:rPr>
                <w:rFonts w:cs="Calibri"/>
                <w:szCs w:val="18"/>
              </w:rPr>
              <w:t>456</w:t>
            </w:r>
          </w:p>
        </w:tc>
        <w:tc>
          <w:tcPr>
            <w:tcW w:w="991" w:type="dxa"/>
          </w:tcPr>
          <w:p w14:paraId="06A98AC6" w14:textId="77777777" w:rsidR="002F5351" w:rsidRPr="00FC2FA4" w:rsidRDefault="002F5351" w:rsidP="00081D7F">
            <w:pPr>
              <w:pStyle w:val="TSBodyText"/>
              <w:rPr>
                <w:rFonts w:cs="Calibri"/>
                <w:szCs w:val="18"/>
              </w:rPr>
            </w:pPr>
            <w:r w:rsidRPr="00FC2FA4">
              <w:rPr>
                <w:rFonts w:cs="Calibri"/>
                <w:color w:val="000000"/>
                <w:szCs w:val="18"/>
              </w:rPr>
              <w:t>1.2%</w:t>
            </w:r>
          </w:p>
        </w:tc>
      </w:tr>
      <w:tr w:rsidR="002F5351" w14:paraId="0D39B359" w14:textId="77777777">
        <w:trPr>
          <w:cnfStyle w:val="000000010000" w:firstRow="0" w:lastRow="0" w:firstColumn="0" w:lastColumn="0" w:oddVBand="0" w:evenVBand="0" w:oddHBand="0" w:evenHBand="1" w:firstRowFirstColumn="0" w:firstRowLastColumn="0" w:lastRowFirstColumn="0" w:lastRowLastColumn="0"/>
        </w:trPr>
        <w:tc>
          <w:tcPr>
            <w:tcW w:w="1858" w:type="dxa"/>
          </w:tcPr>
          <w:p w14:paraId="1D332BA1" w14:textId="77777777" w:rsidR="002F5351" w:rsidRPr="00CF5FA9" w:rsidRDefault="002F5351" w:rsidP="00081D7F">
            <w:pPr>
              <w:pStyle w:val="TSBodyText"/>
              <w:rPr>
                <w:rFonts w:cs="Calibri"/>
                <w:bCs/>
                <w:sz w:val="20"/>
                <w:szCs w:val="20"/>
              </w:rPr>
            </w:pPr>
            <w:r w:rsidRPr="00CF5FA9">
              <w:rPr>
                <w:rFonts w:cs="Calibri"/>
                <w:bCs/>
                <w:sz w:val="20"/>
                <w:szCs w:val="20"/>
              </w:rPr>
              <w:t>Medical:</w:t>
            </w:r>
          </w:p>
        </w:tc>
        <w:tc>
          <w:tcPr>
            <w:tcW w:w="1119" w:type="dxa"/>
          </w:tcPr>
          <w:p w14:paraId="4F1D7912" w14:textId="77777777" w:rsidR="002F5351" w:rsidRPr="00FC2FA4" w:rsidRDefault="002F5351" w:rsidP="00081D7F">
            <w:pPr>
              <w:pStyle w:val="TSBodyText"/>
              <w:rPr>
                <w:rFonts w:cs="Calibri"/>
                <w:szCs w:val="18"/>
              </w:rPr>
            </w:pPr>
            <w:r w:rsidRPr="00FC2FA4">
              <w:rPr>
                <w:rFonts w:cs="Calibri"/>
                <w:color w:val="000000"/>
                <w:szCs w:val="18"/>
              </w:rPr>
              <w:t>18,126</w:t>
            </w:r>
          </w:p>
        </w:tc>
        <w:tc>
          <w:tcPr>
            <w:tcW w:w="992" w:type="dxa"/>
          </w:tcPr>
          <w:p w14:paraId="38BA84DD" w14:textId="77777777" w:rsidR="002F5351" w:rsidRPr="00FC2FA4" w:rsidRDefault="002F5351" w:rsidP="00081D7F">
            <w:pPr>
              <w:pStyle w:val="TSBodyText"/>
              <w:rPr>
                <w:rFonts w:cs="Calibri"/>
                <w:color w:val="000000"/>
                <w:szCs w:val="18"/>
              </w:rPr>
            </w:pPr>
            <w:r w:rsidRPr="00FC2FA4">
              <w:rPr>
                <w:rFonts w:cs="Calibri"/>
                <w:color w:val="000000"/>
                <w:szCs w:val="18"/>
              </w:rPr>
              <w:t>0.3%</w:t>
            </w:r>
          </w:p>
        </w:tc>
        <w:tc>
          <w:tcPr>
            <w:tcW w:w="992" w:type="dxa"/>
          </w:tcPr>
          <w:p w14:paraId="6687E1DB" w14:textId="77777777" w:rsidR="002F5351" w:rsidRPr="00FC2FA4" w:rsidRDefault="002F5351" w:rsidP="00081D7F">
            <w:pPr>
              <w:pStyle w:val="TSBodyText"/>
              <w:rPr>
                <w:rFonts w:cs="Calibri"/>
                <w:szCs w:val="18"/>
              </w:rPr>
            </w:pPr>
            <w:r w:rsidRPr="00FC2FA4">
              <w:rPr>
                <w:rFonts w:cs="Calibri"/>
                <w:color w:val="000000"/>
                <w:szCs w:val="18"/>
              </w:rPr>
              <w:t>21,318</w:t>
            </w:r>
          </w:p>
        </w:tc>
        <w:tc>
          <w:tcPr>
            <w:tcW w:w="992" w:type="dxa"/>
          </w:tcPr>
          <w:p w14:paraId="05F08B05" w14:textId="77777777" w:rsidR="002F5351" w:rsidRPr="00FC2FA4" w:rsidRDefault="002F5351" w:rsidP="00081D7F">
            <w:pPr>
              <w:pStyle w:val="TSBodyText"/>
              <w:rPr>
                <w:rFonts w:cs="Calibri"/>
                <w:color w:val="000000"/>
                <w:szCs w:val="18"/>
              </w:rPr>
            </w:pPr>
            <w:r w:rsidRPr="00FC2FA4">
              <w:rPr>
                <w:rFonts w:cs="Calibri"/>
                <w:color w:val="000000"/>
                <w:szCs w:val="18"/>
              </w:rPr>
              <w:t>3.2%</w:t>
            </w:r>
          </w:p>
        </w:tc>
        <w:tc>
          <w:tcPr>
            <w:tcW w:w="1276" w:type="dxa"/>
          </w:tcPr>
          <w:p w14:paraId="7811E6FA" w14:textId="77777777" w:rsidR="002F5351" w:rsidRPr="00FC2FA4" w:rsidRDefault="002F5351" w:rsidP="00081D7F">
            <w:pPr>
              <w:pStyle w:val="TSBodyText"/>
              <w:rPr>
                <w:rFonts w:cs="Calibri"/>
                <w:szCs w:val="18"/>
              </w:rPr>
            </w:pPr>
            <w:r w:rsidRPr="00FC2FA4">
              <w:rPr>
                <w:rFonts w:cs="Calibri"/>
                <w:color w:val="000000"/>
                <w:szCs w:val="18"/>
              </w:rPr>
              <w:t>1,368</w:t>
            </w:r>
          </w:p>
        </w:tc>
        <w:tc>
          <w:tcPr>
            <w:tcW w:w="991" w:type="dxa"/>
          </w:tcPr>
          <w:p w14:paraId="61D6EC72" w14:textId="77777777" w:rsidR="002F5351" w:rsidRPr="00FC2FA4" w:rsidRDefault="002F5351" w:rsidP="00081D7F">
            <w:pPr>
              <w:pStyle w:val="TSBodyText"/>
              <w:rPr>
                <w:rFonts w:cs="Calibri"/>
                <w:color w:val="000000"/>
                <w:szCs w:val="18"/>
              </w:rPr>
            </w:pPr>
            <w:r w:rsidRPr="00FC2FA4">
              <w:rPr>
                <w:rFonts w:cs="Calibri"/>
                <w:color w:val="000000"/>
                <w:szCs w:val="18"/>
              </w:rPr>
              <w:t>3.6%</w:t>
            </w:r>
          </w:p>
        </w:tc>
      </w:tr>
      <w:tr w:rsidR="002F5351" w14:paraId="5FFE8560" w14:textId="77777777">
        <w:tc>
          <w:tcPr>
            <w:tcW w:w="1858" w:type="dxa"/>
          </w:tcPr>
          <w:p w14:paraId="79A22051" w14:textId="4FD4EBFD" w:rsidR="002F5351" w:rsidRPr="00FC2FA4" w:rsidRDefault="002F5351" w:rsidP="00081D7F">
            <w:pPr>
              <w:pStyle w:val="TSBodyText"/>
              <w:jc w:val="right"/>
              <w:rPr>
                <w:rFonts w:cs="Calibri"/>
                <w:sz w:val="20"/>
                <w:szCs w:val="20"/>
              </w:rPr>
            </w:pPr>
            <w:r w:rsidRPr="00FC2FA4">
              <w:rPr>
                <w:rFonts w:cs="Calibri"/>
                <w:sz w:val="20"/>
                <w:szCs w:val="20"/>
              </w:rPr>
              <w:t>Hospital</w:t>
            </w:r>
          </w:p>
        </w:tc>
        <w:tc>
          <w:tcPr>
            <w:tcW w:w="1119" w:type="dxa"/>
          </w:tcPr>
          <w:p w14:paraId="5BBEAC19" w14:textId="77777777" w:rsidR="002F5351" w:rsidRPr="00FC2FA4" w:rsidRDefault="002F5351" w:rsidP="00081D7F">
            <w:pPr>
              <w:pStyle w:val="TSBodyText"/>
              <w:rPr>
                <w:rFonts w:cs="Calibri"/>
                <w:szCs w:val="18"/>
              </w:rPr>
            </w:pPr>
            <w:r w:rsidRPr="00FC2FA4">
              <w:rPr>
                <w:rFonts w:cs="Calibri"/>
                <w:szCs w:val="18"/>
              </w:rPr>
              <w:t>10,374</w:t>
            </w:r>
          </w:p>
        </w:tc>
        <w:tc>
          <w:tcPr>
            <w:tcW w:w="992" w:type="dxa"/>
          </w:tcPr>
          <w:p w14:paraId="3CDD31D8" w14:textId="77777777" w:rsidR="002F5351" w:rsidRPr="00FC2FA4" w:rsidRDefault="002F5351" w:rsidP="00081D7F">
            <w:pPr>
              <w:pStyle w:val="TSBodyText"/>
              <w:rPr>
                <w:rFonts w:cs="Calibri"/>
                <w:szCs w:val="18"/>
              </w:rPr>
            </w:pPr>
            <w:r w:rsidRPr="00FC2FA4">
              <w:rPr>
                <w:rFonts w:cs="Calibri"/>
                <w:color w:val="000000"/>
                <w:szCs w:val="18"/>
              </w:rPr>
              <w:t>0.2%</w:t>
            </w:r>
          </w:p>
        </w:tc>
        <w:tc>
          <w:tcPr>
            <w:tcW w:w="992" w:type="dxa"/>
          </w:tcPr>
          <w:p w14:paraId="0CCE017D" w14:textId="77777777" w:rsidR="002F5351" w:rsidRPr="00FC2FA4" w:rsidRDefault="002F5351" w:rsidP="00081D7F">
            <w:pPr>
              <w:pStyle w:val="TSBodyText"/>
              <w:rPr>
                <w:rFonts w:cs="Calibri"/>
                <w:szCs w:val="18"/>
              </w:rPr>
            </w:pPr>
            <w:r w:rsidRPr="00FC2FA4">
              <w:rPr>
                <w:rFonts w:cs="Calibri"/>
                <w:szCs w:val="18"/>
              </w:rPr>
              <w:t>13,110</w:t>
            </w:r>
          </w:p>
        </w:tc>
        <w:tc>
          <w:tcPr>
            <w:tcW w:w="992" w:type="dxa"/>
          </w:tcPr>
          <w:p w14:paraId="561BDFF7" w14:textId="77777777" w:rsidR="002F5351" w:rsidRPr="00FC2FA4" w:rsidRDefault="002F5351" w:rsidP="00081D7F">
            <w:pPr>
              <w:pStyle w:val="TSBodyText"/>
              <w:rPr>
                <w:rFonts w:cs="Calibri"/>
                <w:szCs w:val="18"/>
              </w:rPr>
            </w:pPr>
            <w:r w:rsidRPr="00FC2FA4">
              <w:rPr>
                <w:rFonts w:cs="Calibri"/>
                <w:color w:val="000000"/>
                <w:szCs w:val="18"/>
              </w:rPr>
              <w:t>1.9%</w:t>
            </w:r>
          </w:p>
        </w:tc>
        <w:tc>
          <w:tcPr>
            <w:tcW w:w="1276" w:type="dxa"/>
          </w:tcPr>
          <w:p w14:paraId="066BF27B" w14:textId="77777777" w:rsidR="002F5351" w:rsidRPr="00FC2FA4" w:rsidRDefault="002F5351" w:rsidP="00081D7F">
            <w:pPr>
              <w:pStyle w:val="TSBodyText"/>
              <w:rPr>
                <w:rFonts w:cs="Calibri"/>
                <w:szCs w:val="18"/>
              </w:rPr>
            </w:pPr>
            <w:r w:rsidRPr="00FC2FA4">
              <w:rPr>
                <w:rFonts w:cs="Calibri"/>
                <w:szCs w:val="18"/>
              </w:rPr>
              <w:t>228</w:t>
            </w:r>
          </w:p>
        </w:tc>
        <w:tc>
          <w:tcPr>
            <w:tcW w:w="991" w:type="dxa"/>
          </w:tcPr>
          <w:p w14:paraId="764213CD" w14:textId="77777777" w:rsidR="002F5351" w:rsidRPr="00FC2FA4" w:rsidRDefault="002F5351" w:rsidP="00081D7F">
            <w:pPr>
              <w:pStyle w:val="TSBodyText"/>
              <w:rPr>
                <w:rFonts w:cs="Calibri"/>
                <w:szCs w:val="18"/>
              </w:rPr>
            </w:pPr>
            <w:r w:rsidRPr="00FC2FA4">
              <w:rPr>
                <w:rFonts w:cs="Calibri"/>
                <w:color w:val="000000"/>
                <w:szCs w:val="18"/>
              </w:rPr>
              <w:t>0.6%</w:t>
            </w:r>
          </w:p>
        </w:tc>
      </w:tr>
      <w:tr w:rsidR="002F5351" w14:paraId="2B49045D" w14:textId="77777777">
        <w:trPr>
          <w:cnfStyle w:val="000000010000" w:firstRow="0" w:lastRow="0" w:firstColumn="0" w:lastColumn="0" w:oddVBand="0" w:evenVBand="0" w:oddHBand="0" w:evenHBand="1" w:firstRowFirstColumn="0" w:firstRowLastColumn="0" w:lastRowFirstColumn="0" w:lastRowLastColumn="0"/>
        </w:trPr>
        <w:tc>
          <w:tcPr>
            <w:tcW w:w="1858" w:type="dxa"/>
          </w:tcPr>
          <w:p w14:paraId="424F8EEA" w14:textId="366E22D3" w:rsidR="002F5351" w:rsidRPr="00FC2FA4" w:rsidRDefault="002F5351" w:rsidP="00081D7F">
            <w:pPr>
              <w:pStyle w:val="TSBodyText"/>
              <w:jc w:val="right"/>
              <w:rPr>
                <w:rFonts w:cs="Calibri"/>
                <w:sz w:val="20"/>
                <w:szCs w:val="20"/>
              </w:rPr>
            </w:pPr>
            <w:r w:rsidRPr="00FC2FA4">
              <w:rPr>
                <w:rFonts w:cs="Calibri"/>
                <w:sz w:val="20"/>
                <w:szCs w:val="20"/>
              </w:rPr>
              <w:t>Emergency</w:t>
            </w:r>
          </w:p>
        </w:tc>
        <w:tc>
          <w:tcPr>
            <w:tcW w:w="1119" w:type="dxa"/>
          </w:tcPr>
          <w:p w14:paraId="012A7516" w14:textId="77777777" w:rsidR="002F5351" w:rsidRPr="00FC2FA4" w:rsidRDefault="002F5351" w:rsidP="00081D7F">
            <w:pPr>
              <w:pStyle w:val="TSBodyText"/>
              <w:rPr>
                <w:rFonts w:cs="Calibri"/>
                <w:szCs w:val="18"/>
              </w:rPr>
            </w:pPr>
            <w:r w:rsidRPr="00FC2FA4">
              <w:rPr>
                <w:rFonts w:cs="Calibri"/>
                <w:color w:val="000000"/>
                <w:szCs w:val="18"/>
              </w:rPr>
              <w:t>5,244</w:t>
            </w:r>
          </w:p>
        </w:tc>
        <w:tc>
          <w:tcPr>
            <w:tcW w:w="992" w:type="dxa"/>
          </w:tcPr>
          <w:p w14:paraId="54DA8ACF" w14:textId="77777777" w:rsidR="002F5351" w:rsidRPr="00FC2FA4" w:rsidRDefault="002F5351" w:rsidP="00081D7F">
            <w:pPr>
              <w:pStyle w:val="TSBodyText"/>
              <w:rPr>
                <w:rFonts w:cs="Calibri"/>
                <w:color w:val="000000"/>
                <w:szCs w:val="18"/>
              </w:rPr>
            </w:pPr>
            <w:r w:rsidRPr="00FC2FA4">
              <w:rPr>
                <w:rFonts w:cs="Calibri"/>
                <w:color w:val="000000"/>
                <w:szCs w:val="18"/>
              </w:rPr>
              <w:t>0.1%</w:t>
            </w:r>
          </w:p>
        </w:tc>
        <w:tc>
          <w:tcPr>
            <w:tcW w:w="992" w:type="dxa"/>
          </w:tcPr>
          <w:p w14:paraId="5F0BFB6B" w14:textId="77777777" w:rsidR="002F5351" w:rsidRPr="00FC2FA4" w:rsidRDefault="002F5351" w:rsidP="00081D7F">
            <w:pPr>
              <w:pStyle w:val="TSBodyText"/>
              <w:rPr>
                <w:rFonts w:cs="Calibri"/>
                <w:szCs w:val="18"/>
              </w:rPr>
            </w:pPr>
            <w:r w:rsidRPr="00FC2FA4">
              <w:rPr>
                <w:rFonts w:cs="Calibri"/>
                <w:color w:val="000000"/>
                <w:szCs w:val="18"/>
              </w:rPr>
              <w:t>1,824</w:t>
            </w:r>
          </w:p>
        </w:tc>
        <w:tc>
          <w:tcPr>
            <w:tcW w:w="992" w:type="dxa"/>
          </w:tcPr>
          <w:p w14:paraId="69B92377" w14:textId="77777777" w:rsidR="002F5351" w:rsidRPr="00FC2FA4" w:rsidRDefault="002F5351" w:rsidP="00081D7F">
            <w:pPr>
              <w:pStyle w:val="TSBodyText"/>
              <w:rPr>
                <w:rFonts w:cs="Calibri"/>
                <w:color w:val="000000"/>
                <w:szCs w:val="18"/>
              </w:rPr>
            </w:pPr>
            <w:r w:rsidRPr="00FC2FA4">
              <w:rPr>
                <w:rFonts w:cs="Calibri"/>
                <w:color w:val="000000"/>
                <w:szCs w:val="18"/>
              </w:rPr>
              <w:t>0.3%</w:t>
            </w:r>
          </w:p>
        </w:tc>
        <w:tc>
          <w:tcPr>
            <w:tcW w:w="1276" w:type="dxa"/>
          </w:tcPr>
          <w:p w14:paraId="7E928623" w14:textId="77777777" w:rsidR="002F5351" w:rsidRPr="00FC2FA4" w:rsidRDefault="002F5351" w:rsidP="00081D7F">
            <w:pPr>
              <w:pStyle w:val="TSBodyText"/>
              <w:rPr>
                <w:rFonts w:cs="Calibri"/>
                <w:szCs w:val="18"/>
              </w:rPr>
            </w:pPr>
            <w:r w:rsidRPr="00FC2FA4">
              <w:rPr>
                <w:rFonts w:cs="Calibri"/>
                <w:color w:val="000000"/>
                <w:szCs w:val="18"/>
              </w:rPr>
              <w:t>1,026</w:t>
            </w:r>
          </w:p>
        </w:tc>
        <w:tc>
          <w:tcPr>
            <w:tcW w:w="991" w:type="dxa"/>
          </w:tcPr>
          <w:p w14:paraId="5630DADC" w14:textId="77777777" w:rsidR="002F5351" w:rsidRPr="00FC2FA4" w:rsidRDefault="002F5351" w:rsidP="00081D7F">
            <w:pPr>
              <w:pStyle w:val="TSBodyText"/>
              <w:rPr>
                <w:rFonts w:cs="Calibri"/>
                <w:color w:val="000000"/>
                <w:szCs w:val="18"/>
              </w:rPr>
            </w:pPr>
            <w:r w:rsidRPr="00FC2FA4">
              <w:rPr>
                <w:rFonts w:cs="Calibri"/>
                <w:color w:val="000000"/>
                <w:szCs w:val="18"/>
              </w:rPr>
              <w:t>2.7%</w:t>
            </w:r>
          </w:p>
        </w:tc>
      </w:tr>
      <w:tr w:rsidR="002F5351" w14:paraId="70D4D871" w14:textId="77777777">
        <w:tc>
          <w:tcPr>
            <w:tcW w:w="1858" w:type="dxa"/>
          </w:tcPr>
          <w:p w14:paraId="2B39207B" w14:textId="77777777" w:rsidR="002F5351" w:rsidRPr="00FC2FA4" w:rsidRDefault="002F5351" w:rsidP="00081D7F">
            <w:pPr>
              <w:pStyle w:val="TSBodyText"/>
              <w:jc w:val="right"/>
              <w:rPr>
                <w:rFonts w:cs="Calibri"/>
                <w:sz w:val="20"/>
                <w:szCs w:val="20"/>
              </w:rPr>
            </w:pPr>
            <w:r w:rsidRPr="00FC2FA4">
              <w:rPr>
                <w:rFonts w:cs="Calibri"/>
                <w:sz w:val="20"/>
                <w:szCs w:val="20"/>
              </w:rPr>
              <w:t>Follow-on</w:t>
            </w:r>
          </w:p>
        </w:tc>
        <w:tc>
          <w:tcPr>
            <w:tcW w:w="1119" w:type="dxa"/>
          </w:tcPr>
          <w:p w14:paraId="499FC71B" w14:textId="77777777" w:rsidR="002F5351" w:rsidRPr="00FC2FA4" w:rsidRDefault="002F5351" w:rsidP="00081D7F">
            <w:pPr>
              <w:pStyle w:val="TSBodyText"/>
              <w:rPr>
                <w:rFonts w:cs="Calibri"/>
                <w:szCs w:val="18"/>
              </w:rPr>
            </w:pPr>
            <w:r w:rsidRPr="00FC2FA4">
              <w:rPr>
                <w:rFonts w:cs="Calibri"/>
                <w:szCs w:val="18"/>
              </w:rPr>
              <w:t>2,508</w:t>
            </w:r>
          </w:p>
        </w:tc>
        <w:tc>
          <w:tcPr>
            <w:tcW w:w="992" w:type="dxa"/>
          </w:tcPr>
          <w:p w14:paraId="11A62809" w14:textId="77777777" w:rsidR="002F5351" w:rsidRPr="00FC2FA4" w:rsidRDefault="002F5351" w:rsidP="00081D7F">
            <w:pPr>
              <w:pStyle w:val="TSBodyText"/>
              <w:rPr>
                <w:rFonts w:cs="Calibri"/>
                <w:szCs w:val="18"/>
              </w:rPr>
            </w:pPr>
            <w:r w:rsidRPr="00FC2FA4">
              <w:rPr>
                <w:rFonts w:cs="Calibri"/>
                <w:color w:val="000000"/>
                <w:szCs w:val="18"/>
              </w:rPr>
              <w:t>0.0%</w:t>
            </w:r>
          </w:p>
        </w:tc>
        <w:tc>
          <w:tcPr>
            <w:tcW w:w="992" w:type="dxa"/>
          </w:tcPr>
          <w:p w14:paraId="2E5A90DA" w14:textId="77777777" w:rsidR="002F5351" w:rsidRPr="00FC2FA4" w:rsidRDefault="002F5351" w:rsidP="00081D7F">
            <w:pPr>
              <w:pStyle w:val="TSBodyText"/>
              <w:rPr>
                <w:rFonts w:cs="Calibri"/>
                <w:szCs w:val="18"/>
              </w:rPr>
            </w:pPr>
            <w:r w:rsidRPr="00FC2FA4">
              <w:rPr>
                <w:rFonts w:cs="Calibri"/>
                <w:szCs w:val="18"/>
              </w:rPr>
              <w:t>6,384</w:t>
            </w:r>
          </w:p>
        </w:tc>
        <w:tc>
          <w:tcPr>
            <w:tcW w:w="992" w:type="dxa"/>
          </w:tcPr>
          <w:p w14:paraId="6373BBC8" w14:textId="77777777" w:rsidR="002F5351" w:rsidRPr="00FC2FA4" w:rsidRDefault="002F5351" w:rsidP="00081D7F">
            <w:pPr>
              <w:pStyle w:val="TSBodyText"/>
              <w:rPr>
                <w:rFonts w:cs="Calibri"/>
                <w:szCs w:val="18"/>
              </w:rPr>
            </w:pPr>
            <w:r w:rsidRPr="00FC2FA4">
              <w:rPr>
                <w:rFonts w:cs="Calibri"/>
                <w:color w:val="000000"/>
                <w:szCs w:val="18"/>
              </w:rPr>
              <w:t>0.9%</w:t>
            </w:r>
          </w:p>
        </w:tc>
        <w:tc>
          <w:tcPr>
            <w:tcW w:w="1276" w:type="dxa"/>
          </w:tcPr>
          <w:p w14:paraId="69F7D786" w14:textId="77777777" w:rsidR="002F5351" w:rsidRPr="00FC2FA4" w:rsidRDefault="002F5351" w:rsidP="00081D7F">
            <w:pPr>
              <w:pStyle w:val="TSBodyText"/>
              <w:rPr>
                <w:rFonts w:cs="Calibri"/>
                <w:szCs w:val="18"/>
              </w:rPr>
            </w:pPr>
            <w:r w:rsidRPr="00FC2FA4">
              <w:rPr>
                <w:rFonts w:cs="Calibri"/>
                <w:szCs w:val="18"/>
              </w:rPr>
              <w:t>114</w:t>
            </w:r>
          </w:p>
        </w:tc>
        <w:tc>
          <w:tcPr>
            <w:tcW w:w="991" w:type="dxa"/>
          </w:tcPr>
          <w:p w14:paraId="641410C9" w14:textId="77777777" w:rsidR="002F5351" w:rsidRPr="00FC2FA4" w:rsidRDefault="002F5351" w:rsidP="00081D7F">
            <w:pPr>
              <w:pStyle w:val="TSBodyText"/>
              <w:rPr>
                <w:rFonts w:cs="Calibri"/>
                <w:szCs w:val="18"/>
              </w:rPr>
            </w:pPr>
            <w:r w:rsidRPr="00FC2FA4">
              <w:rPr>
                <w:rFonts w:cs="Calibri"/>
                <w:color w:val="000000"/>
                <w:szCs w:val="18"/>
              </w:rPr>
              <w:t>0.3%</w:t>
            </w:r>
          </w:p>
        </w:tc>
      </w:tr>
      <w:tr w:rsidR="002F5351" w14:paraId="2776ED0B" w14:textId="77777777">
        <w:trPr>
          <w:cnfStyle w:val="000000010000" w:firstRow="0" w:lastRow="0" w:firstColumn="0" w:lastColumn="0" w:oddVBand="0" w:evenVBand="0" w:oddHBand="0" w:evenHBand="1" w:firstRowFirstColumn="0" w:firstRowLastColumn="0" w:lastRowFirstColumn="0" w:lastRowLastColumn="0"/>
        </w:trPr>
        <w:tc>
          <w:tcPr>
            <w:tcW w:w="1858" w:type="dxa"/>
          </w:tcPr>
          <w:p w14:paraId="308056B2" w14:textId="77777777" w:rsidR="002F5351" w:rsidRPr="00FC2FA4" w:rsidRDefault="002F5351" w:rsidP="00081D7F">
            <w:pPr>
              <w:pStyle w:val="TSBodyText"/>
              <w:rPr>
                <w:rFonts w:cs="Calibri"/>
                <w:sz w:val="20"/>
                <w:szCs w:val="20"/>
              </w:rPr>
            </w:pPr>
            <w:r w:rsidRPr="00FC2FA4">
              <w:rPr>
                <w:rFonts w:cs="Calibri"/>
                <w:sz w:val="20"/>
                <w:szCs w:val="20"/>
              </w:rPr>
              <w:t>Legal and Court</w:t>
            </w:r>
          </w:p>
        </w:tc>
        <w:tc>
          <w:tcPr>
            <w:tcW w:w="1119" w:type="dxa"/>
          </w:tcPr>
          <w:p w14:paraId="468AB704" w14:textId="77777777" w:rsidR="002F5351" w:rsidRPr="00FC2FA4" w:rsidRDefault="002F5351" w:rsidP="00081D7F">
            <w:pPr>
              <w:pStyle w:val="TSBodyText"/>
              <w:rPr>
                <w:rFonts w:cs="Calibri"/>
                <w:szCs w:val="18"/>
              </w:rPr>
            </w:pPr>
            <w:r w:rsidRPr="00FC2FA4">
              <w:rPr>
                <w:rFonts w:cs="Calibri"/>
                <w:color w:val="000000"/>
                <w:szCs w:val="18"/>
              </w:rPr>
              <w:t>43,548</w:t>
            </w:r>
          </w:p>
        </w:tc>
        <w:tc>
          <w:tcPr>
            <w:tcW w:w="992" w:type="dxa"/>
          </w:tcPr>
          <w:p w14:paraId="529BF1D0" w14:textId="77777777" w:rsidR="002F5351" w:rsidRPr="00FC2FA4" w:rsidRDefault="002F5351" w:rsidP="00081D7F">
            <w:pPr>
              <w:pStyle w:val="TSBodyText"/>
              <w:rPr>
                <w:rFonts w:cs="Calibri"/>
                <w:color w:val="000000"/>
                <w:szCs w:val="18"/>
              </w:rPr>
            </w:pPr>
            <w:r w:rsidRPr="00FC2FA4">
              <w:rPr>
                <w:rFonts w:cs="Calibri"/>
                <w:color w:val="000000"/>
                <w:szCs w:val="18"/>
              </w:rPr>
              <w:t>0.7%</w:t>
            </w:r>
          </w:p>
        </w:tc>
        <w:tc>
          <w:tcPr>
            <w:tcW w:w="992" w:type="dxa"/>
          </w:tcPr>
          <w:p w14:paraId="43989ED7" w14:textId="77777777" w:rsidR="002F5351" w:rsidRPr="00FC2FA4" w:rsidRDefault="002F5351" w:rsidP="00081D7F">
            <w:pPr>
              <w:pStyle w:val="TSBodyText"/>
              <w:rPr>
                <w:rFonts w:cs="Calibri"/>
                <w:szCs w:val="18"/>
              </w:rPr>
            </w:pPr>
            <w:r w:rsidRPr="00FC2FA4">
              <w:rPr>
                <w:rFonts w:cs="Calibri"/>
                <w:color w:val="000000"/>
                <w:szCs w:val="18"/>
              </w:rPr>
              <w:t>5,244</w:t>
            </w:r>
          </w:p>
        </w:tc>
        <w:tc>
          <w:tcPr>
            <w:tcW w:w="992" w:type="dxa"/>
          </w:tcPr>
          <w:p w14:paraId="5112759F" w14:textId="77777777" w:rsidR="002F5351" w:rsidRPr="00FC2FA4" w:rsidRDefault="002F5351" w:rsidP="00081D7F">
            <w:pPr>
              <w:pStyle w:val="TSBodyText"/>
              <w:rPr>
                <w:rFonts w:cs="Calibri"/>
                <w:color w:val="000000"/>
                <w:szCs w:val="18"/>
              </w:rPr>
            </w:pPr>
            <w:r w:rsidRPr="00FC2FA4">
              <w:rPr>
                <w:rFonts w:cs="Calibri"/>
                <w:color w:val="000000"/>
                <w:szCs w:val="18"/>
              </w:rPr>
              <w:t>0.8%</w:t>
            </w:r>
          </w:p>
        </w:tc>
        <w:tc>
          <w:tcPr>
            <w:tcW w:w="1276" w:type="dxa"/>
          </w:tcPr>
          <w:p w14:paraId="4C373498" w14:textId="77777777" w:rsidR="002F5351" w:rsidRPr="00FC2FA4" w:rsidRDefault="002F5351" w:rsidP="00081D7F">
            <w:pPr>
              <w:pStyle w:val="TSBodyText"/>
              <w:rPr>
                <w:rFonts w:cs="Calibri"/>
                <w:szCs w:val="18"/>
              </w:rPr>
            </w:pPr>
            <w:r w:rsidRPr="00FC2FA4">
              <w:rPr>
                <w:rFonts w:cs="Calibri"/>
                <w:color w:val="000000"/>
                <w:szCs w:val="18"/>
              </w:rPr>
              <w:t>1,710</w:t>
            </w:r>
          </w:p>
        </w:tc>
        <w:tc>
          <w:tcPr>
            <w:tcW w:w="991" w:type="dxa"/>
          </w:tcPr>
          <w:p w14:paraId="7CE99145" w14:textId="77777777" w:rsidR="002F5351" w:rsidRPr="00FC2FA4" w:rsidRDefault="002F5351" w:rsidP="00081D7F">
            <w:pPr>
              <w:pStyle w:val="TSBodyText"/>
              <w:rPr>
                <w:rFonts w:cs="Calibri"/>
                <w:color w:val="000000"/>
                <w:szCs w:val="18"/>
              </w:rPr>
            </w:pPr>
            <w:r w:rsidRPr="00FC2FA4">
              <w:rPr>
                <w:rFonts w:cs="Calibri"/>
                <w:color w:val="000000"/>
                <w:szCs w:val="18"/>
              </w:rPr>
              <w:t>4.5%</w:t>
            </w:r>
          </w:p>
        </w:tc>
      </w:tr>
      <w:tr w:rsidR="002F5351" w14:paraId="4D0D136A" w14:textId="77777777">
        <w:tc>
          <w:tcPr>
            <w:tcW w:w="1858" w:type="dxa"/>
          </w:tcPr>
          <w:p w14:paraId="187084E8" w14:textId="77777777" w:rsidR="002F5351" w:rsidRPr="00FC2FA4" w:rsidRDefault="002F5351" w:rsidP="00081D7F">
            <w:pPr>
              <w:pStyle w:val="TSBodyText"/>
              <w:rPr>
                <w:rFonts w:cs="Calibri"/>
                <w:sz w:val="20"/>
                <w:szCs w:val="20"/>
              </w:rPr>
            </w:pPr>
            <w:r w:rsidRPr="00FC2FA4">
              <w:rPr>
                <w:rFonts w:cs="Calibri"/>
                <w:sz w:val="20"/>
                <w:szCs w:val="20"/>
              </w:rPr>
              <w:t>Vehicle Damage</w:t>
            </w:r>
          </w:p>
        </w:tc>
        <w:tc>
          <w:tcPr>
            <w:tcW w:w="1119" w:type="dxa"/>
          </w:tcPr>
          <w:p w14:paraId="2FA77DD1" w14:textId="77777777" w:rsidR="002F5351" w:rsidRPr="00FC2FA4" w:rsidRDefault="002F5351" w:rsidP="00081D7F">
            <w:pPr>
              <w:pStyle w:val="TSBodyText"/>
              <w:rPr>
                <w:rFonts w:cs="Calibri"/>
                <w:szCs w:val="18"/>
              </w:rPr>
            </w:pPr>
            <w:r w:rsidRPr="00FC2FA4">
              <w:rPr>
                <w:rFonts w:cs="Calibri"/>
                <w:szCs w:val="18"/>
              </w:rPr>
              <w:t>14,934</w:t>
            </w:r>
          </w:p>
        </w:tc>
        <w:tc>
          <w:tcPr>
            <w:tcW w:w="992" w:type="dxa"/>
          </w:tcPr>
          <w:p w14:paraId="479283FB" w14:textId="77777777" w:rsidR="002F5351" w:rsidRPr="00FC2FA4" w:rsidRDefault="002F5351" w:rsidP="00081D7F">
            <w:pPr>
              <w:pStyle w:val="TSBodyText"/>
              <w:rPr>
                <w:rFonts w:cs="Calibri"/>
                <w:szCs w:val="18"/>
              </w:rPr>
            </w:pPr>
            <w:r w:rsidRPr="00FC2FA4">
              <w:rPr>
                <w:rFonts w:cs="Calibri"/>
                <w:color w:val="000000"/>
                <w:szCs w:val="18"/>
              </w:rPr>
              <w:t>0.2%</w:t>
            </w:r>
          </w:p>
        </w:tc>
        <w:tc>
          <w:tcPr>
            <w:tcW w:w="992" w:type="dxa"/>
          </w:tcPr>
          <w:p w14:paraId="5ADE11D8" w14:textId="77777777" w:rsidR="002F5351" w:rsidRPr="00FC2FA4" w:rsidRDefault="002F5351" w:rsidP="00081D7F">
            <w:pPr>
              <w:pStyle w:val="TSBodyText"/>
              <w:rPr>
                <w:rFonts w:cs="Calibri"/>
                <w:szCs w:val="18"/>
              </w:rPr>
            </w:pPr>
            <w:r w:rsidRPr="00FC2FA4">
              <w:rPr>
                <w:rFonts w:cs="Calibri"/>
                <w:szCs w:val="18"/>
              </w:rPr>
              <w:t>9,462</w:t>
            </w:r>
          </w:p>
        </w:tc>
        <w:tc>
          <w:tcPr>
            <w:tcW w:w="992" w:type="dxa"/>
          </w:tcPr>
          <w:p w14:paraId="145F6742" w14:textId="77777777" w:rsidR="002F5351" w:rsidRPr="00FC2FA4" w:rsidRDefault="002F5351" w:rsidP="00081D7F">
            <w:pPr>
              <w:pStyle w:val="TSBodyText"/>
              <w:rPr>
                <w:rFonts w:cs="Calibri"/>
                <w:szCs w:val="18"/>
              </w:rPr>
            </w:pPr>
            <w:r w:rsidRPr="00FC2FA4">
              <w:rPr>
                <w:rFonts w:cs="Calibri"/>
                <w:color w:val="000000"/>
                <w:szCs w:val="18"/>
              </w:rPr>
              <w:t>1.4%</w:t>
            </w:r>
          </w:p>
        </w:tc>
        <w:tc>
          <w:tcPr>
            <w:tcW w:w="1276" w:type="dxa"/>
          </w:tcPr>
          <w:p w14:paraId="2B091603" w14:textId="77777777" w:rsidR="002F5351" w:rsidRPr="00FC2FA4" w:rsidRDefault="002F5351" w:rsidP="00081D7F">
            <w:pPr>
              <w:pStyle w:val="TSBodyText"/>
              <w:rPr>
                <w:rFonts w:cs="Calibri"/>
                <w:szCs w:val="18"/>
              </w:rPr>
            </w:pPr>
            <w:r w:rsidRPr="00FC2FA4">
              <w:rPr>
                <w:rFonts w:cs="Calibri"/>
                <w:szCs w:val="18"/>
              </w:rPr>
              <w:t>7,524</w:t>
            </w:r>
          </w:p>
        </w:tc>
        <w:tc>
          <w:tcPr>
            <w:tcW w:w="991" w:type="dxa"/>
          </w:tcPr>
          <w:p w14:paraId="169E2C10" w14:textId="77777777" w:rsidR="002F5351" w:rsidRPr="00FC2FA4" w:rsidRDefault="002F5351" w:rsidP="00081D7F">
            <w:pPr>
              <w:pStyle w:val="TSBodyText"/>
              <w:rPr>
                <w:rFonts w:cs="Calibri"/>
                <w:szCs w:val="18"/>
              </w:rPr>
            </w:pPr>
            <w:r w:rsidRPr="00FC2FA4">
              <w:rPr>
                <w:rFonts w:cs="Calibri"/>
                <w:color w:val="000000"/>
                <w:szCs w:val="18"/>
              </w:rPr>
              <w:t>19.7%</w:t>
            </w:r>
          </w:p>
        </w:tc>
      </w:tr>
      <w:tr w:rsidR="002F5351" w14:paraId="68E32704" w14:textId="77777777">
        <w:trPr>
          <w:cnfStyle w:val="000000010000" w:firstRow="0" w:lastRow="0" w:firstColumn="0" w:lastColumn="0" w:oddVBand="0" w:evenVBand="0" w:oddHBand="0" w:evenHBand="1" w:firstRowFirstColumn="0" w:firstRowLastColumn="0" w:lastRowFirstColumn="0" w:lastRowLastColumn="0"/>
        </w:trPr>
        <w:tc>
          <w:tcPr>
            <w:tcW w:w="1858" w:type="dxa"/>
          </w:tcPr>
          <w:p w14:paraId="09AEACCB" w14:textId="77777777" w:rsidR="002F5351" w:rsidRPr="00CF5FA9" w:rsidRDefault="002F5351" w:rsidP="00081D7F">
            <w:pPr>
              <w:pStyle w:val="TSBodyText"/>
              <w:rPr>
                <w:rFonts w:cs="Calibri"/>
                <w:b/>
                <w:bCs/>
                <w:sz w:val="20"/>
                <w:szCs w:val="20"/>
              </w:rPr>
            </w:pPr>
            <w:r w:rsidRPr="00CF5FA9">
              <w:rPr>
                <w:rFonts w:cs="Calibri"/>
                <w:b/>
                <w:bCs/>
                <w:sz w:val="20"/>
                <w:szCs w:val="20"/>
              </w:rPr>
              <w:t>Total</w:t>
            </w:r>
          </w:p>
        </w:tc>
        <w:tc>
          <w:tcPr>
            <w:tcW w:w="1119" w:type="dxa"/>
          </w:tcPr>
          <w:p w14:paraId="0D278EB6" w14:textId="77777777" w:rsidR="002F5351" w:rsidRPr="00CF5FA9" w:rsidRDefault="002F5351" w:rsidP="00081D7F">
            <w:pPr>
              <w:pStyle w:val="TSBodyText"/>
              <w:rPr>
                <w:rFonts w:cs="Calibri"/>
                <w:b/>
                <w:bCs/>
                <w:szCs w:val="18"/>
              </w:rPr>
            </w:pPr>
            <w:r w:rsidRPr="00CF5FA9">
              <w:rPr>
                <w:rFonts w:cs="Calibri"/>
                <w:b/>
                <w:bCs/>
                <w:color w:val="000000"/>
                <w:szCs w:val="18"/>
              </w:rPr>
              <w:t>6,660,222</w:t>
            </w:r>
          </w:p>
        </w:tc>
        <w:tc>
          <w:tcPr>
            <w:tcW w:w="992" w:type="dxa"/>
          </w:tcPr>
          <w:p w14:paraId="419AA0FA" w14:textId="77777777" w:rsidR="002F5351" w:rsidRPr="00CF5FA9" w:rsidRDefault="002F5351" w:rsidP="00081D7F">
            <w:pPr>
              <w:pStyle w:val="TSBodyText"/>
              <w:rPr>
                <w:rFonts w:cs="Calibri"/>
                <w:b/>
                <w:bCs/>
                <w:color w:val="000000"/>
                <w:szCs w:val="18"/>
              </w:rPr>
            </w:pPr>
          </w:p>
        </w:tc>
        <w:tc>
          <w:tcPr>
            <w:tcW w:w="992" w:type="dxa"/>
          </w:tcPr>
          <w:p w14:paraId="641E6DE3" w14:textId="77777777" w:rsidR="002F5351" w:rsidRPr="00CF5FA9" w:rsidRDefault="002F5351" w:rsidP="00081D7F">
            <w:pPr>
              <w:pStyle w:val="TSBodyText"/>
              <w:rPr>
                <w:rFonts w:cs="Calibri"/>
                <w:b/>
                <w:bCs/>
                <w:szCs w:val="18"/>
              </w:rPr>
            </w:pPr>
            <w:r w:rsidRPr="00CF5FA9">
              <w:rPr>
                <w:rFonts w:cs="Calibri"/>
                <w:b/>
                <w:bCs/>
                <w:color w:val="000000"/>
                <w:szCs w:val="18"/>
              </w:rPr>
              <w:t>674,652</w:t>
            </w:r>
          </w:p>
        </w:tc>
        <w:tc>
          <w:tcPr>
            <w:tcW w:w="992" w:type="dxa"/>
          </w:tcPr>
          <w:p w14:paraId="7E6A79D9" w14:textId="77777777" w:rsidR="002F5351" w:rsidRPr="00CF5FA9" w:rsidRDefault="002F5351" w:rsidP="00081D7F">
            <w:pPr>
              <w:pStyle w:val="TSBodyText"/>
              <w:rPr>
                <w:rFonts w:cs="Calibri"/>
                <w:b/>
                <w:bCs/>
                <w:color w:val="000000"/>
                <w:szCs w:val="18"/>
              </w:rPr>
            </w:pPr>
          </w:p>
        </w:tc>
        <w:tc>
          <w:tcPr>
            <w:tcW w:w="1276" w:type="dxa"/>
          </w:tcPr>
          <w:p w14:paraId="55D1789C" w14:textId="77777777" w:rsidR="002F5351" w:rsidRPr="00CF5FA9" w:rsidRDefault="002F5351" w:rsidP="00081D7F">
            <w:pPr>
              <w:pStyle w:val="TSBodyText"/>
              <w:rPr>
                <w:rFonts w:cs="Calibri"/>
                <w:b/>
                <w:bCs/>
                <w:szCs w:val="18"/>
              </w:rPr>
            </w:pPr>
            <w:r w:rsidRPr="00CF5FA9">
              <w:rPr>
                <w:rFonts w:cs="Calibri"/>
                <w:b/>
                <w:bCs/>
                <w:color w:val="000000"/>
                <w:szCs w:val="18"/>
              </w:rPr>
              <w:t>38,190</w:t>
            </w:r>
          </w:p>
        </w:tc>
        <w:tc>
          <w:tcPr>
            <w:tcW w:w="991" w:type="dxa"/>
          </w:tcPr>
          <w:p w14:paraId="600CDF66" w14:textId="77777777" w:rsidR="002F5351" w:rsidRPr="00FC2FA4" w:rsidRDefault="002F5351" w:rsidP="00081D7F">
            <w:pPr>
              <w:pStyle w:val="TSBodyText"/>
              <w:rPr>
                <w:rFonts w:cs="Calibri"/>
                <w:color w:val="000000"/>
                <w:szCs w:val="18"/>
              </w:rPr>
            </w:pPr>
          </w:p>
        </w:tc>
      </w:tr>
    </w:tbl>
    <w:p w14:paraId="6D5CB1EC" w14:textId="77777777" w:rsidR="002F5351" w:rsidRPr="00070686" w:rsidRDefault="002F5351" w:rsidP="002F5351">
      <w:pPr>
        <w:pStyle w:val="USNote"/>
      </w:pPr>
      <w:r>
        <w:t>2023 values calculated by CPI-adjusting reported values in 2021 dollars.</w:t>
      </w:r>
    </w:p>
    <w:p w14:paraId="1822930A" w14:textId="77777777" w:rsidR="002F5351" w:rsidRDefault="002F5351" w:rsidP="002F5351">
      <w:pPr>
        <w:pStyle w:val="USSource"/>
      </w:pPr>
      <w:r>
        <w:t>Source: NZIER, based on Ministry of Transport (2021)</w:t>
      </w:r>
    </w:p>
    <w:p w14:paraId="016F941E" w14:textId="32F02FBF" w:rsidR="002F5351" w:rsidRDefault="002F5351" w:rsidP="002F5351">
      <w:pPr>
        <w:pStyle w:val="USBodyText"/>
      </w:pPr>
      <w:r>
        <w:t xml:space="preserve">Based on the number of </w:t>
      </w:r>
      <w:r w:rsidR="00947FE3">
        <w:t>alcohol-</w:t>
      </w:r>
      <w:r>
        <w:t xml:space="preserve">attributable crashes of each type estimated in the previous section, we estimate the total social cost of </w:t>
      </w:r>
      <w:r w:rsidR="00947FE3">
        <w:t>alcohol-</w:t>
      </w:r>
      <w:r>
        <w:t xml:space="preserve">attributable road crashes to be over $2 billion, or approximately 42 percent of the total social cost of all road crashes, of which the largest share is loss of life or loss of quality of life due to permanent disability. </w:t>
      </w:r>
    </w:p>
    <w:p w14:paraId="30920031" w14:textId="36F1E7CD" w:rsidR="002F5351" w:rsidRDefault="002F5351" w:rsidP="00413991">
      <w:pPr>
        <w:pStyle w:val="TableCaption"/>
        <w:keepLines/>
      </w:pPr>
      <w:bookmarkStart w:id="101" w:name="_Toc160633926"/>
      <w:r w:rsidRPr="00731CA6">
        <w:lastRenderedPageBreak/>
        <w:t xml:space="preserve">Table </w:t>
      </w:r>
      <w:fldSimple w:instr=" SEQ Table \* ARABIC ">
        <w:r w:rsidR="00AE166D">
          <w:rPr>
            <w:noProof/>
          </w:rPr>
          <w:t>19</w:t>
        </w:r>
      </w:fldSimple>
      <w:r>
        <w:rPr>
          <w:noProof/>
        </w:rPr>
        <w:t xml:space="preserve"> </w:t>
      </w:r>
      <w:r>
        <w:t xml:space="preserve">Total estimated </w:t>
      </w:r>
      <w:r w:rsidR="00947FE3">
        <w:t>alcohol-</w:t>
      </w:r>
      <w:r>
        <w:t xml:space="preserve">attributable cost of road crashes by </w:t>
      </w:r>
      <w:r w:rsidR="00947FE3">
        <w:t xml:space="preserve">the </w:t>
      </w:r>
      <w:r>
        <w:t>severity of crash and cost component</w:t>
      </w:r>
      <w:bookmarkEnd w:id="101"/>
    </w:p>
    <w:p w14:paraId="6C1E219B" w14:textId="71813F9B" w:rsidR="002F5351" w:rsidRPr="00920E06" w:rsidRDefault="002F5351" w:rsidP="00413991">
      <w:pPr>
        <w:pStyle w:val="CaptionSubheading"/>
        <w:keepLines/>
      </w:pPr>
      <w:r>
        <w:t xml:space="preserve">2023 </w:t>
      </w:r>
      <w:r w:rsidR="00E85AF0">
        <w:t>dollars</w:t>
      </w:r>
    </w:p>
    <w:tbl>
      <w:tblPr>
        <w:tblStyle w:val="TableDefault"/>
        <w:tblW w:w="8221" w:type="dxa"/>
        <w:tblLook w:val="04A0" w:firstRow="1" w:lastRow="0" w:firstColumn="1" w:lastColumn="0" w:noHBand="0" w:noVBand="1"/>
      </w:tblPr>
      <w:tblGrid>
        <w:gridCol w:w="1559"/>
        <w:gridCol w:w="1746"/>
        <w:gridCol w:w="1603"/>
        <w:gridCol w:w="1612"/>
        <w:gridCol w:w="1701"/>
      </w:tblGrid>
      <w:tr w:rsidR="002F5351" w14:paraId="4698157F" w14:textId="77777777" w:rsidTr="00340AA8">
        <w:trPr>
          <w:cnfStyle w:val="100000000000" w:firstRow="1" w:lastRow="0" w:firstColumn="0" w:lastColumn="0" w:oddVBand="0" w:evenVBand="0" w:oddHBand="0" w:evenHBand="0" w:firstRowFirstColumn="0" w:firstRowLastColumn="0" w:lastRowFirstColumn="0" w:lastRowLastColumn="0"/>
        </w:trPr>
        <w:tc>
          <w:tcPr>
            <w:tcW w:w="1559" w:type="dxa"/>
          </w:tcPr>
          <w:p w14:paraId="5AFC196D" w14:textId="77777777" w:rsidR="002F5351" w:rsidRDefault="002F5351" w:rsidP="00413991">
            <w:pPr>
              <w:pStyle w:val="TSTableHeadingWhite-TopRow"/>
            </w:pPr>
          </w:p>
        </w:tc>
        <w:tc>
          <w:tcPr>
            <w:tcW w:w="1746" w:type="dxa"/>
          </w:tcPr>
          <w:p w14:paraId="1468523A" w14:textId="77777777" w:rsidR="002F5351" w:rsidRPr="00A73226" w:rsidRDefault="002F5351" w:rsidP="00413991">
            <w:pPr>
              <w:pStyle w:val="TSTableHeadingWhite-TopRow"/>
              <w:jc w:val="center"/>
              <w:rPr>
                <w:color w:val="FFFFFF" w:themeColor="background1"/>
              </w:rPr>
            </w:pPr>
            <w:r w:rsidRPr="00A73226">
              <w:rPr>
                <w:color w:val="FFFFFF" w:themeColor="background1"/>
              </w:rPr>
              <w:t>Fatal</w:t>
            </w:r>
            <w:r>
              <w:rPr>
                <w:color w:val="FFFFFF" w:themeColor="background1"/>
              </w:rPr>
              <w:t xml:space="preserve"> crashes</w:t>
            </w:r>
          </w:p>
        </w:tc>
        <w:tc>
          <w:tcPr>
            <w:tcW w:w="1603" w:type="dxa"/>
          </w:tcPr>
          <w:p w14:paraId="01273691" w14:textId="77777777" w:rsidR="002F5351" w:rsidRPr="00A73226" w:rsidRDefault="002F5351" w:rsidP="00413991">
            <w:pPr>
              <w:pStyle w:val="TSTableHeadingWhite-TopRow"/>
              <w:jc w:val="center"/>
              <w:rPr>
                <w:color w:val="FFFFFF" w:themeColor="background1"/>
              </w:rPr>
            </w:pPr>
            <w:r w:rsidRPr="00A73226">
              <w:rPr>
                <w:color w:val="FFFFFF" w:themeColor="background1"/>
              </w:rPr>
              <w:t>Serious</w:t>
            </w:r>
            <w:r>
              <w:rPr>
                <w:color w:val="FFFFFF" w:themeColor="background1"/>
              </w:rPr>
              <w:t xml:space="preserve"> crashes</w:t>
            </w:r>
          </w:p>
        </w:tc>
        <w:tc>
          <w:tcPr>
            <w:tcW w:w="1612" w:type="dxa"/>
          </w:tcPr>
          <w:p w14:paraId="586514B1" w14:textId="77777777" w:rsidR="002F5351" w:rsidRPr="00A73226" w:rsidRDefault="002F5351" w:rsidP="00413991">
            <w:pPr>
              <w:pStyle w:val="TSTableHeadingWhite-TopRow"/>
              <w:jc w:val="center"/>
              <w:rPr>
                <w:color w:val="FFFFFF" w:themeColor="background1"/>
              </w:rPr>
            </w:pPr>
            <w:r w:rsidRPr="00A73226">
              <w:rPr>
                <w:color w:val="FFFFFF" w:themeColor="background1"/>
              </w:rPr>
              <w:t>Minor</w:t>
            </w:r>
            <w:r>
              <w:rPr>
                <w:color w:val="FFFFFF" w:themeColor="background1"/>
              </w:rPr>
              <w:t xml:space="preserve"> crashes</w:t>
            </w:r>
          </w:p>
        </w:tc>
        <w:tc>
          <w:tcPr>
            <w:tcW w:w="1701" w:type="dxa"/>
          </w:tcPr>
          <w:p w14:paraId="38D7B719" w14:textId="00A3D6B0" w:rsidR="002F5351" w:rsidRPr="00A73226" w:rsidRDefault="002F5351" w:rsidP="00413991">
            <w:pPr>
              <w:pStyle w:val="TSTableHeadingWhite-TopRow"/>
              <w:jc w:val="center"/>
              <w:rPr>
                <w:color w:val="FFFFFF" w:themeColor="background1"/>
              </w:rPr>
            </w:pPr>
            <w:r w:rsidRPr="00A73226">
              <w:rPr>
                <w:color w:val="FFFFFF" w:themeColor="background1"/>
              </w:rPr>
              <w:t xml:space="preserve">All </w:t>
            </w:r>
            <w:r w:rsidR="00947FE3" w:rsidRPr="00A73226">
              <w:rPr>
                <w:color w:val="FFFFFF" w:themeColor="background1"/>
              </w:rPr>
              <w:t>alcohol</w:t>
            </w:r>
            <w:r w:rsidR="00947FE3">
              <w:rPr>
                <w:color w:val="FFFFFF" w:themeColor="background1"/>
              </w:rPr>
              <w:t>-</w:t>
            </w:r>
            <w:r w:rsidRPr="00A73226">
              <w:rPr>
                <w:color w:val="FFFFFF" w:themeColor="background1"/>
              </w:rPr>
              <w:t>attributable crashes</w:t>
            </w:r>
          </w:p>
        </w:tc>
      </w:tr>
      <w:tr w:rsidR="002F5351" w14:paraId="232C7D8A" w14:textId="77777777" w:rsidTr="00340AA8">
        <w:tc>
          <w:tcPr>
            <w:tcW w:w="1559" w:type="dxa"/>
          </w:tcPr>
          <w:p w14:paraId="537D73B1" w14:textId="77777777" w:rsidR="002F5351" w:rsidRPr="00AB0A9A" w:rsidRDefault="002F5351" w:rsidP="00413991">
            <w:pPr>
              <w:pStyle w:val="TSBodyText"/>
              <w:keepNext/>
              <w:keepLines/>
            </w:pPr>
            <w:r w:rsidRPr="00AB0A9A">
              <w:t>Loss of life or quality of life due to permanent disability</w:t>
            </w:r>
          </w:p>
        </w:tc>
        <w:tc>
          <w:tcPr>
            <w:tcW w:w="1746" w:type="dxa"/>
          </w:tcPr>
          <w:p w14:paraId="0ECC1CE1" w14:textId="77777777" w:rsidR="002F5351" w:rsidRPr="00DC76AB" w:rsidRDefault="002F5351" w:rsidP="00413991">
            <w:pPr>
              <w:pStyle w:val="TSBodyText"/>
              <w:keepNext/>
              <w:keepLines/>
              <w:ind w:right="309"/>
              <w:jc w:val="right"/>
            </w:pPr>
            <w:r>
              <w:rPr>
                <w:rFonts w:cs="Calibri"/>
                <w:color w:val="000000"/>
              </w:rPr>
              <w:t>$</w:t>
            </w:r>
            <w:r w:rsidRPr="003150A0">
              <w:rPr>
                <w:rFonts w:cs="Calibri"/>
                <w:color w:val="000000"/>
              </w:rPr>
              <w:t xml:space="preserve">1,636,835,461 </w:t>
            </w:r>
          </w:p>
        </w:tc>
        <w:tc>
          <w:tcPr>
            <w:tcW w:w="1603" w:type="dxa"/>
          </w:tcPr>
          <w:p w14:paraId="477C9378" w14:textId="77777777" w:rsidR="002F5351" w:rsidRPr="00DC76AB" w:rsidRDefault="002F5351" w:rsidP="00413991">
            <w:pPr>
              <w:pStyle w:val="TSBodyText"/>
              <w:keepNext/>
              <w:keepLines/>
              <w:ind w:right="309"/>
              <w:jc w:val="right"/>
            </w:pPr>
            <w:r w:rsidRPr="003150A0">
              <w:rPr>
                <w:rFonts w:cs="Calibri"/>
                <w:color w:val="000000"/>
              </w:rPr>
              <w:t xml:space="preserve"> 265,847,368 </w:t>
            </w:r>
          </w:p>
        </w:tc>
        <w:tc>
          <w:tcPr>
            <w:tcW w:w="1612" w:type="dxa"/>
          </w:tcPr>
          <w:p w14:paraId="1132311F" w14:textId="77777777" w:rsidR="002F5351" w:rsidRPr="00DC76AB" w:rsidRDefault="002F5351" w:rsidP="00413991">
            <w:pPr>
              <w:pStyle w:val="TSBodyText"/>
              <w:keepNext/>
              <w:keepLines/>
              <w:ind w:right="309"/>
              <w:jc w:val="right"/>
            </w:pPr>
            <w:r w:rsidRPr="003150A0">
              <w:rPr>
                <w:rFonts w:cs="Calibri"/>
                <w:color w:val="000000"/>
              </w:rPr>
              <w:t xml:space="preserve">111,172,045 </w:t>
            </w:r>
          </w:p>
        </w:tc>
        <w:tc>
          <w:tcPr>
            <w:tcW w:w="1701" w:type="dxa"/>
          </w:tcPr>
          <w:p w14:paraId="4D933386" w14:textId="77777777" w:rsidR="002F5351" w:rsidRPr="00DC76AB" w:rsidRDefault="002F5351" w:rsidP="00413991">
            <w:pPr>
              <w:pStyle w:val="TSBodyText"/>
              <w:keepNext/>
              <w:keepLines/>
              <w:ind w:right="309"/>
              <w:jc w:val="right"/>
            </w:pPr>
            <w:r w:rsidRPr="003150A0">
              <w:rPr>
                <w:rFonts w:cs="Calibri"/>
                <w:color w:val="000000"/>
              </w:rPr>
              <w:t xml:space="preserve">$2,013,854,875 </w:t>
            </w:r>
          </w:p>
        </w:tc>
      </w:tr>
      <w:tr w:rsidR="002F5351" w14:paraId="366BE2D6" w14:textId="77777777" w:rsidTr="00340AA8">
        <w:trPr>
          <w:cnfStyle w:val="000000010000" w:firstRow="0" w:lastRow="0" w:firstColumn="0" w:lastColumn="0" w:oddVBand="0" w:evenVBand="0" w:oddHBand="0" w:evenHBand="1" w:firstRowFirstColumn="0" w:firstRowLastColumn="0" w:lastRowFirstColumn="0" w:lastRowLastColumn="0"/>
        </w:trPr>
        <w:tc>
          <w:tcPr>
            <w:tcW w:w="1559" w:type="dxa"/>
          </w:tcPr>
          <w:p w14:paraId="7CD8D326" w14:textId="77777777" w:rsidR="002F5351" w:rsidRPr="00AB0A9A" w:rsidRDefault="002F5351" w:rsidP="00413991">
            <w:pPr>
              <w:pStyle w:val="TSBodyText"/>
              <w:keepNext/>
              <w:keepLines/>
            </w:pPr>
            <w:r w:rsidRPr="00AB0A9A">
              <w:t>Loss of output or temporary disability</w:t>
            </w:r>
          </w:p>
        </w:tc>
        <w:tc>
          <w:tcPr>
            <w:tcW w:w="1746" w:type="dxa"/>
          </w:tcPr>
          <w:p w14:paraId="2529459A" w14:textId="77777777" w:rsidR="002F5351" w:rsidRPr="00DC76AB" w:rsidRDefault="002F5351" w:rsidP="00413991">
            <w:pPr>
              <w:pStyle w:val="TSBodyText"/>
              <w:keepNext/>
              <w:keepLines/>
              <w:ind w:right="309"/>
              <w:jc w:val="right"/>
            </w:pPr>
            <w:r w:rsidRPr="003150A0">
              <w:rPr>
                <w:rFonts w:cs="Calibri"/>
                <w:color w:val="000000"/>
              </w:rPr>
              <w:t xml:space="preserve"> $283,484 </w:t>
            </w:r>
          </w:p>
        </w:tc>
        <w:tc>
          <w:tcPr>
            <w:tcW w:w="1603" w:type="dxa"/>
          </w:tcPr>
          <w:p w14:paraId="3B5FF4E5" w14:textId="77777777" w:rsidR="002F5351" w:rsidRPr="00DC76AB" w:rsidRDefault="002F5351" w:rsidP="00413991">
            <w:pPr>
              <w:pStyle w:val="TSBodyText"/>
              <w:keepNext/>
              <w:keepLines/>
              <w:ind w:right="309"/>
              <w:jc w:val="right"/>
            </w:pPr>
            <w:r w:rsidRPr="003150A0">
              <w:rPr>
                <w:rFonts w:cs="Calibri"/>
                <w:color w:val="000000"/>
              </w:rPr>
              <w:t xml:space="preserve"> $1,143,840 </w:t>
            </w:r>
          </w:p>
        </w:tc>
        <w:tc>
          <w:tcPr>
            <w:tcW w:w="1612" w:type="dxa"/>
          </w:tcPr>
          <w:p w14:paraId="6B42C7C3" w14:textId="77777777" w:rsidR="002F5351" w:rsidRPr="00DC76AB" w:rsidRDefault="002F5351" w:rsidP="00413991">
            <w:pPr>
              <w:pStyle w:val="TSBodyText"/>
              <w:keepNext/>
              <w:keepLines/>
              <w:ind w:right="309"/>
              <w:jc w:val="right"/>
            </w:pPr>
            <w:r w:rsidRPr="003150A0">
              <w:rPr>
                <w:rFonts w:cs="Calibri"/>
                <w:color w:val="000000"/>
              </w:rPr>
              <w:t xml:space="preserve">$1,876,321 </w:t>
            </w:r>
          </w:p>
        </w:tc>
        <w:tc>
          <w:tcPr>
            <w:tcW w:w="1701" w:type="dxa"/>
          </w:tcPr>
          <w:p w14:paraId="7BF6641F" w14:textId="77777777" w:rsidR="002F5351" w:rsidRPr="00DC76AB" w:rsidRDefault="002F5351" w:rsidP="00413991">
            <w:pPr>
              <w:pStyle w:val="TSBodyText"/>
              <w:keepNext/>
              <w:keepLines/>
              <w:ind w:right="309"/>
              <w:jc w:val="right"/>
            </w:pPr>
            <w:r w:rsidRPr="003150A0">
              <w:rPr>
                <w:rFonts w:cs="Calibri"/>
                <w:color w:val="000000"/>
              </w:rPr>
              <w:t xml:space="preserve">$3,303,645 </w:t>
            </w:r>
          </w:p>
        </w:tc>
      </w:tr>
      <w:tr w:rsidR="002F5351" w14:paraId="3BD368DE" w14:textId="77777777" w:rsidTr="00340AA8">
        <w:tc>
          <w:tcPr>
            <w:tcW w:w="1559" w:type="dxa"/>
          </w:tcPr>
          <w:p w14:paraId="63EA0308" w14:textId="1972B0EC" w:rsidR="002F5351" w:rsidRPr="00AB0A9A" w:rsidRDefault="002F5351" w:rsidP="00413991">
            <w:pPr>
              <w:pStyle w:val="TSBodyText"/>
              <w:keepNext/>
              <w:keepLines/>
            </w:pPr>
            <w:r w:rsidRPr="00AB0A9A">
              <w:t>Medical</w:t>
            </w:r>
            <w:r w:rsidR="00CF5FA9">
              <w:t>:</w:t>
            </w:r>
          </w:p>
        </w:tc>
        <w:tc>
          <w:tcPr>
            <w:tcW w:w="1746" w:type="dxa"/>
          </w:tcPr>
          <w:p w14:paraId="23833B33" w14:textId="77777777" w:rsidR="002F5351" w:rsidRPr="00DC76AB" w:rsidRDefault="002F5351" w:rsidP="00413991">
            <w:pPr>
              <w:pStyle w:val="TSBodyText"/>
              <w:keepNext/>
              <w:keepLines/>
              <w:ind w:right="309"/>
              <w:jc w:val="right"/>
            </w:pPr>
            <w:r>
              <w:rPr>
                <w:rFonts w:cs="Calibri"/>
                <w:color w:val="000000"/>
              </w:rPr>
              <w:t>$</w:t>
            </w:r>
            <w:r w:rsidRPr="003150A0">
              <w:rPr>
                <w:rFonts w:cs="Calibri"/>
                <w:color w:val="000000"/>
              </w:rPr>
              <w:t xml:space="preserve">4,507,392 </w:t>
            </w:r>
          </w:p>
        </w:tc>
        <w:tc>
          <w:tcPr>
            <w:tcW w:w="1603" w:type="dxa"/>
          </w:tcPr>
          <w:p w14:paraId="7C82DF94" w14:textId="77777777" w:rsidR="002F5351" w:rsidRPr="00DC76AB" w:rsidRDefault="002F5351" w:rsidP="00413991">
            <w:pPr>
              <w:pStyle w:val="TSBodyText"/>
              <w:keepNext/>
              <w:keepLines/>
              <w:ind w:right="309"/>
              <w:jc w:val="right"/>
            </w:pPr>
            <w:r w:rsidRPr="003150A0">
              <w:rPr>
                <w:rFonts w:cs="Calibri"/>
                <w:color w:val="000000"/>
              </w:rPr>
              <w:t xml:space="preserve">$8,912,416 </w:t>
            </w:r>
          </w:p>
        </w:tc>
        <w:tc>
          <w:tcPr>
            <w:tcW w:w="1612" w:type="dxa"/>
          </w:tcPr>
          <w:p w14:paraId="43C8189E" w14:textId="77777777" w:rsidR="002F5351" w:rsidRPr="00DC76AB" w:rsidRDefault="002F5351" w:rsidP="00413991">
            <w:pPr>
              <w:pStyle w:val="TSBodyText"/>
              <w:keepNext/>
              <w:keepLines/>
              <w:ind w:right="309"/>
              <w:jc w:val="right"/>
            </w:pPr>
            <w:r w:rsidRPr="003150A0">
              <w:rPr>
                <w:rFonts w:cs="Calibri"/>
                <w:color w:val="000000"/>
              </w:rPr>
              <w:t xml:space="preserve">$5,628,964 </w:t>
            </w:r>
          </w:p>
        </w:tc>
        <w:tc>
          <w:tcPr>
            <w:tcW w:w="1701" w:type="dxa"/>
          </w:tcPr>
          <w:p w14:paraId="6E6535F2" w14:textId="77777777" w:rsidR="002F5351" w:rsidRPr="00DC76AB" w:rsidRDefault="002F5351" w:rsidP="00413991">
            <w:pPr>
              <w:pStyle w:val="TSBodyText"/>
              <w:keepNext/>
              <w:keepLines/>
              <w:ind w:right="309"/>
              <w:jc w:val="right"/>
            </w:pPr>
            <w:r w:rsidRPr="003150A0">
              <w:rPr>
                <w:rFonts w:cs="Calibri"/>
                <w:color w:val="000000"/>
              </w:rPr>
              <w:t xml:space="preserve">$19,048,773 </w:t>
            </w:r>
          </w:p>
        </w:tc>
      </w:tr>
      <w:tr w:rsidR="002F5351" w14:paraId="2DBD5DA6" w14:textId="77777777" w:rsidTr="00340AA8">
        <w:trPr>
          <w:cnfStyle w:val="000000010000" w:firstRow="0" w:lastRow="0" w:firstColumn="0" w:lastColumn="0" w:oddVBand="0" w:evenVBand="0" w:oddHBand="0" w:evenHBand="1" w:firstRowFirstColumn="0" w:firstRowLastColumn="0" w:lastRowFirstColumn="0" w:lastRowLastColumn="0"/>
        </w:trPr>
        <w:tc>
          <w:tcPr>
            <w:tcW w:w="1559" w:type="dxa"/>
          </w:tcPr>
          <w:p w14:paraId="386AF27A" w14:textId="77777777" w:rsidR="002F5351" w:rsidRPr="00F57620" w:rsidRDefault="002F5351" w:rsidP="00AB0A9A">
            <w:pPr>
              <w:pStyle w:val="TSBodyText"/>
              <w:keepNext/>
              <w:keepLines/>
              <w:jc w:val="right"/>
            </w:pPr>
            <w:r w:rsidRPr="00F57620">
              <w:t>Ho</w:t>
            </w:r>
            <w:r>
              <w:t>spi</w:t>
            </w:r>
            <w:r w:rsidRPr="00F57620">
              <w:t>tal</w:t>
            </w:r>
          </w:p>
        </w:tc>
        <w:tc>
          <w:tcPr>
            <w:tcW w:w="1746" w:type="dxa"/>
          </w:tcPr>
          <w:p w14:paraId="79E50663" w14:textId="77777777" w:rsidR="002F5351" w:rsidRPr="00DC76AB" w:rsidRDefault="002F5351" w:rsidP="00413991">
            <w:pPr>
              <w:pStyle w:val="TSBodyText"/>
              <w:keepNext/>
              <w:keepLines/>
              <w:ind w:right="309"/>
              <w:jc w:val="right"/>
            </w:pPr>
            <w:r w:rsidRPr="003150A0">
              <w:rPr>
                <w:rFonts w:cs="Calibri"/>
                <w:color w:val="000000"/>
              </w:rPr>
              <w:t xml:space="preserve">$2,579,703 </w:t>
            </w:r>
          </w:p>
        </w:tc>
        <w:tc>
          <w:tcPr>
            <w:tcW w:w="1603" w:type="dxa"/>
          </w:tcPr>
          <w:p w14:paraId="6232FC86" w14:textId="77777777" w:rsidR="002F5351" w:rsidRPr="00DC76AB" w:rsidRDefault="002F5351" w:rsidP="00413991">
            <w:pPr>
              <w:pStyle w:val="TSBodyText"/>
              <w:keepNext/>
              <w:keepLines/>
              <w:ind w:right="309"/>
              <w:jc w:val="right"/>
            </w:pPr>
            <w:r w:rsidRPr="003150A0">
              <w:rPr>
                <w:rFonts w:cs="Calibri"/>
                <w:color w:val="000000"/>
              </w:rPr>
              <w:t xml:space="preserve">$5,480,898 </w:t>
            </w:r>
          </w:p>
        </w:tc>
        <w:tc>
          <w:tcPr>
            <w:tcW w:w="1612" w:type="dxa"/>
          </w:tcPr>
          <w:p w14:paraId="590E848F" w14:textId="77777777" w:rsidR="002F5351" w:rsidRPr="00DC76AB" w:rsidRDefault="002F5351" w:rsidP="00413991">
            <w:pPr>
              <w:pStyle w:val="TSBodyText"/>
              <w:keepNext/>
              <w:keepLines/>
              <w:ind w:right="309"/>
              <w:jc w:val="right"/>
            </w:pPr>
            <w:r w:rsidRPr="003150A0">
              <w:rPr>
                <w:rFonts w:cs="Calibri"/>
                <w:color w:val="000000"/>
              </w:rPr>
              <w:t xml:space="preserve">$938,161 </w:t>
            </w:r>
          </w:p>
        </w:tc>
        <w:tc>
          <w:tcPr>
            <w:tcW w:w="1701" w:type="dxa"/>
          </w:tcPr>
          <w:p w14:paraId="1D0040A9" w14:textId="77777777" w:rsidR="002F5351" w:rsidRPr="00DC76AB" w:rsidRDefault="002F5351" w:rsidP="00413991">
            <w:pPr>
              <w:pStyle w:val="TSBodyText"/>
              <w:keepNext/>
              <w:keepLines/>
              <w:ind w:right="309"/>
              <w:jc w:val="right"/>
            </w:pPr>
            <w:r>
              <w:rPr>
                <w:rFonts w:cs="Calibri"/>
                <w:color w:val="000000"/>
              </w:rPr>
              <w:t>$</w:t>
            </w:r>
            <w:r w:rsidRPr="003150A0">
              <w:rPr>
                <w:rFonts w:cs="Calibri"/>
                <w:color w:val="000000"/>
              </w:rPr>
              <w:t xml:space="preserve">8,998,761 </w:t>
            </w:r>
          </w:p>
        </w:tc>
      </w:tr>
      <w:tr w:rsidR="002F5351" w14:paraId="1B6352FB" w14:textId="77777777" w:rsidTr="00340AA8">
        <w:tc>
          <w:tcPr>
            <w:tcW w:w="1559" w:type="dxa"/>
          </w:tcPr>
          <w:p w14:paraId="54BE835E" w14:textId="77777777" w:rsidR="002F5351" w:rsidRPr="00F57620" w:rsidRDefault="002F5351" w:rsidP="00AB0A9A">
            <w:pPr>
              <w:pStyle w:val="TSBodyText"/>
              <w:keepNext/>
              <w:keepLines/>
              <w:jc w:val="right"/>
            </w:pPr>
            <w:r w:rsidRPr="00F57620">
              <w:t>Emergency</w:t>
            </w:r>
          </w:p>
        </w:tc>
        <w:tc>
          <w:tcPr>
            <w:tcW w:w="1746" w:type="dxa"/>
          </w:tcPr>
          <w:p w14:paraId="2BC293BA" w14:textId="77777777" w:rsidR="002F5351" w:rsidRPr="00DC76AB" w:rsidRDefault="002F5351" w:rsidP="00413991">
            <w:pPr>
              <w:pStyle w:val="TSBodyText"/>
              <w:keepNext/>
              <w:keepLines/>
              <w:ind w:right="309"/>
              <w:jc w:val="right"/>
            </w:pPr>
            <w:r w:rsidRPr="003150A0">
              <w:rPr>
                <w:rFonts w:cs="Calibri"/>
                <w:color w:val="000000"/>
              </w:rPr>
              <w:t xml:space="preserve">$1,304,025 </w:t>
            </w:r>
          </w:p>
        </w:tc>
        <w:tc>
          <w:tcPr>
            <w:tcW w:w="1603" w:type="dxa"/>
          </w:tcPr>
          <w:p w14:paraId="62AA1398" w14:textId="77777777" w:rsidR="002F5351" w:rsidRPr="00DC76AB" w:rsidRDefault="002F5351" w:rsidP="00413991">
            <w:pPr>
              <w:pStyle w:val="TSBodyText"/>
              <w:keepNext/>
              <w:keepLines/>
              <w:ind w:right="309"/>
              <w:jc w:val="right"/>
            </w:pPr>
            <w:r w:rsidRPr="003150A0">
              <w:rPr>
                <w:rFonts w:cs="Calibri"/>
                <w:color w:val="000000"/>
              </w:rPr>
              <w:t xml:space="preserve"> $762,560 </w:t>
            </w:r>
          </w:p>
        </w:tc>
        <w:tc>
          <w:tcPr>
            <w:tcW w:w="1612" w:type="dxa"/>
          </w:tcPr>
          <w:p w14:paraId="31BEA3EF" w14:textId="77777777" w:rsidR="002F5351" w:rsidRPr="00DC76AB" w:rsidRDefault="002F5351" w:rsidP="00413991">
            <w:pPr>
              <w:pStyle w:val="TSBodyText"/>
              <w:keepNext/>
              <w:keepLines/>
              <w:ind w:right="309"/>
              <w:jc w:val="right"/>
            </w:pPr>
            <w:r w:rsidRPr="003150A0">
              <w:rPr>
                <w:rFonts w:cs="Calibri"/>
                <w:color w:val="000000"/>
              </w:rPr>
              <w:t xml:space="preserve">$4,221,723 </w:t>
            </w:r>
          </w:p>
        </w:tc>
        <w:tc>
          <w:tcPr>
            <w:tcW w:w="1701" w:type="dxa"/>
          </w:tcPr>
          <w:p w14:paraId="79A3C902" w14:textId="77777777" w:rsidR="002F5351" w:rsidRPr="00DC76AB" w:rsidRDefault="002F5351" w:rsidP="00413991">
            <w:pPr>
              <w:pStyle w:val="TSBodyText"/>
              <w:keepNext/>
              <w:keepLines/>
              <w:ind w:right="309"/>
              <w:jc w:val="right"/>
            </w:pPr>
            <w:r w:rsidRPr="003150A0">
              <w:rPr>
                <w:rFonts w:cs="Calibri"/>
                <w:color w:val="000000"/>
              </w:rPr>
              <w:t xml:space="preserve">$6,288,308 </w:t>
            </w:r>
          </w:p>
        </w:tc>
      </w:tr>
      <w:tr w:rsidR="002F5351" w14:paraId="358C9773" w14:textId="77777777" w:rsidTr="00340AA8">
        <w:trPr>
          <w:cnfStyle w:val="000000010000" w:firstRow="0" w:lastRow="0" w:firstColumn="0" w:lastColumn="0" w:oddVBand="0" w:evenVBand="0" w:oddHBand="0" w:evenHBand="1" w:firstRowFirstColumn="0" w:firstRowLastColumn="0" w:lastRowFirstColumn="0" w:lastRowLastColumn="0"/>
        </w:trPr>
        <w:tc>
          <w:tcPr>
            <w:tcW w:w="1559" w:type="dxa"/>
          </w:tcPr>
          <w:p w14:paraId="4C732766" w14:textId="77777777" w:rsidR="002F5351" w:rsidRPr="00F57620" w:rsidRDefault="002F5351" w:rsidP="00AB0A9A">
            <w:pPr>
              <w:pStyle w:val="TSBodyText"/>
              <w:keepNext/>
              <w:keepLines/>
              <w:jc w:val="right"/>
            </w:pPr>
            <w:r w:rsidRPr="00F57620">
              <w:t>Follow-on</w:t>
            </w:r>
          </w:p>
        </w:tc>
        <w:tc>
          <w:tcPr>
            <w:tcW w:w="1746" w:type="dxa"/>
          </w:tcPr>
          <w:p w14:paraId="78BB4114" w14:textId="77777777" w:rsidR="002F5351" w:rsidRPr="00DC76AB" w:rsidRDefault="002F5351" w:rsidP="00413991">
            <w:pPr>
              <w:pStyle w:val="TSBodyText"/>
              <w:keepNext/>
              <w:keepLines/>
              <w:ind w:right="309"/>
              <w:jc w:val="right"/>
            </w:pPr>
            <w:r w:rsidRPr="003150A0">
              <w:rPr>
                <w:rFonts w:cs="Calibri"/>
                <w:color w:val="000000"/>
              </w:rPr>
              <w:t xml:space="preserve">$ 623,664 </w:t>
            </w:r>
          </w:p>
        </w:tc>
        <w:tc>
          <w:tcPr>
            <w:tcW w:w="1603" w:type="dxa"/>
          </w:tcPr>
          <w:p w14:paraId="42BC91FA" w14:textId="77777777" w:rsidR="002F5351" w:rsidRPr="00DC76AB" w:rsidRDefault="002F5351" w:rsidP="00413991">
            <w:pPr>
              <w:pStyle w:val="TSBodyText"/>
              <w:keepNext/>
              <w:keepLines/>
              <w:ind w:right="309"/>
              <w:jc w:val="right"/>
            </w:pPr>
            <w:r w:rsidRPr="003150A0">
              <w:rPr>
                <w:rFonts w:cs="Calibri"/>
                <w:color w:val="000000"/>
              </w:rPr>
              <w:t xml:space="preserve"> $2,668,959 </w:t>
            </w:r>
          </w:p>
        </w:tc>
        <w:tc>
          <w:tcPr>
            <w:tcW w:w="1612" w:type="dxa"/>
          </w:tcPr>
          <w:p w14:paraId="57390B72" w14:textId="77777777" w:rsidR="002F5351" w:rsidRPr="00DC76AB" w:rsidRDefault="002F5351" w:rsidP="00413991">
            <w:pPr>
              <w:pStyle w:val="TSBodyText"/>
              <w:keepNext/>
              <w:keepLines/>
              <w:ind w:right="309"/>
              <w:jc w:val="right"/>
            </w:pPr>
            <w:r w:rsidRPr="003150A0">
              <w:rPr>
                <w:rFonts w:cs="Calibri"/>
                <w:color w:val="000000"/>
              </w:rPr>
              <w:t xml:space="preserve">$469,080 </w:t>
            </w:r>
          </w:p>
        </w:tc>
        <w:tc>
          <w:tcPr>
            <w:tcW w:w="1701" w:type="dxa"/>
          </w:tcPr>
          <w:p w14:paraId="4278F645" w14:textId="77777777" w:rsidR="002F5351" w:rsidRPr="00DC76AB" w:rsidRDefault="002F5351" w:rsidP="00413991">
            <w:pPr>
              <w:pStyle w:val="TSBodyText"/>
              <w:keepNext/>
              <w:keepLines/>
              <w:ind w:right="309"/>
              <w:jc w:val="right"/>
            </w:pPr>
            <w:r w:rsidRPr="003150A0">
              <w:rPr>
                <w:rFonts w:cs="Calibri"/>
                <w:color w:val="000000"/>
              </w:rPr>
              <w:t xml:space="preserve">$3,761,704 </w:t>
            </w:r>
          </w:p>
        </w:tc>
      </w:tr>
      <w:tr w:rsidR="002F5351" w14:paraId="0BBB5EB7" w14:textId="77777777" w:rsidTr="00340AA8">
        <w:tc>
          <w:tcPr>
            <w:tcW w:w="1559" w:type="dxa"/>
          </w:tcPr>
          <w:p w14:paraId="6D9ADD35" w14:textId="77777777" w:rsidR="002F5351" w:rsidRPr="00F57620" w:rsidRDefault="002F5351" w:rsidP="00413991">
            <w:pPr>
              <w:pStyle w:val="TSBodyText"/>
              <w:keepNext/>
              <w:keepLines/>
            </w:pPr>
            <w:r w:rsidRPr="00F57620">
              <w:t>Legal and court</w:t>
            </w:r>
          </w:p>
        </w:tc>
        <w:tc>
          <w:tcPr>
            <w:tcW w:w="1746" w:type="dxa"/>
          </w:tcPr>
          <w:p w14:paraId="69253090" w14:textId="77777777" w:rsidR="002F5351" w:rsidRPr="00DC76AB" w:rsidRDefault="002F5351" w:rsidP="00413991">
            <w:pPr>
              <w:pStyle w:val="TSBodyText"/>
              <w:keepNext/>
              <w:keepLines/>
              <w:ind w:right="309"/>
              <w:jc w:val="right"/>
            </w:pPr>
            <w:r w:rsidRPr="003150A0">
              <w:rPr>
                <w:rFonts w:cs="Calibri"/>
                <w:color w:val="000000"/>
              </w:rPr>
              <w:t xml:space="preserve">$10,829,081 </w:t>
            </w:r>
          </w:p>
        </w:tc>
        <w:tc>
          <w:tcPr>
            <w:tcW w:w="1603" w:type="dxa"/>
          </w:tcPr>
          <w:p w14:paraId="52C4FD52" w14:textId="77777777" w:rsidR="002F5351" w:rsidRPr="00DC76AB" w:rsidRDefault="002F5351" w:rsidP="00413991">
            <w:pPr>
              <w:pStyle w:val="TSBodyText"/>
              <w:keepNext/>
              <w:keepLines/>
              <w:ind w:right="309"/>
              <w:jc w:val="right"/>
            </w:pPr>
            <w:r w:rsidRPr="003150A0">
              <w:rPr>
                <w:rFonts w:cs="Calibri"/>
                <w:color w:val="000000"/>
              </w:rPr>
              <w:t xml:space="preserve"> $ 2,192,359 </w:t>
            </w:r>
          </w:p>
        </w:tc>
        <w:tc>
          <w:tcPr>
            <w:tcW w:w="1612" w:type="dxa"/>
          </w:tcPr>
          <w:p w14:paraId="6A371A0A" w14:textId="77777777" w:rsidR="002F5351" w:rsidRPr="00DC76AB" w:rsidRDefault="002F5351" w:rsidP="00413991">
            <w:pPr>
              <w:pStyle w:val="TSBodyText"/>
              <w:keepNext/>
              <w:keepLines/>
              <w:ind w:right="309"/>
              <w:jc w:val="right"/>
            </w:pPr>
            <w:r w:rsidRPr="003150A0">
              <w:rPr>
                <w:rFonts w:cs="Calibri"/>
                <w:color w:val="000000"/>
              </w:rPr>
              <w:t xml:space="preserve">$7,036,205 </w:t>
            </w:r>
          </w:p>
        </w:tc>
        <w:tc>
          <w:tcPr>
            <w:tcW w:w="1701" w:type="dxa"/>
          </w:tcPr>
          <w:p w14:paraId="5EEED702" w14:textId="77777777" w:rsidR="002F5351" w:rsidRPr="00DC76AB" w:rsidRDefault="002F5351" w:rsidP="00413991">
            <w:pPr>
              <w:pStyle w:val="TSBodyText"/>
              <w:keepNext/>
              <w:keepLines/>
              <w:ind w:right="309"/>
              <w:jc w:val="right"/>
            </w:pPr>
            <w:r w:rsidRPr="003150A0">
              <w:rPr>
                <w:rFonts w:cs="Calibri"/>
                <w:color w:val="000000"/>
              </w:rPr>
              <w:t xml:space="preserve">$ 20,057,646 </w:t>
            </w:r>
          </w:p>
        </w:tc>
      </w:tr>
      <w:tr w:rsidR="002F5351" w14:paraId="193F3B7E" w14:textId="77777777" w:rsidTr="00340AA8">
        <w:trPr>
          <w:cnfStyle w:val="000000010000" w:firstRow="0" w:lastRow="0" w:firstColumn="0" w:lastColumn="0" w:oddVBand="0" w:evenVBand="0" w:oddHBand="0" w:evenHBand="1" w:firstRowFirstColumn="0" w:firstRowLastColumn="0" w:lastRowFirstColumn="0" w:lastRowLastColumn="0"/>
        </w:trPr>
        <w:tc>
          <w:tcPr>
            <w:tcW w:w="1559" w:type="dxa"/>
          </w:tcPr>
          <w:p w14:paraId="2E2D570B" w14:textId="77777777" w:rsidR="002F5351" w:rsidRPr="007E0D27" w:rsidRDefault="002F5351" w:rsidP="00413991">
            <w:pPr>
              <w:pStyle w:val="TSBodyText"/>
              <w:keepNext/>
              <w:keepLines/>
            </w:pPr>
            <w:r w:rsidRPr="007E0D27">
              <w:t>Vehicle damage</w:t>
            </w:r>
          </w:p>
        </w:tc>
        <w:tc>
          <w:tcPr>
            <w:tcW w:w="1746" w:type="dxa"/>
          </w:tcPr>
          <w:p w14:paraId="1C70FC31" w14:textId="77777777" w:rsidR="002F5351" w:rsidRPr="00DC76AB" w:rsidRDefault="002F5351" w:rsidP="00413991">
            <w:pPr>
              <w:pStyle w:val="TSBodyText"/>
              <w:keepNext/>
              <w:keepLines/>
              <w:ind w:right="309"/>
              <w:jc w:val="right"/>
            </w:pPr>
            <w:r w:rsidRPr="003150A0">
              <w:rPr>
                <w:rFonts w:cs="Calibri"/>
                <w:color w:val="000000"/>
              </w:rPr>
              <w:t xml:space="preserve">$3,713,638 </w:t>
            </w:r>
          </w:p>
        </w:tc>
        <w:tc>
          <w:tcPr>
            <w:tcW w:w="1603" w:type="dxa"/>
          </w:tcPr>
          <w:p w14:paraId="3587AA4F" w14:textId="77777777" w:rsidR="002F5351" w:rsidRPr="00DC76AB" w:rsidRDefault="002F5351" w:rsidP="00413991">
            <w:pPr>
              <w:pStyle w:val="TSBodyText"/>
              <w:keepNext/>
              <w:keepLines/>
              <w:ind w:right="309"/>
              <w:jc w:val="right"/>
            </w:pPr>
            <w:r w:rsidRPr="003150A0">
              <w:rPr>
                <w:rFonts w:cs="Calibri"/>
                <w:color w:val="000000"/>
              </w:rPr>
              <w:t xml:space="preserve">$3,955,778 </w:t>
            </w:r>
          </w:p>
        </w:tc>
        <w:tc>
          <w:tcPr>
            <w:tcW w:w="1612" w:type="dxa"/>
          </w:tcPr>
          <w:p w14:paraId="309D6F9E" w14:textId="77777777" w:rsidR="002F5351" w:rsidRPr="00DC76AB" w:rsidRDefault="002F5351" w:rsidP="00413991">
            <w:pPr>
              <w:pStyle w:val="TSBodyText"/>
              <w:keepNext/>
              <w:keepLines/>
              <w:ind w:right="309"/>
              <w:jc w:val="right"/>
            </w:pPr>
            <w:r w:rsidRPr="003150A0">
              <w:rPr>
                <w:rFonts w:cs="Calibri"/>
                <w:color w:val="000000"/>
              </w:rPr>
              <w:t xml:space="preserve"> $30,959,304 </w:t>
            </w:r>
          </w:p>
        </w:tc>
        <w:tc>
          <w:tcPr>
            <w:tcW w:w="1701" w:type="dxa"/>
          </w:tcPr>
          <w:p w14:paraId="22CFCEDA" w14:textId="77777777" w:rsidR="002F5351" w:rsidRPr="00DC76AB" w:rsidRDefault="002F5351" w:rsidP="00413991">
            <w:pPr>
              <w:pStyle w:val="TSBodyText"/>
              <w:keepNext/>
              <w:keepLines/>
              <w:ind w:right="309"/>
              <w:jc w:val="right"/>
            </w:pPr>
            <w:r w:rsidRPr="003150A0">
              <w:rPr>
                <w:rFonts w:cs="Calibri"/>
                <w:color w:val="000000"/>
              </w:rPr>
              <w:t xml:space="preserve"> $38,628,720 </w:t>
            </w:r>
          </w:p>
        </w:tc>
      </w:tr>
      <w:tr w:rsidR="002F5351" w14:paraId="2B873B19" w14:textId="77777777" w:rsidTr="00340AA8">
        <w:tc>
          <w:tcPr>
            <w:tcW w:w="1559" w:type="dxa"/>
          </w:tcPr>
          <w:p w14:paraId="29DA1064" w14:textId="77777777" w:rsidR="002F5351" w:rsidRPr="00603911" w:rsidRDefault="002F5351" w:rsidP="00413991">
            <w:pPr>
              <w:pStyle w:val="TSBodyText"/>
              <w:keepNext/>
              <w:keepLines/>
              <w:rPr>
                <w:b/>
              </w:rPr>
            </w:pPr>
            <w:r w:rsidRPr="00603911">
              <w:rPr>
                <w:b/>
              </w:rPr>
              <w:t>Total</w:t>
            </w:r>
          </w:p>
        </w:tc>
        <w:tc>
          <w:tcPr>
            <w:tcW w:w="1746" w:type="dxa"/>
          </w:tcPr>
          <w:p w14:paraId="2DB387F9" w14:textId="77777777" w:rsidR="002F5351" w:rsidRPr="00603911" w:rsidRDefault="002F5351" w:rsidP="00413991">
            <w:pPr>
              <w:pStyle w:val="TSBodyText"/>
              <w:keepNext/>
              <w:keepLines/>
              <w:ind w:right="309"/>
              <w:jc w:val="right"/>
              <w:rPr>
                <w:b/>
              </w:rPr>
            </w:pPr>
            <w:r w:rsidRPr="00603911">
              <w:rPr>
                <w:rFonts w:cs="Calibri"/>
                <w:b/>
                <w:bCs/>
                <w:color w:val="000000"/>
              </w:rPr>
              <w:t>$</w:t>
            </w:r>
            <w:r w:rsidRPr="00603911">
              <w:rPr>
                <w:rFonts w:cs="Calibri"/>
                <w:b/>
                <w:color w:val="000000"/>
              </w:rPr>
              <w:t xml:space="preserve">1,656,169,056 </w:t>
            </w:r>
          </w:p>
        </w:tc>
        <w:tc>
          <w:tcPr>
            <w:tcW w:w="1603" w:type="dxa"/>
          </w:tcPr>
          <w:p w14:paraId="5B742569" w14:textId="77777777" w:rsidR="002F5351" w:rsidRPr="00603911" w:rsidRDefault="002F5351" w:rsidP="00413991">
            <w:pPr>
              <w:pStyle w:val="TSBodyText"/>
              <w:keepNext/>
              <w:keepLines/>
              <w:ind w:right="309"/>
              <w:jc w:val="right"/>
              <w:rPr>
                <w:b/>
              </w:rPr>
            </w:pPr>
            <w:r w:rsidRPr="00603911">
              <w:rPr>
                <w:rFonts w:cs="Calibri"/>
                <w:b/>
                <w:bCs/>
                <w:color w:val="000000"/>
              </w:rPr>
              <w:t>$</w:t>
            </w:r>
            <w:r w:rsidRPr="00603911">
              <w:rPr>
                <w:rFonts w:cs="Calibri"/>
                <w:b/>
                <w:color w:val="000000"/>
              </w:rPr>
              <w:t xml:space="preserve">282,051,762 </w:t>
            </w:r>
          </w:p>
        </w:tc>
        <w:tc>
          <w:tcPr>
            <w:tcW w:w="1612" w:type="dxa"/>
          </w:tcPr>
          <w:p w14:paraId="11CC11B4" w14:textId="77777777" w:rsidR="002F5351" w:rsidRPr="00603911" w:rsidRDefault="002F5351" w:rsidP="00413991">
            <w:pPr>
              <w:pStyle w:val="TSBodyText"/>
              <w:keepNext/>
              <w:keepLines/>
              <w:ind w:right="309"/>
              <w:jc w:val="right"/>
              <w:rPr>
                <w:b/>
              </w:rPr>
            </w:pPr>
            <w:r w:rsidRPr="00603911">
              <w:rPr>
                <w:rFonts w:cs="Calibri"/>
                <w:b/>
                <w:color w:val="000000"/>
              </w:rPr>
              <w:t xml:space="preserve"> $156,672,840 </w:t>
            </w:r>
          </w:p>
        </w:tc>
        <w:tc>
          <w:tcPr>
            <w:tcW w:w="1701" w:type="dxa"/>
          </w:tcPr>
          <w:p w14:paraId="5CCFD0B9" w14:textId="77777777" w:rsidR="002F5351" w:rsidRPr="00603911" w:rsidRDefault="002F5351" w:rsidP="00413991">
            <w:pPr>
              <w:pStyle w:val="TSBodyText"/>
              <w:keepNext/>
              <w:keepLines/>
              <w:ind w:right="309"/>
              <w:jc w:val="right"/>
              <w:rPr>
                <w:b/>
              </w:rPr>
            </w:pPr>
            <w:r w:rsidRPr="00603911">
              <w:rPr>
                <w:rFonts w:cs="Calibri"/>
                <w:b/>
                <w:bCs/>
                <w:color w:val="000000"/>
              </w:rPr>
              <w:t>$</w:t>
            </w:r>
            <w:r w:rsidRPr="00603911">
              <w:rPr>
                <w:rFonts w:cs="Calibri"/>
                <w:b/>
                <w:color w:val="000000"/>
              </w:rPr>
              <w:t xml:space="preserve">2,094,893,658 </w:t>
            </w:r>
          </w:p>
        </w:tc>
      </w:tr>
    </w:tbl>
    <w:p w14:paraId="7DF30B84" w14:textId="22122C74" w:rsidR="002F5351" w:rsidRDefault="002F5351" w:rsidP="00413991">
      <w:pPr>
        <w:pStyle w:val="USNote"/>
        <w:keepNext/>
        <w:keepLines/>
      </w:pPr>
      <w:r>
        <w:t>*Total number of alcohol</w:t>
      </w:r>
      <w:r w:rsidR="00955296">
        <w:t>-</w:t>
      </w:r>
      <w:r>
        <w:t xml:space="preserve">attributable crashes and average costs per crash are shown in </w:t>
      </w:r>
      <w:r w:rsidR="0028681E">
        <w:fldChar w:fldCharType="begin"/>
      </w:r>
      <w:r w:rsidR="0028681E">
        <w:instrText xml:space="preserve"> REF _Ref156155310 \h </w:instrText>
      </w:r>
      <w:r w:rsidR="0028681E">
        <w:fldChar w:fldCharType="separate"/>
      </w:r>
      <w:r w:rsidR="00AE166D" w:rsidRPr="00731CA6">
        <w:t xml:space="preserve">Table </w:t>
      </w:r>
      <w:r w:rsidR="00AE166D">
        <w:rPr>
          <w:noProof/>
        </w:rPr>
        <w:t>17</w:t>
      </w:r>
      <w:r w:rsidR="0028681E">
        <w:fldChar w:fldCharType="end"/>
      </w:r>
      <w:r>
        <w:t xml:space="preserve"> and </w:t>
      </w:r>
      <w:r w:rsidR="0028681E">
        <w:fldChar w:fldCharType="begin"/>
      </w:r>
      <w:r w:rsidR="0028681E">
        <w:instrText xml:space="preserve"> REF _Ref156228589 \h </w:instrText>
      </w:r>
      <w:r w:rsidR="0028681E">
        <w:fldChar w:fldCharType="separate"/>
      </w:r>
      <w:r w:rsidR="00AE166D" w:rsidRPr="00731CA6">
        <w:t xml:space="preserve">Table </w:t>
      </w:r>
      <w:r w:rsidR="00AE166D">
        <w:rPr>
          <w:noProof/>
        </w:rPr>
        <w:t>18</w:t>
      </w:r>
      <w:r w:rsidR="0028681E">
        <w:fldChar w:fldCharType="end"/>
      </w:r>
      <w:r w:rsidR="0028681E">
        <w:t xml:space="preserve"> </w:t>
      </w:r>
      <w:r>
        <w:t>above.</w:t>
      </w:r>
    </w:p>
    <w:p w14:paraId="700DB432" w14:textId="4349618D" w:rsidR="002F5351" w:rsidRDefault="002F5351" w:rsidP="002F5351">
      <w:pPr>
        <w:pStyle w:val="USSource"/>
      </w:pPr>
      <w:r>
        <w:t>Source: NZIER, based on Ministry of Transport 2021 (2019 crash data), NZ Police 2023 (2019 driving offence data), IHME (</w:t>
      </w:r>
      <w:r w:rsidR="00955296">
        <w:t>alcohol-</w:t>
      </w:r>
      <w:r>
        <w:t>attributable fraction of fatal road crashes in New Zealand)</w:t>
      </w:r>
    </w:p>
    <w:p w14:paraId="58C6DC12" w14:textId="77777777" w:rsidR="002F5351" w:rsidRDefault="002F5351" w:rsidP="002F5351">
      <w:pPr>
        <w:pStyle w:val="USBodyText"/>
      </w:pPr>
      <w:r>
        <w:t xml:space="preserve">Many of these cost components have been estimated separately: Hospital costs for alcohol-attributable injuries resulting from vehicle crashes, ED visits associated with injuries that result in hospitalisation, DALYs attributable to alcohol, and loss of output due to short term disability. </w:t>
      </w:r>
    </w:p>
    <w:p w14:paraId="5FF58CC2" w14:textId="00E5B169" w:rsidR="002F5351" w:rsidRDefault="002F5351" w:rsidP="002F5351">
      <w:pPr>
        <w:pStyle w:val="USBodyText"/>
      </w:pPr>
      <w:r>
        <w:t>Additional costs, not previously captured, include medical follow-on costs (</w:t>
      </w:r>
      <w:r w:rsidR="00A767F6">
        <w:t xml:space="preserve">$3.8 million, </w:t>
      </w:r>
      <w:r>
        <w:t>which may include such costs as physiotherapy)</w:t>
      </w:r>
      <w:r w:rsidR="00FA526E">
        <w:t>,</w:t>
      </w:r>
      <w:r>
        <w:t xml:space="preserve"> which are not fully captured elsewhere in this report. </w:t>
      </w:r>
      <w:r w:rsidR="00A70F76">
        <w:t>T</w:t>
      </w:r>
      <w:r>
        <w:t xml:space="preserve">he latter </w:t>
      </w:r>
      <w:r w:rsidR="000935BA">
        <w:t>are likely to be primarily</w:t>
      </w:r>
      <w:r>
        <w:t xml:space="preserve"> ACC costs.</w:t>
      </w:r>
    </w:p>
    <w:p w14:paraId="6A25CFBB" w14:textId="68A4420B" w:rsidR="002F5351" w:rsidRDefault="002F5351" w:rsidP="002F5351">
      <w:pPr>
        <w:pStyle w:val="USBodyText"/>
      </w:pPr>
      <w:r>
        <w:t>In addition to these costs, the</w:t>
      </w:r>
      <w:r w:rsidR="007E0409">
        <w:t xml:space="preserve"> total</w:t>
      </w:r>
      <w:r>
        <w:t xml:space="preserve"> legal and court costs (not previously captured due to the focus on incarceration costs) are estimated at </w:t>
      </w:r>
      <w:r w:rsidR="00C978B3">
        <w:t>$20</w:t>
      </w:r>
      <w:r w:rsidR="007E0409">
        <w:t>.1 million</w:t>
      </w:r>
      <w:r>
        <w:t xml:space="preserve"> in 2023 dollars, and the </w:t>
      </w:r>
      <w:r w:rsidR="007E0409">
        <w:t xml:space="preserve">total </w:t>
      </w:r>
      <w:r>
        <w:t xml:space="preserve">private costs of vehicle damage are estimated </w:t>
      </w:r>
      <w:r w:rsidR="000935BA">
        <w:t>to be $</w:t>
      </w:r>
      <w:r w:rsidR="007414A6">
        <w:t xml:space="preserve">38.6 million </w:t>
      </w:r>
      <w:r>
        <w:t>in 2023 dollars.</w:t>
      </w:r>
    </w:p>
    <w:p w14:paraId="479F304B" w14:textId="713041E0" w:rsidR="002F5351" w:rsidRDefault="002F5351" w:rsidP="004477F3">
      <w:pPr>
        <w:pStyle w:val="Heading3"/>
      </w:pPr>
      <w:r>
        <w:t>Limitations</w:t>
      </w:r>
      <w:r w:rsidR="00791B32">
        <w:t xml:space="preserve"> of estimates of </w:t>
      </w:r>
      <w:r w:rsidR="00947FE3">
        <w:t>alcohol-</w:t>
      </w:r>
      <w:r w:rsidR="00791B32">
        <w:t>attributable road crashes</w:t>
      </w:r>
    </w:p>
    <w:p w14:paraId="410C94A6" w14:textId="77777777" w:rsidR="002F5351" w:rsidRDefault="002F5351" w:rsidP="002F5351">
      <w:pPr>
        <w:pStyle w:val="USBodyText"/>
      </w:pPr>
      <w:r>
        <w:t xml:space="preserve">This relatively detailed cost estimation is possible due to the Ministry of Transport’s detailed and recent data and costings. </w:t>
      </w:r>
    </w:p>
    <w:p w14:paraId="768F3669" w14:textId="4A88E90A" w:rsidR="00461042" w:rsidRDefault="00461042" w:rsidP="002F5351">
      <w:pPr>
        <w:pStyle w:val="USBodyText"/>
      </w:pPr>
      <w:r>
        <w:t xml:space="preserve">A major gap in the costings, however, is the </w:t>
      </w:r>
      <w:r w:rsidR="005E7A91">
        <w:t xml:space="preserve">impact of alcohol-attributable road crashes on the </w:t>
      </w:r>
      <w:r>
        <w:t xml:space="preserve">cost of </w:t>
      </w:r>
      <w:r w:rsidR="005E7A91">
        <w:t>insurance which is borne by all insured drivers</w:t>
      </w:r>
      <w:r w:rsidR="001F7663">
        <w:t xml:space="preserve"> and the cost of registration.</w:t>
      </w:r>
    </w:p>
    <w:p w14:paraId="1AAF7142" w14:textId="4A83DA67" w:rsidR="002F5351" w:rsidRPr="00CE2F9C" w:rsidRDefault="00445666" w:rsidP="002F5351">
      <w:pPr>
        <w:pStyle w:val="USBodyText"/>
      </w:pPr>
      <w:r>
        <w:t>A</w:t>
      </w:r>
      <w:r w:rsidR="002F5351">
        <w:t xml:space="preserve"> small proportion of </w:t>
      </w:r>
      <w:r>
        <w:t xml:space="preserve">these </w:t>
      </w:r>
      <w:r w:rsidR="002F5351">
        <w:t xml:space="preserve">legal and court costs may be captured in our section on incarceration costs, where alcohol-attributable crashes resulted in a prison sentence for driving under the influence or other offence related to property damage or harm to other </w:t>
      </w:r>
      <w:r w:rsidR="002F5351">
        <w:lastRenderedPageBreak/>
        <w:t>persons, although given the low proportion of charges that result in prison sentences (see</w:t>
      </w:r>
      <w:r w:rsidR="00CF5FA9">
        <w:t xml:space="preserve"> </w:t>
      </w:r>
      <w:r w:rsidR="00DE3A2A">
        <w:fldChar w:fldCharType="begin"/>
      </w:r>
      <w:r w:rsidR="00DE3A2A">
        <w:instrText xml:space="preserve"> REF _Ref156228407 \h </w:instrText>
      </w:r>
      <w:r w:rsidR="00DE3A2A">
        <w:fldChar w:fldCharType="separate"/>
      </w:r>
      <w:r w:rsidR="00AE166D" w:rsidRPr="00731CA6">
        <w:t xml:space="preserve">Table </w:t>
      </w:r>
      <w:r w:rsidR="00AE166D">
        <w:rPr>
          <w:noProof/>
        </w:rPr>
        <w:t>15</w:t>
      </w:r>
      <w:r w:rsidR="00DE3A2A">
        <w:fldChar w:fldCharType="end"/>
      </w:r>
      <w:r w:rsidR="002F5351">
        <w:t>), the double-counting here is likely to be insignificant.</w:t>
      </w:r>
    </w:p>
    <w:p w14:paraId="5798B95B" w14:textId="77777777" w:rsidR="002F5351" w:rsidRDefault="002F5351" w:rsidP="002F5351">
      <w:pPr>
        <w:pStyle w:val="USBodyText"/>
      </w:pPr>
      <w:r>
        <w:t>There are three major uncertainties in the data and methods used in the estimation:</w:t>
      </w:r>
    </w:p>
    <w:p w14:paraId="190BC3BC" w14:textId="77777777" w:rsidR="002F5351" w:rsidRDefault="002F5351" w:rsidP="002F5351">
      <w:pPr>
        <w:pStyle w:val="USBullet1"/>
      </w:pPr>
      <w:r>
        <w:t>the share of drug and alcohol driving offences caused by alcohol (97 percent) appears very high and may be over-estimated in NZ Police data, potentially due to the relatively limited use of roadside drug testing (random roadside alcohol testing is widespread but random roadside drug testing had not yet been introduced in New Zealand, resulting in likely under-identification of the contribution of drugs to driving offences)</w:t>
      </w:r>
    </w:p>
    <w:p w14:paraId="7360B772" w14:textId="600C9130" w:rsidR="002F5351" w:rsidRDefault="002F5351" w:rsidP="002F5351">
      <w:pPr>
        <w:pStyle w:val="USBullet1"/>
      </w:pPr>
      <w:r>
        <w:t xml:space="preserve">there may be a significant difference between the </w:t>
      </w:r>
      <w:r w:rsidR="00947FE3">
        <w:t>alcohol-</w:t>
      </w:r>
      <w:r>
        <w:t xml:space="preserve">attributable fraction of driver offences and the </w:t>
      </w:r>
      <w:r w:rsidR="00947FE3">
        <w:t>alcohol-</w:t>
      </w:r>
      <w:r>
        <w:t>attributable fraction of non-fatal road crashes, and if there is, with the estimated fraction applied being 97 percent, the associated cost is likely to be over-</w:t>
      </w:r>
      <w:proofErr w:type="gramStart"/>
      <w:r>
        <w:t>estimated</w:t>
      </w:r>
      <w:proofErr w:type="gramEnd"/>
    </w:p>
    <w:p w14:paraId="606A7A70" w14:textId="4B91A667" w:rsidR="002F5351" w:rsidRDefault="002F5351" w:rsidP="002F5351">
      <w:pPr>
        <w:pStyle w:val="USBullet1"/>
      </w:pPr>
      <w:r>
        <w:t>the Ministry of Transport states that “unlike fatal crashes, many injury crashes are not reported to the New Zealand Police</w:t>
      </w:r>
      <w:r w:rsidR="00490A57">
        <w:t>,”</w:t>
      </w:r>
      <w:r>
        <w:t xml:space="preserve"> so non-fatal crashes are estimated from hospitalisation and ACC data, which will not capture road crashes where minor injuries or no injuries occurred but where there can still be significant private costs associated with vehicle and property damage.</w:t>
      </w:r>
    </w:p>
    <w:p w14:paraId="6FE7F56C" w14:textId="77777777" w:rsidR="002F5351" w:rsidRDefault="002F5351" w:rsidP="002F5351">
      <w:pPr>
        <w:spacing w:after="160" w:line="259" w:lineRule="auto"/>
      </w:pPr>
      <w:r>
        <w:br w:type="page"/>
      </w:r>
    </w:p>
    <w:p w14:paraId="1A8AC209" w14:textId="6F53863C" w:rsidR="00213909" w:rsidRPr="00E43A5C" w:rsidRDefault="00862496" w:rsidP="00062178">
      <w:pPr>
        <w:pStyle w:val="Heading1"/>
      </w:pPr>
      <w:bookmarkStart w:id="102" w:name="_Toc160633845"/>
      <w:r w:rsidRPr="00E43A5C">
        <w:lastRenderedPageBreak/>
        <w:t>H</w:t>
      </w:r>
      <w:r w:rsidR="00213909" w:rsidRPr="00E43A5C">
        <w:t xml:space="preserve">ealth and disability </w:t>
      </w:r>
      <w:r w:rsidR="00AB6114">
        <w:t xml:space="preserve">system </w:t>
      </w:r>
      <w:r w:rsidR="00E839EE" w:rsidRPr="00E43A5C">
        <w:t>costs</w:t>
      </w:r>
      <w:bookmarkEnd w:id="33"/>
      <w:bookmarkEnd w:id="34"/>
      <w:bookmarkEnd w:id="102"/>
    </w:p>
    <w:p w14:paraId="3F7366D0" w14:textId="1E7FD4F4" w:rsidR="00B64E95" w:rsidRDefault="00A165FA" w:rsidP="00E839EE">
      <w:pPr>
        <w:pStyle w:val="USBodyText"/>
      </w:pPr>
      <w:r w:rsidRPr="00E43A5C">
        <w:t xml:space="preserve">According to the World Health </w:t>
      </w:r>
      <w:r w:rsidRPr="002D608F">
        <w:t xml:space="preserve">Organization </w:t>
      </w:r>
      <w:r w:rsidR="00543E2D" w:rsidRPr="002D608F">
        <w:fldChar w:fldCharType="begin"/>
      </w:r>
      <w:r w:rsidR="00F244F6">
        <w:instrText xml:space="preserve"> ADDIN ZOTERO_ITEM CSL_CITATION {"citationID":"7nHmhFEP","properties":{"formattedCitation":"(World Health Organization 2022)","plainCitation":"(World Health Organization 2022)","noteIndex":0},"citationItems":[{"id":71333,"uris":["http://zotero.org/groups/4944822/items/4W4IEBFN"],"itemData":{"id":71333,"type":"webpage","abstract":"Fact sheet on alcohol providing key facts, who is at risk, ways to reduce the burden, WHO response","language":"en","title":"Alcohol","URL":"https://www.who.int/news-room/fact-sheets/detail/alcohol","author":[{"family":"World Health Organization","given":""}],"accessed":{"date-parts":[["2023",12,7]]},"issued":{"date-parts":[["2022"]]}}}],"schema":"https://github.com/citation-style-language/schema/raw/master/csl-citation.json"} </w:instrText>
      </w:r>
      <w:r w:rsidR="00543E2D" w:rsidRPr="002D608F">
        <w:fldChar w:fldCharType="separate"/>
      </w:r>
      <w:r w:rsidR="00543E2D" w:rsidRPr="002D608F">
        <w:rPr>
          <w:rFonts w:cs="Calibri"/>
        </w:rPr>
        <w:t>(World Health Organization 2022)</w:t>
      </w:r>
      <w:r w:rsidR="00543E2D" w:rsidRPr="002D608F">
        <w:fldChar w:fldCharType="end"/>
      </w:r>
      <w:r w:rsidRPr="002D608F">
        <w:t xml:space="preserve">, </w:t>
      </w:r>
      <w:r w:rsidR="004C0995" w:rsidRPr="002D608F">
        <w:t>the harmful use of alcohol is a causal factor in more than 200 disease and injury conditions</w:t>
      </w:r>
      <w:r w:rsidR="00527689" w:rsidRPr="002D608F">
        <w:t>, with over five percent of the total global burden of disease attributable to alcohol</w:t>
      </w:r>
      <w:r w:rsidR="004C0995" w:rsidRPr="002D608F">
        <w:t>.</w:t>
      </w:r>
      <w:r w:rsidR="00832F3B" w:rsidRPr="002D608F">
        <w:t xml:space="preserve"> Still, while the impact of tobacco on health is well understood, </w:t>
      </w:r>
      <w:r w:rsidR="003A2A98" w:rsidRPr="002D608F">
        <w:t xml:space="preserve">the impact of </w:t>
      </w:r>
      <w:r w:rsidR="00832F3B" w:rsidRPr="002D608F">
        <w:t xml:space="preserve">alcohol is relatively </w:t>
      </w:r>
      <w:r w:rsidR="002C7B7C" w:rsidRPr="002D608F">
        <w:t>less</w:t>
      </w:r>
      <w:r w:rsidR="00832F3B" w:rsidRPr="002D608F">
        <w:t xml:space="preserve"> </w:t>
      </w:r>
      <w:r w:rsidR="008750CB" w:rsidRPr="002D608F">
        <w:t>well</w:t>
      </w:r>
      <w:r w:rsidR="00E561E8" w:rsidRPr="002D608F">
        <w:t>-</w:t>
      </w:r>
      <w:r w:rsidR="008750CB" w:rsidRPr="002D608F">
        <w:t>evidenced</w:t>
      </w:r>
      <w:r w:rsidR="002C7B7C" w:rsidRPr="002D608F">
        <w:t xml:space="preserve"> </w:t>
      </w:r>
      <w:r w:rsidR="00EB53BE" w:rsidRPr="002D608F">
        <w:fldChar w:fldCharType="begin"/>
      </w:r>
      <w:r w:rsidR="00F244F6">
        <w:instrText xml:space="preserve"> ADDIN ZOTERO_ITEM CSL_CITATION {"citationID":"wOVhB2GB","properties":{"formattedCitation":"(Madden and McCambridge 2021)","plainCitation":"(Madden and McCambridge 2021)","noteIndex":0},"citationItems":[{"id":70391,"uris":["http://zotero.org/groups/4944822/items/N4GPYU6B"],"itemData":{"id":70391,"type":"article-journal","abstract":"Alcohol harms are rising globally, and alcohol policies, where they exist, are weak or under-developed. Limited progress has been made since the formulation of the World Health Organisation (WHO) Global Strategy in 2010. WHO is seeking to accelerate progress in implementing international efforts to reduce the harmful use of alcohol. The threat to global health posed by tobacco is well understood by policy communities and populations globally; by contrast alcohol is much less so, despite available evidence.","container-title":"Globalization and Health","DOI":"10.1186/s12992-021-00696-2","ISSN":"1744-8603","issue":"1","journalAbbreviation":"Globalization and Health","page":"45","source":"BioMed Central","title":"Alcohol marketing versus public health: David and Goliath?","title-short":"Alcohol marketing versus public health","volume":"17","author":[{"family":"Madden","given":"Mary"},{"family":"McCambridge","given":"Jim"}],"issued":{"date-parts":[["2021",4,12]]}}}],"schema":"https://github.com/citation-style-language/schema/raw/master/csl-citation.json"} </w:instrText>
      </w:r>
      <w:r w:rsidR="00EB53BE" w:rsidRPr="002D608F">
        <w:fldChar w:fldCharType="separate"/>
      </w:r>
      <w:r w:rsidR="00E561E8" w:rsidRPr="002D608F">
        <w:rPr>
          <w:rFonts w:cs="Calibri"/>
        </w:rPr>
        <w:t xml:space="preserve">(Madden and </w:t>
      </w:r>
      <w:proofErr w:type="spellStart"/>
      <w:r w:rsidR="00E561E8" w:rsidRPr="002D608F">
        <w:rPr>
          <w:rFonts w:cs="Calibri"/>
        </w:rPr>
        <w:t>McCambridge</w:t>
      </w:r>
      <w:proofErr w:type="spellEnd"/>
      <w:r w:rsidR="00E561E8" w:rsidRPr="002D608F">
        <w:rPr>
          <w:rFonts w:cs="Calibri"/>
        </w:rPr>
        <w:t xml:space="preserve"> 2021)</w:t>
      </w:r>
      <w:r w:rsidR="00EB53BE" w:rsidRPr="002D608F">
        <w:fldChar w:fldCharType="end"/>
      </w:r>
      <w:r w:rsidR="00EB53BE" w:rsidRPr="002D608F">
        <w:t>.</w:t>
      </w:r>
    </w:p>
    <w:p w14:paraId="32AAB791" w14:textId="40404531" w:rsidR="00A63601" w:rsidRDefault="00A63601" w:rsidP="00E839EE">
      <w:pPr>
        <w:pStyle w:val="USBodyText"/>
      </w:pPr>
      <w:r>
        <w:t xml:space="preserve">Alcohol consumption, particularly </w:t>
      </w:r>
      <w:r w:rsidR="00754385">
        <w:t xml:space="preserve">hazardous drinking, is expected to </w:t>
      </w:r>
      <w:r w:rsidR="003B41D5">
        <w:t xml:space="preserve">increase </w:t>
      </w:r>
      <w:r w:rsidR="00920DE0">
        <w:t xml:space="preserve">the </w:t>
      </w:r>
      <w:r w:rsidR="003B41D5">
        <w:t>costs of a wide range of health and disability services</w:t>
      </w:r>
      <w:r w:rsidR="00E6349B">
        <w:t xml:space="preserve"> due to the wide range of diseases and the increased risk of injuries (including self-harm</w:t>
      </w:r>
      <w:r w:rsidR="0068202E">
        <w:t>)</w:t>
      </w:r>
      <w:r w:rsidR="004757D6">
        <w:t xml:space="preserve"> that it contributes to</w:t>
      </w:r>
      <w:r w:rsidR="001C5251">
        <w:t xml:space="preserve">. This </w:t>
      </w:r>
      <w:r w:rsidR="006A1D23">
        <w:t xml:space="preserve">is expected to include </w:t>
      </w:r>
      <w:r w:rsidR="00160DF7">
        <w:t xml:space="preserve">services addressing </w:t>
      </w:r>
      <w:r w:rsidR="006A1D23">
        <w:t xml:space="preserve">the </w:t>
      </w:r>
      <w:r w:rsidR="00062178">
        <w:t>short-term</w:t>
      </w:r>
      <w:r w:rsidR="006A1D23">
        <w:t xml:space="preserve"> effects of alcohol consumption</w:t>
      </w:r>
      <w:r w:rsidR="00920DE0">
        <w:t>,</w:t>
      </w:r>
      <w:r w:rsidR="00014A54">
        <w:t xml:space="preserve"> which may </w:t>
      </w:r>
      <w:r w:rsidR="00225C0E">
        <w:t>consist of</w:t>
      </w:r>
      <w:r w:rsidR="00014A54">
        <w:t xml:space="preserve"> </w:t>
      </w:r>
      <w:r w:rsidR="002352F9">
        <w:t xml:space="preserve">such </w:t>
      </w:r>
      <w:r w:rsidR="00460958">
        <w:t>concerns as acute alcohol toxicity or injuries experienced as a result of intoxication</w:t>
      </w:r>
      <w:r w:rsidR="002713DF">
        <w:t>, as well as</w:t>
      </w:r>
      <w:r w:rsidR="00550D05">
        <w:t xml:space="preserve"> </w:t>
      </w:r>
      <w:r w:rsidR="00160DF7">
        <w:t xml:space="preserve">services addressing the </w:t>
      </w:r>
      <w:r w:rsidR="00062178">
        <w:t>long-term</w:t>
      </w:r>
      <w:r w:rsidR="004E4591">
        <w:t xml:space="preserve"> effects of alcohol consumption</w:t>
      </w:r>
      <w:r w:rsidR="00920DE0">
        <w:t>,</w:t>
      </w:r>
      <w:r w:rsidR="004E4591">
        <w:t xml:space="preserve"> </w:t>
      </w:r>
      <w:r w:rsidR="003103BB">
        <w:t xml:space="preserve">such as </w:t>
      </w:r>
      <w:r w:rsidR="00863C3C">
        <w:t>cancers</w:t>
      </w:r>
      <w:r w:rsidR="006560E0">
        <w:t xml:space="preserve">, heart disease, </w:t>
      </w:r>
      <w:r w:rsidR="001B5A7A">
        <w:t xml:space="preserve">mental illness, </w:t>
      </w:r>
      <w:r w:rsidR="006560E0">
        <w:t>and many more</w:t>
      </w:r>
      <w:r w:rsidR="002413B4">
        <w:t xml:space="preserve">. </w:t>
      </w:r>
      <w:r w:rsidR="001F5F1C">
        <w:t xml:space="preserve">Increased </w:t>
      </w:r>
      <w:r w:rsidR="006811A9">
        <w:t>risk of ill health is expected to increase demand for primary care, diagnostic services, specialist visits</w:t>
      </w:r>
      <w:r w:rsidR="007732D8">
        <w:t>, inpatient care</w:t>
      </w:r>
      <w:r w:rsidR="001B5A7A">
        <w:t xml:space="preserve">, mental health and addiction services, and even aged residential care due to increased risk of </w:t>
      </w:r>
      <w:r w:rsidR="000C6704">
        <w:t xml:space="preserve">stroke and </w:t>
      </w:r>
      <w:r w:rsidR="001B5A7A">
        <w:t>dementia</w:t>
      </w:r>
      <w:r w:rsidR="00CA2536">
        <w:t>.</w:t>
      </w:r>
    </w:p>
    <w:p w14:paraId="39EF2205" w14:textId="5D2ABE58" w:rsidR="00F93441" w:rsidRPr="007178E5" w:rsidRDefault="00FA6B70" w:rsidP="00E839EE">
      <w:pPr>
        <w:pStyle w:val="USBodyText"/>
      </w:pPr>
      <w:r>
        <w:rPr>
          <w:noProof/>
        </w:rPr>
        <w:t>A</w:t>
      </w:r>
      <w:r w:rsidR="00000BBF" w:rsidRPr="007178E5">
        <w:t xml:space="preserve"> significant research effort undertaken globally and locally has produced detailed alcohol-attributable fractions </w:t>
      </w:r>
      <w:r w:rsidR="00E97CC9" w:rsidRPr="007178E5">
        <w:t>at the level of medical diagnosis</w:t>
      </w:r>
      <w:r w:rsidR="001D5105" w:rsidRPr="007178E5">
        <w:t xml:space="preserve"> (</w:t>
      </w:r>
      <w:r w:rsidR="00E013F6">
        <w:t>International Classification of Diseases 10</w:t>
      </w:r>
      <w:r w:rsidR="00E013F6" w:rsidRPr="003150A0">
        <w:rPr>
          <w:vertAlign w:val="superscript"/>
        </w:rPr>
        <w:t>th</w:t>
      </w:r>
      <w:r w:rsidR="00E013F6">
        <w:t xml:space="preserve"> Revision (</w:t>
      </w:r>
      <w:r w:rsidR="001D5105" w:rsidRPr="007178E5">
        <w:t>ICD-10</w:t>
      </w:r>
      <w:r w:rsidR="00E013F6">
        <w:t>)</w:t>
      </w:r>
      <w:r w:rsidR="001D5105" w:rsidRPr="007178E5">
        <w:t xml:space="preserve"> code)</w:t>
      </w:r>
      <w:r w:rsidR="008750CB">
        <w:t>,</w:t>
      </w:r>
      <w:r w:rsidR="001D5105" w:rsidRPr="007178E5">
        <w:t xml:space="preserve"> which allows for</w:t>
      </w:r>
      <w:r w:rsidR="008750CB">
        <w:t xml:space="preserve"> a</w:t>
      </w:r>
      <w:r w:rsidR="001D5105" w:rsidRPr="007178E5">
        <w:t xml:space="preserve"> </w:t>
      </w:r>
      <w:r w:rsidR="00737A0D" w:rsidRPr="007178E5">
        <w:t xml:space="preserve">highly accurate and detailed estimation of alcohol’s contribution to health and disability outcomes insofar as health and disability system data </w:t>
      </w:r>
      <w:r w:rsidR="002F50F9">
        <w:t>are</w:t>
      </w:r>
      <w:r w:rsidR="002F50F9" w:rsidRPr="007178E5">
        <w:t xml:space="preserve"> </w:t>
      </w:r>
      <w:r w:rsidR="00737A0D" w:rsidRPr="007178E5">
        <w:t>described using the same information</w:t>
      </w:r>
      <w:r w:rsidR="00422882" w:rsidRPr="007178E5">
        <w:t xml:space="preserve">. Currently, this means </w:t>
      </w:r>
      <w:r w:rsidR="008F101E" w:rsidRPr="007178E5">
        <w:t xml:space="preserve">the causal role of alcohol can be quantified with a high degree of confidence for </w:t>
      </w:r>
      <w:r w:rsidR="00422882" w:rsidRPr="007178E5">
        <w:t>inpatient hospitalisations and mortality</w:t>
      </w:r>
      <w:r w:rsidR="008F101E" w:rsidRPr="007178E5">
        <w:t xml:space="preserve"> only</w:t>
      </w:r>
      <w:r w:rsidR="00115677" w:rsidRPr="007178E5">
        <w:t xml:space="preserve">. </w:t>
      </w:r>
    </w:p>
    <w:p w14:paraId="56CB7231" w14:textId="4AAC28C3" w:rsidR="00F93441" w:rsidRPr="007178E5" w:rsidRDefault="00115677" w:rsidP="00E839EE">
      <w:pPr>
        <w:pStyle w:val="USBodyText"/>
      </w:pPr>
      <w:r w:rsidRPr="007178E5">
        <w:t xml:space="preserve">Other health services, such as outpatient services, </w:t>
      </w:r>
      <w:r w:rsidR="008A4409">
        <w:t>ED</w:t>
      </w:r>
      <w:r w:rsidR="00087EB4">
        <w:t xml:space="preserve">, </w:t>
      </w:r>
      <w:r w:rsidRPr="007178E5">
        <w:t xml:space="preserve">aged care, disability support, </w:t>
      </w:r>
      <w:r w:rsidR="00303D38" w:rsidRPr="007178E5">
        <w:t xml:space="preserve">primary care and other Tier 1 services, do not record </w:t>
      </w:r>
      <w:r w:rsidR="00612A59" w:rsidRPr="007178E5">
        <w:t xml:space="preserve">diagnoses using ICD-10 codes or at all, resulting in significant challenges </w:t>
      </w:r>
      <w:r w:rsidR="0078625E">
        <w:t>in</w:t>
      </w:r>
      <w:r w:rsidR="00612A59" w:rsidRPr="007178E5">
        <w:t xml:space="preserve"> quantifying the role of alcohol.</w:t>
      </w:r>
      <w:r w:rsidR="00AC444B" w:rsidRPr="007178E5">
        <w:t xml:space="preserve"> </w:t>
      </w:r>
    </w:p>
    <w:p w14:paraId="51BCEC4F" w14:textId="5389BE3C" w:rsidR="00E839EE" w:rsidRDefault="00AC444B" w:rsidP="00E839EE">
      <w:pPr>
        <w:pStyle w:val="USBodyText"/>
      </w:pPr>
      <w:r w:rsidRPr="007178E5">
        <w:t xml:space="preserve">Other </w:t>
      </w:r>
      <w:r w:rsidR="00F93441" w:rsidRPr="007178E5">
        <w:t xml:space="preserve">more specific </w:t>
      </w:r>
      <w:r w:rsidRPr="007178E5">
        <w:t xml:space="preserve">services, such as alcohol and drug programmes, are deliberately designed to address </w:t>
      </w:r>
      <w:r w:rsidR="00FD06C9" w:rsidRPr="007178E5">
        <w:t xml:space="preserve">more than just alcohol due to </w:t>
      </w:r>
      <w:r w:rsidR="0078625E">
        <w:t xml:space="preserve">the </w:t>
      </w:r>
      <w:r w:rsidR="00FD06C9" w:rsidRPr="007178E5">
        <w:t xml:space="preserve">recognition that alcohol addiction commonly occurs along with other addictions, mental health conditions, and </w:t>
      </w:r>
      <w:r w:rsidR="00096594" w:rsidRPr="007178E5">
        <w:t xml:space="preserve">numerous other social concerns. No evidence is available </w:t>
      </w:r>
      <w:r w:rsidR="00EE65A2">
        <w:t>on</w:t>
      </w:r>
      <w:r w:rsidR="0069469C">
        <w:t xml:space="preserve"> </w:t>
      </w:r>
      <w:r w:rsidR="00F93441" w:rsidRPr="007178E5">
        <w:t xml:space="preserve">the fraction of </w:t>
      </w:r>
      <w:r w:rsidR="0069469C">
        <w:t xml:space="preserve">expenditure on </w:t>
      </w:r>
      <w:r w:rsidR="00F93441" w:rsidRPr="007178E5">
        <w:t>these programmes that is attributable to alcohol.</w:t>
      </w:r>
    </w:p>
    <w:p w14:paraId="6C66AC3C" w14:textId="3B9D5CF6" w:rsidR="008F43AF" w:rsidRPr="007178E5" w:rsidRDefault="00E335DB" w:rsidP="00E839EE">
      <w:pPr>
        <w:pStyle w:val="USBodyText"/>
      </w:pPr>
      <w:r>
        <w:t xml:space="preserve">Health care costs associated with alcohol are potentially amenable to reduction through effective </w:t>
      </w:r>
      <w:r w:rsidR="00723F87">
        <w:t>treatment of alcohol use disorders</w:t>
      </w:r>
      <w:r w:rsidR="00B85376">
        <w:t xml:space="preserve">. For example, a US </w:t>
      </w:r>
      <w:r w:rsidR="0034658D">
        <w:t>study investigating the impact of an outpatient chemical dependency</w:t>
      </w:r>
      <w:r w:rsidR="00B85376">
        <w:t xml:space="preserve"> recovery </w:t>
      </w:r>
      <w:r w:rsidR="00B85376" w:rsidRPr="002D608F">
        <w:t xml:space="preserve">programme </w:t>
      </w:r>
      <w:r w:rsidR="006072C3" w:rsidRPr="002D608F">
        <w:fldChar w:fldCharType="begin"/>
      </w:r>
      <w:r w:rsidR="00F244F6">
        <w:instrText xml:space="preserve"> ADDIN ZOTERO_ITEM CSL_CITATION {"citationID":"jRTzcwNH","properties":{"formattedCitation":"(Parthasarathy et al. 2015)","plainCitation":"(Parthasarathy et al. 2015)","noteIndex":0},"citationItems":[{"id":70381,"uris":["http://zotero.org/groups/4944822/items/JIAGLXLM"],"itemData":{"id":70381,"type":"article-journal","abstract":"Objective: This study examines the hypothesis that treatment reduces medical utilization and costs of patients with substance use problems. Method: Adult patients (N = 1.011; 67% men) entering the outpatient chemical dependency recovery program at Sacramento Kaiser Permanente over a 2-year period were recruited into the study. Medical utilization and costs were examined for 18 months prior and 18 months after intake. To account for overall changes in utilization and cost, an age, gender and length-of-enrollment matched nonpatient control group (N = 4,925) was selected from health-plan members living in the same service area. Multivariate analyses controlling for age and gender were conducted using generalized estimating equation methods, allowing for correlation between repeated measures and nonnormal distributions of the outcome variable. Results: The treatment cohort was less likely to be hospitalized (odds ratio [OR] = 0.59; p &lt; .01) and there was a trend for having spent fewer days (rate ratio [RR] = 0.77; p &lt; .10) in the hospital in the posttreatment period compared to pretreatment period. These patients were also less likely to visit the emergency room (ER) (OR = 0.64; p &lt; .01) and had fewer ER visits (RR = 0.81; p &lt; .01) following treatment. Inpatient, ER and total medical costs declined by 35%, 39% and 26%, respectively (p &lt; .01). Reductions in cost were greater for the treatment cohort when compared with the matched sample (p &lt; .05). Among women, there were significant reductions (p &lt; .05) in inpatient, ER and total costs for the study cohort when compared with the matched sample; among men, the reductions in inpatient and ER cost (but not total cost) were significantly larger (p &lt; .05) for the study cohort when compared with the matched sample. For the treatment cohort, the change in medical cost was not significantly different by gender. Changes in cost were significantly different across the various age groups (p &lt; .05) for the study cohort and the matched sample. Among those in the group aged 40-49 years, the decline in cost for study cohort was significantly larger (p &lt; .05) than for the matched sample. Conclusions: For patients with substance use disorders entering treatment, there was a substantial decline in inappropriate utilization and cost (hospital and ER) in the posttreatment period. The disaggregated pattern of posttreatment decline in utilization and cost is suggestive of long-term reductions that warrant a longer follow-up.","archive_location":"Piscataway, NJ","container-title":"Journal of Studies on Alcohol","DOI":"10.15288/jsa.2001.62.89","language":"en","license":"Copyright © 2001 by Alcohol Research Documentation, Inc.","note":"publisher: Rutgers University Piscataway, NJ","source":"www.jsad.com","title":"Association of outpatient alcohol and drug treatment with health care utilization and cost: revisiting the offset hypothesis.","title-short":"Association of outpatient alcohol and drug treatment with health care utilization and cost","URL":"https://www.jsad.com/doi/10.15288/jsa.2001.62.89","author":[{"family":"Parthasarathy","given":"S."},{"family":"Weisner","given":"C."},{"family":"Hu","given":"T. W."},{"family":"Moore","given":"C."}],"accessed":{"date-parts":[["2023",10,22]]},"issued":{"date-parts":[["2015",1,4]]}}}],"schema":"https://github.com/citation-style-language/schema/raw/master/csl-citation.json"} </w:instrText>
      </w:r>
      <w:r w:rsidR="006072C3" w:rsidRPr="002D608F">
        <w:fldChar w:fldCharType="separate"/>
      </w:r>
      <w:r w:rsidR="003E38C7" w:rsidRPr="002D608F">
        <w:rPr>
          <w:rFonts w:cs="Calibri"/>
        </w:rPr>
        <w:t>(Parthasarathy et al. 2015)</w:t>
      </w:r>
      <w:r w:rsidR="006072C3" w:rsidRPr="002D608F">
        <w:fldChar w:fldCharType="end"/>
      </w:r>
      <w:r w:rsidR="00257428" w:rsidRPr="002D608F">
        <w:t xml:space="preserve"> </w:t>
      </w:r>
      <w:r w:rsidR="00B85376" w:rsidRPr="002D608F">
        <w:t xml:space="preserve">found that patients who accessed treatment </w:t>
      </w:r>
      <w:r w:rsidR="007D7F99" w:rsidRPr="002D608F">
        <w:t>were less likely to</w:t>
      </w:r>
      <w:r w:rsidR="007D7F99">
        <w:t xml:space="preserve"> be hospitalised, spent less time in hospital and </w:t>
      </w:r>
      <w:r w:rsidR="0053182B">
        <w:t>had fewer</w:t>
      </w:r>
      <w:r w:rsidR="002D0D16">
        <w:t xml:space="preserve"> </w:t>
      </w:r>
      <w:r w:rsidR="0053182B">
        <w:t xml:space="preserve">ED visits, and </w:t>
      </w:r>
      <w:r w:rsidR="00E81331">
        <w:t>had</w:t>
      </w:r>
      <w:r w:rsidR="00EF6FCE">
        <w:t xml:space="preserve"> </w:t>
      </w:r>
      <w:r w:rsidR="0053182B">
        <w:t xml:space="preserve">reduced total medical costs </w:t>
      </w:r>
      <w:r w:rsidR="00E81331">
        <w:t>of</w:t>
      </w:r>
      <w:r w:rsidR="0053182B">
        <w:t xml:space="preserve"> 26 percent </w:t>
      </w:r>
      <w:r w:rsidR="006072C3">
        <w:t>in the 18 months post</w:t>
      </w:r>
      <w:r w:rsidR="003E38C7">
        <w:t>-</w:t>
      </w:r>
      <w:r w:rsidR="006072C3">
        <w:t>treatment compared with the 18 months prior to treatment.</w:t>
      </w:r>
    </w:p>
    <w:p w14:paraId="77D167A9" w14:textId="2869FCF1" w:rsidR="00917A5C" w:rsidRDefault="006E36AD" w:rsidP="00917A5C">
      <w:pPr>
        <w:pStyle w:val="USBodyText"/>
      </w:pPr>
      <w:r>
        <w:t>Ther</w:t>
      </w:r>
      <w:r w:rsidR="00917A5C">
        <w:t xml:space="preserve">e is </w:t>
      </w:r>
      <w:r>
        <w:t xml:space="preserve">also </w:t>
      </w:r>
      <w:r w:rsidR="00917A5C">
        <w:t>growing recognition of the negative impacts of alcohol on mental health (see</w:t>
      </w:r>
      <w:r w:rsidR="00FA069A">
        <w:t>,</w:t>
      </w:r>
      <w:r w:rsidR="00917A5C">
        <w:t xml:space="preserve"> for example, </w:t>
      </w:r>
      <w:r w:rsidR="005272DD" w:rsidRPr="00C620C6">
        <w:fldChar w:fldCharType="begin"/>
      </w:r>
      <w:r w:rsidR="00F244F6">
        <w:instrText xml:space="preserve"> ADDIN ZOTERO_ITEM CSL_CITATION {"citationID":"BQeiwwWz","properties":{"formattedCitation":"(Cobiac and Wilson 2018)","plainCitation":"(Cobiac and Wilson 2018)","dontUpdate":true,"noteIndex":0},"citationItems":[{"id":71408,"uris":["http://zotero.org/groups/4944822/items/57MHC6TL"],"itemData":{"id":71408,"type":"report","genre":"Report prepared to inform the Mental Health and Addiction Inquiry underway in 2018 and funded by Alcohol Healthwatch","title":"Alcohol and mental health: a review of evidence, with a particular focus on New Zealand","URL":"https://www.ahw.org.nz/Portals/5/Resources/Submissions/2018/Alcohol%20Healthwatch%20Alcohol%20and%20mental%20health%202018.pdf","author":[{"family":"Cobiac","given":"Linda J."},{"family":"Wilson","given":"Nick"}],"accessed":{"date-parts":[["2023",12,8]]},"issued":{"date-parts":[["2018"]]}}}],"schema":"https://github.com/citation-style-language/schema/raw/master/csl-citation.json"} </w:instrText>
      </w:r>
      <w:r w:rsidR="005272DD" w:rsidRPr="00C620C6">
        <w:fldChar w:fldCharType="separate"/>
      </w:r>
      <w:proofErr w:type="spellStart"/>
      <w:r w:rsidR="005272DD" w:rsidRPr="00C620C6">
        <w:rPr>
          <w:rFonts w:cs="Calibri"/>
        </w:rPr>
        <w:t>Cobiac</w:t>
      </w:r>
      <w:proofErr w:type="spellEnd"/>
      <w:r w:rsidR="005272DD" w:rsidRPr="00C620C6">
        <w:rPr>
          <w:rFonts w:cs="Calibri"/>
        </w:rPr>
        <w:t xml:space="preserve"> and Wilson </w:t>
      </w:r>
      <w:r w:rsidR="00254753">
        <w:rPr>
          <w:rFonts w:cs="Calibri"/>
        </w:rPr>
        <w:t>(</w:t>
      </w:r>
      <w:r w:rsidR="005272DD" w:rsidRPr="00C620C6">
        <w:rPr>
          <w:rFonts w:cs="Calibri"/>
        </w:rPr>
        <w:t>2018)</w:t>
      </w:r>
      <w:r w:rsidR="005272DD" w:rsidRPr="00C620C6">
        <w:fldChar w:fldCharType="end"/>
      </w:r>
      <w:r w:rsidR="00E81331" w:rsidRPr="00C620C6">
        <w:t>;</w:t>
      </w:r>
      <w:r w:rsidR="00635509" w:rsidRPr="00C620C6">
        <w:t xml:space="preserve"> however,</w:t>
      </w:r>
      <w:r w:rsidR="00635509">
        <w:t xml:space="preserve"> to date</w:t>
      </w:r>
      <w:r w:rsidR="00FA069A">
        <w:t>,</w:t>
      </w:r>
      <w:r w:rsidR="00635509">
        <w:t xml:space="preserve"> no estimate of causal attribution allows these impacts to be quantified.</w:t>
      </w:r>
    </w:p>
    <w:p w14:paraId="23F875B1" w14:textId="42715AB1" w:rsidR="00936F53" w:rsidRDefault="00936F53" w:rsidP="00917A5C">
      <w:pPr>
        <w:pStyle w:val="USBodyText"/>
      </w:pPr>
      <w:r>
        <w:t xml:space="preserve">In this section, we focus on the health and disability system impacts where recent New Zealand evidence </w:t>
      </w:r>
      <w:r w:rsidR="00411836">
        <w:t>is available to support attribution</w:t>
      </w:r>
      <w:r w:rsidR="00C74696">
        <w:t>. These are</w:t>
      </w:r>
      <w:r w:rsidR="00FF0A05">
        <w:t xml:space="preserve"> in the areas of</w:t>
      </w:r>
      <w:r>
        <w:t>:</w:t>
      </w:r>
    </w:p>
    <w:p w14:paraId="19313321" w14:textId="36429044" w:rsidR="00936F53" w:rsidRDefault="00936F53" w:rsidP="00936F53">
      <w:pPr>
        <w:pStyle w:val="USBullet1"/>
      </w:pPr>
      <w:r>
        <w:t>inpatient hospitalisations</w:t>
      </w:r>
    </w:p>
    <w:p w14:paraId="6BF32511" w14:textId="49A4AD69" w:rsidR="00476957" w:rsidRDefault="00476957" w:rsidP="00936F53">
      <w:pPr>
        <w:pStyle w:val="USBullet1"/>
      </w:pPr>
      <w:r>
        <w:lastRenderedPageBreak/>
        <w:t>emergency services</w:t>
      </w:r>
      <w:r w:rsidR="006650DF">
        <w:t xml:space="preserve"> (</w:t>
      </w:r>
      <w:r w:rsidR="008A4409">
        <w:t>ED</w:t>
      </w:r>
      <w:r w:rsidR="006650DF">
        <w:t xml:space="preserve"> and ambulance)</w:t>
      </w:r>
    </w:p>
    <w:p w14:paraId="45DB0162" w14:textId="77777777" w:rsidR="007244C4" w:rsidRDefault="006650DF" w:rsidP="00936F53">
      <w:pPr>
        <w:pStyle w:val="USBullet1"/>
      </w:pPr>
      <w:r>
        <w:t>primary care</w:t>
      </w:r>
    </w:p>
    <w:p w14:paraId="1DDABEF6" w14:textId="5B46D35F" w:rsidR="007172D3" w:rsidRDefault="00CA51F4" w:rsidP="00880A07">
      <w:pPr>
        <w:pStyle w:val="USBullet1"/>
      </w:pPr>
      <w:r>
        <w:t>income compensation for short-term disability</w:t>
      </w:r>
      <w:r w:rsidR="00880A07">
        <w:t xml:space="preserve"> (ACC)</w:t>
      </w:r>
      <w:r w:rsidR="006650DF">
        <w:t>.</w:t>
      </w:r>
    </w:p>
    <w:p w14:paraId="1BF7F860" w14:textId="5D68F5C9" w:rsidR="00064E65" w:rsidRDefault="00064E65" w:rsidP="00064E65">
      <w:pPr>
        <w:pStyle w:val="Heading2"/>
      </w:pPr>
      <w:bookmarkStart w:id="103" w:name="_Toc160633846"/>
      <w:r>
        <w:t xml:space="preserve">Inpatient </w:t>
      </w:r>
      <w:r w:rsidR="006650DF">
        <w:t>hospitalisation</w:t>
      </w:r>
      <w:r>
        <w:t xml:space="preserve"> attributable to alcohol</w:t>
      </w:r>
      <w:bookmarkEnd w:id="103"/>
    </w:p>
    <w:p w14:paraId="1D64AB39" w14:textId="4D9D768D" w:rsidR="006C1C0B" w:rsidRDefault="00CF2367" w:rsidP="005F03ED">
      <w:pPr>
        <w:pStyle w:val="USBodyText"/>
      </w:pPr>
      <w:r>
        <w:t>Inpatient</w:t>
      </w:r>
      <w:r w:rsidR="005F03ED">
        <w:t xml:space="preserve"> hospitalisations </w:t>
      </w:r>
      <w:r>
        <w:t xml:space="preserve">attributable to alcohol </w:t>
      </w:r>
      <w:r w:rsidR="005F03ED">
        <w:t>were identified based on the ICD-10 codes presented in Appendix</w:t>
      </w:r>
      <w:r w:rsidR="00BB6775">
        <w:t xml:space="preserve"> </w:t>
      </w:r>
      <w:r w:rsidR="00D32C5A">
        <w:t>E</w:t>
      </w:r>
      <w:r w:rsidR="00E61F23">
        <w:t xml:space="preserve"> – ICD-10 codes for which an </w:t>
      </w:r>
      <w:r w:rsidR="00782460">
        <w:t>alcohol-</w:t>
      </w:r>
      <w:r w:rsidR="00E61F23">
        <w:t xml:space="preserve">attributable fraction (AAF) was estimated </w:t>
      </w:r>
      <w:r w:rsidR="0085693F">
        <w:t xml:space="preserve">for New Zealand (Chambers and </w:t>
      </w:r>
      <w:proofErr w:type="spellStart"/>
      <w:r w:rsidR="0085693F">
        <w:t>Mizdrak</w:t>
      </w:r>
      <w:proofErr w:type="spellEnd"/>
      <w:r w:rsidR="0085693F">
        <w:t>, forthcoming)</w:t>
      </w:r>
      <w:r w:rsidR="005F03ED">
        <w:t>.</w:t>
      </w:r>
      <w:r w:rsidR="001052C6">
        <w:t xml:space="preserve"> </w:t>
      </w:r>
      <w:r w:rsidR="00411836">
        <w:t xml:space="preserve">The AAFs supplied </w:t>
      </w:r>
      <w:r w:rsidR="00F56776">
        <w:t xml:space="preserve">described the causal attribution to alcohol of wholly and partially attributable conditions and injuries </w:t>
      </w:r>
      <w:r w:rsidR="00FE53D9">
        <w:t>by 5-year age group</w:t>
      </w:r>
      <w:r w:rsidR="000872A3">
        <w:t>s</w:t>
      </w:r>
      <w:r w:rsidR="00FE53D9">
        <w:t xml:space="preserve"> (from age 15 to 99), by sex, and by </w:t>
      </w:r>
      <w:r w:rsidR="00571881">
        <w:t xml:space="preserve">Māori/non-Māori ethnicity. </w:t>
      </w:r>
      <w:r w:rsidR="001052C6">
        <w:t>The data used to identify inpatient hosp</w:t>
      </w:r>
      <w:r w:rsidR="00E75B89">
        <w:t>i</w:t>
      </w:r>
      <w:r w:rsidR="001052C6">
        <w:t>talisations was the National Minimum Data Set (NMDS)</w:t>
      </w:r>
      <w:r w:rsidR="00B55A3B">
        <w:t xml:space="preserve">. The data was extracted and supplied by </w:t>
      </w:r>
      <w:proofErr w:type="spellStart"/>
      <w:r w:rsidR="00B55A3B">
        <w:t>Te</w:t>
      </w:r>
      <w:proofErr w:type="spellEnd"/>
      <w:r w:rsidR="00B55A3B">
        <w:t xml:space="preserve"> </w:t>
      </w:r>
      <w:proofErr w:type="spellStart"/>
      <w:r w:rsidR="00B55A3B">
        <w:t>Whatu</w:t>
      </w:r>
      <w:proofErr w:type="spellEnd"/>
      <w:r w:rsidR="00B55A3B">
        <w:t xml:space="preserve"> Ora for the calendar year 2018.</w:t>
      </w:r>
      <w:r w:rsidR="00571881">
        <w:t xml:space="preserve"> The year 2018 was selected</w:t>
      </w:r>
      <w:r w:rsidR="002C0E79">
        <w:t xml:space="preserve"> because the resea</w:t>
      </w:r>
      <w:r w:rsidR="003F2C1B">
        <w:t>r</w:t>
      </w:r>
      <w:r w:rsidR="002C0E79">
        <w:t>ch team felt it was important to</w:t>
      </w:r>
      <w:r w:rsidR="006C1C0B">
        <w:t>:</w:t>
      </w:r>
    </w:p>
    <w:p w14:paraId="3CCD8370" w14:textId="52952362" w:rsidR="007D49B3" w:rsidRDefault="007D49B3" w:rsidP="006C1C0B">
      <w:pPr>
        <w:pStyle w:val="USBullet1"/>
      </w:pPr>
      <w:r>
        <w:t xml:space="preserve">avoid </w:t>
      </w:r>
      <w:r w:rsidR="002C0E79">
        <w:t xml:space="preserve">results being affected by </w:t>
      </w:r>
      <w:r>
        <w:t>any impacts of C</w:t>
      </w:r>
      <w:r w:rsidR="00E75B89">
        <w:t>OVID</w:t>
      </w:r>
      <w:r>
        <w:t xml:space="preserve">-19 and </w:t>
      </w:r>
      <w:r w:rsidR="000203D8">
        <w:t xml:space="preserve">the </w:t>
      </w:r>
      <w:r>
        <w:t xml:space="preserve">related </w:t>
      </w:r>
      <w:r w:rsidR="00A82F0B">
        <w:t>response</w:t>
      </w:r>
      <w:r w:rsidR="000203D8">
        <w:t>,</w:t>
      </w:r>
      <w:r w:rsidR="00A82F0B">
        <w:t xml:space="preserve"> on health outcomes and health system utilisation (these </w:t>
      </w:r>
      <w:r w:rsidR="00BA6707">
        <w:t>have had a major impact on data for the years 2020, 2021 and 2022, in particular for planned care which was often delayed)</w:t>
      </w:r>
    </w:p>
    <w:p w14:paraId="5B15601F" w14:textId="0830914F" w:rsidR="006C1C0B" w:rsidRDefault="006C1C0B" w:rsidP="006C1C0B">
      <w:pPr>
        <w:pStyle w:val="USBullet1"/>
      </w:pPr>
      <w:r>
        <w:t>alig</w:t>
      </w:r>
      <w:r w:rsidR="007D49B3">
        <w:t>n</w:t>
      </w:r>
      <w:r>
        <w:t xml:space="preserve"> </w:t>
      </w:r>
      <w:r w:rsidR="002C0E79">
        <w:t xml:space="preserve">the analysis </w:t>
      </w:r>
      <w:r>
        <w:t xml:space="preserve">with the year of data that informed the calculations of the </w:t>
      </w:r>
      <w:proofErr w:type="gramStart"/>
      <w:r>
        <w:t>AAFs</w:t>
      </w:r>
      <w:proofErr w:type="gramEnd"/>
    </w:p>
    <w:p w14:paraId="657793A3" w14:textId="3D8EDDB3" w:rsidR="005F03ED" w:rsidRDefault="00571881" w:rsidP="006C1C0B">
      <w:pPr>
        <w:pStyle w:val="USBullet1"/>
      </w:pPr>
      <w:r>
        <w:t xml:space="preserve">align </w:t>
      </w:r>
      <w:r w:rsidR="002C0E79">
        <w:t xml:space="preserve">the calculation of inpatient costs with </w:t>
      </w:r>
      <w:r w:rsidR="00704988">
        <w:t xml:space="preserve">the </w:t>
      </w:r>
      <w:r w:rsidR="002C0E79">
        <w:t>calculation of mortality costs</w:t>
      </w:r>
      <w:r w:rsidR="003F2C1B">
        <w:t xml:space="preserve"> due to the consistent use of AAFs across both areas (</w:t>
      </w:r>
      <w:r>
        <w:t>the latest year available for mortality data</w:t>
      </w:r>
      <w:r w:rsidR="00C5702D">
        <w:t xml:space="preserve"> is</w:t>
      </w:r>
      <w:r>
        <w:t xml:space="preserve"> </w:t>
      </w:r>
      <w:r w:rsidR="00EF597D">
        <w:t>2018</w:t>
      </w:r>
      <w:r w:rsidR="003F2C1B">
        <w:t>)</w:t>
      </w:r>
      <w:r w:rsidR="008D1429">
        <w:t>.</w:t>
      </w:r>
    </w:p>
    <w:p w14:paraId="21E76FA5" w14:textId="2E6442E1" w:rsidR="0061036F" w:rsidRDefault="008D1429" w:rsidP="00212674">
      <w:pPr>
        <w:pStyle w:val="USBodyText"/>
      </w:pPr>
      <w:r>
        <w:t xml:space="preserve">Although inpatient hospitalisation data from 2019 could have been used for this analysis, the benefit of only slightly more recent data for this cost estimation was considered to be less important than </w:t>
      </w:r>
      <w:r w:rsidR="00905104">
        <w:t>the alignment with the AAFs</w:t>
      </w:r>
      <w:r w:rsidR="00C5702D">
        <w:t>’</w:t>
      </w:r>
      <w:r w:rsidR="00905104">
        <w:t xml:space="preserve"> base year and the mortality data.</w:t>
      </w:r>
    </w:p>
    <w:p w14:paraId="2D545698" w14:textId="77777777" w:rsidR="00930404" w:rsidRDefault="00B06655" w:rsidP="00212674">
      <w:pPr>
        <w:pStyle w:val="USBodyText"/>
      </w:pPr>
      <w:r>
        <w:t xml:space="preserve">To </w:t>
      </w:r>
      <w:r w:rsidR="00930404">
        <w:t>estima</w:t>
      </w:r>
      <w:r>
        <w:t xml:space="preserve">te </w:t>
      </w:r>
      <w:r w:rsidR="0096744D">
        <w:t>results for 2023, we</w:t>
      </w:r>
      <w:r w:rsidR="00930404">
        <w:t>:</w:t>
      </w:r>
    </w:p>
    <w:p w14:paraId="4C3C2779" w14:textId="3E7B3F18" w:rsidR="00930404" w:rsidRDefault="0096744D" w:rsidP="00930404">
      <w:pPr>
        <w:pStyle w:val="USBullet1"/>
      </w:pPr>
      <w:r>
        <w:t>appl</w:t>
      </w:r>
      <w:r w:rsidR="004C7293">
        <w:t>ied</w:t>
      </w:r>
      <w:r>
        <w:t xml:space="preserve"> </w:t>
      </w:r>
      <w:r w:rsidR="00930404">
        <w:t xml:space="preserve">inpatient </w:t>
      </w:r>
      <w:r>
        <w:t>bed day rates</w:t>
      </w:r>
      <w:r w:rsidR="00432113">
        <w:t xml:space="preserve"> by population subgroup to projected population sub-groups for </w:t>
      </w:r>
      <w:proofErr w:type="gramStart"/>
      <w:r w:rsidR="00432113">
        <w:t>2023</w:t>
      </w:r>
      <w:proofErr w:type="gramEnd"/>
      <w:r w:rsidR="00432113">
        <w:t xml:space="preserve"> </w:t>
      </w:r>
    </w:p>
    <w:p w14:paraId="2048BD0C" w14:textId="2CD9DE29" w:rsidR="00B06655" w:rsidRDefault="00432113" w:rsidP="00930404">
      <w:pPr>
        <w:pStyle w:val="USBullet1"/>
      </w:pPr>
      <w:r>
        <w:t>calculate</w:t>
      </w:r>
      <w:r w:rsidR="004C7293">
        <w:t>d</w:t>
      </w:r>
      <w:r>
        <w:t xml:space="preserve"> event costs using the Weighted Equivalent Inlier </w:t>
      </w:r>
      <w:r w:rsidR="00930404">
        <w:t>Separations methodology, applying the 20</w:t>
      </w:r>
      <w:r w:rsidR="00EB32E7">
        <w:t>21/</w:t>
      </w:r>
      <w:r w:rsidR="00930404">
        <w:t xml:space="preserve">22 </w:t>
      </w:r>
      <w:r w:rsidR="005A71C6">
        <w:t>WIES</w:t>
      </w:r>
      <w:r w:rsidR="009646D1">
        <w:t xml:space="preserve"> multiplier</w:t>
      </w:r>
      <w:r w:rsidR="00930404">
        <w:t xml:space="preserve"> </w:t>
      </w:r>
      <w:r w:rsidR="00896FA5">
        <w:t xml:space="preserve">for medical and surgical events </w:t>
      </w:r>
      <w:r w:rsidR="00930404">
        <w:t xml:space="preserve">inflated using the CPI to 2023 (a </w:t>
      </w:r>
      <w:r w:rsidR="00D718B9">
        <w:t xml:space="preserve">7 </w:t>
      </w:r>
      <w:r w:rsidR="00930404">
        <w:t>percent increase).</w:t>
      </w:r>
    </w:p>
    <w:p w14:paraId="4D00FD36" w14:textId="4976C700" w:rsidR="00212674" w:rsidRDefault="00212674" w:rsidP="00212674">
      <w:pPr>
        <w:pStyle w:val="USBodyText"/>
      </w:pPr>
      <w:r>
        <w:t xml:space="preserve">Because resource use is often of greater interest to the health sector than cost estimates, we present the inpatient </w:t>
      </w:r>
      <w:r w:rsidR="00503615">
        <w:t xml:space="preserve">bed days and </w:t>
      </w:r>
      <w:r w:rsidR="00AD1A97">
        <w:t xml:space="preserve">the </w:t>
      </w:r>
      <w:r w:rsidR="00503615">
        <w:t>resulting number of hospital beds utilised as a result of alcohol consumption</w:t>
      </w:r>
      <w:r w:rsidR="00B06655">
        <w:t xml:space="preserve"> as well as cost estimates.</w:t>
      </w:r>
    </w:p>
    <w:p w14:paraId="6F8D17B1" w14:textId="19304E84" w:rsidR="00B06655" w:rsidRDefault="00B06655" w:rsidP="00B13007">
      <w:pPr>
        <w:pStyle w:val="Heading3"/>
      </w:pPr>
      <w:r>
        <w:t>Alcohol</w:t>
      </w:r>
      <w:r w:rsidR="00C11A49">
        <w:t>-</w:t>
      </w:r>
      <w:r>
        <w:t>attributable inpatient bed days</w:t>
      </w:r>
    </w:p>
    <w:p w14:paraId="7B9DBF50" w14:textId="3D2C83B1" w:rsidR="00930404" w:rsidRDefault="00930404" w:rsidP="00930404">
      <w:pPr>
        <w:pStyle w:val="USBodyText"/>
      </w:pPr>
      <w:r>
        <w:t xml:space="preserve">In 2023, the estimated number of bed days attributable to alcohol </w:t>
      </w:r>
      <w:r w:rsidR="00D718B9">
        <w:t xml:space="preserve">was </w:t>
      </w:r>
      <w:r>
        <w:t xml:space="preserve">between </w:t>
      </w:r>
      <w:r w:rsidR="007B7A38">
        <w:t>141,000 and 179,000, with a midpoint of 161,709.</w:t>
      </w:r>
    </w:p>
    <w:p w14:paraId="0B301EF7" w14:textId="77777777" w:rsidR="00943E79" w:rsidRDefault="00943E79" w:rsidP="00930404">
      <w:pPr>
        <w:pStyle w:val="USBodyText"/>
      </w:pPr>
    </w:p>
    <w:p w14:paraId="18DAE0C3" w14:textId="22D81229" w:rsidR="0027797C" w:rsidRPr="00731CA6" w:rsidRDefault="0027797C" w:rsidP="0027797C">
      <w:pPr>
        <w:pStyle w:val="TableCaption"/>
      </w:pPr>
      <w:bookmarkStart w:id="104" w:name="_Hlk146268474"/>
      <w:bookmarkStart w:id="105" w:name="_Toc160633927"/>
      <w:r w:rsidRPr="00731CA6">
        <w:lastRenderedPageBreak/>
        <w:t xml:space="preserve">Table </w:t>
      </w:r>
      <w:fldSimple w:instr=" SEQ Table \* ARABIC ">
        <w:r w:rsidR="00AE166D">
          <w:rPr>
            <w:noProof/>
          </w:rPr>
          <w:t>20</w:t>
        </w:r>
      </w:fldSimple>
      <w:r w:rsidRPr="00731CA6">
        <w:t xml:space="preserve"> </w:t>
      </w:r>
      <w:r w:rsidR="00CF137D">
        <w:t xml:space="preserve">Total </w:t>
      </w:r>
      <w:bookmarkEnd w:id="104"/>
      <w:r w:rsidR="00CF137D">
        <w:t>inpatient bed days attributable to alcohol</w:t>
      </w:r>
      <w:bookmarkEnd w:id="105"/>
    </w:p>
    <w:p w14:paraId="1FED5F6D" w14:textId="16FDE7D4" w:rsidR="0027797C" w:rsidRPr="00731CA6" w:rsidRDefault="00FF2D8B" w:rsidP="0027797C">
      <w:pPr>
        <w:pStyle w:val="CaptionSubheading"/>
      </w:pPr>
      <w:r>
        <w:t xml:space="preserve">2023 </w:t>
      </w:r>
      <w:proofErr w:type="gramStart"/>
      <w:r>
        <w:t>estimated</w:t>
      </w:r>
      <w:proofErr w:type="gramEnd"/>
    </w:p>
    <w:tbl>
      <w:tblPr>
        <w:tblStyle w:val="TableDefault"/>
        <w:tblW w:w="8220" w:type="dxa"/>
        <w:tblLook w:val="0460" w:firstRow="1" w:lastRow="1" w:firstColumn="0" w:lastColumn="0" w:noHBand="0" w:noVBand="1"/>
      </w:tblPr>
      <w:tblGrid>
        <w:gridCol w:w="2055"/>
        <w:gridCol w:w="2057"/>
        <w:gridCol w:w="2055"/>
        <w:gridCol w:w="2053"/>
      </w:tblGrid>
      <w:tr w:rsidR="00CF137D" w:rsidRPr="00731CA6" w14:paraId="0F9ABB00" w14:textId="1DBD1FD4" w:rsidTr="00CF137D">
        <w:trPr>
          <w:cnfStyle w:val="100000000000" w:firstRow="1" w:lastRow="0" w:firstColumn="0" w:lastColumn="0" w:oddVBand="0" w:evenVBand="0" w:oddHBand="0" w:evenHBand="0" w:firstRowFirstColumn="0" w:firstRowLastColumn="0" w:lastRowFirstColumn="0" w:lastRowLastColumn="0"/>
        </w:trPr>
        <w:tc>
          <w:tcPr>
            <w:tcW w:w="1250" w:type="pct"/>
          </w:tcPr>
          <w:p w14:paraId="7072901E" w14:textId="52752D43" w:rsidR="00CF137D" w:rsidRPr="00704988" w:rsidRDefault="00CF137D" w:rsidP="00CF137D">
            <w:pPr>
              <w:pStyle w:val="TSTableHeadingWhite-TopRow"/>
            </w:pPr>
          </w:p>
        </w:tc>
        <w:tc>
          <w:tcPr>
            <w:tcW w:w="1251" w:type="pct"/>
          </w:tcPr>
          <w:p w14:paraId="760FBF96" w14:textId="77A1F544" w:rsidR="00CF137D" w:rsidRPr="00704988" w:rsidRDefault="00CF137D" w:rsidP="000B5C0C">
            <w:pPr>
              <w:pStyle w:val="TSTableHeadingWhite-TopRow"/>
              <w:jc w:val="center"/>
            </w:pPr>
            <w:r w:rsidRPr="00704988">
              <w:t>Lower estimate</w:t>
            </w:r>
          </w:p>
        </w:tc>
        <w:tc>
          <w:tcPr>
            <w:tcW w:w="1250" w:type="pct"/>
          </w:tcPr>
          <w:p w14:paraId="5535E4E3" w14:textId="2CC6BA0D" w:rsidR="00CF137D" w:rsidRPr="00704988" w:rsidRDefault="00CF137D" w:rsidP="000B5C0C">
            <w:pPr>
              <w:pStyle w:val="TSTableHeadingWhite-TopRow"/>
              <w:jc w:val="center"/>
            </w:pPr>
            <w:r w:rsidRPr="00704988">
              <w:t>Midpoint estimate</w:t>
            </w:r>
          </w:p>
        </w:tc>
        <w:tc>
          <w:tcPr>
            <w:tcW w:w="1249" w:type="pct"/>
          </w:tcPr>
          <w:p w14:paraId="7B7ADBDB" w14:textId="5EDC435C" w:rsidR="00CF137D" w:rsidRPr="00704988" w:rsidRDefault="00CF137D" w:rsidP="000B5C0C">
            <w:pPr>
              <w:pStyle w:val="TSTableHeadingWhite-TopRow"/>
              <w:jc w:val="center"/>
            </w:pPr>
            <w:r w:rsidRPr="00704988">
              <w:t>Upper estimate</w:t>
            </w:r>
          </w:p>
        </w:tc>
      </w:tr>
      <w:tr w:rsidR="00CF137D" w:rsidRPr="000B5C0C" w14:paraId="5CFED92E" w14:textId="23B46C66" w:rsidTr="00CF137D">
        <w:trPr>
          <w:cnfStyle w:val="010000000000" w:firstRow="0" w:lastRow="1" w:firstColumn="0" w:lastColumn="0" w:oddVBand="0" w:evenVBand="0" w:oddHBand="0" w:evenHBand="0" w:firstRowFirstColumn="0" w:firstRowLastColumn="0" w:lastRowFirstColumn="0" w:lastRowLastColumn="0"/>
        </w:trPr>
        <w:tc>
          <w:tcPr>
            <w:tcW w:w="1250" w:type="pct"/>
          </w:tcPr>
          <w:p w14:paraId="3E049D02" w14:textId="0242F5A1" w:rsidR="00CF137D" w:rsidRPr="000B5C0C" w:rsidRDefault="00CF137D" w:rsidP="00CF137D">
            <w:pPr>
              <w:pStyle w:val="TSBodyText"/>
              <w:rPr>
                <w:szCs w:val="18"/>
              </w:rPr>
            </w:pPr>
            <w:r w:rsidRPr="000B5C0C">
              <w:rPr>
                <w:szCs w:val="18"/>
              </w:rPr>
              <w:t>Total</w:t>
            </w:r>
          </w:p>
        </w:tc>
        <w:tc>
          <w:tcPr>
            <w:tcW w:w="1251" w:type="pct"/>
          </w:tcPr>
          <w:p w14:paraId="52081D6F" w14:textId="70380F51" w:rsidR="00CF137D" w:rsidRPr="000B5C0C" w:rsidRDefault="00CF137D" w:rsidP="000B5C0C">
            <w:pPr>
              <w:pStyle w:val="TSBodyText"/>
              <w:ind w:right="749"/>
              <w:jc w:val="right"/>
              <w:rPr>
                <w:szCs w:val="18"/>
              </w:rPr>
            </w:pPr>
            <w:r w:rsidRPr="000B5C0C">
              <w:rPr>
                <w:szCs w:val="18"/>
              </w:rPr>
              <w:t>141,491</w:t>
            </w:r>
          </w:p>
        </w:tc>
        <w:tc>
          <w:tcPr>
            <w:tcW w:w="1250" w:type="pct"/>
          </w:tcPr>
          <w:p w14:paraId="1C5DFEA6" w14:textId="5A0344B0" w:rsidR="00CF137D" w:rsidRPr="000B5C0C" w:rsidRDefault="00CF137D" w:rsidP="000B5C0C">
            <w:pPr>
              <w:pStyle w:val="TSBodyText"/>
              <w:ind w:right="749"/>
              <w:jc w:val="right"/>
              <w:rPr>
                <w:szCs w:val="18"/>
              </w:rPr>
            </w:pPr>
            <w:r w:rsidRPr="000B5C0C">
              <w:rPr>
                <w:szCs w:val="18"/>
              </w:rPr>
              <w:t>161,709</w:t>
            </w:r>
          </w:p>
        </w:tc>
        <w:tc>
          <w:tcPr>
            <w:tcW w:w="1249" w:type="pct"/>
          </w:tcPr>
          <w:p w14:paraId="5BAF55C0" w14:textId="4A6EE84E" w:rsidR="00CF137D" w:rsidRPr="000B5C0C" w:rsidRDefault="00CF137D" w:rsidP="000B5C0C">
            <w:pPr>
              <w:pStyle w:val="TSBodyText"/>
              <w:ind w:right="749"/>
              <w:jc w:val="right"/>
              <w:rPr>
                <w:szCs w:val="18"/>
              </w:rPr>
            </w:pPr>
            <w:r w:rsidRPr="000B5C0C">
              <w:rPr>
                <w:szCs w:val="18"/>
              </w:rPr>
              <w:t>178,651</w:t>
            </w:r>
          </w:p>
        </w:tc>
      </w:tr>
    </w:tbl>
    <w:p w14:paraId="37DEA05D" w14:textId="19822E6F" w:rsidR="0027797C" w:rsidRPr="00731CA6" w:rsidRDefault="0027797C" w:rsidP="0027797C">
      <w:pPr>
        <w:pStyle w:val="USSource"/>
      </w:pPr>
      <w:r w:rsidRPr="00731CA6">
        <w:t xml:space="preserve">Source: </w:t>
      </w:r>
      <w:r w:rsidR="00CB0920">
        <w:t xml:space="preserve">NZIER, based on NMDS data from </w:t>
      </w:r>
      <w:proofErr w:type="spellStart"/>
      <w:r w:rsidR="00CB0920">
        <w:t>Te</w:t>
      </w:r>
      <w:proofErr w:type="spellEnd"/>
      <w:r w:rsidR="00CB0920">
        <w:t xml:space="preserve"> </w:t>
      </w:r>
      <w:proofErr w:type="spellStart"/>
      <w:r w:rsidR="00CB0920">
        <w:t>Whatu</w:t>
      </w:r>
      <w:proofErr w:type="spellEnd"/>
      <w:r w:rsidR="00CB0920">
        <w:t xml:space="preserve"> Ora and AAFs from Chambers and </w:t>
      </w:r>
      <w:proofErr w:type="spellStart"/>
      <w:r w:rsidR="00CB0920">
        <w:t>Mi</w:t>
      </w:r>
      <w:r w:rsidR="00D5025C">
        <w:t>zdrak</w:t>
      </w:r>
      <w:proofErr w:type="spellEnd"/>
      <w:r w:rsidR="00D5025C">
        <w:t xml:space="preserve"> (forthcoming)</w:t>
      </w:r>
    </w:p>
    <w:p w14:paraId="541523EE" w14:textId="10BDBAA1" w:rsidR="00DD12CF" w:rsidRDefault="00CB0920" w:rsidP="005F03ED">
      <w:pPr>
        <w:pStyle w:val="USBodyText"/>
      </w:pPr>
      <w:r>
        <w:t xml:space="preserve">Breaking these bed days down by ethnicity shows that </w:t>
      </w:r>
      <w:r w:rsidR="00F92F64">
        <w:t xml:space="preserve">bed days for </w:t>
      </w:r>
      <w:r w:rsidR="00B72665">
        <w:t>Māori</w:t>
      </w:r>
      <w:r w:rsidR="00F92F64">
        <w:t xml:space="preserve"> are approximately 15 percent of the total</w:t>
      </w:r>
      <w:r w:rsidR="00B72665">
        <w:t xml:space="preserve"> number of inpatient bed days.</w:t>
      </w:r>
    </w:p>
    <w:p w14:paraId="39043DAB" w14:textId="0D290774" w:rsidR="00E44E77" w:rsidRDefault="00CF137D" w:rsidP="00A57096">
      <w:pPr>
        <w:pStyle w:val="TableCaption"/>
        <w:rPr>
          <w:b w:val="0"/>
          <w:bCs/>
          <w:color w:val="0094C5" w:themeColor="accent1"/>
        </w:rPr>
      </w:pPr>
      <w:bookmarkStart w:id="106" w:name="_Toc160633928"/>
      <w:bookmarkStart w:id="107" w:name="_Hlk145929880"/>
      <w:r w:rsidRPr="00CF137D">
        <w:t xml:space="preserve">Table </w:t>
      </w:r>
      <w:r w:rsidRPr="00CF137D">
        <w:rPr>
          <w:b w:val="0"/>
          <w:bCs/>
          <w:color w:val="0094C5" w:themeColor="accent1"/>
        </w:rPr>
        <w:fldChar w:fldCharType="begin"/>
      </w:r>
      <w:r w:rsidRPr="00CF137D">
        <w:rPr>
          <w:bCs/>
          <w:color w:val="0094C5" w:themeColor="accent1"/>
        </w:rPr>
        <w:instrText xml:space="preserve"> SEQ Table \* ARABIC </w:instrText>
      </w:r>
      <w:r w:rsidRPr="00CF137D">
        <w:rPr>
          <w:b w:val="0"/>
          <w:bCs/>
          <w:color w:val="0094C5" w:themeColor="accent1"/>
        </w:rPr>
        <w:fldChar w:fldCharType="separate"/>
      </w:r>
      <w:r w:rsidR="00AE166D">
        <w:rPr>
          <w:bCs/>
          <w:noProof/>
          <w:color w:val="0094C5" w:themeColor="accent1"/>
        </w:rPr>
        <w:t>21</w:t>
      </w:r>
      <w:r w:rsidRPr="00CF137D">
        <w:rPr>
          <w:b w:val="0"/>
          <w:bCs/>
          <w:color w:val="0094C5" w:themeColor="accent1"/>
        </w:rPr>
        <w:fldChar w:fldCharType="end"/>
      </w:r>
      <w:r w:rsidRPr="00CF137D">
        <w:rPr>
          <w:bCs/>
          <w:color w:val="0094C5" w:themeColor="accent1"/>
        </w:rPr>
        <w:t xml:space="preserve"> Total </w:t>
      </w:r>
      <w:r w:rsidR="00943E79">
        <w:rPr>
          <w:bCs/>
          <w:color w:val="0094C5" w:themeColor="accent1"/>
        </w:rPr>
        <w:t>b</w:t>
      </w:r>
      <w:r w:rsidR="009B7234" w:rsidRPr="00097EB7">
        <w:rPr>
          <w:bCs/>
          <w:color w:val="0094C5" w:themeColor="accent1"/>
        </w:rPr>
        <w:t>ed days attributable to alcohol</w:t>
      </w:r>
      <w:r>
        <w:rPr>
          <w:bCs/>
          <w:color w:val="0094C5" w:themeColor="accent1"/>
        </w:rPr>
        <w:t xml:space="preserve"> by ethnicity</w:t>
      </w:r>
      <w:bookmarkEnd w:id="106"/>
      <w:r>
        <w:rPr>
          <w:bCs/>
          <w:color w:val="0094C5" w:themeColor="accent1"/>
        </w:rPr>
        <w:t xml:space="preserve"> </w:t>
      </w:r>
    </w:p>
    <w:p w14:paraId="7195395D" w14:textId="22C7DF7C" w:rsidR="00FF2D8B" w:rsidRPr="00097EB7" w:rsidRDefault="00FF2D8B" w:rsidP="00FF2D8B">
      <w:pPr>
        <w:pStyle w:val="CaptionSubheading"/>
      </w:pPr>
      <w:r>
        <w:t xml:space="preserve">2023 </w:t>
      </w:r>
      <w:proofErr w:type="gramStart"/>
      <w:r>
        <w:t>estimated</w:t>
      </w:r>
      <w:proofErr w:type="gramEnd"/>
    </w:p>
    <w:tbl>
      <w:tblPr>
        <w:tblStyle w:val="TableDefault"/>
        <w:tblW w:w="0" w:type="auto"/>
        <w:tblLook w:val="04A0" w:firstRow="1" w:lastRow="0" w:firstColumn="1" w:lastColumn="0" w:noHBand="0" w:noVBand="1"/>
      </w:tblPr>
      <w:tblGrid>
        <w:gridCol w:w="1675"/>
        <w:gridCol w:w="1701"/>
        <w:gridCol w:w="1716"/>
        <w:gridCol w:w="1701"/>
        <w:gridCol w:w="1427"/>
      </w:tblGrid>
      <w:tr w:rsidR="00485253" w14:paraId="461990C6" w14:textId="5481764C" w:rsidTr="003150A0">
        <w:trPr>
          <w:cnfStyle w:val="100000000000" w:firstRow="1" w:lastRow="0" w:firstColumn="0" w:lastColumn="0" w:oddVBand="0" w:evenVBand="0" w:oddHBand="0" w:evenHBand="0" w:firstRowFirstColumn="0" w:firstRowLastColumn="0" w:lastRowFirstColumn="0" w:lastRowLastColumn="0"/>
        </w:trPr>
        <w:tc>
          <w:tcPr>
            <w:tcW w:w="1675" w:type="dxa"/>
          </w:tcPr>
          <w:p w14:paraId="1FD47A33" w14:textId="77777777" w:rsidR="00485253" w:rsidRDefault="00485253" w:rsidP="00704988">
            <w:pPr>
              <w:pStyle w:val="TSTableHeadingWhite-TopRow"/>
            </w:pPr>
          </w:p>
        </w:tc>
        <w:tc>
          <w:tcPr>
            <w:tcW w:w="1701" w:type="dxa"/>
          </w:tcPr>
          <w:p w14:paraId="3560AE20" w14:textId="3F219602" w:rsidR="00485253" w:rsidRPr="00097EB7" w:rsidRDefault="00485253" w:rsidP="00704988">
            <w:pPr>
              <w:pStyle w:val="TSTableHeadingWhite-TopRow"/>
              <w:rPr>
                <w:color w:val="FFFFFF" w:themeColor="background1"/>
              </w:rPr>
            </w:pPr>
            <w:r w:rsidRPr="00097EB7">
              <w:rPr>
                <w:color w:val="FFFFFF" w:themeColor="background1"/>
              </w:rPr>
              <w:t>Lower estimate</w:t>
            </w:r>
          </w:p>
        </w:tc>
        <w:tc>
          <w:tcPr>
            <w:tcW w:w="1716" w:type="dxa"/>
          </w:tcPr>
          <w:p w14:paraId="5904D2EC" w14:textId="062044BE" w:rsidR="00485253" w:rsidRPr="00097EB7" w:rsidRDefault="00485253" w:rsidP="00704988">
            <w:pPr>
              <w:pStyle w:val="TSTableHeadingWhite-TopRow"/>
              <w:rPr>
                <w:color w:val="FFFFFF" w:themeColor="background1"/>
              </w:rPr>
            </w:pPr>
            <w:r w:rsidRPr="00097EB7">
              <w:rPr>
                <w:color w:val="FFFFFF" w:themeColor="background1"/>
              </w:rPr>
              <w:t>Mid</w:t>
            </w:r>
            <w:r>
              <w:rPr>
                <w:color w:val="FFFFFF" w:themeColor="background1"/>
              </w:rPr>
              <w:t>point</w:t>
            </w:r>
            <w:r w:rsidRPr="00097EB7">
              <w:rPr>
                <w:color w:val="FFFFFF" w:themeColor="background1"/>
              </w:rPr>
              <w:t xml:space="preserve"> estimate</w:t>
            </w:r>
          </w:p>
        </w:tc>
        <w:tc>
          <w:tcPr>
            <w:tcW w:w="1701" w:type="dxa"/>
          </w:tcPr>
          <w:p w14:paraId="291C84A6" w14:textId="35E5F1B1" w:rsidR="00485253" w:rsidRPr="00097EB7" w:rsidRDefault="00485253" w:rsidP="00704988">
            <w:pPr>
              <w:pStyle w:val="TSTableHeadingWhite-TopRow"/>
              <w:rPr>
                <w:color w:val="FFFFFF" w:themeColor="background1"/>
              </w:rPr>
            </w:pPr>
            <w:r w:rsidRPr="00097EB7">
              <w:rPr>
                <w:color w:val="FFFFFF" w:themeColor="background1"/>
              </w:rPr>
              <w:t>Upper estimate</w:t>
            </w:r>
          </w:p>
        </w:tc>
        <w:tc>
          <w:tcPr>
            <w:tcW w:w="1427" w:type="dxa"/>
          </w:tcPr>
          <w:p w14:paraId="05A42C03" w14:textId="17CB7C21" w:rsidR="00485253" w:rsidRPr="00097EB7" w:rsidRDefault="00485253" w:rsidP="00704988">
            <w:pPr>
              <w:pStyle w:val="TSTableHeadingWhite-TopRow"/>
              <w:rPr>
                <w:color w:val="FFFFFF" w:themeColor="background1"/>
              </w:rPr>
            </w:pPr>
            <w:r>
              <w:rPr>
                <w:color w:val="FFFFFF" w:themeColor="background1"/>
              </w:rPr>
              <w:t>Percent of total</w:t>
            </w:r>
          </w:p>
        </w:tc>
      </w:tr>
      <w:tr w:rsidR="00485253" w14:paraId="6805327E" w14:textId="047DD9A9" w:rsidTr="003150A0">
        <w:tc>
          <w:tcPr>
            <w:tcW w:w="1675" w:type="dxa"/>
          </w:tcPr>
          <w:p w14:paraId="681251BF" w14:textId="3D57758B" w:rsidR="00485253" w:rsidRPr="00704988" w:rsidRDefault="00485253" w:rsidP="00704988">
            <w:pPr>
              <w:pStyle w:val="TSBodyText"/>
              <w:rPr>
                <w:b/>
              </w:rPr>
            </w:pPr>
            <w:r w:rsidRPr="00704988">
              <w:rPr>
                <w:b/>
              </w:rPr>
              <w:t>By ethnicity</w:t>
            </w:r>
          </w:p>
        </w:tc>
        <w:tc>
          <w:tcPr>
            <w:tcW w:w="1701" w:type="dxa"/>
            <w:vAlign w:val="center"/>
          </w:tcPr>
          <w:p w14:paraId="21D6FAD5" w14:textId="77777777" w:rsidR="00485253" w:rsidRPr="00CF137D" w:rsidRDefault="00485253" w:rsidP="00704988">
            <w:pPr>
              <w:pStyle w:val="TSBodyText"/>
            </w:pPr>
          </w:p>
        </w:tc>
        <w:tc>
          <w:tcPr>
            <w:tcW w:w="1716" w:type="dxa"/>
            <w:vAlign w:val="center"/>
          </w:tcPr>
          <w:p w14:paraId="4F618D2D" w14:textId="77777777" w:rsidR="00485253" w:rsidRPr="00CF137D" w:rsidRDefault="00485253" w:rsidP="00704988">
            <w:pPr>
              <w:pStyle w:val="TSBodyText"/>
            </w:pPr>
          </w:p>
        </w:tc>
        <w:tc>
          <w:tcPr>
            <w:tcW w:w="1701" w:type="dxa"/>
            <w:vAlign w:val="center"/>
          </w:tcPr>
          <w:p w14:paraId="6C71E258" w14:textId="77777777" w:rsidR="00485253" w:rsidRPr="00CF137D" w:rsidRDefault="00485253" w:rsidP="00704988">
            <w:pPr>
              <w:pStyle w:val="TSBodyText"/>
            </w:pPr>
          </w:p>
        </w:tc>
        <w:tc>
          <w:tcPr>
            <w:tcW w:w="1427" w:type="dxa"/>
          </w:tcPr>
          <w:p w14:paraId="6B13E921" w14:textId="77777777" w:rsidR="00485253" w:rsidRPr="00CF137D" w:rsidRDefault="00485253" w:rsidP="00704988">
            <w:pPr>
              <w:pStyle w:val="TSBodyText"/>
            </w:pPr>
          </w:p>
        </w:tc>
      </w:tr>
      <w:tr w:rsidR="00485253" w14:paraId="0494E603" w14:textId="65EA12CA" w:rsidTr="003150A0">
        <w:trPr>
          <w:cnfStyle w:val="000000010000" w:firstRow="0" w:lastRow="0" w:firstColumn="0" w:lastColumn="0" w:oddVBand="0" w:evenVBand="0" w:oddHBand="0" w:evenHBand="1" w:firstRowFirstColumn="0" w:firstRowLastColumn="0" w:lastRowFirstColumn="0" w:lastRowLastColumn="0"/>
        </w:trPr>
        <w:tc>
          <w:tcPr>
            <w:tcW w:w="1675" w:type="dxa"/>
            <w:vAlign w:val="center"/>
          </w:tcPr>
          <w:p w14:paraId="5DD3C5CF" w14:textId="60DFF8A8" w:rsidR="00485253" w:rsidRPr="00CF137D" w:rsidRDefault="00485253" w:rsidP="00704988">
            <w:pPr>
              <w:pStyle w:val="TSBodyText"/>
            </w:pPr>
            <w:r w:rsidRPr="00CF137D">
              <w:t>Māori</w:t>
            </w:r>
          </w:p>
        </w:tc>
        <w:tc>
          <w:tcPr>
            <w:tcW w:w="1701" w:type="dxa"/>
          </w:tcPr>
          <w:p w14:paraId="205873C9" w14:textId="65E47E9C" w:rsidR="00485253" w:rsidRPr="00CF137D" w:rsidRDefault="00485253" w:rsidP="000B5C0C">
            <w:pPr>
              <w:pStyle w:val="TSBodyText"/>
              <w:ind w:right="656"/>
              <w:jc w:val="right"/>
            </w:pPr>
            <w:r w:rsidRPr="00CF137D">
              <w:t>21,058</w:t>
            </w:r>
          </w:p>
        </w:tc>
        <w:tc>
          <w:tcPr>
            <w:tcW w:w="1716" w:type="dxa"/>
          </w:tcPr>
          <w:p w14:paraId="7C5EBAD6" w14:textId="54244810" w:rsidR="00485253" w:rsidRPr="00CF137D" w:rsidRDefault="00485253" w:rsidP="000B5C0C">
            <w:pPr>
              <w:pStyle w:val="TSBodyText"/>
              <w:ind w:right="656"/>
              <w:jc w:val="right"/>
            </w:pPr>
            <w:r w:rsidRPr="00CF137D">
              <w:t>23,845</w:t>
            </w:r>
          </w:p>
        </w:tc>
        <w:tc>
          <w:tcPr>
            <w:tcW w:w="1701" w:type="dxa"/>
          </w:tcPr>
          <w:p w14:paraId="59329542" w14:textId="4443E820" w:rsidR="00485253" w:rsidRPr="00CF137D" w:rsidRDefault="00485253" w:rsidP="000B5C0C">
            <w:pPr>
              <w:pStyle w:val="TSBodyText"/>
              <w:ind w:right="656"/>
              <w:jc w:val="right"/>
            </w:pPr>
            <w:r w:rsidRPr="00CF137D">
              <w:t>26,059</w:t>
            </w:r>
          </w:p>
        </w:tc>
        <w:tc>
          <w:tcPr>
            <w:tcW w:w="1427" w:type="dxa"/>
          </w:tcPr>
          <w:p w14:paraId="5FDFBAD4" w14:textId="6B56B055" w:rsidR="00485253" w:rsidRPr="00CF137D" w:rsidRDefault="00485253" w:rsidP="000B5C0C">
            <w:pPr>
              <w:pStyle w:val="TSBodyText"/>
              <w:ind w:right="656"/>
              <w:jc w:val="right"/>
            </w:pPr>
            <w:r>
              <w:t>15%</w:t>
            </w:r>
          </w:p>
        </w:tc>
      </w:tr>
      <w:tr w:rsidR="00485253" w14:paraId="1836CF84" w14:textId="1EC8B15E" w:rsidTr="003150A0">
        <w:tc>
          <w:tcPr>
            <w:tcW w:w="1675" w:type="dxa"/>
            <w:vAlign w:val="center"/>
          </w:tcPr>
          <w:p w14:paraId="5F48BD2E" w14:textId="12B3D612" w:rsidR="00485253" w:rsidRPr="00CF137D" w:rsidRDefault="00485253" w:rsidP="00704988">
            <w:pPr>
              <w:pStyle w:val="TSBodyText"/>
            </w:pPr>
            <w:r w:rsidRPr="00CF137D">
              <w:t>Non-Māori</w:t>
            </w:r>
          </w:p>
        </w:tc>
        <w:tc>
          <w:tcPr>
            <w:tcW w:w="1701" w:type="dxa"/>
          </w:tcPr>
          <w:p w14:paraId="048E817B" w14:textId="265C363A" w:rsidR="00485253" w:rsidRPr="00CF137D" w:rsidRDefault="00485253" w:rsidP="000B5C0C">
            <w:pPr>
              <w:pStyle w:val="TSBodyText"/>
              <w:ind w:right="656"/>
              <w:jc w:val="right"/>
            </w:pPr>
            <w:r w:rsidRPr="00CF137D">
              <w:t>120,433</w:t>
            </w:r>
          </w:p>
        </w:tc>
        <w:tc>
          <w:tcPr>
            <w:tcW w:w="1716" w:type="dxa"/>
          </w:tcPr>
          <w:p w14:paraId="6A09F125" w14:textId="6B00C2F1" w:rsidR="00485253" w:rsidRPr="00CF137D" w:rsidRDefault="00485253" w:rsidP="000B5C0C">
            <w:pPr>
              <w:pStyle w:val="TSBodyText"/>
              <w:ind w:right="656"/>
              <w:jc w:val="right"/>
            </w:pPr>
            <w:r w:rsidRPr="00CF137D">
              <w:t>137,864</w:t>
            </w:r>
          </w:p>
        </w:tc>
        <w:tc>
          <w:tcPr>
            <w:tcW w:w="1701" w:type="dxa"/>
          </w:tcPr>
          <w:p w14:paraId="1A7511C1" w14:textId="12EE893B" w:rsidR="00485253" w:rsidRPr="00CF137D" w:rsidRDefault="00485253" w:rsidP="000B5C0C">
            <w:pPr>
              <w:pStyle w:val="TSBodyText"/>
              <w:ind w:right="656"/>
              <w:jc w:val="right"/>
            </w:pPr>
            <w:r w:rsidRPr="00CF137D">
              <w:t>152,592</w:t>
            </w:r>
          </w:p>
        </w:tc>
        <w:tc>
          <w:tcPr>
            <w:tcW w:w="1427" w:type="dxa"/>
          </w:tcPr>
          <w:p w14:paraId="144918F3" w14:textId="06F71148" w:rsidR="00485253" w:rsidRPr="00CF137D" w:rsidRDefault="00485253" w:rsidP="000B5C0C">
            <w:pPr>
              <w:pStyle w:val="TSBodyText"/>
              <w:ind w:right="656"/>
              <w:jc w:val="right"/>
            </w:pPr>
            <w:r>
              <w:t>85%</w:t>
            </w:r>
          </w:p>
        </w:tc>
      </w:tr>
    </w:tbl>
    <w:p w14:paraId="14C6BCD4" w14:textId="7E595086" w:rsidR="00E44E77" w:rsidRDefault="00B72665" w:rsidP="00B72665">
      <w:pPr>
        <w:pStyle w:val="USSource"/>
      </w:pPr>
      <w:bookmarkStart w:id="108" w:name="_Hlk148885328"/>
      <w:bookmarkEnd w:id="107"/>
      <w:r w:rsidRPr="00B72665">
        <w:t xml:space="preserve">Source: NZIER, based on NMDS data from </w:t>
      </w:r>
      <w:proofErr w:type="spellStart"/>
      <w:r w:rsidRPr="00B72665">
        <w:t>Te</w:t>
      </w:r>
      <w:proofErr w:type="spellEnd"/>
      <w:r w:rsidRPr="00B72665">
        <w:t xml:space="preserve"> </w:t>
      </w:r>
      <w:proofErr w:type="spellStart"/>
      <w:r w:rsidRPr="00B72665">
        <w:t>Whatu</w:t>
      </w:r>
      <w:proofErr w:type="spellEnd"/>
      <w:r w:rsidRPr="00B72665">
        <w:t xml:space="preserve"> Ora and AAFs from Chambers and </w:t>
      </w:r>
      <w:proofErr w:type="spellStart"/>
      <w:r w:rsidRPr="00B72665">
        <w:t>Mizdrak</w:t>
      </w:r>
      <w:proofErr w:type="spellEnd"/>
      <w:r w:rsidRPr="00B72665">
        <w:t xml:space="preserve"> (forthcoming)</w:t>
      </w:r>
    </w:p>
    <w:bookmarkEnd w:id="108"/>
    <w:p w14:paraId="6B0B7505" w14:textId="5020ABF7" w:rsidR="00170307" w:rsidRDefault="005A1018" w:rsidP="005F03ED">
      <w:pPr>
        <w:pStyle w:val="USBodyText"/>
      </w:pPr>
      <w:r w:rsidRPr="005A1018">
        <w:t xml:space="preserve">According to Stats NZ, Māori </w:t>
      </w:r>
      <w:r w:rsidR="00704988">
        <w:t>comprise</w:t>
      </w:r>
      <w:r w:rsidR="00943E79">
        <w:t>d</w:t>
      </w:r>
      <w:r w:rsidRPr="005A1018">
        <w:t xml:space="preserve"> 17.3 percent of the New Zealand population in 2023. Under-representation in alcohol-attributable bed days is likely due in part to the younger average age of the Māori population</w:t>
      </w:r>
      <w:r w:rsidR="001D4E41">
        <w:t xml:space="preserve">: </w:t>
      </w:r>
      <w:r w:rsidR="00170307" w:rsidRPr="00170307">
        <w:t>the median ages for males and females identifying as Māori were 25.8 and 27.9 years</w:t>
      </w:r>
      <w:r w:rsidR="00704988">
        <w:t>,</w:t>
      </w:r>
      <w:r w:rsidR="00170307" w:rsidRPr="00170307">
        <w:t xml:space="preserve"> respectively (compared with national median ages of 37.0 and 39.0 years</w:t>
      </w:r>
      <w:r w:rsidR="00704988">
        <w:t>,</w:t>
      </w:r>
      <w:r w:rsidR="00170307" w:rsidRPr="00170307">
        <w:t xml:space="preserve"> respectively</w:t>
      </w:r>
      <w:r w:rsidR="00170307">
        <w:t xml:space="preserve">). </w:t>
      </w:r>
    </w:p>
    <w:p w14:paraId="12D41F0A" w14:textId="27BABB10" w:rsidR="00CB0920" w:rsidRDefault="00B72665" w:rsidP="005F03ED">
      <w:pPr>
        <w:pStyle w:val="USBodyText"/>
      </w:pPr>
      <w:r>
        <w:t xml:space="preserve">When broken down by age group, </w:t>
      </w:r>
      <w:r w:rsidR="00DC4C5D">
        <w:t xml:space="preserve">the estimates show that the </w:t>
      </w:r>
      <w:r w:rsidR="00062178">
        <w:t>75-to-99-year</w:t>
      </w:r>
      <w:r w:rsidR="009C1A66">
        <w:t xml:space="preserve"> age group experiences the greatest number of alcohol</w:t>
      </w:r>
      <w:r w:rsidR="00474EC4">
        <w:t>-</w:t>
      </w:r>
      <w:r w:rsidR="009C1A66">
        <w:t>attributable bed days</w:t>
      </w:r>
      <w:r w:rsidR="00514E20">
        <w:t xml:space="preserve"> (approximately </w:t>
      </w:r>
      <w:r w:rsidR="007018C9">
        <w:t>36 percent of all alcohol</w:t>
      </w:r>
      <w:r w:rsidR="00704988">
        <w:t>-</w:t>
      </w:r>
      <w:r w:rsidR="007018C9">
        <w:t xml:space="preserve">attributable bed days) </w:t>
      </w:r>
      <w:r w:rsidR="00514E20">
        <w:t xml:space="preserve">and that the number of bed days attributed to alcohol increases by age. </w:t>
      </w:r>
      <w:r w:rsidR="00080097">
        <w:t>This is likely to be due to the combined effects of:</w:t>
      </w:r>
    </w:p>
    <w:p w14:paraId="7009BB38" w14:textId="01DC9930" w:rsidR="00080097" w:rsidRDefault="008A190D" w:rsidP="00080097">
      <w:pPr>
        <w:pStyle w:val="USBullet1"/>
      </w:pPr>
      <w:r>
        <w:t>a</w:t>
      </w:r>
      <w:r w:rsidR="009F4EE5">
        <w:t xml:space="preserve">lcohol’s </w:t>
      </w:r>
      <w:r>
        <w:t xml:space="preserve">long-term effects on health </w:t>
      </w:r>
      <w:r w:rsidR="00CB7D3A">
        <w:t>increasing with age</w:t>
      </w:r>
      <w:r w:rsidR="00DC58CF">
        <w:t xml:space="preserve"> and shifting from increased risk of </w:t>
      </w:r>
      <w:r w:rsidR="005A0B24">
        <w:t xml:space="preserve">alcohol-attributable disease to disease </w:t>
      </w:r>
      <w:proofErr w:type="gramStart"/>
      <w:r w:rsidR="005A0B24">
        <w:t>occurrence</w:t>
      </w:r>
      <w:proofErr w:type="gramEnd"/>
    </w:p>
    <w:p w14:paraId="256C3F61" w14:textId="10721274" w:rsidR="00CB7D3A" w:rsidRDefault="001C4D85" w:rsidP="00080097">
      <w:pPr>
        <w:pStyle w:val="USBullet1"/>
      </w:pPr>
      <w:r>
        <w:t xml:space="preserve">age being associated with </w:t>
      </w:r>
      <w:r w:rsidR="00C130EC">
        <w:t xml:space="preserve">more </w:t>
      </w:r>
      <w:r w:rsidR="000D136E">
        <w:t xml:space="preserve">alcohol-related and other </w:t>
      </w:r>
      <w:r w:rsidR="00D61D89">
        <w:t>comorbidities</w:t>
      </w:r>
      <w:r w:rsidR="00943E79">
        <w:t>,</w:t>
      </w:r>
      <w:r w:rsidR="00D61D89">
        <w:t xml:space="preserve"> which contribute to the complexity of treatment for any single </w:t>
      </w:r>
      <w:proofErr w:type="gramStart"/>
      <w:r w:rsidR="00D61D89">
        <w:t>condition</w:t>
      </w:r>
      <w:proofErr w:type="gramEnd"/>
    </w:p>
    <w:p w14:paraId="724513F5" w14:textId="78111EA3" w:rsidR="00F7732C" w:rsidRDefault="00F7732C" w:rsidP="003150A0">
      <w:pPr>
        <w:pStyle w:val="USBullet1"/>
      </w:pPr>
      <w:r>
        <w:t xml:space="preserve">longer lengths of stay for older people </w:t>
      </w:r>
      <w:r w:rsidR="00CC70CD">
        <w:t xml:space="preserve">generally, due to </w:t>
      </w:r>
      <w:r w:rsidR="00063A73">
        <w:t xml:space="preserve">increased complexity, </w:t>
      </w:r>
      <w:r w:rsidR="00683980">
        <w:t xml:space="preserve">higher risk of complications, </w:t>
      </w:r>
      <w:r w:rsidR="00063A73">
        <w:t xml:space="preserve">slower recovery, </w:t>
      </w:r>
      <w:r w:rsidR="00683980">
        <w:t xml:space="preserve">and </w:t>
      </w:r>
      <w:r w:rsidR="00A35242">
        <w:t xml:space="preserve">barriers to prompt discharge related to </w:t>
      </w:r>
      <w:r w:rsidR="003464D9">
        <w:t>short supply of aged residential care beds or community nursing</w:t>
      </w:r>
      <w:r w:rsidR="005A2235">
        <w:t>.</w:t>
      </w:r>
    </w:p>
    <w:p w14:paraId="4CBD2335" w14:textId="77777777" w:rsidR="00B72665" w:rsidRDefault="00B72665" w:rsidP="00A57096">
      <w:pPr>
        <w:pStyle w:val="USBullet1"/>
        <w:numPr>
          <w:ilvl w:val="0"/>
          <w:numId w:val="0"/>
        </w:numPr>
        <w:ind w:left="1276"/>
      </w:pPr>
    </w:p>
    <w:p w14:paraId="4E7E9AF5" w14:textId="77777777" w:rsidR="00A57096" w:rsidRDefault="00A57096" w:rsidP="00A57096">
      <w:pPr>
        <w:pStyle w:val="USBullet1"/>
        <w:numPr>
          <w:ilvl w:val="0"/>
          <w:numId w:val="0"/>
        </w:numPr>
        <w:ind w:left="1276"/>
      </w:pPr>
    </w:p>
    <w:p w14:paraId="7865373B" w14:textId="40C8ABFF" w:rsidR="00CB0920" w:rsidRDefault="00CB0920" w:rsidP="00E1673E">
      <w:pPr>
        <w:pStyle w:val="TableCaption"/>
        <w:keepLines/>
        <w:rPr>
          <w:b w:val="0"/>
          <w:bCs/>
          <w:color w:val="0094C5" w:themeColor="accent1"/>
        </w:rPr>
      </w:pPr>
      <w:bookmarkStart w:id="109" w:name="_Toc160633929"/>
      <w:r w:rsidRPr="00CF137D">
        <w:lastRenderedPageBreak/>
        <w:t xml:space="preserve">Table </w:t>
      </w:r>
      <w:r w:rsidRPr="00CF137D">
        <w:rPr>
          <w:b w:val="0"/>
          <w:bCs/>
          <w:color w:val="0094C5" w:themeColor="accent1"/>
        </w:rPr>
        <w:fldChar w:fldCharType="begin"/>
      </w:r>
      <w:r w:rsidRPr="00CF137D">
        <w:rPr>
          <w:bCs/>
          <w:color w:val="0094C5" w:themeColor="accent1"/>
        </w:rPr>
        <w:instrText xml:space="preserve"> SEQ Table \* ARABIC </w:instrText>
      </w:r>
      <w:r w:rsidRPr="00CF137D">
        <w:rPr>
          <w:b w:val="0"/>
          <w:bCs/>
          <w:color w:val="0094C5" w:themeColor="accent1"/>
        </w:rPr>
        <w:fldChar w:fldCharType="separate"/>
      </w:r>
      <w:r w:rsidR="00AE166D">
        <w:rPr>
          <w:bCs/>
          <w:noProof/>
          <w:color w:val="0094C5" w:themeColor="accent1"/>
        </w:rPr>
        <w:t>22</w:t>
      </w:r>
      <w:r w:rsidRPr="00CF137D">
        <w:rPr>
          <w:b w:val="0"/>
          <w:bCs/>
          <w:color w:val="0094C5" w:themeColor="accent1"/>
        </w:rPr>
        <w:fldChar w:fldCharType="end"/>
      </w:r>
      <w:r w:rsidRPr="00CF137D">
        <w:rPr>
          <w:bCs/>
          <w:color w:val="0094C5" w:themeColor="accent1"/>
        </w:rPr>
        <w:t xml:space="preserve"> Total </w:t>
      </w:r>
      <w:r w:rsidR="00943E79">
        <w:rPr>
          <w:bCs/>
          <w:color w:val="0094C5" w:themeColor="accent1"/>
        </w:rPr>
        <w:t>b</w:t>
      </w:r>
      <w:r w:rsidRPr="00097EB7">
        <w:rPr>
          <w:bCs/>
          <w:color w:val="0094C5" w:themeColor="accent1"/>
        </w:rPr>
        <w:t>ed days attributable to alcohol</w:t>
      </w:r>
      <w:r>
        <w:rPr>
          <w:bCs/>
          <w:color w:val="0094C5" w:themeColor="accent1"/>
        </w:rPr>
        <w:t xml:space="preserve"> by age group</w:t>
      </w:r>
      <w:bookmarkEnd w:id="109"/>
    </w:p>
    <w:p w14:paraId="01294792" w14:textId="580C80FF" w:rsidR="00FF2D8B" w:rsidRPr="00097EB7" w:rsidRDefault="00FF2D8B" w:rsidP="00E1673E">
      <w:pPr>
        <w:pStyle w:val="CaptionSubheading"/>
        <w:keepLines/>
      </w:pPr>
      <w:r>
        <w:t xml:space="preserve">2023 </w:t>
      </w:r>
      <w:proofErr w:type="gramStart"/>
      <w:r>
        <w:t>estimated</w:t>
      </w:r>
      <w:proofErr w:type="gramEnd"/>
    </w:p>
    <w:tbl>
      <w:tblPr>
        <w:tblStyle w:val="TableDefault"/>
        <w:tblW w:w="0" w:type="auto"/>
        <w:tblLook w:val="04A0" w:firstRow="1" w:lastRow="0" w:firstColumn="1" w:lastColumn="0" w:noHBand="0" w:noVBand="1"/>
      </w:tblPr>
      <w:tblGrid>
        <w:gridCol w:w="2055"/>
        <w:gridCol w:w="2055"/>
        <w:gridCol w:w="2055"/>
        <w:gridCol w:w="2055"/>
      </w:tblGrid>
      <w:tr w:rsidR="00CB0920" w14:paraId="3E68CB1F" w14:textId="77777777">
        <w:trPr>
          <w:cnfStyle w:val="100000000000" w:firstRow="1" w:lastRow="0" w:firstColumn="0" w:lastColumn="0" w:oddVBand="0" w:evenVBand="0" w:oddHBand="0" w:evenHBand="0" w:firstRowFirstColumn="0" w:firstRowLastColumn="0" w:lastRowFirstColumn="0" w:lastRowLastColumn="0"/>
        </w:trPr>
        <w:tc>
          <w:tcPr>
            <w:tcW w:w="2055" w:type="dxa"/>
          </w:tcPr>
          <w:p w14:paraId="5E04CFB6" w14:textId="77777777" w:rsidR="00CB0920" w:rsidRDefault="00CB0920" w:rsidP="00E1673E">
            <w:pPr>
              <w:pStyle w:val="TSTableHeadingWhite-TopRow"/>
            </w:pPr>
          </w:p>
        </w:tc>
        <w:tc>
          <w:tcPr>
            <w:tcW w:w="2055" w:type="dxa"/>
          </w:tcPr>
          <w:p w14:paraId="79A16DED" w14:textId="77777777" w:rsidR="00CB0920" w:rsidRPr="00097EB7" w:rsidRDefault="00CB0920" w:rsidP="00E1673E">
            <w:pPr>
              <w:pStyle w:val="TSTableHeadingWhite-TopRow"/>
              <w:jc w:val="center"/>
              <w:rPr>
                <w:b w:val="0"/>
                <w:bCs/>
                <w:color w:val="FFFFFF" w:themeColor="background1"/>
              </w:rPr>
            </w:pPr>
            <w:r w:rsidRPr="00097EB7">
              <w:rPr>
                <w:color w:val="FFFFFF" w:themeColor="background1"/>
              </w:rPr>
              <w:t>Lower estimate</w:t>
            </w:r>
          </w:p>
        </w:tc>
        <w:tc>
          <w:tcPr>
            <w:tcW w:w="2055" w:type="dxa"/>
          </w:tcPr>
          <w:p w14:paraId="4103241E" w14:textId="77777777" w:rsidR="00CB0920" w:rsidRPr="00097EB7" w:rsidRDefault="00CB0920" w:rsidP="00E1673E">
            <w:pPr>
              <w:pStyle w:val="TSTableHeadingWhite-TopRow"/>
              <w:jc w:val="center"/>
              <w:rPr>
                <w:b w:val="0"/>
                <w:bCs/>
                <w:color w:val="FFFFFF" w:themeColor="background1"/>
              </w:rPr>
            </w:pPr>
            <w:r w:rsidRPr="00097EB7">
              <w:rPr>
                <w:color w:val="FFFFFF" w:themeColor="background1"/>
              </w:rPr>
              <w:t>Mid</w:t>
            </w:r>
            <w:r>
              <w:rPr>
                <w:bCs/>
                <w:color w:val="FFFFFF" w:themeColor="background1"/>
              </w:rPr>
              <w:t>point</w:t>
            </w:r>
            <w:r w:rsidRPr="00097EB7">
              <w:rPr>
                <w:bCs/>
                <w:color w:val="FFFFFF" w:themeColor="background1"/>
              </w:rPr>
              <w:t xml:space="preserve"> estimate</w:t>
            </w:r>
          </w:p>
        </w:tc>
        <w:tc>
          <w:tcPr>
            <w:tcW w:w="2055" w:type="dxa"/>
          </w:tcPr>
          <w:p w14:paraId="308D7907" w14:textId="77777777" w:rsidR="00CB0920" w:rsidRPr="00097EB7" w:rsidRDefault="00CB0920" w:rsidP="00E1673E">
            <w:pPr>
              <w:pStyle w:val="TSTableHeadingWhite-TopRow"/>
              <w:jc w:val="center"/>
              <w:rPr>
                <w:b w:val="0"/>
                <w:bCs/>
                <w:color w:val="FFFFFF" w:themeColor="background1"/>
              </w:rPr>
            </w:pPr>
            <w:r w:rsidRPr="00097EB7">
              <w:rPr>
                <w:color w:val="FFFFFF" w:themeColor="background1"/>
              </w:rPr>
              <w:t>Upper estimate</w:t>
            </w:r>
          </w:p>
        </w:tc>
      </w:tr>
      <w:tr w:rsidR="00CB0920" w14:paraId="434DA558" w14:textId="77777777">
        <w:tc>
          <w:tcPr>
            <w:tcW w:w="2055" w:type="dxa"/>
          </w:tcPr>
          <w:p w14:paraId="37D141E7" w14:textId="77777777" w:rsidR="00CB0920" w:rsidRPr="00704988" w:rsidRDefault="00CB0920" w:rsidP="00E1673E">
            <w:pPr>
              <w:pStyle w:val="TSBodyText"/>
              <w:keepNext/>
              <w:keepLines/>
              <w:rPr>
                <w:b/>
              </w:rPr>
            </w:pPr>
            <w:r w:rsidRPr="00704988">
              <w:rPr>
                <w:b/>
              </w:rPr>
              <w:t>By age group</w:t>
            </w:r>
          </w:p>
        </w:tc>
        <w:tc>
          <w:tcPr>
            <w:tcW w:w="2055" w:type="dxa"/>
            <w:vAlign w:val="center"/>
          </w:tcPr>
          <w:p w14:paraId="71DA0FA9" w14:textId="77777777" w:rsidR="00CB0920" w:rsidRPr="00704988" w:rsidRDefault="00CB0920" w:rsidP="00E1673E">
            <w:pPr>
              <w:pStyle w:val="TSBodyText"/>
              <w:keepNext/>
              <w:keepLines/>
              <w:rPr>
                <w:b/>
              </w:rPr>
            </w:pPr>
          </w:p>
        </w:tc>
        <w:tc>
          <w:tcPr>
            <w:tcW w:w="2055" w:type="dxa"/>
            <w:vAlign w:val="center"/>
          </w:tcPr>
          <w:p w14:paraId="5597B0F1" w14:textId="77777777" w:rsidR="00CB0920" w:rsidRPr="00704988" w:rsidRDefault="00CB0920" w:rsidP="00E1673E">
            <w:pPr>
              <w:pStyle w:val="TSBodyText"/>
              <w:keepNext/>
              <w:keepLines/>
              <w:rPr>
                <w:b/>
              </w:rPr>
            </w:pPr>
          </w:p>
        </w:tc>
        <w:tc>
          <w:tcPr>
            <w:tcW w:w="2055" w:type="dxa"/>
            <w:vAlign w:val="center"/>
          </w:tcPr>
          <w:p w14:paraId="376BF2C8" w14:textId="77777777" w:rsidR="00CB0920" w:rsidRPr="00704988" w:rsidRDefault="00CB0920" w:rsidP="00E1673E">
            <w:pPr>
              <w:pStyle w:val="TSBodyText"/>
              <w:keepNext/>
              <w:keepLines/>
              <w:rPr>
                <w:b/>
              </w:rPr>
            </w:pPr>
          </w:p>
        </w:tc>
      </w:tr>
      <w:tr w:rsidR="00CB0920" w14:paraId="3CA3F87D"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14CCEDC6" w14:textId="77777777" w:rsidR="00CB0920" w:rsidRPr="00CF137D" w:rsidRDefault="00CB0920" w:rsidP="00E1673E">
            <w:pPr>
              <w:pStyle w:val="TSBodyText"/>
              <w:keepNext/>
              <w:keepLines/>
            </w:pPr>
            <w:r w:rsidRPr="00CF137D">
              <w:t>15-24</w:t>
            </w:r>
          </w:p>
        </w:tc>
        <w:tc>
          <w:tcPr>
            <w:tcW w:w="2055" w:type="dxa"/>
          </w:tcPr>
          <w:p w14:paraId="14CA7F60" w14:textId="77777777" w:rsidR="00CB0920" w:rsidRPr="00CF137D" w:rsidRDefault="00CB0920" w:rsidP="00E1673E">
            <w:pPr>
              <w:pStyle w:val="TSBodyText"/>
              <w:keepNext/>
              <w:keepLines/>
              <w:ind w:right="891"/>
              <w:jc w:val="right"/>
            </w:pPr>
            <w:r w:rsidRPr="00CF137D">
              <w:t>5,473</w:t>
            </w:r>
          </w:p>
        </w:tc>
        <w:tc>
          <w:tcPr>
            <w:tcW w:w="2055" w:type="dxa"/>
          </w:tcPr>
          <w:p w14:paraId="3785536D" w14:textId="77777777" w:rsidR="00CB0920" w:rsidRPr="00CF137D" w:rsidRDefault="00CB0920" w:rsidP="00E1673E">
            <w:pPr>
              <w:pStyle w:val="TSBodyText"/>
              <w:keepNext/>
              <w:keepLines/>
              <w:ind w:right="891"/>
              <w:jc w:val="right"/>
            </w:pPr>
            <w:r w:rsidRPr="00CF137D">
              <w:t>6,251</w:t>
            </w:r>
          </w:p>
        </w:tc>
        <w:tc>
          <w:tcPr>
            <w:tcW w:w="2055" w:type="dxa"/>
          </w:tcPr>
          <w:p w14:paraId="10DE565D" w14:textId="77777777" w:rsidR="00CB0920" w:rsidRPr="00CF137D" w:rsidRDefault="00CB0920" w:rsidP="00E1673E">
            <w:pPr>
              <w:pStyle w:val="TSBodyText"/>
              <w:keepNext/>
              <w:keepLines/>
              <w:ind w:right="891"/>
              <w:jc w:val="right"/>
            </w:pPr>
            <w:r w:rsidRPr="00CF137D">
              <w:t>6,919</w:t>
            </w:r>
          </w:p>
        </w:tc>
      </w:tr>
      <w:tr w:rsidR="00CB0920" w14:paraId="132622EC" w14:textId="77777777">
        <w:tc>
          <w:tcPr>
            <w:tcW w:w="2055" w:type="dxa"/>
          </w:tcPr>
          <w:p w14:paraId="7980B0EB" w14:textId="77777777" w:rsidR="00CB0920" w:rsidRPr="00CF137D" w:rsidRDefault="00CB0920" w:rsidP="00E1673E">
            <w:pPr>
              <w:pStyle w:val="TSBodyText"/>
              <w:keepNext/>
              <w:keepLines/>
            </w:pPr>
            <w:r w:rsidRPr="00CF137D">
              <w:t>25-34</w:t>
            </w:r>
          </w:p>
        </w:tc>
        <w:tc>
          <w:tcPr>
            <w:tcW w:w="2055" w:type="dxa"/>
          </w:tcPr>
          <w:p w14:paraId="59101B95" w14:textId="77777777" w:rsidR="00CB0920" w:rsidRPr="00CF137D" w:rsidRDefault="00CB0920" w:rsidP="00E1673E">
            <w:pPr>
              <w:pStyle w:val="TSBodyText"/>
              <w:keepNext/>
              <w:keepLines/>
              <w:ind w:right="891"/>
              <w:jc w:val="right"/>
            </w:pPr>
            <w:r w:rsidRPr="00CF137D">
              <w:t>8,343</w:t>
            </w:r>
          </w:p>
        </w:tc>
        <w:tc>
          <w:tcPr>
            <w:tcW w:w="2055" w:type="dxa"/>
          </w:tcPr>
          <w:p w14:paraId="59FF18D7" w14:textId="77777777" w:rsidR="00CB0920" w:rsidRPr="00CF137D" w:rsidRDefault="00CB0920" w:rsidP="00E1673E">
            <w:pPr>
              <w:pStyle w:val="TSBodyText"/>
              <w:keepNext/>
              <w:keepLines/>
              <w:ind w:right="891"/>
              <w:jc w:val="right"/>
            </w:pPr>
            <w:r w:rsidRPr="00CF137D">
              <w:t>9,376</w:t>
            </w:r>
          </w:p>
        </w:tc>
        <w:tc>
          <w:tcPr>
            <w:tcW w:w="2055" w:type="dxa"/>
          </w:tcPr>
          <w:p w14:paraId="2A68D7A8" w14:textId="77777777" w:rsidR="00CB0920" w:rsidRPr="00CF137D" w:rsidRDefault="00CB0920" w:rsidP="00E1673E">
            <w:pPr>
              <w:pStyle w:val="TSBodyText"/>
              <w:keepNext/>
              <w:keepLines/>
              <w:ind w:right="891"/>
              <w:jc w:val="right"/>
            </w:pPr>
            <w:r w:rsidRPr="00CF137D">
              <w:t>10,248</w:t>
            </w:r>
          </w:p>
        </w:tc>
      </w:tr>
      <w:tr w:rsidR="00CB0920" w14:paraId="32B2BD25"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391677E0" w14:textId="77777777" w:rsidR="00CB0920" w:rsidRPr="00CF137D" w:rsidRDefault="00CB0920" w:rsidP="00E1673E">
            <w:pPr>
              <w:pStyle w:val="TSBodyText"/>
              <w:keepNext/>
              <w:keepLines/>
            </w:pPr>
            <w:r w:rsidRPr="00CF137D">
              <w:t>35-44</w:t>
            </w:r>
          </w:p>
        </w:tc>
        <w:tc>
          <w:tcPr>
            <w:tcW w:w="2055" w:type="dxa"/>
          </w:tcPr>
          <w:p w14:paraId="2E01926F" w14:textId="77777777" w:rsidR="00CB0920" w:rsidRPr="00CF137D" w:rsidRDefault="00CB0920" w:rsidP="00E1673E">
            <w:pPr>
              <w:pStyle w:val="TSBodyText"/>
              <w:keepNext/>
              <w:keepLines/>
              <w:ind w:right="891"/>
              <w:jc w:val="right"/>
            </w:pPr>
            <w:r w:rsidRPr="00CF137D">
              <w:t>10,382</w:t>
            </w:r>
          </w:p>
        </w:tc>
        <w:tc>
          <w:tcPr>
            <w:tcW w:w="2055" w:type="dxa"/>
          </w:tcPr>
          <w:p w14:paraId="0D5B7FCC" w14:textId="77777777" w:rsidR="00CB0920" w:rsidRPr="00CF137D" w:rsidRDefault="00CB0920" w:rsidP="00E1673E">
            <w:pPr>
              <w:pStyle w:val="TSBodyText"/>
              <w:keepNext/>
              <w:keepLines/>
              <w:ind w:right="891"/>
              <w:jc w:val="right"/>
            </w:pPr>
            <w:r w:rsidRPr="00CF137D">
              <w:t>11,525</w:t>
            </w:r>
          </w:p>
        </w:tc>
        <w:tc>
          <w:tcPr>
            <w:tcW w:w="2055" w:type="dxa"/>
          </w:tcPr>
          <w:p w14:paraId="0A4275ED" w14:textId="77777777" w:rsidR="00CB0920" w:rsidRPr="00CF137D" w:rsidRDefault="00CB0920" w:rsidP="00E1673E">
            <w:pPr>
              <w:pStyle w:val="TSBodyText"/>
              <w:keepNext/>
              <w:keepLines/>
              <w:ind w:right="891"/>
              <w:jc w:val="right"/>
            </w:pPr>
            <w:r w:rsidRPr="00CF137D">
              <w:t>12,441</w:t>
            </w:r>
          </w:p>
        </w:tc>
      </w:tr>
      <w:tr w:rsidR="00CB0920" w14:paraId="13A79A43" w14:textId="77777777">
        <w:tc>
          <w:tcPr>
            <w:tcW w:w="2055" w:type="dxa"/>
          </w:tcPr>
          <w:p w14:paraId="0E0F0930" w14:textId="77777777" w:rsidR="00CB0920" w:rsidRPr="00CF137D" w:rsidRDefault="00CB0920" w:rsidP="00E1673E">
            <w:pPr>
              <w:pStyle w:val="TSBodyText"/>
              <w:keepNext/>
              <w:keepLines/>
            </w:pPr>
            <w:r w:rsidRPr="00CF137D">
              <w:t>45-54</w:t>
            </w:r>
          </w:p>
        </w:tc>
        <w:tc>
          <w:tcPr>
            <w:tcW w:w="2055" w:type="dxa"/>
          </w:tcPr>
          <w:p w14:paraId="71E03A9F" w14:textId="77777777" w:rsidR="00CB0920" w:rsidRPr="00CF137D" w:rsidRDefault="00CB0920" w:rsidP="00E1673E">
            <w:pPr>
              <w:pStyle w:val="TSBodyText"/>
              <w:keepNext/>
              <w:keepLines/>
              <w:ind w:right="891"/>
              <w:jc w:val="right"/>
            </w:pPr>
            <w:r w:rsidRPr="00CF137D">
              <w:t>15,448</w:t>
            </w:r>
          </w:p>
        </w:tc>
        <w:tc>
          <w:tcPr>
            <w:tcW w:w="2055" w:type="dxa"/>
          </w:tcPr>
          <w:p w14:paraId="4235CAD7" w14:textId="77777777" w:rsidR="00CB0920" w:rsidRPr="00CF137D" w:rsidRDefault="00CB0920" w:rsidP="00E1673E">
            <w:pPr>
              <w:pStyle w:val="TSBodyText"/>
              <w:keepNext/>
              <w:keepLines/>
              <w:ind w:right="891"/>
              <w:jc w:val="right"/>
            </w:pPr>
            <w:r w:rsidRPr="00CF137D">
              <w:t>17,145</w:t>
            </w:r>
          </w:p>
        </w:tc>
        <w:tc>
          <w:tcPr>
            <w:tcW w:w="2055" w:type="dxa"/>
          </w:tcPr>
          <w:p w14:paraId="24B3754C" w14:textId="77777777" w:rsidR="00CB0920" w:rsidRPr="00CF137D" w:rsidRDefault="00CB0920" w:rsidP="00E1673E">
            <w:pPr>
              <w:pStyle w:val="TSBodyText"/>
              <w:keepNext/>
              <w:keepLines/>
              <w:ind w:right="891"/>
              <w:jc w:val="right"/>
            </w:pPr>
            <w:r w:rsidRPr="00CF137D">
              <w:t>18,437</w:t>
            </w:r>
          </w:p>
        </w:tc>
      </w:tr>
      <w:tr w:rsidR="00CB0920" w14:paraId="4BBD7DA9"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1FD5B1EA" w14:textId="77777777" w:rsidR="00CB0920" w:rsidRPr="00CF137D" w:rsidRDefault="00CB0920" w:rsidP="00E1673E">
            <w:pPr>
              <w:pStyle w:val="TSBodyText"/>
              <w:keepNext/>
              <w:keepLines/>
            </w:pPr>
            <w:r w:rsidRPr="00CF137D">
              <w:t>55-64</w:t>
            </w:r>
          </w:p>
        </w:tc>
        <w:tc>
          <w:tcPr>
            <w:tcW w:w="2055" w:type="dxa"/>
          </w:tcPr>
          <w:p w14:paraId="641732FA" w14:textId="77777777" w:rsidR="00CB0920" w:rsidRPr="00CF137D" w:rsidRDefault="00CB0920" w:rsidP="00E1673E">
            <w:pPr>
              <w:pStyle w:val="TSBodyText"/>
              <w:keepNext/>
              <w:keepLines/>
              <w:ind w:right="891"/>
              <w:jc w:val="right"/>
            </w:pPr>
            <w:r w:rsidRPr="00CF137D">
              <w:t>24,304</w:t>
            </w:r>
          </w:p>
        </w:tc>
        <w:tc>
          <w:tcPr>
            <w:tcW w:w="2055" w:type="dxa"/>
          </w:tcPr>
          <w:p w14:paraId="690B79E8" w14:textId="77777777" w:rsidR="00CB0920" w:rsidRPr="00CF137D" w:rsidRDefault="00CB0920" w:rsidP="00E1673E">
            <w:pPr>
              <w:pStyle w:val="TSBodyText"/>
              <w:keepNext/>
              <w:keepLines/>
              <w:ind w:right="891"/>
              <w:jc w:val="right"/>
            </w:pPr>
            <w:r w:rsidRPr="00CF137D">
              <w:t>26,988</w:t>
            </w:r>
          </w:p>
        </w:tc>
        <w:tc>
          <w:tcPr>
            <w:tcW w:w="2055" w:type="dxa"/>
          </w:tcPr>
          <w:p w14:paraId="7850B85B" w14:textId="77777777" w:rsidR="00CB0920" w:rsidRPr="00CF137D" w:rsidRDefault="00CB0920" w:rsidP="00E1673E">
            <w:pPr>
              <w:pStyle w:val="TSBodyText"/>
              <w:keepNext/>
              <w:keepLines/>
              <w:ind w:right="891"/>
              <w:jc w:val="right"/>
            </w:pPr>
            <w:r w:rsidRPr="00CF137D">
              <w:t>29,001</w:t>
            </w:r>
          </w:p>
        </w:tc>
      </w:tr>
      <w:tr w:rsidR="00CB0920" w14:paraId="003F7A69" w14:textId="77777777">
        <w:tc>
          <w:tcPr>
            <w:tcW w:w="2055" w:type="dxa"/>
          </w:tcPr>
          <w:p w14:paraId="3F8A86F3" w14:textId="77777777" w:rsidR="00CB0920" w:rsidRPr="00CF137D" w:rsidRDefault="00CB0920" w:rsidP="00E1673E">
            <w:pPr>
              <w:pStyle w:val="TSBodyText"/>
              <w:keepNext/>
              <w:keepLines/>
            </w:pPr>
            <w:r w:rsidRPr="00CF137D">
              <w:t>65-74</w:t>
            </w:r>
          </w:p>
        </w:tc>
        <w:tc>
          <w:tcPr>
            <w:tcW w:w="2055" w:type="dxa"/>
          </w:tcPr>
          <w:p w14:paraId="4067E7DA" w14:textId="77777777" w:rsidR="00CB0920" w:rsidRPr="00CF137D" w:rsidRDefault="00CB0920" w:rsidP="00E1673E">
            <w:pPr>
              <w:pStyle w:val="TSBodyText"/>
              <w:keepNext/>
              <w:keepLines/>
              <w:ind w:right="891"/>
              <w:jc w:val="right"/>
            </w:pPr>
            <w:r w:rsidRPr="00CF137D">
              <w:t>28,999</w:t>
            </w:r>
          </w:p>
        </w:tc>
        <w:tc>
          <w:tcPr>
            <w:tcW w:w="2055" w:type="dxa"/>
          </w:tcPr>
          <w:p w14:paraId="6D366C49" w14:textId="77777777" w:rsidR="00CB0920" w:rsidRPr="00CF137D" w:rsidRDefault="00CB0920" w:rsidP="00E1673E">
            <w:pPr>
              <w:pStyle w:val="TSBodyText"/>
              <w:keepNext/>
              <w:keepLines/>
              <w:ind w:right="891"/>
              <w:jc w:val="right"/>
            </w:pPr>
            <w:r w:rsidRPr="00CF137D">
              <w:t>32,733</w:t>
            </w:r>
          </w:p>
        </w:tc>
        <w:tc>
          <w:tcPr>
            <w:tcW w:w="2055" w:type="dxa"/>
          </w:tcPr>
          <w:p w14:paraId="5BE52168" w14:textId="77777777" w:rsidR="00CB0920" w:rsidRPr="00CF137D" w:rsidRDefault="00CB0920" w:rsidP="00E1673E">
            <w:pPr>
              <w:pStyle w:val="TSBodyText"/>
              <w:keepNext/>
              <w:keepLines/>
              <w:ind w:right="891"/>
              <w:jc w:val="right"/>
            </w:pPr>
            <w:r w:rsidRPr="00CF137D">
              <w:t>35,648</w:t>
            </w:r>
          </w:p>
        </w:tc>
      </w:tr>
      <w:tr w:rsidR="00CB0920" w14:paraId="1D39CA00"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1E47C9A4" w14:textId="77777777" w:rsidR="00CB0920" w:rsidRPr="00CF137D" w:rsidRDefault="00CB0920" w:rsidP="00E1673E">
            <w:pPr>
              <w:pStyle w:val="TSBodyText"/>
              <w:keepNext/>
              <w:keepLines/>
            </w:pPr>
            <w:r w:rsidRPr="00CF137D">
              <w:t>75-99</w:t>
            </w:r>
          </w:p>
        </w:tc>
        <w:tc>
          <w:tcPr>
            <w:tcW w:w="2055" w:type="dxa"/>
          </w:tcPr>
          <w:p w14:paraId="430F5499" w14:textId="77777777" w:rsidR="00CB0920" w:rsidRPr="00CF137D" w:rsidRDefault="00CB0920" w:rsidP="00E1673E">
            <w:pPr>
              <w:pStyle w:val="TSBodyText"/>
              <w:keepNext/>
              <w:keepLines/>
              <w:ind w:right="891"/>
              <w:jc w:val="right"/>
            </w:pPr>
            <w:r w:rsidRPr="00CF137D">
              <w:t>48,542</w:t>
            </w:r>
          </w:p>
        </w:tc>
        <w:tc>
          <w:tcPr>
            <w:tcW w:w="2055" w:type="dxa"/>
          </w:tcPr>
          <w:p w14:paraId="3E2D4667" w14:textId="77777777" w:rsidR="00CB0920" w:rsidRPr="00CF137D" w:rsidRDefault="00CB0920" w:rsidP="00E1673E">
            <w:pPr>
              <w:pStyle w:val="TSBodyText"/>
              <w:keepNext/>
              <w:keepLines/>
              <w:ind w:right="891"/>
              <w:jc w:val="right"/>
            </w:pPr>
            <w:r w:rsidRPr="00CF137D">
              <w:t>57,690</w:t>
            </w:r>
          </w:p>
        </w:tc>
        <w:tc>
          <w:tcPr>
            <w:tcW w:w="2055" w:type="dxa"/>
          </w:tcPr>
          <w:p w14:paraId="69F2A892" w14:textId="77777777" w:rsidR="00CB0920" w:rsidRPr="00CF137D" w:rsidRDefault="00CB0920" w:rsidP="00E1673E">
            <w:pPr>
              <w:pStyle w:val="TSBodyText"/>
              <w:keepNext/>
              <w:keepLines/>
              <w:ind w:right="891"/>
              <w:jc w:val="right"/>
            </w:pPr>
            <w:r w:rsidRPr="00CF137D">
              <w:t>65,957</w:t>
            </w:r>
          </w:p>
        </w:tc>
      </w:tr>
    </w:tbl>
    <w:p w14:paraId="69E9297D" w14:textId="77777777" w:rsidR="006C2D5D" w:rsidRDefault="006C2D5D" w:rsidP="006C2D5D">
      <w:pPr>
        <w:pStyle w:val="USSource"/>
      </w:pPr>
      <w:bookmarkStart w:id="110" w:name="_Hlk148885622"/>
      <w:r w:rsidRPr="00B72665">
        <w:t xml:space="preserve">Source: NZIER, based on NMDS data from </w:t>
      </w:r>
      <w:proofErr w:type="spellStart"/>
      <w:r w:rsidRPr="00B72665">
        <w:t>Te</w:t>
      </w:r>
      <w:proofErr w:type="spellEnd"/>
      <w:r w:rsidRPr="00B72665">
        <w:t xml:space="preserve"> </w:t>
      </w:r>
      <w:proofErr w:type="spellStart"/>
      <w:r w:rsidRPr="00B72665">
        <w:t>Whatu</w:t>
      </w:r>
      <w:proofErr w:type="spellEnd"/>
      <w:r w:rsidRPr="00B72665">
        <w:t xml:space="preserve"> Ora and AAFs from Chambers and </w:t>
      </w:r>
      <w:proofErr w:type="spellStart"/>
      <w:r w:rsidRPr="00B72665">
        <w:t>Mizdrak</w:t>
      </w:r>
      <w:proofErr w:type="spellEnd"/>
      <w:r w:rsidRPr="00B72665">
        <w:t xml:space="preserve"> (forthcoming)</w:t>
      </w:r>
    </w:p>
    <w:p w14:paraId="3B20CF14" w14:textId="10DE27E5" w:rsidR="00013C29" w:rsidRDefault="00013C29" w:rsidP="00013C29">
      <w:pPr>
        <w:pStyle w:val="FigureCaption"/>
      </w:pPr>
      <w:bookmarkStart w:id="111" w:name="_Toc160633898"/>
      <w:bookmarkStart w:id="112" w:name="_Hlk148886975"/>
      <w:bookmarkStart w:id="113" w:name="_Hlk152252104"/>
      <w:bookmarkEnd w:id="110"/>
      <w:r w:rsidRPr="00731CA6">
        <w:t>Figure </w:t>
      </w:r>
      <w:fldSimple w:instr=" SEQ Figure \* ARABIC ">
        <w:r w:rsidR="00AE166D">
          <w:rPr>
            <w:noProof/>
          </w:rPr>
          <w:t>10</w:t>
        </w:r>
      </w:fldSimple>
      <w:r w:rsidRPr="00731CA6">
        <w:t xml:space="preserve"> </w:t>
      </w:r>
      <w:r>
        <w:t xml:space="preserve">Share of alcohol-attributable bed days by age </w:t>
      </w:r>
      <w:proofErr w:type="gramStart"/>
      <w:r>
        <w:t>group</w:t>
      </w:r>
      <w:bookmarkEnd w:id="111"/>
      <w:proofErr w:type="gramEnd"/>
    </w:p>
    <w:p w14:paraId="15579197" w14:textId="6C2F79CC" w:rsidR="00F7175D" w:rsidRPr="00731CA6" w:rsidRDefault="00F7175D" w:rsidP="00F7175D">
      <w:pPr>
        <w:pStyle w:val="CaptionSubheading"/>
      </w:pPr>
      <w:r>
        <w:t xml:space="preserve">2023 </w:t>
      </w:r>
      <w:proofErr w:type="gramStart"/>
      <w:r>
        <w:t>estimated</w:t>
      </w:r>
      <w:bookmarkEnd w:id="112"/>
      <w:proofErr w:type="gramEnd"/>
    </w:p>
    <w:bookmarkEnd w:id="113"/>
    <w:p w14:paraId="74B510E6" w14:textId="066FA0EB" w:rsidR="00013C29" w:rsidRPr="00731CA6" w:rsidRDefault="00415D0C" w:rsidP="00013C29">
      <w:pPr>
        <w:pStyle w:val="USPlaceholder"/>
      </w:pPr>
      <w:r>
        <w:drawing>
          <wp:inline distT="0" distB="0" distL="0" distR="0" wp14:anchorId="037D1E08" wp14:editId="378A9C89">
            <wp:extent cx="4419609" cy="2651765"/>
            <wp:effectExtent l="0" t="0" r="0" b="0"/>
            <wp:docPr id="3" name="Picture 3" descr="The chart shows bars representing the share of alcohol-attributable bed days by age group in ten year groupings from 15 -24 years to 65-74 years and 75-99 years. The share increases with older age, from less than 5% in the 15-24 age group to over 35% in the 75-9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hart shows bars representing the share of alcohol-attributable bed days by age group in ten year groupings from 15 -24 years to 65-74 years and 75-99 years. The share increases with older age, from less than 5% in the 15-24 age group to over 35% in the 75-99 age group."/>
                    <pic:cNvPicPr/>
                  </pic:nvPicPr>
                  <pic:blipFill>
                    <a:blip r:embed="rId35"/>
                    <a:stretch>
                      <a:fillRect/>
                    </a:stretch>
                  </pic:blipFill>
                  <pic:spPr>
                    <a:xfrm>
                      <a:off x="0" y="0"/>
                      <a:ext cx="4419609" cy="2651765"/>
                    </a:xfrm>
                    <a:prstGeom prst="rect">
                      <a:avLst/>
                    </a:prstGeom>
                  </pic:spPr>
                </pic:pic>
              </a:graphicData>
            </a:graphic>
          </wp:inline>
        </w:drawing>
      </w:r>
    </w:p>
    <w:p w14:paraId="61564834" w14:textId="5ABE63C3" w:rsidR="00013C29" w:rsidRPr="00731CA6" w:rsidRDefault="00013C29" w:rsidP="00013C29">
      <w:pPr>
        <w:pStyle w:val="USSource"/>
      </w:pPr>
      <w:r w:rsidRPr="00731CA6">
        <w:t xml:space="preserve">Source: </w:t>
      </w:r>
      <w:r w:rsidRPr="00B72665">
        <w:t xml:space="preserve">NZIER, based on NMDS data from </w:t>
      </w:r>
      <w:proofErr w:type="spellStart"/>
      <w:r w:rsidRPr="00B72665">
        <w:t>Te</w:t>
      </w:r>
      <w:proofErr w:type="spellEnd"/>
      <w:r w:rsidRPr="00B72665">
        <w:t xml:space="preserve"> </w:t>
      </w:r>
      <w:proofErr w:type="spellStart"/>
      <w:r w:rsidRPr="00B72665">
        <w:t>Whatu</w:t>
      </w:r>
      <w:proofErr w:type="spellEnd"/>
      <w:r w:rsidRPr="00B72665">
        <w:t xml:space="preserve"> Ora and AAFs from Chambers and </w:t>
      </w:r>
      <w:proofErr w:type="spellStart"/>
      <w:r w:rsidRPr="00B72665">
        <w:t>Mizdrak</w:t>
      </w:r>
      <w:proofErr w:type="spellEnd"/>
      <w:r w:rsidRPr="00B72665">
        <w:t xml:space="preserve"> (forthcoming)</w:t>
      </w:r>
    </w:p>
    <w:p w14:paraId="3927E666" w14:textId="7C897BD0" w:rsidR="00013C29" w:rsidRDefault="00F7175D" w:rsidP="00B13007">
      <w:pPr>
        <w:pStyle w:val="Heading3"/>
      </w:pPr>
      <w:r>
        <w:t xml:space="preserve">Hospital beds required to </w:t>
      </w:r>
      <w:r w:rsidR="00630605">
        <w:t xml:space="preserve">accommodate alcohol-attributable inpatient </w:t>
      </w:r>
      <w:proofErr w:type="gramStart"/>
      <w:r w:rsidR="00630605">
        <w:t>needs</w:t>
      </w:r>
      <w:proofErr w:type="gramEnd"/>
    </w:p>
    <w:p w14:paraId="799A0B25" w14:textId="6CCB1295" w:rsidR="00CE1283" w:rsidRDefault="00534E12" w:rsidP="005F03ED">
      <w:pPr>
        <w:pStyle w:val="USBodyText"/>
      </w:pPr>
      <w:r>
        <w:t xml:space="preserve">Reducing alcohol-attributable hospitalisations has the potential to </w:t>
      </w:r>
      <w:r w:rsidR="0011772C">
        <w:t xml:space="preserve">reduce pressure on health infrastructure. </w:t>
      </w:r>
      <w:r w:rsidR="00CE1283">
        <w:t xml:space="preserve">Based on </w:t>
      </w:r>
      <w:r w:rsidR="00FF214A">
        <w:t xml:space="preserve">hospital beds being available for use 365 days per year and </w:t>
      </w:r>
      <w:r w:rsidR="00CE1283">
        <w:t>an 85 percent hospital bed occupancy rate</w:t>
      </w:r>
      <w:r w:rsidR="003F5C5D">
        <w:t xml:space="preserve"> (</w:t>
      </w:r>
      <w:r w:rsidR="0075027C">
        <w:t xml:space="preserve">the </w:t>
      </w:r>
      <w:r w:rsidR="003F5C5D">
        <w:t>standard safe occupancy rate used in hospital planning)</w:t>
      </w:r>
      <w:r w:rsidR="00CE1283">
        <w:t xml:space="preserve">, </w:t>
      </w:r>
      <w:r w:rsidR="00A27433">
        <w:t>in 2023</w:t>
      </w:r>
      <w:r w:rsidR="00704988">
        <w:t>,</w:t>
      </w:r>
      <w:r w:rsidR="00A27433">
        <w:t xml:space="preserve"> </w:t>
      </w:r>
      <w:r w:rsidR="00AA7296">
        <w:t xml:space="preserve">approximately </w:t>
      </w:r>
      <w:r w:rsidR="00A70DE1">
        <w:t xml:space="preserve">456 to 576 (midpoint </w:t>
      </w:r>
      <w:r w:rsidR="00630605">
        <w:t>521</w:t>
      </w:r>
      <w:r w:rsidR="00A70DE1">
        <w:t>)</w:t>
      </w:r>
      <w:r w:rsidR="00AA7296">
        <w:t xml:space="preserve"> hospital beds are dedicated purely to caring for alcohol-attributable conditions</w:t>
      </w:r>
      <w:r w:rsidR="00654873">
        <w:t xml:space="preserve"> – the equivalent of one entire major hospital </w:t>
      </w:r>
      <w:r w:rsidR="00A70DE1">
        <w:t>bigger than</w:t>
      </w:r>
      <w:r w:rsidR="00654873">
        <w:t xml:space="preserve"> Wellington Regional Hospital</w:t>
      </w:r>
      <w:r w:rsidR="00FF214A">
        <w:t>.</w:t>
      </w:r>
    </w:p>
    <w:p w14:paraId="27F85BE9" w14:textId="5C999A5B" w:rsidR="0027797C" w:rsidRPr="00731CA6" w:rsidRDefault="0027797C" w:rsidP="0027797C">
      <w:pPr>
        <w:pStyle w:val="TableCaption"/>
      </w:pPr>
      <w:bookmarkStart w:id="114" w:name="_Hlk146268927"/>
      <w:bookmarkStart w:id="115" w:name="_Toc160633930"/>
      <w:r w:rsidRPr="00731CA6">
        <w:lastRenderedPageBreak/>
        <w:t xml:space="preserve">Table </w:t>
      </w:r>
      <w:fldSimple w:instr=" SEQ Table \* ARABIC ">
        <w:r w:rsidR="00AE166D">
          <w:rPr>
            <w:noProof/>
          </w:rPr>
          <w:t>23</w:t>
        </w:r>
      </w:fldSimple>
      <w:r w:rsidRPr="00731CA6">
        <w:t xml:space="preserve"> </w:t>
      </w:r>
      <w:r w:rsidR="00395579">
        <w:t xml:space="preserve">Hospital </w:t>
      </w:r>
      <w:bookmarkEnd w:id="114"/>
      <w:r w:rsidR="00395579">
        <w:t xml:space="preserve">inpatient beds </w:t>
      </w:r>
      <w:r w:rsidR="001A350A">
        <w:t>attributable to alcohol</w:t>
      </w:r>
      <w:bookmarkEnd w:id="115"/>
    </w:p>
    <w:p w14:paraId="7DEACB8A" w14:textId="3F1D5355" w:rsidR="0027797C" w:rsidRPr="00731CA6" w:rsidRDefault="001A350A" w:rsidP="0027797C">
      <w:pPr>
        <w:pStyle w:val="CaptionSubheading"/>
      </w:pPr>
      <w:r>
        <w:t>Based on 365-day bed availability and 85% occupancy rate</w:t>
      </w:r>
    </w:p>
    <w:tbl>
      <w:tblPr>
        <w:tblStyle w:val="TableDefault"/>
        <w:tblW w:w="8220" w:type="dxa"/>
        <w:tblLook w:val="0460" w:firstRow="1" w:lastRow="1" w:firstColumn="0" w:lastColumn="0" w:noHBand="0" w:noVBand="1"/>
      </w:tblPr>
      <w:tblGrid>
        <w:gridCol w:w="2055"/>
        <w:gridCol w:w="2057"/>
        <w:gridCol w:w="2055"/>
        <w:gridCol w:w="2053"/>
      </w:tblGrid>
      <w:tr w:rsidR="001A350A" w:rsidRPr="00731CA6" w14:paraId="7708ADD1" w14:textId="4E708E2E" w:rsidTr="00907A1A">
        <w:trPr>
          <w:cnfStyle w:val="100000000000" w:firstRow="1" w:lastRow="0" w:firstColumn="0" w:lastColumn="0" w:oddVBand="0" w:evenVBand="0" w:oddHBand="0" w:evenHBand="0" w:firstRowFirstColumn="0" w:firstRowLastColumn="0" w:lastRowFirstColumn="0" w:lastRowLastColumn="0"/>
        </w:trPr>
        <w:tc>
          <w:tcPr>
            <w:tcW w:w="1250" w:type="pct"/>
          </w:tcPr>
          <w:p w14:paraId="338F5B6E" w14:textId="7CA361BC" w:rsidR="001A350A" w:rsidRPr="00704988" w:rsidRDefault="001A350A">
            <w:pPr>
              <w:pStyle w:val="TSTableHeadingWhite-TopRow"/>
            </w:pPr>
          </w:p>
        </w:tc>
        <w:tc>
          <w:tcPr>
            <w:tcW w:w="1251" w:type="pct"/>
          </w:tcPr>
          <w:p w14:paraId="1DB34CD3" w14:textId="2D8180C3" w:rsidR="001A350A" w:rsidRPr="00704988" w:rsidRDefault="000C5C9A" w:rsidP="00704988">
            <w:pPr>
              <w:pStyle w:val="TSTableHeadingWhite-TopRow"/>
              <w:jc w:val="center"/>
            </w:pPr>
            <w:r w:rsidRPr="00704988">
              <w:t>Lower estimate</w:t>
            </w:r>
          </w:p>
        </w:tc>
        <w:tc>
          <w:tcPr>
            <w:tcW w:w="1250" w:type="pct"/>
          </w:tcPr>
          <w:p w14:paraId="02970788" w14:textId="3D6CB341" w:rsidR="001A350A" w:rsidRPr="00704988" w:rsidRDefault="000C5C9A" w:rsidP="00704988">
            <w:pPr>
              <w:pStyle w:val="TSTableHeadingWhite-TopRow"/>
              <w:jc w:val="center"/>
            </w:pPr>
            <w:r w:rsidRPr="00704988">
              <w:t>Midpoint estimate</w:t>
            </w:r>
          </w:p>
        </w:tc>
        <w:tc>
          <w:tcPr>
            <w:tcW w:w="1249" w:type="pct"/>
          </w:tcPr>
          <w:p w14:paraId="4F0B6A5A" w14:textId="449C69EE" w:rsidR="001A350A" w:rsidRPr="00704988" w:rsidRDefault="000C5C9A" w:rsidP="00704988">
            <w:pPr>
              <w:pStyle w:val="TSTableHeadingWhite-TopRow"/>
              <w:jc w:val="center"/>
            </w:pPr>
            <w:r w:rsidRPr="00704988">
              <w:t>Upper estimate</w:t>
            </w:r>
          </w:p>
        </w:tc>
      </w:tr>
      <w:tr w:rsidR="006275D2" w:rsidRPr="00731CA6" w14:paraId="6186A550" w14:textId="476A355C" w:rsidTr="00907A1A">
        <w:trPr>
          <w:cnfStyle w:val="010000000000" w:firstRow="0" w:lastRow="1" w:firstColumn="0" w:lastColumn="0" w:oddVBand="0" w:evenVBand="0" w:oddHBand="0" w:evenHBand="0" w:firstRowFirstColumn="0" w:firstRowLastColumn="0" w:lastRowFirstColumn="0" w:lastRowLastColumn="0"/>
        </w:trPr>
        <w:tc>
          <w:tcPr>
            <w:tcW w:w="1250" w:type="pct"/>
          </w:tcPr>
          <w:p w14:paraId="23011AB9" w14:textId="640706F9" w:rsidR="006275D2" w:rsidRPr="00704988" w:rsidRDefault="006275D2" w:rsidP="006275D2">
            <w:pPr>
              <w:pStyle w:val="TSBodyText"/>
            </w:pPr>
            <w:r w:rsidRPr="00704988">
              <w:t>Total</w:t>
            </w:r>
          </w:p>
        </w:tc>
        <w:tc>
          <w:tcPr>
            <w:tcW w:w="1251" w:type="pct"/>
          </w:tcPr>
          <w:p w14:paraId="7C6AF60F" w14:textId="3D554AF8" w:rsidR="006275D2" w:rsidRPr="00704988" w:rsidRDefault="006275D2" w:rsidP="00704988">
            <w:pPr>
              <w:pStyle w:val="TSBodyText"/>
              <w:ind w:right="891"/>
              <w:jc w:val="right"/>
            </w:pPr>
            <w:r w:rsidRPr="00704988">
              <w:t xml:space="preserve"> 456 </w:t>
            </w:r>
          </w:p>
        </w:tc>
        <w:tc>
          <w:tcPr>
            <w:tcW w:w="1250" w:type="pct"/>
          </w:tcPr>
          <w:p w14:paraId="2E6E88E6" w14:textId="3BEE6FF3" w:rsidR="006275D2" w:rsidRPr="00704988" w:rsidRDefault="006275D2" w:rsidP="00704988">
            <w:pPr>
              <w:pStyle w:val="TSBodyText"/>
              <w:ind w:right="891"/>
              <w:jc w:val="right"/>
            </w:pPr>
            <w:r w:rsidRPr="00704988">
              <w:t xml:space="preserve"> 521 </w:t>
            </w:r>
          </w:p>
        </w:tc>
        <w:tc>
          <w:tcPr>
            <w:tcW w:w="1249" w:type="pct"/>
          </w:tcPr>
          <w:p w14:paraId="508DE143" w14:textId="45498895" w:rsidR="006275D2" w:rsidRPr="00704988" w:rsidRDefault="006275D2" w:rsidP="00704988">
            <w:pPr>
              <w:pStyle w:val="TSBodyText"/>
              <w:ind w:right="891"/>
              <w:jc w:val="right"/>
            </w:pPr>
            <w:r w:rsidRPr="00704988">
              <w:t xml:space="preserve"> 576 </w:t>
            </w:r>
          </w:p>
        </w:tc>
      </w:tr>
    </w:tbl>
    <w:p w14:paraId="0580CC07" w14:textId="707846B3" w:rsidR="0027797C" w:rsidRPr="00731CA6" w:rsidRDefault="0027797C" w:rsidP="0027797C">
      <w:pPr>
        <w:pStyle w:val="USSource"/>
      </w:pPr>
      <w:r w:rsidRPr="00731CA6">
        <w:t xml:space="preserve">Source: </w:t>
      </w:r>
      <w:bookmarkStart w:id="116" w:name="_Hlk146269071"/>
      <w:r w:rsidR="000C5C9A">
        <w:t>NZIER</w:t>
      </w:r>
      <w:r w:rsidR="00DD11B6">
        <w:t xml:space="preserve">, based on </w:t>
      </w:r>
      <w:proofErr w:type="spellStart"/>
      <w:r w:rsidR="00DD11B6">
        <w:t>Te</w:t>
      </w:r>
      <w:proofErr w:type="spellEnd"/>
      <w:r w:rsidR="00DD11B6">
        <w:t xml:space="preserve"> </w:t>
      </w:r>
      <w:proofErr w:type="spellStart"/>
      <w:r w:rsidR="00DD11B6">
        <w:t>Whatu</w:t>
      </w:r>
      <w:proofErr w:type="spellEnd"/>
      <w:r w:rsidR="00DD11B6">
        <w:t xml:space="preserve"> Ora data and </w:t>
      </w:r>
      <w:r w:rsidR="00782460">
        <w:t>alcohol-</w:t>
      </w:r>
      <w:r w:rsidR="00DD11B6">
        <w:t xml:space="preserve">attributable fractions from Chambers and </w:t>
      </w:r>
      <w:proofErr w:type="spellStart"/>
      <w:r w:rsidR="00DD11B6">
        <w:t>Mizdrak</w:t>
      </w:r>
      <w:proofErr w:type="spellEnd"/>
      <w:r w:rsidR="00DD11B6">
        <w:t xml:space="preserve"> (</w:t>
      </w:r>
      <w:r w:rsidR="00CA27A6">
        <w:t>forthcoming</w:t>
      </w:r>
      <w:r w:rsidR="00DD11B6">
        <w:t>)</w:t>
      </w:r>
      <w:bookmarkEnd w:id="116"/>
    </w:p>
    <w:p w14:paraId="6B6E96CF" w14:textId="6BBE1104" w:rsidR="00A71C9F" w:rsidRPr="00E81C87" w:rsidRDefault="00E81C87" w:rsidP="00B13007">
      <w:pPr>
        <w:pStyle w:val="Heading3"/>
      </w:pPr>
      <w:r w:rsidRPr="00E81C87">
        <w:t>Cost of inpatient hospitalisations attributable to alcohol</w:t>
      </w:r>
    </w:p>
    <w:p w14:paraId="1D3383D1" w14:textId="77777777" w:rsidR="00AE166D" w:rsidRDefault="00875D7E" w:rsidP="00943E79">
      <w:pPr>
        <w:pStyle w:val="USBodyText"/>
      </w:pPr>
      <w:r>
        <w:t>The alcohol</w:t>
      </w:r>
      <w:r w:rsidR="00704988">
        <w:t>-</w:t>
      </w:r>
      <w:r>
        <w:t>attributable cost to the health sector of delivering inpatient care</w:t>
      </w:r>
      <w:r w:rsidR="008E1606">
        <w:t xml:space="preserve"> </w:t>
      </w:r>
      <w:r w:rsidR="001E51D5">
        <w:t xml:space="preserve">in 2023 </w:t>
      </w:r>
      <w:r w:rsidR="008E1606">
        <w:t>is es</w:t>
      </w:r>
      <w:r w:rsidR="00CA6D97">
        <w:t>timated to be between $296 million and $371 million ($337 million midpoint)</w:t>
      </w:r>
      <w:r w:rsidR="00C27222">
        <w:t xml:space="preserve"> (see</w:t>
      </w:r>
      <w:r w:rsidR="00704988">
        <w:fldChar w:fldCharType="begin"/>
      </w:r>
      <w:r w:rsidR="00704988">
        <w:instrText xml:space="preserve"> REF _Ref152841636 \h </w:instrText>
      </w:r>
      <w:r w:rsidR="00704988">
        <w:fldChar w:fldCharType="separate"/>
      </w:r>
    </w:p>
    <w:p w14:paraId="00245372" w14:textId="36797C26" w:rsidR="007C2CC0" w:rsidRDefault="00AE166D" w:rsidP="00943E79">
      <w:pPr>
        <w:pStyle w:val="USBodyText"/>
      </w:pPr>
      <w:r w:rsidRPr="00731CA6">
        <w:t xml:space="preserve">Table </w:t>
      </w:r>
      <w:r>
        <w:rPr>
          <w:noProof/>
        </w:rPr>
        <w:t>24</w:t>
      </w:r>
      <w:r w:rsidR="00704988">
        <w:fldChar w:fldCharType="end"/>
      </w:r>
      <w:r w:rsidR="00C27222">
        <w:t xml:space="preserve"> below).</w:t>
      </w:r>
      <w:bookmarkStart w:id="117" w:name="_Ref152841636"/>
    </w:p>
    <w:p w14:paraId="2F3E2D79" w14:textId="3E85E3BB" w:rsidR="0027797C" w:rsidRPr="00731CA6" w:rsidRDefault="0027797C" w:rsidP="007C2CC0">
      <w:pPr>
        <w:pStyle w:val="TableCaption"/>
      </w:pPr>
      <w:bookmarkStart w:id="118" w:name="_Toc160633931"/>
      <w:r w:rsidRPr="00731CA6">
        <w:t xml:space="preserve">Table </w:t>
      </w:r>
      <w:fldSimple w:instr=" SEQ Table \* ARABIC ">
        <w:r w:rsidR="00AE166D">
          <w:rPr>
            <w:noProof/>
          </w:rPr>
          <w:t>24</w:t>
        </w:r>
      </w:fldSimple>
      <w:bookmarkEnd w:id="117"/>
      <w:r w:rsidRPr="00731CA6">
        <w:t xml:space="preserve"> </w:t>
      </w:r>
      <w:r w:rsidR="0043193E">
        <w:t>Cost of inpatient hospitalisations attributable to alcohol</w:t>
      </w:r>
      <w:bookmarkEnd w:id="118"/>
    </w:p>
    <w:p w14:paraId="7F6356D1" w14:textId="1E9D6832" w:rsidR="0027797C" w:rsidRPr="00731CA6" w:rsidRDefault="00C27222" w:rsidP="0027797C">
      <w:pPr>
        <w:pStyle w:val="CaptionSubheading"/>
      </w:pPr>
      <w:bookmarkStart w:id="119" w:name="_Hlk146269297"/>
      <w:r>
        <w:t xml:space="preserve">2023 </w:t>
      </w:r>
      <w:proofErr w:type="gramStart"/>
      <w:r>
        <w:t>e</w:t>
      </w:r>
      <w:r w:rsidR="00B857B2">
        <w:t>stimated</w:t>
      </w:r>
      <w:proofErr w:type="gramEnd"/>
    </w:p>
    <w:bookmarkEnd w:id="119"/>
    <w:tbl>
      <w:tblPr>
        <w:tblStyle w:val="TableDefault"/>
        <w:tblW w:w="8220" w:type="dxa"/>
        <w:tblLook w:val="0460" w:firstRow="1" w:lastRow="1" w:firstColumn="0" w:lastColumn="0" w:noHBand="0" w:noVBand="1"/>
      </w:tblPr>
      <w:tblGrid>
        <w:gridCol w:w="2055"/>
        <w:gridCol w:w="2057"/>
        <w:gridCol w:w="2055"/>
        <w:gridCol w:w="2053"/>
      </w:tblGrid>
      <w:tr w:rsidR="00997F08" w:rsidRPr="00731CA6" w14:paraId="5847BE19" w14:textId="2DAFB9A0" w:rsidTr="00997F08">
        <w:trPr>
          <w:cnfStyle w:val="100000000000" w:firstRow="1" w:lastRow="0" w:firstColumn="0" w:lastColumn="0" w:oddVBand="0" w:evenVBand="0" w:oddHBand="0" w:evenHBand="0" w:firstRowFirstColumn="0" w:firstRowLastColumn="0" w:lastRowFirstColumn="0" w:lastRowLastColumn="0"/>
        </w:trPr>
        <w:tc>
          <w:tcPr>
            <w:tcW w:w="1250" w:type="pct"/>
          </w:tcPr>
          <w:p w14:paraId="2106844B" w14:textId="1A8FA5CC" w:rsidR="00997F08" w:rsidRPr="00E81C87" w:rsidRDefault="00997F08" w:rsidP="000B5C0C">
            <w:pPr>
              <w:pStyle w:val="TSTableHeadingWhite-TopRow"/>
              <w:jc w:val="center"/>
              <w:rPr>
                <w:sz w:val="20"/>
                <w:szCs w:val="20"/>
              </w:rPr>
            </w:pPr>
          </w:p>
        </w:tc>
        <w:tc>
          <w:tcPr>
            <w:tcW w:w="1251" w:type="pct"/>
          </w:tcPr>
          <w:p w14:paraId="120DE82C" w14:textId="590D6808" w:rsidR="00997F08" w:rsidRPr="00E81C87" w:rsidRDefault="00997F08" w:rsidP="000B5C0C">
            <w:pPr>
              <w:pStyle w:val="TSTableHeadingWhite-TopRow"/>
              <w:jc w:val="center"/>
              <w:rPr>
                <w:sz w:val="20"/>
                <w:szCs w:val="20"/>
              </w:rPr>
            </w:pPr>
            <w:r w:rsidRPr="00E81C87">
              <w:rPr>
                <w:sz w:val="20"/>
                <w:szCs w:val="20"/>
              </w:rPr>
              <w:t>Low estimate</w:t>
            </w:r>
          </w:p>
        </w:tc>
        <w:tc>
          <w:tcPr>
            <w:tcW w:w="1250" w:type="pct"/>
          </w:tcPr>
          <w:p w14:paraId="3A9098EE" w14:textId="6F6B88C5" w:rsidR="00997F08" w:rsidRPr="00E81C87" w:rsidRDefault="00997F08" w:rsidP="000B5C0C">
            <w:pPr>
              <w:pStyle w:val="TSTableHeadingWhite-TopRow"/>
              <w:jc w:val="center"/>
              <w:rPr>
                <w:sz w:val="20"/>
                <w:szCs w:val="20"/>
              </w:rPr>
            </w:pPr>
            <w:r w:rsidRPr="00E81C87">
              <w:rPr>
                <w:sz w:val="20"/>
                <w:szCs w:val="20"/>
              </w:rPr>
              <w:t>Midpoint estimate</w:t>
            </w:r>
          </w:p>
        </w:tc>
        <w:tc>
          <w:tcPr>
            <w:tcW w:w="1249" w:type="pct"/>
          </w:tcPr>
          <w:p w14:paraId="49710777" w14:textId="0B6AE588" w:rsidR="00997F08" w:rsidRPr="00E81C87" w:rsidRDefault="00997F08" w:rsidP="000B5C0C">
            <w:pPr>
              <w:pStyle w:val="TSTableHeadingWhite-TopRow"/>
              <w:jc w:val="center"/>
              <w:rPr>
                <w:sz w:val="20"/>
                <w:szCs w:val="20"/>
              </w:rPr>
            </w:pPr>
            <w:r w:rsidRPr="00E81C87">
              <w:rPr>
                <w:sz w:val="20"/>
                <w:szCs w:val="20"/>
              </w:rPr>
              <w:t>High estimate</w:t>
            </w:r>
          </w:p>
        </w:tc>
      </w:tr>
      <w:tr w:rsidR="00997F08" w:rsidRPr="000B5C0C" w14:paraId="16DC356B" w14:textId="4A021C5E" w:rsidTr="00997F08">
        <w:trPr>
          <w:cnfStyle w:val="010000000000" w:firstRow="0" w:lastRow="1" w:firstColumn="0" w:lastColumn="0" w:oddVBand="0" w:evenVBand="0" w:oddHBand="0" w:evenHBand="0" w:firstRowFirstColumn="0" w:firstRowLastColumn="0" w:lastRowFirstColumn="0" w:lastRowLastColumn="0"/>
        </w:trPr>
        <w:tc>
          <w:tcPr>
            <w:tcW w:w="1250" w:type="pct"/>
          </w:tcPr>
          <w:p w14:paraId="5354A48A" w14:textId="2139189D" w:rsidR="00997F08" w:rsidRPr="000B5C0C" w:rsidRDefault="00997F08" w:rsidP="00997F08">
            <w:pPr>
              <w:pStyle w:val="TSBodyText"/>
              <w:rPr>
                <w:szCs w:val="18"/>
              </w:rPr>
            </w:pPr>
            <w:r w:rsidRPr="000B5C0C">
              <w:rPr>
                <w:szCs w:val="18"/>
              </w:rPr>
              <w:t>Total</w:t>
            </w:r>
          </w:p>
        </w:tc>
        <w:tc>
          <w:tcPr>
            <w:tcW w:w="1251" w:type="pct"/>
          </w:tcPr>
          <w:p w14:paraId="71392BB4" w14:textId="34145CBC" w:rsidR="00997F08" w:rsidRPr="000B5C0C" w:rsidRDefault="00997F08" w:rsidP="000B5C0C">
            <w:pPr>
              <w:pStyle w:val="TSBodyText"/>
              <w:ind w:right="324"/>
              <w:jc w:val="right"/>
              <w:rPr>
                <w:szCs w:val="18"/>
              </w:rPr>
            </w:pPr>
            <w:r w:rsidRPr="000B5C0C">
              <w:rPr>
                <w:szCs w:val="18"/>
              </w:rPr>
              <w:t xml:space="preserve"> $296,362,523 </w:t>
            </w:r>
          </w:p>
        </w:tc>
        <w:tc>
          <w:tcPr>
            <w:tcW w:w="1250" w:type="pct"/>
          </w:tcPr>
          <w:p w14:paraId="394E95F9" w14:textId="1BAF2977" w:rsidR="00997F08" w:rsidRPr="000B5C0C" w:rsidRDefault="00997F08" w:rsidP="000B5C0C">
            <w:pPr>
              <w:pStyle w:val="TSBodyText"/>
              <w:ind w:right="324"/>
              <w:jc w:val="right"/>
              <w:rPr>
                <w:szCs w:val="18"/>
              </w:rPr>
            </w:pPr>
            <w:r w:rsidRPr="000B5C0C">
              <w:rPr>
                <w:szCs w:val="18"/>
              </w:rPr>
              <w:t xml:space="preserve"> $337,438,659 </w:t>
            </w:r>
          </w:p>
        </w:tc>
        <w:tc>
          <w:tcPr>
            <w:tcW w:w="1249" w:type="pct"/>
          </w:tcPr>
          <w:p w14:paraId="4E072DF8" w14:textId="29D67128" w:rsidR="00997F08" w:rsidRPr="000B5C0C" w:rsidRDefault="00997F08" w:rsidP="000B5C0C">
            <w:pPr>
              <w:pStyle w:val="TSBodyText"/>
              <w:ind w:right="324"/>
              <w:jc w:val="right"/>
              <w:rPr>
                <w:szCs w:val="18"/>
              </w:rPr>
            </w:pPr>
            <w:r w:rsidRPr="000B5C0C">
              <w:rPr>
                <w:szCs w:val="18"/>
              </w:rPr>
              <w:t xml:space="preserve"> $371,308,836 </w:t>
            </w:r>
          </w:p>
        </w:tc>
      </w:tr>
    </w:tbl>
    <w:p w14:paraId="65066CEF" w14:textId="327B6E88" w:rsidR="004505A5" w:rsidRDefault="0027797C" w:rsidP="00B857B2">
      <w:pPr>
        <w:pStyle w:val="USSource"/>
      </w:pPr>
      <w:bookmarkStart w:id="120" w:name="_Hlk146270444"/>
      <w:r w:rsidRPr="00731CA6">
        <w:t xml:space="preserve">Source: </w:t>
      </w:r>
      <w:r w:rsidR="00B857B2" w:rsidRPr="00B857B2">
        <w:t xml:space="preserve">NZIER, based on </w:t>
      </w:r>
      <w:proofErr w:type="spellStart"/>
      <w:r w:rsidR="00B857B2" w:rsidRPr="00B857B2">
        <w:t>Te</w:t>
      </w:r>
      <w:proofErr w:type="spellEnd"/>
      <w:r w:rsidR="00B857B2" w:rsidRPr="00B857B2">
        <w:t xml:space="preserve"> </w:t>
      </w:r>
      <w:proofErr w:type="spellStart"/>
      <w:r w:rsidR="00B857B2" w:rsidRPr="00B857B2">
        <w:t>Whatu</w:t>
      </w:r>
      <w:proofErr w:type="spellEnd"/>
      <w:r w:rsidR="00B857B2" w:rsidRPr="00B857B2">
        <w:t xml:space="preserve"> Ora data and </w:t>
      </w:r>
      <w:r w:rsidR="00782460" w:rsidRPr="00B857B2">
        <w:t>alcohol</w:t>
      </w:r>
      <w:r w:rsidR="00782460">
        <w:t>-</w:t>
      </w:r>
      <w:r w:rsidR="00B857B2" w:rsidRPr="00B857B2">
        <w:t xml:space="preserve">attributable fractions from Chambers and </w:t>
      </w:r>
      <w:proofErr w:type="spellStart"/>
      <w:r w:rsidR="00B857B2" w:rsidRPr="00B857B2">
        <w:t>Mizdrak</w:t>
      </w:r>
      <w:proofErr w:type="spellEnd"/>
      <w:r w:rsidR="00B857B2" w:rsidRPr="00B857B2">
        <w:t xml:space="preserve"> (</w:t>
      </w:r>
      <w:r w:rsidR="00F4462C">
        <w:t>forthcom</w:t>
      </w:r>
      <w:r w:rsidR="00CA27A6">
        <w:t>ing</w:t>
      </w:r>
      <w:r w:rsidR="00B857B2" w:rsidRPr="00B857B2">
        <w:t>)</w:t>
      </w:r>
    </w:p>
    <w:bookmarkEnd w:id="120"/>
    <w:p w14:paraId="09BDA682" w14:textId="65815876" w:rsidR="004B096A" w:rsidRDefault="004B096A" w:rsidP="004F163A">
      <w:pPr>
        <w:pStyle w:val="USBodyText"/>
      </w:pPr>
      <w:r>
        <w:t xml:space="preserve">Breaking costs down by ethnicity and age </w:t>
      </w:r>
      <w:r w:rsidR="00CC157D">
        <w:t>group reveals a similar pattern to bed days by ethnicity</w:t>
      </w:r>
      <w:r w:rsidR="004F163A">
        <w:t xml:space="preserve"> and age group</w:t>
      </w:r>
      <w:r w:rsidR="00540C8F">
        <w:t xml:space="preserve">, although the cost of inpatient care for </w:t>
      </w:r>
      <w:r w:rsidR="00751AA6">
        <w:t>Māori</w:t>
      </w:r>
      <w:r w:rsidR="00540C8F">
        <w:t xml:space="preserve"> accounts for </w:t>
      </w:r>
      <w:r w:rsidR="00720062">
        <w:t>approximately 17 percent of th</w:t>
      </w:r>
      <w:r w:rsidR="00751AA6">
        <w:t>e</w:t>
      </w:r>
      <w:r w:rsidR="00720062">
        <w:t xml:space="preserve"> total cos</w:t>
      </w:r>
      <w:r w:rsidR="00691906">
        <w:t>t, slightly higher than the 15 percent of total bed days calculated in the previous section, likely explained by greater complexity</w:t>
      </w:r>
      <w:r w:rsidR="00751AA6">
        <w:t xml:space="preserve"> in presenting conditions</w:t>
      </w:r>
      <w:r w:rsidR="0011270B">
        <w:t xml:space="preserve">, a </w:t>
      </w:r>
      <w:r w:rsidR="00751AA6">
        <w:t>recognised</w:t>
      </w:r>
      <w:r w:rsidR="0011270B">
        <w:t xml:space="preserve"> issue in Māori health.</w:t>
      </w:r>
      <w:r w:rsidR="00751AA6">
        <w:t xml:space="preserve"> (See </w:t>
      </w:r>
      <w:r w:rsidR="005B5AD4">
        <w:fldChar w:fldCharType="begin"/>
      </w:r>
      <w:r w:rsidR="005B5AD4">
        <w:instrText xml:space="preserve"> REF _Ref156228743 \h </w:instrText>
      </w:r>
      <w:r w:rsidR="005B5AD4">
        <w:fldChar w:fldCharType="separate"/>
      </w:r>
      <w:r w:rsidR="00AE166D" w:rsidRPr="00731CA6">
        <w:t xml:space="preserve">Table </w:t>
      </w:r>
      <w:r w:rsidR="00AE166D">
        <w:rPr>
          <w:noProof/>
        </w:rPr>
        <w:t>25</w:t>
      </w:r>
      <w:r w:rsidR="005B5AD4">
        <w:fldChar w:fldCharType="end"/>
      </w:r>
      <w:r w:rsidR="005B5AD4">
        <w:t xml:space="preserve"> and </w:t>
      </w:r>
      <w:r w:rsidR="005B5AD4">
        <w:fldChar w:fldCharType="begin"/>
      </w:r>
      <w:r w:rsidR="005B5AD4">
        <w:instrText xml:space="preserve"> REF _Ref156228758 \h </w:instrText>
      </w:r>
      <w:r w:rsidR="005B5AD4">
        <w:fldChar w:fldCharType="separate"/>
      </w:r>
      <w:r w:rsidR="00AE166D" w:rsidRPr="00731CA6">
        <w:t xml:space="preserve">Table </w:t>
      </w:r>
      <w:r w:rsidR="00AE166D">
        <w:rPr>
          <w:noProof/>
        </w:rPr>
        <w:t>26</w:t>
      </w:r>
      <w:r w:rsidR="005B5AD4">
        <w:fldChar w:fldCharType="end"/>
      </w:r>
      <w:r w:rsidR="00751AA6">
        <w:t xml:space="preserve"> below)</w:t>
      </w:r>
    </w:p>
    <w:p w14:paraId="73D3B894" w14:textId="6403FD67" w:rsidR="0027797C" w:rsidRDefault="00190D5A" w:rsidP="004505A5">
      <w:pPr>
        <w:pStyle w:val="TableCaption"/>
      </w:pPr>
      <w:bookmarkStart w:id="121" w:name="_Ref156228743"/>
      <w:bookmarkStart w:id="122" w:name="_Toc160633932"/>
      <w:r w:rsidRPr="00731CA6">
        <w:t xml:space="preserve">Table </w:t>
      </w:r>
      <w:fldSimple w:instr=" SEQ Table \* ARABIC ">
        <w:r w:rsidR="00AE166D">
          <w:rPr>
            <w:noProof/>
          </w:rPr>
          <w:t>25</w:t>
        </w:r>
      </w:fldSimple>
      <w:bookmarkEnd w:id="121"/>
      <w:r w:rsidRPr="00731CA6">
        <w:t xml:space="preserve"> </w:t>
      </w:r>
      <w:r w:rsidR="0043193E">
        <w:t>Cost of inpatient hospitalisations attributable to alcohol by ethnicity</w:t>
      </w:r>
      <w:bookmarkEnd w:id="122"/>
    </w:p>
    <w:p w14:paraId="3F46F128" w14:textId="78EEF3BB" w:rsidR="003F5C5D" w:rsidRDefault="004505A5" w:rsidP="0043193E">
      <w:pPr>
        <w:pStyle w:val="CaptionSubheading"/>
      </w:pPr>
      <w:r w:rsidRPr="004505A5">
        <w:t xml:space="preserve">Estimated 2023 </w:t>
      </w:r>
      <w:proofErr w:type="gramStart"/>
      <w:r w:rsidRPr="004505A5">
        <w:t>cost</w:t>
      </w:r>
      <w:proofErr w:type="gramEnd"/>
    </w:p>
    <w:tbl>
      <w:tblPr>
        <w:tblStyle w:val="TableDefault"/>
        <w:tblW w:w="0" w:type="auto"/>
        <w:tblLook w:val="04A0" w:firstRow="1" w:lastRow="0" w:firstColumn="1" w:lastColumn="0" w:noHBand="0" w:noVBand="1"/>
      </w:tblPr>
      <w:tblGrid>
        <w:gridCol w:w="2055"/>
        <w:gridCol w:w="2055"/>
        <w:gridCol w:w="2055"/>
        <w:gridCol w:w="2055"/>
      </w:tblGrid>
      <w:tr w:rsidR="00F1789E" w14:paraId="5A6577C3" w14:textId="77777777" w:rsidTr="00D9044C">
        <w:trPr>
          <w:cnfStyle w:val="100000000000" w:firstRow="1" w:lastRow="0" w:firstColumn="0" w:lastColumn="0" w:oddVBand="0" w:evenVBand="0" w:oddHBand="0" w:evenHBand="0" w:firstRowFirstColumn="0" w:firstRowLastColumn="0" w:lastRowFirstColumn="0" w:lastRowLastColumn="0"/>
        </w:trPr>
        <w:tc>
          <w:tcPr>
            <w:tcW w:w="2055" w:type="dxa"/>
          </w:tcPr>
          <w:p w14:paraId="694E8AFE" w14:textId="77777777" w:rsidR="00F1789E" w:rsidRDefault="00F1789E" w:rsidP="00CA27A6">
            <w:pPr>
              <w:pStyle w:val="TSTableHeadingWhite-TopRow"/>
            </w:pPr>
          </w:p>
        </w:tc>
        <w:tc>
          <w:tcPr>
            <w:tcW w:w="2055" w:type="dxa"/>
          </w:tcPr>
          <w:p w14:paraId="05372C7C" w14:textId="4D123155" w:rsidR="00F1789E" w:rsidRPr="0011772C" w:rsidRDefault="00D9044C" w:rsidP="00CA27A6">
            <w:pPr>
              <w:pStyle w:val="TSTableHeadingWhite-TopRow"/>
              <w:jc w:val="center"/>
              <w:rPr>
                <w:b w:val="0"/>
                <w:bCs/>
                <w:color w:val="FFFFFF" w:themeColor="background1"/>
              </w:rPr>
            </w:pPr>
            <w:r w:rsidRPr="0011772C">
              <w:rPr>
                <w:color w:val="FFFFFF" w:themeColor="background1"/>
              </w:rPr>
              <w:t>Low estimate</w:t>
            </w:r>
          </w:p>
        </w:tc>
        <w:tc>
          <w:tcPr>
            <w:tcW w:w="2055" w:type="dxa"/>
          </w:tcPr>
          <w:p w14:paraId="30B24E57" w14:textId="6F0E4C6E" w:rsidR="00F1789E" w:rsidRPr="0011772C" w:rsidRDefault="00D9044C" w:rsidP="00CA27A6">
            <w:pPr>
              <w:pStyle w:val="TSTableHeadingWhite-TopRow"/>
              <w:jc w:val="center"/>
              <w:rPr>
                <w:b w:val="0"/>
                <w:bCs/>
                <w:color w:val="FFFFFF" w:themeColor="background1"/>
              </w:rPr>
            </w:pPr>
            <w:r w:rsidRPr="0011772C">
              <w:rPr>
                <w:color w:val="FFFFFF" w:themeColor="background1"/>
              </w:rPr>
              <w:t>Midpoint estimate</w:t>
            </w:r>
          </w:p>
        </w:tc>
        <w:tc>
          <w:tcPr>
            <w:tcW w:w="2055" w:type="dxa"/>
          </w:tcPr>
          <w:p w14:paraId="43742969" w14:textId="75DE0C21" w:rsidR="00F1789E" w:rsidRPr="0011772C" w:rsidRDefault="00D9044C" w:rsidP="00CA27A6">
            <w:pPr>
              <w:pStyle w:val="TSTableHeadingWhite-TopRow"/>
              <w:jc w:val="center"/>
              <w:rPr>
                <w:b w:val="0"/>
                <w:bCs/>
                <w:color w:val="FFFFFF" w:themeColor="background1"/>
              </w:rPr>
            </w:pPr>
            <w:r w:rsidRPr="0011772C">
              <w:rPr>
                <w:color w:val="FFFFFF" w:themeColor="background1"/>
              </w:rPr>
              <w:t>High estimate</w:t>
            </w:r>
          </w:p>
        </w:tc>
      </w:tr>
      <w:tr w:rsidR="0011772C" w14:paraId="0CE3FA04" w14:textId="77777777" w:rsidTr="00D9044C">
        <w:tc>
          <w:tcPr>
            <w:tcW w:w="2055" w:type="dxa"/>
          </w:tcPr>
          <w:p w14:paraId="766593E3" w14:textId="06AF7187" w:rsidR="0011772C" w:rsidRPr="00CA27A6" w:rsidRDefault="0011772C" w:rsidP="00CA27A6">
            <w:pPr>
              <w:pStyle w:val="TSBodyText"/>
              <w:rPr>
                <w:b/>
              </w:rPr>
            </w:pPr>
            <w:r w:rsidRPr="00CA27A6">
              <w:rPr>
                <w:b/>
              </w:rPr>
              <w:t>By ethnicity</w:t>
            </w:r>
          </w:p>
        </w:tc>
        <w:tc>
          <w:tcPr>
            <w:tcW w:w="2055" w:type="dxa"/>
          </w:tcPr>
          <w:p w14:paraId="31E75291" w14:textId="77777777" w:rsidR="0011772C" w:rsidRPr="001F162B" w:rsidRDefault="0011772C" w:rsidP="00CA27A6">
            <w:pPr>
              <w:pStyle w:val="TSBodyText"/>
              <w:rPr>
                <w:b/>
              </w:rPr>
            </w:pPr>
          </w:p>
        </w:tc>
        <w:tc>
          <w:tcPr>
            <w:tcW w:w="2055" w:type="dxa"/>
          </w:tcPr>
          <w:p w14:paraId="12575C1F" w14:textId="77777777" w:rsidR="0011772C" w:rsidRPr="001F162B" w:rsidRDefault="0011772C" w:rsidP="00CA27A6">
            <w:pPr>
              <w:pStyle w:val="TSBodyText"/>
              <w:rPr>
                <w:b/>
              </w:rPr>
            </w:pPr>
          </w:p>
        </w:tc>
        <w:tc>
          <w:tcPr>
            <w:tcW w:w="2055" w:type="dxa"/>
          </w:tcPr>
          <w:p w14:paraId="3C75C3C4" w14:textId="77777777" w:rsidR="0011772C" w:rsidRPr="001F162B" w:rsidRDefault="0011772C" w:rsidP="00CA27A6">
            <w:pPr>
              <w:pStyle w:val="TSBodyText"/>
              <w:rPr>
                <w:b/>
              </w:rPr>
            </w:pPr>
          </w:p>
        </w:tc>
      </w:tr>
      <w:tr w:rsidR="0084296A" w14:paraId="4CD9FBE7" w14:textId="77777777" w:rsidTr="00D9044C">
        <w:trPr>
          <w:cnfStyle w:val="000000010000" w:firstRow="0" w:lastRow="0" w:firstColumn="0" w:lastColumn="0" w:oddVBand="0" w:evenVBand="0" w:oddHBand="0" w:evenHBand="1" w:firstRowFirstColumn="0" w:firstRowLastColumn="0" w:lastRowFirstColumn="0" w:lastRowLastColumn="0"/>
        </w:trPr>
        <w:tc>
          <w:tcPr>
            <w:tcW w:w="2055" w:type="dxa"/>
          </w:tcPr>
          <w:p w14:paraId="3A8997A7" w14:textId="3CEB710A" w:rsidR="0084296A" w:rsidRPr="001F162B" w:rsidRDefault="00C94346" w:rsidP="00CA27A6">
            <w:pPr>
              <w:pStyle w:val="TSBodyText"/>
            </w:pPr>
            <w:r w:rsidRPr="001F162B">
              <w:t>Māori</w:t>
            </w:r>
          </w:p>
        </w:tc>
        <w:tc>
          <w:tcPr>
            <w:tcW w:w="2055" w:type="dxa"/>
          </w:tcPr>
          <w:p w14:paraId="4B8BA2EE" w14:textId="381C5D73" w:rsidR="0084296A" w:rsidRPr="001F162B" w:rsidRDefault="0084296A" w:rsidP="00CA27A6">
            <w:pPr>
              <w:pStyle w:val="TSBodyText"/>
              <w:ind w:right="607"/>
              <w:jc w:val="right"/>
            </w:pPr>
            <w:r w:rsidRPr="001F162B">
              <w:t xml:space="preserve"> $49,486,749 </w:t>
            </w:r>
          </w:p>
        </w:tc>
        <w:tc>
          <w:tcPr>
            <w:tcW w:w="2055" w:type="dxa"/>
          </w:tcPr>
          <w:p w14:paraId="46F671C8" w14:textId="3339DCF8" w:rsidR="0084296A" w:rsidRPr="001F162B" w:rsidRDefault="0084296A" w:rsidP="00CA27A6">
            <w:pPr>
              <w:pStyle w:val="TSBodyText"/>
              <w:ind w:right="607"/>
              <w:jc w:val="right"/>
            </w:pPr>
            <w:r w:rsidRPr="001F162B">
              <w:t xml:space="preserve"> $55,883,078 </w:t>
            </w:r>
          </w:p>
        </w:tc>
        <w:tc>
          <w:tcPr>
            <w:tcW w:w="2055" w:type="dxa"/>
          </w:tcPr>
          <w:p w14:paraId="7777E004" w14:textId="4DDEE7EA" w:rsidR="0084296A" w:rsidRPr="001F162B" w:rsidRDefault="0084296A" w:rsidP="00CA27A6">
            <w:pPr>
              <w:pStyle w:val="TSBodyText"/>
              <w:ind w:right="607"/>
              <w:jc w:val="right"/>
            </w:pPr>
            <w:r w:rsidRPr="001F162B">
              <w:t xml:space="preserve"> $60,937,771 </w:t>
            </w:r>
          </w:p>
        </w:tc>
      </w:tr>
      <w:tr w:rsidR="0084296A" w14:paraId="714C2418" w14:textId="77777777" w:rsidTr="00D9044C">
        <w:tc>
          <w:tcPr>
            <w:tcW w:w="2055" w:type="dxa"/>
          </w:tcPr>
          <w:p w14:paraId="61A1AFE6" w14:textId="08666F87" w:rsidR="0084296A" w:rsidRPr="001F162B" w:rsidRDefault="0084296A" w:rsidP="00CA27A6">
            <w:pPr>
              <w:pStyle w:val="TSBodyText"/>
            </w:pPr>
            <w:r w:rsidRPr="001F162B">
              <w:t>Non-</w:t>
            </w:r>
            <w:r w:rsidR="00C94346" w:rsidRPr="001F162B">
              <w:t>Māori</w:t>
            </w:r>
          </w:p>
        </w:tc>
        <w:tc>
          <w:tcPr>
            <w:tcW w:w="2055" w:type="dxa"/>
          </w:tcPr>
          <w:p w14:paraId="12E5E260" w14:textId="7B73E355" w:rsidR="0084296A" w:rsidRPr="001F162B" w:rsidRDefault="0084296A" w:rsidP="00CA27A6">
            <w:pPr>
              <w:pStyle w:val="TSBodyText"/>
              <w:ind w:right="607"/>
              <w:jc w:val="right"/>
            </w:pPr>
            <w:r w:rsidRPr="001F162B">
              <w:t xml:space="preserve"> $246,875,773 </w:t>
            </w:r>
          </w:p>
        </w:tc>
        <w:tc>
          <w:tcPr>
            <w:tcW w:w="2055" w:type="dxa"/>
          </w:tcPr>
          <w:p w14:paraId="182A2BDC" w14:textId="27E5203A" w:rsidR="0084296A" w:rsidRPr="001F162B" w:rsidRDefault="0084296A" w:rsidP="00CA27A6">
            <w:pPr>
              <w:pStyle w:val="TSBodyText"/>
              <w:ind w:right="607"/>
              <w:jc w:val="right"/>
            </w:pPr>
            <w:r w:rsidRPr="001F162B">
              <w:t xml:space="preserve"> $281,555,581 </w:t>
            </w:r>
          </w:p>
        </w:tc>
        <w:tc>
          <w:tcPr>
            <w:tcW w:w="2055" w:type="dxa"/>
          </w:tcPr>
          <w:p w14:paraId="24E14621" w14:textId="1C121DB9" w:rsidR="0084296A" w:rsidRPr="001F162B" w:rsidRDefault="0084296A" w:rsidP="00CA27A6">
            <w:pPr>
              <w:pStyle w:val="TSBodyText"/>
              <w:ind w:right="607"/>
              <w:jc w:val="right"/>
            </w:pPr>
            <w:r w:rsidRPr="001F162B">
              <w:t xml:space="preserve"> $310,371,065 </w:t>
            </w:r>
          </w:p>
        </w:tc>
      </w:tr>
    </w:tbl>
    <w:p w14:paraId="63B999B8" w14:textId="444C252F" w:rsidR="00CA683A" w:rsidRDefault="00CA683A" w:rsidP="00CA683A">
      <w:pPr>
        <w:pStyle w:val="USSource"/>
      </w:pPr>
      <w:r w:rsidRPr="00731CA6">
        <w:t xml:space="preserve">Source: </w:t>
      </w:r>
      <w:r w:rsidRPr="00B857B2">
        <w:t xml:space="preserve">NZIER, based on </w:t>
      </w:r>
      <w:proofErr w:type="spellStart"/>
      <w:r w:rsidRPr="00B857B2">
        <w:t>Te</w:t>
      </w:r>
      <w:proofErr w:type="spellEnd"/>
      <w:r w:rsidRPr="00B857B2">
        <w:t xml:space="preserve"> </w:t>
      </w:r>
      <w:proofErr w:type="spellStart"/>
      <w:r w:rsidRPr="00B857B2">
        <w:t>Whatu</w:t>
      </w:r>
      <w:proofErr w:type="spellEnd"/>
      <w:r w:rsidRPr="00B857B2">
        <w:t xml:space="preserve"> Ora data and alcohol</w:t>
      </w:r>
      <w:r w:rsidR="00CA27A6">
        <w:t>-</w:t>
      </w:r>
      <w:r w:rsidRPr="00B857B2">
        <w:t xml:space="preserve">attributable fractions from Chambers and </w:t>
      </w:r>
      <w:proofErr w:type="spellStart"/>
      <w:r w:rsidRPr="00B857B2">
        <w:t>Mizdrak</w:t>
      </w:r>
      <w:proofErr w:type="spellEnd"/>
      <w:r w:rsidRPr="00B857B2">
        <w:t xml:space="preserve"> (</w:t>
      </w:r>
      <w:r w:rsidR="00CA27A6">
        <w:t>forthcoming</w:t>
      </w:r>
      <w:r w:rsidRPr="00B857B2">
        <w:t>)</w:t>
      </w:r>
    </w:p>
    <w:p w14:paraId="17C1006C" w14:textId="7E68BB44" w:rsidR="003F5C5D" w:rsidRDefault="00643B79" w:rsidP="005F03ED">
      <w:pPr>
        <w:pStyle w:val="USBodyText"/>
      </w:pPr>
      <w:r>
        <w:t xml:space="preserve">When broken down by age group, </w:t>
      </w:r>
      <w:r w:rsidR="002A51A1">
        <w:t xml:space="preserve">there is </w:t>
      </w:r>
      <w:r w:rsidR="00E84900">
        <w:t>a similar pattern to that observed for bed days, of increasing cost with increasing age is observed</w:t>
      </w:r>
      <w:r w:rsidR="00437C8B">
        <w:t>,</w:t>
      </w:r>
      <w:r w:rsidR="00E84900">
        <w:t xml:space="preserve"> but the share of costs attributed to alcohol in the oldest age group is lower at approximately 27 percent than the share of bed days (</w:t>
      </w:r>
      <w:r w:rsidR="003F12E9">
        <w:t xml:space="preserve">estimated to be 36 percent in the previous section) (see </w:t>
      </w:r>
      <w:r w:rsidR="005B5AD4">
        <w:fldChar w:fldCharType="begin"/>
      </w:r>
      <w:r w:rsidR="005B5AD4">
        <w:instrText xml:space="preserve"> REF _Ref156228758 \h </w:instrText>
      </w:r>
      <w:r w:rsidR="005B5AD4">
        <w:fldChar w:fldCharType="separate"/>
      </w:r>
      <w:r w:rsidR="00AE166D" w:rsidRPr="00731CA6">
        <w:t xml:space="preserve">Table </w:t>
      </w:r>
      <w:r w:rsidR="00AE166D">
        <w:rPr>
          <w:noProof/>
        </w:rPr>
        <w:t>26</w:t>
      </w:r>
      <w:r w:rsidR="005B5AD4">
        <w:fldChar w:fldCharType="end"/>
      </w:r>
      <w:r w:rsidR="003F12E9">
        <w:t xml:space="preserve"> and </w:t>
      </w:r>
      <w:r w:rsidR="005B5AD4">
        <w:fldChar w:fldCharType="begin"/>
      </w:r>
      <w:r w:rsidR="005B5AD4">
        <w:instrText xml:space="preserve"> REF _Ref156228828 \h </w:instrText>
      </w:r>
      <w:r w:rsidR="005B5AD4">
        <w:fldChar w:fldCharType="separate"/>
      </w:r>
      <w:r w:rsidR="00AE166D" w:rsidRPr="00731CA6">
        <w:t>Figure </w:t>
      </w:r>
      <w:r w:rsidR="00AE166D">
        <w:rPr>
          <w:noProof/>
        </w:rPr>
        <w:t>11</w:t>
      </w:r>
      <w:r w:rsidR="005B5AD4">
        <w:fldChar w:fldCharType="end"/>
      </w:r>
      <w:r w:rsidR="003F12E9">
        <w:t xml:space="preserve"> below).</w:t>
      </w:r>
    </w:p>
    <w:p w14:paraId="518055E7" w14:textId="490BA691" w:rsidR="00751AA6" w:rsidRDefault="00751AA6" w:rsidP="00751AA6">
      <w:pPr>
        <w:pStyle w:val="TableCaption"/>
      </w:pPr>
      <w:bookmarkStart w:id="123" w:name="_Ref156228758"/>
      <w:bookmarkStart w:id="124" w:name="_Toc160633933"/>
      <w:r w:rsidRPr="00731CA6">
        <w:lastRenderedPageBreak/>
        <w:t xml:space="preserve">Table </w:t>
      </w:r>
      <w:fldSimple w:instr=" SEQ Table \* ARABIC ">
        <w:r w:rsidR="00AE166D">
          <w:rPr>
            <w:noProof/>
          </w:rPr>
          <w:t>26</w:t>
        </w:r>
      </w:fldSimple>
      <w:bookmarkEnd w:id="123"/>
      <w:r w:rsidRPr="00731CA6">
        <w:t xml:space="preserve"> </w:t>
      </w:r>
      <w:r>
        <w:t>Cost of inpatient hospitalisations attributable to alcohol by age group</w:t>
      </w:r>
      <w:bookmarkEnd w:id="124"/>
    </w:p>
    <w:p w14:paraId="436C70E2" w14:textId="77777777" w:rsidR="00751AA6" w:rsidRDefault="00751AA6" w:rsidP="004A56E5">
      <w:pPr>
        <w:pStyle w:val="CaptionSubheading"/>
        <w:keepLines/>
      </w:pPr>
      <w:r w:rsidRPr="004505A5">
        <w:t xml:space="preserve">Estimated 2023 </w:t>
      </w:r>
      <w:proofErr w:type="gramStart"/>
      <w:r w:rsidRPr="004505A5">
        <w:t>cost</w:t>
      </w:r>
      <w:proofErr w:type="gramEnd"/>
    </w:p>
    <w:tbl>
      <w:tblPr>
        <w:tblStyle w:val="TableDefault"/>
        <w:tblW w:w="0" w:type="auto"/>
        <w:tblLook w:val="04A0" w:firstRow="1" w:lastRow="0" w:firstColumn="1" w:lastColumn="0" w:noHBand="0" w:noVBand="1"/>
      </w:tblPr>
      <w:tblGrid>
        <w:gridCol w:w="2055"/>
        <w:gridCol w:w="2055"/>
        <w:gridCol w:w="2055"/>
        <w:gridCol w:w="2055"/>
      </w:tblGrid>
      <w:tr w:rsidR="00751AA6" w14:paraId="005A803A" w14:textId="77777777">
        <w:trPr>
          <w:cnfStyle w:val="100000000000" w:firstRow="1" w:lastRow="0" w:firstColumn="0" w:lastColumn="0" w:oddVBand="0" w:evenVBand="0" w:oddHBand="0" w:evenHBand="0" w:firstRowFirstColumn="0" w:firstRowLastColumn="0" w:lastRowFirstColumn="0" w:lastRowLastColumn="0"/>
        </w:trPr>
        <w:tc>
          <w:tcPr>
            <w:tcW w:w="2055" w:type="dxa"/>
          </w:tcPr>
          <w:p w14:paraId="32337282" w14:textId="77777777" w:rsidR="00751AA6" w:rsidRDefault="00751AA6" w:rsidP="00CA27A6">
            <w:pPr>
              <w:pStyle w:val="TSTableHeadingWhite-TopRow"/>
            </w:pPr>
          </w:p>
        </w:tc>
        <w:tc>
          <w:tcPr>
            <w:tcW w:w="2055" w:type="dxa"/>
          </w:tcPr>
          <w:p w14:paraId="7ABCA7FC" w14:textId="77777777" w:rsidR="00751AA6" w:rsidRPr="0011772C" w:rsidRDefault="00751AA6" w:rsidP="00CA27A6">
            <w:pPr>
              <w:pStyle w:val="TSTableHeadingWhite-TopRow"/>
              <w:jc w:val="center"/>
              <w:rPr>
                <w:b w:val="0"/>
                <w:bCs/>
                <w:color w:val="FFFFFF" w:themeColor="background1"/>
              </w:rPr>
            </w:pPr>
            <w:r w:rsidRPr="0011772C">
              <w:rPr>
                <w:color w:val="FFFFFF" w:themeColor="background1"/>
              </w:rPr>
              <w:t>Low estimate</w:t>
            </w:r>
          </w:p>
        </w:tc>
        <w:tc>
          <w:tcPr>
            <w:tcW w:w="2055" w:type="dxa"/>
          </w:tcPr>
          <w:p w14:paraId="328568AE" w14:textId="77777777" w:rsidR="00751AA6" w:rsidRPr="0011772C" w:rsidRDefault="00751AA6" w:rsidP="00CA27A6">
            <w:pPr>
              <w:pStyle w:val="TSTableHeadingWhite-TopRow"/>
              <w:jc w:val="center"/>
              <w:rPr>
                <w:b w:val="0"/>
                <w:bCs/>
                <w:color w:val="FFFFFF" w:themeColor="background1"/>
              </w:rPr>
            </w:pPr>
            <w:r w:rsidRPr="0011772C">
              <w:rPr>
                <w:color w:val="FFFFFF" w:themeColor="background1"/>
              </w:rPr>
              <w:t>Midpoint estimate</w:t>
            </w:r>
          </w:p>
        </w:tc>
        <w:tc>
          <w:tcPr>
            <w:tcW w:w="2055" w:type="dxa"/>
          </w:tcPr>
          <w:p w14:paraId="430DB80C" w14:textId="77777777" w:rsidR="00751AA6" w:rsidRPr="0011772C" w:rsidRDefault="00751AA6" w:rsidP="00CA27A6">
            <w:pPr>
              <w:pStyle w:val="TSTableHeadingWhite-TopRow"/>
              <w:jc w:val="center"/>
              <w:rPr>
                <w:b w:val="0"/>
                <w:bCs/>
                <w:color w:val="FFFFFF" w:themeColor="background1"/>
              </w:rPr>
            </w:pPr>
            <w:r w:rsidRPr="0011772C">
              <w:rPr>
                <w:color w:val="FFFFFF" w:themeColor="background1"/>
              </w:rPr>
              <w:t>High estimate</w:t>
            </w:r>
          </w:p>
        </w:tc>
      </w:tr>
      <w:tr w:rsidR="00751AA6" w:rsidRPr="000B5C0C" w14:paraId="1E52E4C9" w14:textId="77777777">
        <w:tc>
          <w:tcPr>
            <w:tcW w:w="2055" w:type="dxa"/>
          </w:tcPr>
          <w:p w14:paraId="0993AA13" w14:textId="77777777" w:rsidR="00751AA6" w:rsidRPr="000B5C0C" w:rsidRDefault="00751AA6" w:rsidP="00AD0C9D">
            <w:pPr>
              <w:pStyle w:val="TSBodyText"/>
            </w:pPr>
            <w:r w:rsidRPr="000B5C0C">
              <w:t>By age group</w:t>
            </w:r>
          </w:p>
        </w:tc>
        <w:tc>
          <w:tcPr>
            <w:tcW w:w="2055" w:type="dxa"/>
          </w:tcPr>
          <w:p w14:paraId="00F0537A" w14:textId="77777777" w:rsidR="00751AA6" w:rsidRPr="000B5C0C" w:rsidRDefault="00751AA6" w:rsidP="00AD0C9D">
            <w:pPr>
              <w:pStyle w:val="TSBodyText"/>
            </w:pPr>
          </w:p>
        </w:tc>
        <w:tc>
          <w:tcPr>
            <w:tcW w:w="2055" w:type="dxa"/>
          </w:tcPr>
          <w:p w14:paraId="1EBF281E" w14:textId="77777777" w:rsidR="00751AA6" w:rsidRPr="000B5C0C" w:rsidRDefault="00751AA6" w:rsidP="00AD0C9D">
            <w:pPr>
              <w:pStyle w:val="TSBodyText"/>
            </w:pPr>
          </w:p>
        </w:tc>
        <w:tc>
          <w:tcPr>
            <w:tcW w:w="2055" w:type="dxa"/>
          </w:tcPr>
          <w:p w14:paraId="2672D49A" w14:textId="77777777" w:rsidR="00751AA6" w:rsidRPr="000B5C0C" w:rsidRDefault="00751AA6" w:rsidP="00AD0C9D">
            <w:pPr>
              <w:pStyle w:val="TSBodyText"/>
            </w:pPr>
          </w:p>
        </w:tc>
      </w:tr>
      <w:tr w:rsidR="00751AA6" w:rsidRPr="000B5C0C" w14:paraId="5F2B24B5"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6D1FC421" w14:textId="2D64B8A6" w:rsidR="00751AA6" w:rsidRPr="000B5C0C" w:rsidRDefault="00751AA6" w:rsidP="00AD0C9D">
            <w:pPr>
              <w:pStyle w:val="TSBodyText"/>
            </w:pPr>
            <w:r w:rsidRPr="000B5C0C">
              <w:t xml:space="preserve"> 15</w:t>
            </w:r>
            <w:r w:rsidR="00AD0C9D">
              <w:t>–</w:t>
            </w:r>
            <w:r w:rsidRPr="000B5C0C">
              <w:t xml:space="preserve">24 </w:t>
            </w:r>
          </w:p>
        </w:tc>
        <w:tc>
          <w:tcPr>
            <w:tcW w:w="2055" w:type="dxa"/>
          </w:tcPr>
          <w:p w14:paraId="76B404A8" w14:textId="77777777" w:rsidR="00751AA6" w:rsidRPr="000B5C0C" w:rsidRDefault="00751AA6" w:rsidP="00AD0C9D">
            <w:pPr>
              <w:pStyle w:val="TSBodyText"/>
              <w:ind w:right="453"/>
              <w:jc w:val="right"/>
            </w:pPr>
            <w:r w:rsidRPr="000B5C0C">
              <w:t xml:space="preserve"> $16,653,527 </w:t>
            </w:r>
          </w:p>
        </w:tc>
        <w:tc>
          <w:tcPr>
            <w:tcW w:w="2055" w:type="dxa"/>
          </w:tcPr>
          <w:p w14:paraId="7323A161" w14:textId="77777777" w:rsidR="00751AA6" w:rsidRPr="000B5C0C" w:rsidRDefault="00751AA6" w:rsidP="00AD0C9D">
            <w:pPr>
              <w:pStyle w:val="TSBodyText"/>
              <w:ind w:right="453"/>
              <w:jc w:val="right"/>
            </w:pPr>
            <w:r w:rsidRPr="000B5C0C">
              <w:t xml:space="preserve"> $18,874,086 </w:t>
            </w:r>
          </w:p>
        </w:tc>
        <w:tc>
          <w:tcPr>
            <w:tcW w:w="2055" w:type="dxa"/>
          </w:tcPr>
          <w:p w14:paraId="38F30C49" w14:textId="77777777" w:rsidR="00751AA6" w:rsidRPr="000B5C0C" w:rsidRDefault="00751AA6" w:rsidP="00AD0C9D">
            <w:pPr>
              <w:pStyle w:val="TSBodyText"/>
              <w:ind w:right="453"/>
              <w:jc w:val="right"/>
            </w:pPr>
            <w:r w:rsidRPr="000B5C0C">
              <w:t xml:space="preserve"> $20,762,329 </w:t>
            </w:r>
          </w:p>
        </w:tc>
      </w:tr>
      <w:tr w:rsidR="00751AA6" w:rsidRPr="000B5C0C" w14:paraId="5E38483C" w14:textId="77777777">
        <w:tc>
          <w:tcPr>
            <w:tcW w:w="2055" w:type="dxa"/>
          </w:tcPr>
          <w:p w14:paraId="152C2BF1" w14:textId="3115568D" w:rsidR="00751AA6" w:rsidRPr="000B5C0C" w:rsidRDefault="00751AA6" w:rsidP="00AD0C9D">
            <w:pPr>
              <w:pStyle w:val="TSBodyText"/>
            </w:pPr>
            <w:r w:rsidRPr="000B5C0C">
              <w:t xml:space="preserve"> 25</w:t>
            </w:r>
            <w:r w:rsidR="00AD0C9D">
              <w:t>–</w:t>
            </w:r>
            <w:r w:rsidRPr="000B5C0C">
              <w:t xml:space="preserve">34 </w:t>
            </w:r>
          </w:p>
        </w:tc>
        <w:tc>
          <w:tcPr>
            <w:tcW w:w="2055" w:type="dxa"/>
          </w:tcPr>
          <w:p w14:paraId="5A9E7D83" w14:textId="77777777" w:rsidR="00751AA6" w:rsidRPr="000B5C0C" w:rsidRDefault="00751AA6" w:rsidP="00AD0C9D">
            <w:pPr>
              <w:pStyle w:val="TSBodyText"/>
              <w:ind w:right="453"/>
              <w:jc w:val="right"/>
            </w:pPr>
            <w:r w:rsidRPr="000B5C0C">
              <w:t xml:space="preserve"> $21,244,596 </w:t>
            </w:r>
          </w:p>
        </w:tc>
        <w:tc>
          <w:tcPr>
            <w:tcW w:w="2055" w:type="dxa"/>
          </w:tcPr>
          <w:p w14:paraId="0D41F6F1" w14:textId="77777777" w:rsidR="00751AA6" w:rsidRPr="000B5C0C" w:rsidRDefault="00751AA6" w:rsidP="00AD0C9D">
            <w:pPr>
              <w:pStyle w:val="TSBodyText"/>
              <w:ind w:right="453"/>
              <w:jc w:val="right"/>
            </w:pPr>
            <w:r w:rsidRPr="000B5C0C">
              <w:t xml:space="preserve"> $24,006,730 </w:t>
            </w:r>
          </w:p>
        </w:tc>
        <w:tc>
          <w:tcPr>
            <w:tcW w:w="2055" w:type="dxa"/>
          </w:tcPr>
          <w:p w14:paraId="36AB21B1" w14:textId="77777777" w:rsidR="00751AA6" w:rsidRPr="000B5C0C" w:rsidRDefault="00751AA6" w:rsidP="00AD0C9D">
            <w:pPr>
              <w:pStyle w:val="TSBodyText"/>
              <w:ind w:right="453"/>
              <w:jc w:val="right"/>
            </w:pPr>
            <w:r w:rsidRPr="000B5C0C">
              <w:t xml:space="preserve"> $26,324,164 </w:t>
            </w:r>
          </w:p>
        </w:tc>
      </w:tr>
      <w:tr w:rsidR="00751AA6" w:rsidRPr="000B5C0C" w14:paraId="06F8944F"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303803D5" w14:textId="16958CDB" w:rsidR="00751AA6" w:rsidRPr="000B5C0C" w:rsidRDefault="00751AA6" w:rsidP="00AD0C9D">
            <w:pPr>
              <w:pStyle w:val="TSBodyText"/>
            </w:pPr>
            <w:r w:rsidRPr="000B5C0C">
              <w:t xml:space="preserve"> 35</w:t>
            </w:r>
            <w:r w:rsidR="00AD0C9D">
              <w:t>–</w:t>
            </w:r>
            <w:r w:rsidRPr="000B5C0C">
              <w:t xml:space="preserve">44 </w:t>
            </w:r>
          </w:p>
        </w:tc>
        <w:tc>
          <w:tcPr>
            <w:tcW w:w="2055" w:type="dxa"/>
          </w:tcPr>
          <w:p w14:paraId="6FF7DAA4" w14:textId="77777777" w:rsidR="00751AA6" w:rsidRPr="000B5C0C" w:rsidRDefault="00751AA6" w:rsidP="00AD0C9D">
            <w:pPr>
              <w:pStyle w:val="TSBodyText"/>
              <w:ind w:right="453"/>
              <w:jc w:val="right"/>
            </w:pPr>
            <w:r w:rsidRPr="000B5C0C">
              <w:t xml:space="preserve"> $24,465,783 </w:t>
            </w:r>
          </w:p>
        </w:tc>
        <w:tc>
          <w:tcPr>
            <w:tcW w:w="2055" w:type="dxa"/>
          </w:tcPr>
          <w:p w14:paraId="128BC4BC" w14:textId="77777777" w:rsidR="00751AA6" w:rsidRPr="000B5C0C" w:rsidRDefault="00751AA6" w:rsidP="00AD0C9D">
            <w:pPr>
              <w:pStyle w:val="TSBodyText"/>
              <w:ind w:right="453"/>
              <w:jc w:val="right"/>
            </w:pPr>
            <w:r w:rsidRPr="000B5C0C">
              <w:t xml:space="preserve"> $27,373,018 </w:t>
            </w:r>
          </w:p>
        </w:tc>
        <w:tc>
          <w:tcPr>
            <w:tcW w:w="2055" w:type="dxa"/>
          </w:tcPr>
          <w:p w14:paraId="17071D37" w14:textId="77777777" w:rsidR="00751AA6" w:rsidRPr="000B5C0C" w:rsidRDefault="00751AA6" w:rsidP="00AD0C9D">
            <w:pPr>
              <w:pStyle w:val="TSBodyText"/>
              <w:ind w:right="453"/>
              <w:jc w:val="right"/>
            </w:pPr>
            <w:r w:rsidRPr="000B5C0C">
              <w:t xml:space="preserve"> $29,697,310 </w:t>
            </w:r>
          </w:p>
        </w:tc>
      </w:tr>
      <w:tr w:rsidR="00751AA6" w:rsidRPr="000B5C0C" w14:paraId="4DA96A0B" w14:textId="77777777">
        <w:tc>
          <w:tcPr>
            <w:tcW w:w="2055" w:type="dxa"/>
          </w:tcPr>
          <w:p w14:paraId="095E5F90" w14:textId="52322647" w:rsidR="00751AA6" w:rsidRPr="000B5C0C" w:rsidRDefault="00751AA6" w:rsidP="00AD0C9D">
            <w:pPr>
              <w:pStyle w:val="TSBodyText"/>
            </w:pPr>
            <w:r w:rsidRPr="000B5C0C">
              <w:t xml:space="preserve"> 45</w:t>
            </w:r>
            <w:r w:rsidR="00AD0C9D">
              <w:t>–</w:t>
            </w:r>
            <w:r w:rsidRPr="000B5C0C">
              <w:t xml:space="preserve">54 </w:t>
            </w:r>
          </w:p>
        </w:tc>
        <w:tc>
          <w:tcPr>
            <w:tcW w:w="2055" w:type="dxa"/>
          </w:tcPr>
          <w:p w14:paraId="0484C805" w14:textId="77777777" w:rsidR="00751AA6" w:rsidRPr="000B5C0C" w:rsidRDefault="00751AA6" w:rsidP="00AD0C9D">
            <w:pPr>
              <w:pStyle w:val="TSBodyText"/>
              <w:ind w:right="453"/>
              <w:jc w:val="right"/>
            </w:pPr>
            <w:r w:rsidRPr="000B5C0C">
              <w:t xml:space="preserve"> $37,404,960 </w:t>
            </w:r>
          </w:p>
        </w:tc>
        <w:tc>
          <w:tcPr>
            <w:tcW w:w="2055" w:type="dxa"/>
          </w:tcPr>
          <w:p w14:paraId="74FA1DD6" w14:textId="77777777" w:rsidR="00751AA6" w:rsidRPr="000B5C0C" w:rsidRDefault="00751AA6" w:rsidP="00AD0C9D">
            <w:pPr>
              <w:pStyle w:val="TSBodyText"/>
              <w:ind w:right="453"/>
              <w:jc w:val="right"/>
            </w:pPr>
            <w:r w:rsidRPr="000B5C0C">
              <w:t xml:space="preserve"> $41,716,088 </w:t>
            </w:r>
          </w:p>
        </w:tc>
        <w:tc>
          <w:tcPr>
            <w:tcW w:w="2055" w:type="dxa"/>
          </w:tcPr>
          <w:p w14:paraId="3A579986" w14:textId="77777777" w:rsidR="00751AA6" w:rsidRPr="000B5C0C" w:rsidRDefault="00751AA6" w:rsidP="00AD0C9D">
            <w:pPr>
              <w:pStyle w:val="TSBodyText"/>
              <w:ind w:right="453"/>
              <w:jc w:val="right"/>
            </w:pPr>
            <w:r w:rsidRPr="000B5C0C">
              <w:t xml:space="preserve"> $44,989,204 </w:t>
            </w:r>
          </w:p>
        </w:tc>
      </w:tr>
      <w:tr w:rsidR="00751AA6" w:rsidRPr="000B5C0C" w14:paraId="2FBBF0D6"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775602F5" w14:textId="4F04BBB5" w:rsidR="00751AA6" w:rsidRPr="000B5C0C" w:rsidRDefault="00751AA6" w:rsidP="00AD0C9D">
            <w:pPr>
              <w:pStyle w:val="TSBodyText"/>
            </w:pPr>
            <w:r w:rsidRPr="000B5C0C">
              <w:t xml:space="preserve"> 55</w:t>
            </w:r>
            <w:r w:rsidR="00AD0C9D">
              <w:t>–</w:t>
            </w:r>
            <w:r w:rsidRPr="000B5C0C">
              <w:t xml:space="preserve">64 </w:t>
            </w:r>
          </w:p>
        </w:tc>
        <w:tc>
          <w:tcPr>
            <w:tcW w:w="2055" w:type="dxa"/>
          </w:tcPr>
          <w:p w14:paraId="39BC5E7A" w14:textId="77777777" w:rsidR="00751AA6" w:rsidRPr="000B5C0C" w:rsidRDefault="00751AA6" w:rsidP="00AD0C9D">
            <w:pPr>
              <w:pStyle w:val="TSBodyText"/>
              <w:ind w:right="453"/>
              <w:jc w:val="right"/>
            </w:pPr>
            <w:r w:rsidRPr="000B5C0C">
              <w:t xml:space="preserve"> $56,757,602 </w:t>
            </w:r>
          </w:p>
        </w:tc>
        <w:tc>
          <w:tcPr>
            <w:tcW w:w="2055" w:type="dxa"/>
          </w:tcPr>
          <w:p w14:paraId="0A813056" w14:textId="77777777" w:rsidR="00751AA6" w:rsidRPr="000B5C0C" w:rsidRDefault="00751AA6" w:rsidP="00AD0C9D">
            <w:pPr>
              <w:pStyle w:val="TSBodyText"/>
              <w:ind w:right="453"/>
              <w:jc w:val="right"/>
            </w:pPr>
            <w:r w:rsidRPr="000B5C0C">
              <w:t xml:space="preserve"> $63,107,851 </w:t>
            </w:r>
          </w:p>
        </w:tc>
        <w:tc>
          <w:tcPr>
            <w:tcW w:w="2055" w:type="dxa"/>
          </w:tcPr>
          <w:p w14:paraId="192807B2" w14:textId="77777777" w:rsidR="00751AA6" w:rsidRPr="000B5C0C" w:rsidRDefault="00751AA6" w:rsidP="00AD0C9D">
            <w:pPr>
              <w:pStyle w:val="TSBodyText"/>
              <w:ind w:right="453"/>
              <w:jc w:val="right"/>
            </w:pPr>
            <w:r w:rsidRPr="000B5C0C">
              <w:t xml:space="preserve"> $67,851,289 </w:t>
            </w:r>
          </w:p>
        </w:tc>
      </w:tr>
      <w:tr w:rsidR="00751AA6" w:rsidRPr="000B5C0C" w14:paraId="03D6F23A" w14:textId="77777777">
        <w:tc>
          <w:tcPr>
            <w:tcW w:w="2055" w:type="dxa"/>
          </w:tcPr>
          <w:p w14:paraId="58130BEC" w14:textId="107749FE" w:rsidR="00751AA6" w:rsidRPr="000B5C0C" w:rsidRDefault="00751AA6" w:rsidP="00AD0C9D">
            <w:pPr>
              <w:pStyle w:val="TSBodyText"/>
            </w:pPr>
            <w:r w:rsidRPr="000B5C0C">
              <w:t xml:space="preserve"> 65</w:t>
            </w:r>
            <w:r w:rsidR="00AD0C9D">
              <w:t>–</w:t>
            </w:r>
            <w:r w:rsidRPr="000B5C0C">
              <w:t xml:space="preserve">74 </w:t>
            </w:r>
          </w:p>
        </w:tc>
        <w:tc>
          <w:tcPr>
            <w:tcW w:w="2055" w:type="dxa"/>
          </w:tcPr>
          <w:p w14:paraId="6DBD2FD4" w14:textId="77777777" w:rsidR="00751AA6" w:rsidRPr="000B5C0C" w:rsidRDefault="00751AA6" w:rsidP="00AD0C9D">
            <w:pPr>
              <w:pStyle w:val="TSBodyText"/>
              <w:ind w:right="453"/>
              <w:jc w:val="right"/>
            </w:pPr>
            <w:r w:rsidRPr="000B5C0C">
              <w:t xml:space="preserve"> $62,610,184 </w:t>
            </w:r>
          </w:p>
        </w:tc>
        <w:tc>
          <w:tcPr>
            <w:tcW w:w="2055" w:type="dxa"/>
          </w:tcPr>
          <w:p w14:paraId="0DE0C2B8" w14:textId="77777777" w:rsidR="00751AA6" w:rsidRPr="000B5C0C" w:rsidRDefault="00751AA6" w:rsidP="00AD0C9D">
            <w:pPr>
              <w:pStyle w:val="TSBodyText"/>
              <w:ind w:right="453"/>
              <w:jc w:val="right"/>
            </w:pPr>
            <w:r w:rsidRPr="000B5C0C">
              <w:t xml:space="preserve"> $70,552,408 </w:t>
            </w:r>
          </w:p>
        </w:tc>
        <w:tc>
          <w:tcPr>
            <w:tcW w:w="2055" w:type="dxa"/>
          </w:tcPr>
          <w:p w14:paraId="029AB323" w14:textId="77777777" w:rsidR="00751AA6" w:rsidRPr="000B5C0C" w:rsidRDefault="00751AA6" w:rsidP="00AD0C9D">
            <w:pPr>
              <w:pStyle w:val="TSBodyText"/>
              <w:ind w:right="453"/>
              <w:jc w:val="right"/>
            </w:pPr>
            <w:r w:rsidRPr="000B5C0C">
              <w:t xml:space="preserve"> $76,721,363 </w:t>
            </w:r>
          </w:p>
        </w:tc>
      </w:tr>
      <w:tr w:rsidR="00751AA6" w:rsidRPr="000B5C0C" w14:paraId="48489195"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68174A80" w14:textId="55B03A54" w:rsidR="00751AA6" w:rsidRPr="000B5C0C" w:rsidRDefault="00751AA6" w:rsidP="00AD0C9D">
            <w:pPr>
              <w:pStyle w:val="TSBodyText"/>
            </w:pPr>
            <w:r w:rsidRPr="000B5C0C">
              <w:t xml:space="preserve"> 75</w:t>
            </w:r>
            <w:r w:rsidR="00AD0C9D">
              <w:t>–</w:t>
            </w:r>
            <w:r w:rsidRPr="000B5C0C">
              <w:t xml:space="preserve">99 </w:t>
            </w:r>
          </w:p>
        </w:tc>
        <w:tc>
          <w:tcPr>
            <w:tcW w:w="2055" w:type="dxa"/>
          </w:tcPr>
          <w:p w14:paraId="60920082" w14:textId="77777777" w:rsidR="00751AA6" w:rsidRPr="000B5C0C" w:rsidRDefault="00751AA6" w:rsidP="00AD0C9D">
            <w:pPr>
              <w:pStyle w:val="TSBodyText"/>
              <w:ind w:right="453"/>
              <w:jc w:val="right"/>
            </w:pPr>
            <w:r w:rsidRPr="000B5C0C">
              <w:t xml:space="preserve"> $77,225,871 </w:t>
            </w:r>
          </w:p>
        </w:tc>
        <w:tc>
          <w:tcPr>
            <w:tcW w:w="2055" w:type="dxa"/>
          </w:tcPr>
          <w:p w14:paraId="5C2A5AFC" w14:textId="77777777" w:rsidR="00751AA6" w:rsidRPr="000B5C0C" w:rsidRDefault="00751AA6" w:rsidP="00AD0C9D">
            <w:pPr>
              <w:pStyle w:val="TSBodyText"/>
              <w:ind w:right="453"/>
              <w:jc w:val="right"/>
            </w:pPr>
            <w:r w:rsidRPr="000B5C0C">
              <w:t xml:space="preserve"> $91,808,478 </w:t>
            </w:r>
          </w:p>
        </w:tc>
        <w:tc>
          <w:tcPr>
            <w:tcW w:w="2055" w:type="dxa"/>
          </w:tcPr>
          <w:p w14:paraId="5FF154A1" w14:textId="77777777" w:rsidR="00751AA6" w:rsidRPr="000B5C0C" w:rsidRDefault="00751AA6" w:rsidP="00AD0C9D">
            <w:pPr>
              <w:pStyle w:val="TSBodyText"/>
              <w:ind w:right="453"/>
              <w:jc w:val="right"/>
            </w:pPr>
            <w:r w:rsidRPr="000B5C0C">
              <w:t xml:space="preserve"> $104,963,177 </w:t>
            </w:r>
          </w:p>
        </w:tc>
      </w:tr>
    </w:tbl>
    <w:p w14:paraId="2305ECF4" w14:textId="54BB21F1" w:rsidR="00751AA6" w:rsidRDefault="00751AA6" w:rsidP="00751AA6">
      <w:pPr>
        <w:pStyle w:val="USSource"/>
      </w:pPr>
      <w:r w:rsidRPr="00731CA6">
        <w:t xml:space="preserve">Source: </w:t>
      </w:r>
      <w:r w:rsidRPr="00B857B2">
        <w:t xml:space="preserve">NZIER, based on </w:t>
      </w:r>
      <w:proofErr w:type="spellStart"/>
      <w:r w:rsidRPr="00B857B2">
        <w:t>Te</w:t>
      </w:r>
      <w:proofErr w:type="spellEnd"/>
      <w:r w:rsidRPr="00B857B2">
        <w:t xml:space="preserve"> </w:t>
      </w:r>
      <w:proofErr w:type="spellStart"/>
      <w:r w:rsidRPr="00B857B2">
        <w:t>Whatu</w:t>
      </w:r>
      <w:proofErr w:type="spellEnd"/>
      <w:r w:rsidRPr="00B857B2">
        <w:t xml:space="preserve"> Ora data and </w:t>
      </w:r>
      <w:r w:rsidR="00782460" w:rsidRPr="00B857B2">
        <w:t>alcohol</w:t>
      </w:r>
      <w:r w:rsidR="00782460">
        <w:t>-</w:t>
      </w:r>
      <w:r w:rsidRPr="00B857B2">
        <w:t xml:space="preserve">attributable fractions from Chambers and </w:t>
      </w:r>
      <w:proofErr w:type="spellStart"/>
      <w:r w:rsidRPr="00B857B2">
        <w:t>Mizdrak</w:t>
      </w:r>
      <w:proofErr w:type="spellEnd"/>
      <w:r w:rsidRPr="00B857B2">
        <w:t xml:space="preserve"> (</w:t>
      </w:r>
      <w:r w:rsidR="00CA27A6">
        <w:t>forthcoming</w:t>
      </w:r>
      <w:r w:rsidRPr="00B857B2">
        <w:t>)</w:t>
      </w:r>
    </w:p>
    <w:p w14:paraId="0AE4A830" w14:textId="3A08D9EF" w:rsidR="004A56E5" w:rsidRDefault="004A56E5" w:rsidP="004A56E5">
      <w:pPr>
        <w:pStyle w:val="FigureCaption"/>
      </w:pPr>
      <w:bookmarkStart w:id="125" w:name="_Ref156228828"/>
      <w:bookmarkStart w:id="126" w:name="_Toc160633899"/>
      <w:r w:rsidRPr="00731CA6">
        <w:t>Figure </w:t>
      </w:r>
      <w:fldSimple w:instr=" SEQ Figure \* ARABIC ">
        <w:r w:rsidR="00AE166D">
          <w:rPr>
            <w:noProof/>
          </w:rPr>
          <w:t>11</w:t>
        </w:r>
      </w:fldSimple>
      <w:bookmarkEnd w:id="125"/>
      <w:r w:rsidRPr="00731CA6">
        <w:t xml:space="preserve"> </w:t>
      </w:r>
      <w:r>
        <w:t xml:space="preserve">Share of alcohol-attributable inpatient cost by age </w:t>
      </w:r>
      <w:proofErr w:type="gramStart"/>
      <w:r>
        <w:t>group</w:t>
      </w:r>
      <w:bookmarkEnd w:id="126"/>
      <w:proofErr w:type="gramEnd"/>
    </w:p>
    <w:p w14:paraId="1BA186B2" w14:textId="0114FEC0" w:rsidR="00751AA6" w:rsidRDefault="004A56E5" w:rsidP="004A56E5">
      <w:pPr>
        <w:pStyle w:val="CaptionSubheading"/>
      </w:pPr>
      <w:r>
        <w:t xml:space="preserve">2023 </w:t>
      </w:r>
      <w:proofErr w:type="gramStart"/>
      <w:r>
        <w:t>estimated</w:t>
      </w:r>
      <w:proofErr w:type="gramEnd"/>
    </w:p>
    <w:p w14:paraId="21F373D9" w14:textId="5535DBF8" w:rsidR="003F12E9" w:rsidRDefault="006D7030" w:rsidP="004A56E5">
      <w:pPr>
        <w:pStyle w:val="USBodyText"/>
        <w:keepNext/>
        <w:keepLines/>
      </w:pPr>
      <w:r>
        <w:rPr>
          <w:noProof/>
        </w:rPr>
        <w:drawing>
          <wp:inline distT="0" distB="0" distL="0" distR="0" wp14:anchorId="0E44AA9E" wp14:editId="3D8BBB2F">
            <wp:extent cx="3746000" cy="2247905"/>
            <wp:effectExtent l="0" t="0" r="6985" b="0"/>
            <wp:docPr id="4" name="Picture 4" descr="The chart shows bars representing the share of alcohol-attributable inpatient cost by age group in ten year groupings from 15 -24 years to 65-74 years and 75-99 years. The share increases with older age, from just over 5% in the 15-24 age group to around 27% in the 75-9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chart shows bars representing the share of alcohol-attributable inpatient cost by age group in ten year groupings from 15 -24 years to 65-74 years and 75-99 years. The share increases with older age, from just over 5% in the 15-24 age group to around 27% in the 75-99 age group."/>
                    <pic:cNvPicPr/>
                  </pic:nvPicPr>
                  <pic:blipFill>
                    <a:blip r:embed="rId36"/>
                    <a:stretch>
                      <a:fillRect/>
                    </a:stretch>
                  </pic:blipFill>
                  <pic:spPr>
                    <a:xfrm>
                      <a:off x="0" y="0"/>
                      <a:ext cx="3746000" cy="2247905"/>
                    </a:xfrm>
                    <a:prstGeom prst="rect">
                      <a:avLst/>
                    </a:prstGeom>
                  </pic:spPr>
                </pic:pic>
              </a:graphicData>
            </a:graphic>
          </wp:inline>
        </w:drawing>
      </w:r>
    </w:p>
    <w:p w14:paraId="2D991E6B" w14:textId="0E9169BA" w:rsidR="004A56E5" w:rsidRDefault="004A56E5" w:rsidP="004A56E5">
      <w:pPr>
        <w:pStyle w:val="USSource"/>
        <w:spacing w:after="480"/>
      </w:pPr>
      <w:bookmarkStart w:id="127" w:name="_Hlk148890252"/>
      <w:r w:rsidRPr="00731CA6">
        <w:t xml:space="preserve">Source: </w:t>
      </w:r>
      <w:r w:rsidRPr="00B857B2">
        <w:t xml:space="preserve">NZIER, based on </w:t>
      </w:r>
      <w:proofErr w:type="spellStart"/>
      <w:r w:rsidRPr="00B857B2">
        <w:t>Te</w:t>
      </w:r>
      <w:proofErr w:type="spellEnd"/>
      <w:r w:rsidRPr="00B857B2">
        <w:t xml:space="preserve"> </w:t>
      </w:r>
      <w:proofErr w:type="spellStart"/>
      <w:r w:rsidRPr="00B857B2">
        <w:t>Whatu</w:t>
      </w:r>
      <w:proofErr w:type="spellEnd"/>
      <w:r w:rsidRPr="00B857B2">
        <w:t xml:space="preserve"> Ora data and </w:t>
      </w:r>
      <w:r w:rsidR="00782460" w:rsidRPr="00B857B2">
        <w:t>alcohol</w:t>
      </w:r>
      <w:r w:rsidR="00782460">
        <w:t>-</w:t>
      </w:r>
      <w:r w:rsidRPr="00B857B2">
        <w:t xml:space="preserve">attributable fractions from Chambers and </w:t>
      </w:r>
      <w:proofErr w:type="spellStart"/>
      <w:r w:rsidRPr="00B857B2">
        <w:t>Mizdrak</w:t>
      </w:r>
      <w:proofErr w:type="spellEnd"/>
      <w:r w:rsidRPr="00B857B2">
        <w:t xml:space="preserve"> (</w:t>
      </w:r>
      <w:r w:rsidR="00CA27A6">
        <w:t>forthcoming</w:t>
      </w:r>
      <w:r w:rsidRPr="00B857B2">
        <w:t>)</w:t>
      </w:r>
    </w:p>
    <w:p w14:paraId="6D3DFF30" w14:textId="17D27C6F" w:rsidR="006B167C" w:rsidRPr="00094E9F" w:rsidRDefault="003801BD" w:rsidP="00490BE9">
      <w:pPr>
        <w:pStyle w:val="Heading2"/>
      </w:pPr>
      <w:bookmarkStart w:id="128" w:name="_Toc160633847"/>
      <w:bookmarkEnd w:id="127"/>
      <w:r>
        <w:t xml:space="preserve">Emergency departments experience a high burden attributable to </w:t>
      </w:r>
      <w:proofErr w:type="gramStart"/>
      <w:r>
        <w:t>alcohol</w:t>
      </w:r>
      <w:bookmarkEnd w:id="128"/>
      <w:proofErr w:type="gramEnd"/>
    </w:p>
    <w:p w14:paraId="5FB73AD6" w14:textId="04923A1F" w:rsidR="002110C5" w:rsidRDefault="00BF4E22" w:rsidP="006B167C">
      <w:pPr>
        <w:pStyle w:val="USBodyText"/>
      </w:pPr>
      <w:r w:rsidRPr="00094E9F">
        <w:t xml:space="preserve">Alcohol is often cited as a key problem in </w:t>
      </w:r>
      <w:r w:rsidR="002705CB" w:rsidRPr="00094E9F">
        <w:t xml:space="preserve">EDs around New Zealand and internationally. </w:t>
      </w:r>
      <w:r w:rsidR="00094E9F">
        <w:t xml:space="preserve">According to </w:t>
      </w:r>
      <w:r w:rsidR="00AE48BF">
        <w:t>a multi-centre study conducted in Australia and New Zealand</w:t>
      </w:r>
      <w:r w:rsidR="000E5A51">
        <w:t xml:space="preserve"> </w:t>
      </w:r>
      <w:r w:rsidR="00312753">
        <w:fldChar w:fldCharType="begin"/>
      </w:r>
      <w:r w:rsidR="00F244F6">
        <w:instrText xml:space="preserve"> ADDIN ZOTERO_ITEM CSL_CITATION {"citationID":"FdxDoFAe","properties":{"formattedCitation":"(Egerton-Warburton et al. 2018)","plainCitation":"(Egerton-Warburton et al. 2018)","noteIndex":0},"citationItems":[{"id":69480,"uris":["http://zotero.org/groups/4944822/items/ECJMIUBR"],"itemData":{"id":69480,"type":"article-journal","abstract":"Background and aims Emergency department (ED) alcohol-related presentation data are not routinely collected in Australia and New Zealand. It is likely that previous research has underestimated the numbers of patients presenting with alcohol-related conditions. This study aimed to quantify the level of alcohol harm presenting to EDs in Australia and New Zealand [Correction added on 23 Jan 2018, after first online publication: The ‘aims’ section was missing and is updated in this version]. Design Multi-centre, prospective study. Patients were screened prospectively for alcohol-related presentations during a 7-day period in December 2014. Part 1 involved screening to determine alcohol-positive ED presentations and data collection of patient demographic and clinical information. Part 2 involved a consent-based survey conducted with patients aged ≥ 14 years to perform Alcohol Use Disorders Identification Test (AUDIT) scores. Setting Eight EDs in Australia and New Zealand, representing differing hospital role delineations. Participants A total of 8652 patients aged ≥ 14 years attended and 8435 (97.5%) were screened. Measurements The main outcome measure was the proportion of patients who had an alcohol-related presentation termed ‘alcohol-positive’, using pre-defined criteria. It included injuries, intoxication, medical conditions and injuries caused by an alcohol-affected third party. Secondary outcomes included demographic and clinical information, the type of alcohol-related presentations and AUDIT scores. Findings A total of 801 [9.5%; 95% confidence interval (CI) = 8.9–10.1%] presentations were identified as alcohol-positive, ranging between 4.9 and 15.2% throughout sites. Compared with alcohol-negative patients, alcohol-positive patients were more likely to be male [odds ratio (OR) = 1.90, 95% CI = 1.63–2.21], younger (median age 37 versus 46 years, P &lt; 0.0001), arrive by ambulance (OR = 1.94, 95% CI = 1.68–2.25) or police/correctional vehicle (OR = 4.56, 95% CI = 3.05–6.81) and require immediate treatment (OR = 3.20, 95% CI = 2.03–05.06). The median AUDIT score was 16 (interquartile range = 10–24). Conclusions Almost one in 10 presentations to emergency departments in Australia and New Zealand are alcohol related.","container-title":"Addiction","DOI":"10.1111/add.14109","ISSN":"1360-0443","issue":"4","language":"en","license":"© 2017 Society for the Study of Addiction","note":"_eprint: https://onlinelibrary.wiley.com/doi/pdf/10.1111/add.14109","page":"623-632","source":"Wiley Online Library","title":"Alcohol-related harm in emergency departments: a prospective, multi-centre study","title-short":"Alcohol-related harm in emergency departments","volume":"113","author":[{"family":"Egerton-Warburton","given":"Diana"},{"family":"Gosbell","given":"Andrew"},{"family":"Moore","given":"Katie"},{"family":"Wadsworth","given":"Angela"},{"family":"Richardson","given":"Drew"},{"family":"Fatovich","given":"Daniel M."}],"issued":{"date-parts":[["2018"]]}}}],"schema":"https://github.com/citation-style-language/schema/raw/master/csl-citation.json"} </w:instrText>
      </w:r>
      <w:r w:rsidR="00312753">
        <w:fldChar w:fldCharType="separate"/>
      </w:r>
      <w:r w:rsidR="0056273D" w:rsidRPr="0056273D">
        <w:rPr>
          <w:rFonts w:cs="Calibri"/>
        </w:rPr>
        <w:t>(Egerton-Warburton et al. 2018)</w:t>
      </w:r>
      <w:r w:rsidR="00312753">
        <w:fldChar w:fldCharType="end"/>
      </w:r>
      <w:r w:rsidR="00AE48BF">
        <w:t xml:space="preserve">, </w:t>
      </w:r>
      <w:r w:rsidR="002110C5">
        <w:t>ED p</w:t>
      </w:r>
      <w:r w:rsidR="006B167C" w:rsidRPr="00094E9F">
        <w:t>atients with alcohol-related harm</w:t>
      </w:r>
      <w:r w:rsidR="002110C5">
        <w:t>:</w:t>
      </w:r>
    </w:p>
    <w:p w14:paraId="01E3CEDB" w14:textId="128FE3E9" w:rsidR="00B72BA4" w:rsidRDefault="006B167C" w:rsidP="002110C5">
      <w:pPr>
        <w:pStyle w:val="USBullet1"/>
      </w:pPr>
      <w:r w:rsidRPr="00094E9F">
        <w:t>were more likely to be younger</w:t>
      </w:r>
      <w:r w:rsidR="008955F6">
        <w:t xml:space="preserve"> and </w:t>
      </w:r>
      <w:proofErr w:type="gramStart"/>
      <w:r w:rsidR="008955F6">
        <w:t>male</w:t>
      </w:r>
      <w:proofErr w:type="gramEnd"/>
    </w:p>
    <w:p w14:paraId="3A8F9356" w14:textId="0C93B6D2" w:rsidR="008955F6" w:rsidRDefault="008955F6" w:rsidP="002110C5">
      <w:pPr>
        <w:pStyle w:val="USBullet1"/>
      </w:pPr>
      <w:r>
        <w:t xml:space="preserve">were highly likely (64 percent) to still be intoxicated </w:t>
      </w:r>
      <w:r w:rsidR="002646B4">
        <w:t xml:space="preserve">at the time of presentation to the </w:t>
      </w:r>
      <w:proofErr w:type="gramStart"/>
      <w:r w:rsidR="002646B4">
        <w:t>ED</w:t>
      </w:r>
      <w:proofErr w:type="gramEnd"/>
    </w:p>
    <w:p w14:paraId="13732E80" w14:textId="77777777" w:rsidR="00B72BA4" w:rsidRDefault="00B72BA4" w:rsidP="002110C5">
      <w:pPr>
        <w:pStyle w:val="USBullet1"/>
      </w:pPr>
      <w:r>
        <w:t xml:space="preserve">were more likely to be </w:t>
      </w:r>
      <w:r w:rsidR="006B167C" w:rsidRPr="00094E9F">
        <w:t xml:space="preserve">triaged for immediate </w:t>
      </w:r>
      <w:proofErr w:type="gramStart"/>
      <w:r w:rsidR="006B167C" w:rsidRPr="00094E9F">
        <w:t>care</w:t>
      </w:r>
      <w:proofErr w:type="gramEnd"/>
      <w:r w:rsidR="006B167C" w:rsidRPr="00094E9F">
        <w:t xml:space="preserve"> </w:t>
      </w:r>
    </w:p>
    <w:p w14:paraId="6335FB30" w14:textId="7B91BC63" w:rsidR="00B72BA4" w:rsidRDefault="00B72BA4" w:rsidP="002110C5">
      <w:pPr>
        <w:pStyle w:val="USBullet1"/>
      </w:pPr>
      <w:r>
        <w:t xml:space="preserve">were more likely to </w:t>
      </w:r>
      <w:r w:rsidR="006B167C" w:rsidRPr="00094E9F">
        <w:t xml:space="preserve">arrive via ambulance or </w:t>
      </w:r>
      <w:proofErr w:type="gramStart"/>
      <w:r w:rsidR="001235A3">
        <w:t>P</w:t>
      </w:r>
      <w:r w:rsidR="006B167C" w:rsidRPr="00094E9F">
        <w:t>olice</w:t>
      </w:r>
      <w:proofErr w:type="gramEnd"/>
    </w:p>
    <w:p w14:paraId="5343158C" w14:textId="77777777" w:rsidR="00B72BA4" w:rsidRDefault="00B72BA4" w:rsidP="002110C5">
      <w:pPr>
        <w:pStyle w:val="USBullet1"/>
      </w:pPr>
      <w:r>
        <w:t>were</w:t>
      </w:r>
      <w:r w:rsidR="006B167C" w:rsidRPr="00094E9F">
        <w:t xml:space="preserve"> resource-</w:t>
      </w:r>
      <w:proofErr w:type="gramStart"/>
      <w:r w:rsidR="006B167C" w:rsidRPr="00094E9F">
        <w:t>intensive</w:t>
      </w:r>
      <w:proofErr w:type="gramEnd"/>
    </w:p>
    <w:p w14:paraId="5BE862BA" w14:textId="557843C7" w:rsidR="00B63FC1" w:rsidRDefault="00B63FC1" w:rsidP="002110C5">
      <w:pPr>
        <w:pStyle w:val="USBullet1"/>
      </w:pPr>
      <w:r>
        <w:lastRenderedPageBreak/>
        <w:t>d</w:t>
      </w:r>
      <w:r w:rsidR="008955F6">
        <w:t>i</w:t>
      </w:r>
      <w:r>
        <w:t>srupted</w:t>
      </w:r>
      <w:r w:rsidR="006B167C" w:rsidRPr="00094E9F">
        <w:t xml:space="preserve"> the function of the </w:t>
      </w:r>
      <w:proofErr w:type="gramStart"/>
      <w:r w:rsidR="006B167C" w:rsidRPr="00094E9F">
        <w:t>ED</w:t>
      </w:r>
      <w:proofErr w:type="gramEnd"/>
      <w:r w:rsidR="006B167C" w:rsidRPr="00094E9F">
        <w:t xml:space="preserve"> </w:t>
      </w:r>
    </w:p>
    <w:p w14:paraId="60BDBFFB" w14:textId="77777777" w:rsidR="00B63FC1" w:rsidRDefault="006B167C" w:rsidP="002110C5">
      <w:pPr>
        <w:pStyle w:val="USBullet1"/>
      </w:pPr>
      <w:r w:rsidRPr="00094E9F">
        <w:t>impact</w:t>
      </w:r>
      <w:r w:rsidR="00B63FC1">
        <w:t>ed</w:t>
      </w:r>
      <w:r w:rsidRPr="00094E9F">
        <w:t xml:space="preserve"> negatively on the care </w:t>
      </w:r>
      <w:r w:rsidR="00B63FC1">
        <w:t>received by</w:t>
      </w:r>
      <w:r w:rsidRPr="00094E9F">
        <w:t xml:space="preserve"> other patients. </w:t>
      </w:r>
    </w:p>
    <w:p w14:paraId="233E1075" w14:textId="2AF68F57" w:rsidR="00DE3BEA" w:rsidRDefault="003F4A55" w:rsidP="00B63FC1">
      <w:pPr>
        <w:pStyle w:val="USBodyText"/>
      </w:pPr>
      <w:r>
        <w:t>The</w:t>
      </w:r>
      <w:r w:rsidR="00DE3BEA">
        <w:t xml:space="preserve"> study estimated that approximately 10 percent of the weekly ED workload was </w:t>
      </w:r>
      <w:proofErr w:type="gramStart"/>
      <w:r>
        <w:t>alcohol</w:t>
      </w:r>
      <w:r w:rsidR="00B53DA6">
        <w:t>-related</w:t>
      </w:r>
      <w:proofErr w:type="gramEnd"/>
      <w:r>
        <w:t xml:space="preserve">. </w:t>
      </w:r>
    </w:p>
    <w:p w14:paraId="2F27F70D" w14:textId="2345AC3F" w:rsidR="00626422" w:rsidRDefault="00626422" w:rsidP="003150A0">
      <w:pPr>
        <w:pStyle w:val="Heading3"/>
      </w:pPr>
      <w:r>
        <w:t>Youth alcohol-related E</w:t>
      </w:r>
      <w:r w:rsidR="00EE49B3">
        <w:t xml:space="preserve">mergency </w:t>
      </w:r>
      <w:r>
        <w:t>D</w:t>
      </w:r>
      <w:r w:rsidR="00EE49B3">
        <w:t>epartment</w:t>
      </w:r>
      <w:r>
        <w:t xml:space="preserve"> presentations are a key </w:t>
      </w:r>
      <w:proofErr w:type="gramStart"/>
      <w:r>
        <w:t>concern</w:t>
      </w:r>
      <w:proofErr w:type="gramEnd"/>
    </w:p>
    <w:p w14:paraId="4905B77D" w14:textId="17A8EF42" w:rsidR="00FA1A66" w:rsidRDefault="006317E6" w:rsidP="006B167C">
      <w:pPr>
        <w:pStyle w:val="USBodyText"/>
      </w:pPr>
      <w:r>
        <w:t>The Ministry of Health collects data from N</w:t>
      </w:r>
      <w:r w:rsidR="00F77B78">
        <w:t xml:space="preserve">ew Zealand </w:t>
      </w:r>
      <w:r w:rsidR="00EE49B3">
        <w:t xml:space="preserve">EDs </w:t>
      </w:r>
      <w:r>
        <w:t>recording staff assessment</w:t>
      </w:r>
      <w:r w:rsidR="0056273D">
        <w:t>s</w:t>
      </w:r>
      <w:r>
        <w:t xml:space="preserve"> of the</w:t>
      </w:r>
      <w:r w:rsidR="00F77B78">
        <w:t xml:space="preserve"> involvement of alcohol in youth ED presentations</w:t>
      </w:r>
      <w:r w:rsidR="00EE57BE">
        <w:t>, which may or may not result in inpatient hospitalisation. While the data present</w:t>
      </w:r>
      <w:r w:rsidR="00230FCA">
        <w:t>s</w:t>
      </w:r>
      <w:r w:rsidR="00EE57BE">
        <w:t xml:space="preserve"> an interesting view of the </w:t>
      </w:r>
      <w:r w:rsidR="003F7E30">
        <w:t>prevalence of alcohol involvement in ED presentations, it</w:t>
      </w:r>
      <w:r w:rsidR="00230FCA">
        <w:t xml:space="preserve"> also</w:t>
      </w:r>
      <w:r w:rsidR="003F7E30">
        <w:t xml:space="preserve"> illustrate</w:t>
      </w:r>
      <w:r w:rsidR="00230FCA">
        <w:t>s</w:t>
      </w:r>
      <w:r w:rsidR="003F7E30">
        <w:t xml:space="preserve"> the difficulty of identifying the involvement of alcohol in </w:t>
      </w:r>
      <w:r w:rsidR="00D11D5B">
        <w:t xml:space="preserve">this context. </w:t>
      </w:r>
    </w:p>
    <w:p w14:paraId="649A751E" w14:textId="2829B4D7" w:rsidR="00C765AC" w:rsidRDefault="00C765AC" w:rsidP="00C765AC">
      <w:pPr>
        <w:pStyle w:val="USBodyText"/>
      </w:pPr>
      <w:r>
        <w:t xml:space="preserve">The data is collected </w:t>
      </w:r>
      <w:r w:rsidR="00C24655">
        <w:t>in</w:t>
      </w:r>
      <w:r>
        <w:t xml:space="preserve"> an ‘alcohol involved field’ on patients</w:t>
      </w:r>
      <w:r w:rsidR="00C24655">
        <w:t>’ records</w:t>
      </w:r>
      <w:r>
        <w:t xml:space="preserve">, </w:t>
      </w:r>
      <w:r w:rsidR="00C24655">
        <w:t xml:space="preserve">with </w:t>
      </w:r>
      <w:r>
        <w:t xml:space="preserve">ED clinical staff required to determine “is alcohol associated with this presentation?”. </w:t>
      </w:r>
      <w:r w:rsidR="009D5577">
        <w:t>The data can be collected by any</w:t>
      </w:r>
      <w:r>
        <w:t xml:space="preserve"> </w:t>
      </w:r>
      <w:r w:rsidR="00234908">
        <w:t>clinical staff member</w:t>
      </w:r>
      <w:r w:rsidR="004B7877">
        <w:t>,</w:t>
      </w:r>
      <w:r>
        <w:t xml:space="preserve"> including triage nurses, patients’ nurses, charge nurses or doctors. It is a mandatory field in the patient management system</w:t>
      </w:r>
      <w:r w:rsidR="00234908">
        <w:t>, and the visit cannot be completed until the question is answer</w:t>
      </w:r>
      <w:r>
        <w:t>ed. There are four available alcohol consumption response options recorded:</w:t>
      </w:r>
    </w:p>
    <w:p w14:paraId="59B339B4" w14:textId="77777777" w:rsidR="00C765AC" w:rsidRDefault="00C765AC" w:rsidP="003150A0">
      <w:pPr>
        <w:pStyle w:val="USBullet1"/>
      </w:pPr>
      <w:r>
        <w:t>Yes: associated with this presentation</w:t>
      </w:r>
    </w:p>
    <w:p w14:paraId="4BB98D79" w14:textId="77777777" w:rsidR="00C765AC" w:rsidRDefault="00C765AC" w:rsidP="003150A0">
      <w:pPr>
        <w:pStyle w:val="USBullet1"/>
      </w:pPr>
      <w:r>
        <w:t>Secondary: a consequence of others’ consumption</w:t>
      </w:r>
    </w:p>
    <w:p w14:paraId="2875480E" w14:textId="77777777" w:rsidR="00C765AC" w:rsidRDefault="00C765AC" w:rsidP="003150A0">
      <w:pPr>
        <w:pStyle w:val="USBullet1"/>
      </w:pPr>
      <w:r>
        <w:t>No: not directly associated with the presentation</w:t>
      </w:r>
    </w:p>
    <w:p w14:paraId="365A068C" w14:textId="7511BD4C" w:rsidR="00C765AC" w:rsidRDefault="00C765AC" w:rsidP="003150A0">
      <w:pPr>
        <w:pStyle w:val="USBullet1"/>
      </w:pPr>
      <w:r>
        <w:t>Unknown: not known or could not be determined</w:t>
      </w:r>
      <w:r w:rsidR="004B7877">
        <w:t>.</w:t>
      </w:r>
    </w:p>
    <w:p w14:paraId="7426760E" w14:textId="44CD8F3B" w:rsidR="00C765AC" w:rsidRDefault="009D5577" w:rsidP="00C765AC">
      <w:pPr>
        <w:pStyle w:val="USBodyText"/>
      </w:pPr>
      <w:r>
        <w:t>I</w:t>
      </w:r>
      <w:r w:rsidR="003265CD">
        <w:t>n</w:t>
      </w:r>
      <w:r>
        <w:t xml:space="preserve"> </w:t>
      </w:r>
      <w:r w:rsidR="00234908">
        <w:t>deciding</w:t>
      </w:r>
      <w:r>
        <w:t xml:space="preserve"> </w:t>
      </w:r>
      <w:r w:rsidR="00234908">
        <w:t xml:space="preserve">on </w:t>
      </w:r>
      <w:r>
        <w:t xml:space="preserve">the </w:t>
      </w:r>
      <w:r w:rsidR="003265CD">
        <w:t>involvement of</w:t>
      </w:r>
      <w:r w:rsidR="00C765AC">
        <w:t xml:space="preserve"> alcohol, both acute and usual use of alcohol are considered</w:t>
      </w:r>
      <w:r w:rsidR="003265CD">
        <w:t xml:space="preserve">. </w:t>
      </w:r>
      <w:r w:rsidR="00C765AC">
        <w:t xml:space="preserve">Staff </w:t>
      </w:r>
      <w:r w:rsidR="003265CD">
        <w:t>a</w:t>
      </w:r>
      <w:r w:rsidR="00C765AC">
        <w:t>re directed to ask about alcohol involvement if patients present with an injury or overdose</w:t>
      </w:r>
      <w:r w:rsidR="003265CD">
        <w:t>.</w:t>
      </w:r>
      <w:r w:rsidR="00C765AC">
        <w:t xml:space="preserve"> </w:t>
      </w:r>
      <w:r w:rsidR="003265CD">
        <w:t>I</w:t>
      </w:r>
      <w:r w:rsidR="00C765AC">
        <w:t xml:space="preserve">f staff </w:t>
      </w:r>
      <w:r w:rsidR="00D04927">
        <w:t>do</w:t>
      </w:r>
      <w:r w:rsidR="00C765AC">
        <w:t xml:space="preserve"> not ask about alcohol </w:t>
      </w:r>
      <w:r w:rsidR="00D04927">
        <w:t>consump</w:t>
      </w:r>
      <w:r w:rsidR="00C765AC">
        <w:t>tion</w:t>
      </w:r>
      <w:r w:rsidR="00D04927">
        <w:t>,</w:t>
      </w:r>
      <w:r w:rsidR="00C765AC">
        <w:t xml:space="preserve"> then they record the response as ‘unknown’. For all other presentations, staff use their judgement regarding alcoho</w:t>
      </w:r>
      <w:r w:rsidR="00EC2F3F">
        <w:t>l’s</w:t>
      </w:r>
      <w:r w:rsidR="00C765AC">
        <w:t xml:space="preserve"> involvement.</w:t>
      </w:r>
    </w:p>
    <w:p w14:paraId="45B4E531" w14:textId="4CFFECC2" w:rsidR="00D11D5B" w:rsidRDefault="00D11D5B" w:rsidP="006B167C">
      <w:pPr>
        <w:pStyle w:val="USBodyText"/>
      </w:pPr>
      <w:r>
        <w:t>On average</w:t>
      </w:r>
      <w:r w:rsidR="007E5593">
        <w:t>,</w:t>
      </w:r>
      <w:r>
        <w:t xml:space="preserve"> across the </w:t>
      </w:r>
      <w:r w:rsidR="004B1C7D">
        <w:t xml:space="preserve">four quarters from </w:t>
      </w:r>
      <w:r w:rsidR="0016643B">
        <w:t xml:space="preserve">October 2021 to September 2022, the </w:t>
      </w:r>
      <w:r w:rsidR="00B8103C">
        <w:t xml:space="preserve">percentage of ED presentations for people aged 10 to 24 years </w:t>
      </w:r>
      <w:r w:rsidR="009038B7">
        <w:t>where ED staff recorded</w:t>
      </w:r>
      <w:r w:rsidR="00B8103C">
        <w:t xml:space="preserve"> a “yes or unknown” </w:t>
      </w:r>
      <w:r w:rsidR="009038B7">
        <w:t>response as to whether alcohol was involved</w:t>
      </w:r>
      <w:r w:rsidR="00A332C6">
        <w:t xml:space="preserve"> was </w:t>
      </w:r>
      <w:r w:rsidR="00AA1262">
        <w:t xml:space="preserve">21.5 percent. </w:t>
      </w:r>
      <w:r w:rsidR="00757B77">
        <w:t xml:space="preserve">But the average for the same four quarters where ED staff recorded a “yes” response as to whether alcohol was involved was </w:t>
      </w:r>
      <w:r w:rsidR="00CE2EF9">
        <w:t xml:space="preserve">2.8 percent. These results indicate that uncertainty as to the involvement of alcohol in youth ED presentations </w:t>
      </w:r>
      <w:r w:rsidR="00230FCA">
        <w:t xml:space="preserve">is far greater than the rate </w:t>
      </w:r>
      <w:r w:rsidR="003F64B2">
        <w:t xml:space="preserve">where alcohol </w:t>
      </w:r>
      <w:r w:rsidR="00B1383F">
        <w:t>could be confidently identified as being involved</w:t>
      </w:r>
      <w:r w:rsidR="001C27C9">
        <w:t xml:space="preserve"> and that this uncertainty is due to ED staff not </w:t>
      </w:r>
      <w:r w:rsidR="00673623">
        <w:t>asking the patient about alcohol consumption</w:t>
      </w:r>
      <w:r w:rsidR="00B1383F">
        <w:t>.</w:t>
      </w:r>
    </w:p>
    <w:p w14:paraId="7B1D3CEA" w14:textId="58E8D032" w:rsidR="00230FCA" w:rsidRDefault="00B1383F" w:rsidP="006B167C">
      <w:pPr>
        <w:pStyle w:val="USBodyText"/>
      </w:pPr>
      <w:r>
        <w:t xml:space="preserve">This data also </w:t>
      </w:r>
      <w:r w:rsidR="00230FCA" w:rsidRPr="00230FCA">
        <w:t xml:space="preserve">does not permit causal attribution </w:t>
      </w:r>
      <w:r>
        <w:t>of the ED presentation to alcohol specifically</w:t>
      </w:r>
      <w:r w:rsidR="00583876">
        <w:t>.</w:t>
      </w:r>
    </w:p>
    <w:p w14:paraId="5A62D76D" w14:textId="2E2A5494" w:rsidR="00583876" w:rsidRDefault="001C182E" w:rsidP="006B167C">
      <w:pPr>
        <w:pStyle w:val="USBodyText"/>
      </w:pPr>
      <w:r>
        <w:t>A</w:t>
      </w:r>
      <w:r w:rsidR="00583876">
        <w:t xml:space="preserve">s a </w:t>
      </w:r>
      <w:proofErr w:type="gramStart"/>
      <w:r w:rsidR="00583876">
        <w:t>time</w:t>
      </w:r>
      <w:proofErr w:type="gramEnd"/>
      <w:r w:rsidR="00583876">
        <w:t xml:space="preserve"> series, the data identifies that</w:t>
      </w:r>
      <w:r w:rsidR="00D327CD">
        <w:t xml:space="preserve"> subsequent to a change in recording practice from 2017/18, </w:t>
      </w:r>
      <w:r w:rsidR="00FE7F81">
        <w:t xml:space="preserve">rates of “yes or unknown” responses saw a decline and then have remained relatively constant </w:t>
      </w:r>
      <w:r w:rsidR="00AF2008">
        <w:t>since 2019</w:t>
      </w:r>
      <w:r w:rsidR="004B7877">
        <w:t>,</w:t>
      </w:r>
      <w:r w:rsidR="00AF2008">
        <w:t xml:space="preserve"> while rates of “yes” responses have seen some variability but </w:t>
      </w:r>
      <w:r w:rsidR="00DA08CF">
        <w:t>remain at approximately the same level</w:t>
      </w:r>
      <w:r w:rsidR="005B5AD4">
        <w:t xml:space="preserve"> (see </w:t>
      </w:r>
      <w:r w:rsidR="005B5AD4">
        <w:fldChar w:fldCharType="begin"/>
      </w:r>
      <w:r w:rsidR="005B5AD4">
        <w:instrText xml:space="preserve"> REF _Ref156228859 \h </w:instrText>
      </w:r>
      <w:r w:rsidR="005B5AD4">
        <w:fldChar w:fldCharType="separate"/>
      </w:r>
      <w:r w:rsidR="00AE166D" w:rsidRPr="00731CA6">
        <w:t>Figure </w:t>
      </w:r>
      <w:r w:rsidR="00AE166D">
        <w:rPr>
          <w:noProof/>
        </w:rPr>
        <w:t>12</w:t>
      </w:r>
      <w:r w:rsidR="005B5AD4">
        <w:fldChar w:fldCharType="end"/>
      </w:r>
      <w:r w:rsidR="005B5AD4">
        <w:t xml:space="preserve"> below)</w:t>
      </w:r>
      <w:r w:rsidR="00DA08CF">
        <w:t xml:space="preserve">. </w:t>
      </w:r>
    </w:p>
    <w:p w14:paraId="02A99645" w14:textId="42D2D63D" w:rsidR="001C182E" w:rsidRPr="00731CA6" w:rsidRDefault="001C182E" w:rsidP="001C182E">
      <w:pPr>
        <w:pStyle w:val="FigureCaption"/>
      </w:pPr>
      <w:bookmarkStart w:id="129" w:name="_Ref156228859"/>
      <w:bookmarkStart w:id="130" w:name="_Toc160633900"/>
      <w:r w:rsidRPr="00731CA6">
        <w:lastRenderedPageBreak/>
        <w:t>Figure </w:t>
      </w:r>
      <w:fldSimple w:instr=" SEQ Figure \* ARABIC ">
        <w:r w:rsidR="00AE166D">
          <w:rPr>
            <w:noProof/>
          </w:rPr>
          <w:t>12</w:t>
        </w:r>
      </w:fldSimple>
      <w:bookmarkEnd w:id="129"/>
      <w:r w:rsidRPr="00731CA6">
        <w:t xml:space="preserve"> </w:t>
      </w:r>
      <w:r>
        <w:t>Rates of E</w:t>
      </w:r>
      <w:r w:rsidR="00C874B1">
        <w:t xml:space="preserve">mergency </w:t>
      </w:r>
      <w:r>
        <w:t>D</w:t>
      </w:r>
      <w:r w:rsidR="00C874B1">
        <w:t>epartment</w:t>
      </w:r>
      <w:r>
        <w:t xml:space="preserve"> </w:t>
      </w:r>
      <w:proofErr w:type="gramStart"/>
      <w:r>
        <w:t>staff-recorded</w:t>
      </w:r>
      <w:proofErr w:type="gramEnd"/>
      <w:r>
        <w:t xml:space="preserve"> “Yes or Unknown” and “Yes” for </w:t>
      </w:r>
      <w:r w:rsidR="004B7877">
        <w:t xml:space="preserve">the </w:t>
      </w:r>
      <w:r>
        <w:t>involvement of alcohol in youth ED presentations</w:t>
      </w:r>
      <w:bookmarkEnd w:id="130"/>
    </w:p>
    <w:p w14:paraId="21020C09" w14:textId="640DCED3" w:rsidR="009B3BED" w:rsidRDefault="009B3BED" w:rsidP="001C182E">
      <w:pPr>
        <w:pStyle w:val="FigureCaption"/>
      </w:pPr>
      <w:r>
        <w:rPr>
          <w:noProof/>
        </w:rPr>
        <w:drawing>
          <wp:inline distT="0" distB="0" distL="0" distR="0" wp14:anchorId="7AF1A043" wp14:editId="6626920D">
            <wp:extent cx="5053304" cy="3190875"/>
            <wp:effectExtent l="0" t="0" r="0" b="0"/>
            <wp:docPr id="400735980" name="Picture 400735980" descr="The chart shows two lines depicting the “Yes” or “unknown” rate and the “Yes” rate. One line shows that the Yes rate has been fairly stable at around 4% since a change in recording practice (in 2017, depicted by a red dotted vertical line) was implemented and increased the recorded rate.  The other line shows that the Yes or unknown rate, after a sudden rise corresponding to the change in recording practice, has generally fallen from over 40% in 2017 to around 20% in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5980" name="Picture 400735980" descr="The chart shows two lines depicting the “Yes” or “unknown” rate and the “Yes” rate. One line shows that the Yes rate has been fairly stable at around 4% since a change in recording practice (in 2017, depicted by a red dotted vertical line) was implemented and increased the recorded rate.  The other line shows that the Yes or unknown rate, after a sudden rise corresponding to the change in recording practice, has generally fallen from over 40% in 2017 to around 20% in 2022.">
                      <a:extLst>
                        <a:ext uri="{C183D7F6-B498-43B3-948B-1728B52AA6E4}">
                          <adec:decorative xmlns:adec="http://schemas.microsoft.com/office/drawing/2017/decorative" val="0"/>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833" cy="3193735"/>
                    </a:xfrm>
                    <a:prstGeom prst="rect">
                      <a:avLst/>
                    </a:prstGeom>
                    <a:noFill/>
                  </pic:spPr>
                </pic:pic>
              </a:graphicData>
            </a:graphic>
          </wp:inline>
        </w:drawing>
      </w:r>
    </w:p>
    <w:p w14:paraId="3566777D" w14:textId="05A50665" w:rsidR="009B3BED" w:rsidRDefault="009B3BED" w:rsidP="009B3BED">
      <w:pPr>
        <w:pStyle w:val="USSource"/>
        <w:spacing w:after="120"/>
      </w:pPr>
      <w:r>
        <w:t>Note: A change in recording practice was implemented in 2017</w:t>
      </w:r>
      <w:r w:rsidR="003A1D84">
        <w:t xml:space="preserve"> (red dashed line)</w:t>
      </w:r>
      <w:r>
        <w:t>, resulting in incomparability for results before and after this period.</w:t>
      </w:r>
    </w:p>
    <w:p w14:paraId="3702BB6C" w14:textId="77777777" w:rsidR="001C182E" w:rsidRDefault="001C182E" w:rsidP="001C182E">
      <w:pPr>
        <w:pStyle w:val="USSource"/>
      </w:pPr>
      <w:r w:rsidRPr="00731CA6">
        <w:t xml:space="preserve">Source: </w:t>
      </w:r>
      <w:r>
        <w:t>Ministry of Health</w:t>
      </w:r>
    </w:p>
    <w:p w14:paraId="2125E54D" w14:textId="4D81BAE7" w:rsidR="00741B38" w:rsidRDefault="00741B38" w:rsidP="00741B38">
      <w:pPr>
        <w:pStyle w:val="Heading3"/>
      </w:pPr>
      <w:r>
        <w:t>All alcohol-related E</w:t>
      </w:r>
      <w:r w:rsidR="00585D65">
        <w:t>mergency Department</w:t>
      </w:r>
      <w:r>
        <w:t xml:space="preserve"> </w:t>
      </w:r>
      <w:r w:rsidR="00585D65">
        <w:t>visits</w:t>
      </w:r>
    </w:p>
    <w:p w14:paraId="226C1383" w14:textId="6B5AB138" w:rsidR="00585D65" w:rsidRDefault="00741B38" w:rsidP="000C6D65">
      <w:pPr>
        <w:pStyle w:val="USBodyText"/>
      </w:pPr>
      <w:r>
        <w:t xml:space="preserve">A study based in Auckland </w:t>
      </w:r>
      <w:r w:rsidR="00E8293A" w:rsidRPr="002D608F">
        <w:t>H</w:t>
      </w:r>
      <w:r w:rsidRPr="002D608F">
        <w:t xml:space="preserve">ospital </w:t>
      </w:r>
      <w:r w:rsidR="00261926" w:rsidRPr="002D608F">
        <w:fldChar w:fldCharType="begin"/>
      </w:r>
      <w:r w:rsidR="00F244F6">
        <w:instrText xml:space="preserve"> ADDIN ZOTERO_ITEM CSL_CITATION {"citationID":"C624gr2d","properties":{"formattedCitation":"(Svensen, Kool, and Buller 2019)","plainCitation":"(Svensen, Kool, and Buller 2019)","noteIndex":0},"citationItems":[{"id":70379,"uris":["http://zotero.org/groups/4944822/items/AY4WYB7T"],"itemData":{"id":70379,"type":"article-journal","abstract":"AIMS: This cross-sectional observational study presents a focused analysis of alcohol-related presentations (ARPs) to a major New Zealand emergency department (ED) with the aim of describing and comparing the profile and outcomes of these presentations.\nMETHODS: A secondary analysis of 12 months (November 2017 to October 2018) of electronic patient records of adult (≥15 years) presentations to the Auckland City Hospital Adult ED. The primary area of interest was patient's alcohol-related status. Additional information reviewed included: patient demographics, and features of the presentation such as time of presentation, triage category and discharge disposition.\nRESULTS: Among 73,381 presentations, 7% (n=5,130) were alcohol-related, the majority were male (65%) and aged 20-39 (52%). ARPs were more frequent at night, during the weekends, public holidays and over the summer months. Sixteen percent of injury-related presentations were alcohol-related. ARPs commonly arrived at the ED via emergency services and had a longer length of stay than non-ARPs.\nCONCLUSIONS: The findings from this study highlight the burden of alcohol misuse on the ED. Continued public health efforts are required to implement preventative strategies for alcohol-related harm in the ED and society as a whole.","container-title":"The New Zealand Medical Journal","ISSN":"1175-8716","issue":"1504","journalAbbreviation":"N Z Med J","language":"eng","note":"PMID: 31647795","page":"56-66","source":"PubMed","title":"The burden of alcohol-related presentations to a busy urban New Zealand hospital emergency department","volume":"132","author":[{"family":"Svensen","given":"Georgina"},{"family":"Kool","given":"Bridget"},{"family":"Buller","given":"Sarah"}],"issued":{"date-parts":[["2019",10,25]]}}}],"schema":"https://github.com/citation-style-language/schema/raw/master/csl-citation.json"} </w:instrText>
      </w:r>
      <w:r w:rsidR="00261926" w:rsidRPr="002D608F">
        <w:fldChar w:fldCharType="separate"/>
      </w:r>
      <w:r w:rsidR="00261926" w:rsidRPr="002D608F">
        <w:rPr>
          <w:rFonts w:cs="Calibri"/>
        </w:rPr>
        <w:t>(</w:t>
      </w:r>
      <w:bookmarkStart w:id="131" w:name="_Hlk153464886"/>
      <w:proofErr w:type="spellStart"/>
      <w:r w:rsidR="00261926" w:rsidRPr="002D608F">
        <w:rPr>
          <w:rFonts w:cs="Calibri"/>
        </w:rPr>
        <w:t>Svensen</w:t>
      </w:r>
      <w:proofErr w:type="spellEnd"/>
      <w:r w:rsidR="00261926" w:rsidRPr="002D608F">
        <w:rPr>
          <w:rFonts w:cs="Calibri"/>
        </w:rPr>
        <w:t>, Kool, and Buller 2019</w:t>
      </w:r>
      <w:bookmarkEnd w:id="131"/>
      <w:r w:rsidR="00261926" w:rsidRPr="002D608F">
        <w:rPr>
          <w:rFonts w:cs="Calibri"/>
        </w:rPr>
        <w:t>)</w:t>
      </w:r>
      <w:r w:rsidR="00261926" w:rsidRPr="002D608F">
        <w:fldChar w:fldCharType="end"/>
      </w:r>
      <w:r w:rsidR="000C6D65" w:rsidRPr="002D608F">
        <w:t xml:space="preserve"> </w:t>
      </w:r>
      <w:r w:rsidRPr="002D608F">
        <w:t>used the</w:t>
      </w:r>
      <w:r>
        <w:t xml:space="preserve"> same recording methodology as is used for youth ED presentations to identify </w:t>
      </w:r>
      <w:r w:rsidR="002C47CE">
        <w:t>all ED presentations that are alcohol-related.</w:t>
      </w:r>
      <w:r w:rsidR="000C6D65">
        <w:t xml:space="preserve"> That study found that</w:t>
      </w:r>
      <w:r w:rsidR="00BF1282">
        <w:t>:</w:t>
      </w:r>
      <w:r w:rsidR="000C6D65">
        <w:t xml:space="preserve"> </w:t>
      </w:r>
    </w:p>
    <w:p w14:paraId="70FF3F1D" w14:textId="29337BA6" w:rsidR="00585D65" w:rsidRDefault="0039433B" w:rsidP="00585D65">
      <w:pPr>
        <w:pStyle w:val="USBullet1"/>
      </w:pPr>
      <w:r>
        <w:t>7</w:t>
      </w:r>
      <w:r w:rsidR="00D40949">
        <w:t xml:space="preserve"> </w:t>
      </w:r>
      <w:r w:rsidR="00585D65">
        <w:t>percent of ED presentations</w:t>
      </w:r>
      <w:r w:rsidR="00585D65" w:rsidRPr="00585D65">
        <w:t xml:space="preserve"> were alcohol-</w:t>
      </w:r>
      <w:proofErr w:type="gramStart"/>
      <w:r w:rsidR="00585D65" w:rsidRPr="00585D65">
        <w:t>related</w:t>
      </w:r>
      <w:proofErr w:type="gramEnd"/>
    </w:p>
    <w:p w14:paraId="4769EE44" w14:textId="77777777" w:rsidR="00585D65" w:rsidRDefault="00585D65" w:rsidP="00585D65">
      <w:pPr>
        <w:pStyle w:val="USBullet1"/>
      </w:pPr>
      <w:r w:rsidRPr="00585D65">
        <w:t xml:space="preserve">the majority </w:t>
      </w:r>
      <w:r>
        <w:t xml:space="preserve">of alcohol-related presentations </w:t>
      </w:r>
      <w:r w:rsidRPr="00585D65">
        <w:t>were male (65</w:t>
      </w:r>
      <w:r>
        <w:t xml:space="preserve"> percent</w:t>
      </w:r>
      <w:r w:rsidRPr="00585D65">
        <w:t>) and aged 20-39 (52</w:t>
      </w:r>
      <w:r>
        <w:t xml:space="preserve"> percent</w:t>
      </w:r>
      <w:r w:rsidRPr="00585D65">
        <w:t>)</w:t>
      </w:r>
    </w:p>
    <w:p w14:paraId="33F480ED" w14:textId="6AB616FD" w:rsidR="00585D65" w:rsidRDefault="00585D65" w:rsidP="00585D65">
      <w:pPr>
        <w:pStyle w:val="USBullet1"/>
      </w:pPr>
      <w:r>
        <w:t>16</w:t>
      </w:r>
      <w:r w:rsidRPr="00585D65">
        <w:t xml:space="preserve"> percent of injury-related presentations were alcohol-</w:t>
      </w:r>
      <w:proofErr w:type="gramStart"/>
      <w:r w:rsidRPr="00585D65">
        <w:t>related</w:t>
      </w:r>
      <w:proofErr w:type="gramEnd"/>
    </w:p>
    <w:p w14:paraId="4CE879D3" w14:textId="371B6506" w:rsidR="00E102D9" w:rsidRDefault="00E102D9" w:rsidP="00585D65">
      <w:pPr>
        <w:pStyle w:val="USBullet1"/>
      </w:pPr>
      <w:r>
        <w:t>53 percent</w:t>
      </w:r>
      <w:r w:rsidRPr="00E102D9">
        <w:t xml:space="preserve"> of </w:t>
      </w:r>
      <w:r>
        <w:t>a</w:t>
      </w:r>
      <w:r w:rsidRPr="00E102D9">
        <w:t>lcohol-related presentations arrived at the ED via emergency services, compared with only 28</w:t>
      </w:r>
      <w:r w:rsidR="00AD50B8">
        <w:t xml:space="preserve"> percent</w:t>
      </w:r>
      <w:r w:rsidRPr="00E102D9">
        <w:t xml:space="preserve"> of non-alcohol-related </w:t>
      </w:r>
      <w:proofErr w:type="gramStart"/>
      <w:r w:rsidRPr="00E102D9">
        <w:t>presentations</w:t>
      </w:r>
      <w:proofErr w:type="gramEnd"/>
    </w:p>
    <w:p w14:paraId="4D026CBB" w14:textId="03F4F62D" w:rsidR="00D4529E" w:rsidRDefault="0039433B" w:rsidP="00585D65">
      <w:pPr>
        <w:pStyle w:val="USBullet1"/>
      </w:pPr>
      <w:r>
        <w:t>8</w:t>
      </w:r>
      <w:r w:rsidRPr="00E102D9">
        <w:t xml:space="preserve"> </w:t>
      </w:r>
      <w:r w:rsidR="00E102D9" w:rsidRPr="00E102D9">
        <w:t xml:space="preserve">percent of </w:t>
      </w:r>
      <w:r w:rsidR="0067137C" w:rsidRPr="0067137C">
        <w:t>alcohol-related presentations</w:t>
      </w:r>
      <w:r w:rsidR="00E102D9" w:rsidRPr="00E102D9">
        <w:t xml:space="preserve"> were classified as having life-threatening conditions (Australasian Triage Scale [ATS] 1) compared with only 3</w:t>
      </w:r>
      <w:r w:rsidR="0067137C">
        <w:t xml:space="preserve"> percent</w:t>
      </w:r>
      <w:r w:rsidR="00E102D9" w:rsidRPr="00E102D9">
        <w:t xml:space="preserve"> of </w:t>
      </w:r>
      <w:r w:rsidR="0067137C" w:rsidRPr="0067137C">
        <w:t xml:space="preserve">non-alcohol-related </w:t>
      </w:r>
      <w:proofErr w:type="gramStart"/>
      <w:r w:rsidR="0067137C" w:rsidRPr="0067137C">
        <w:t>presentations</w:t>
      </w:r>
      <w:proofErr w:type="gramEnd"/>
    </w:p>
    <w:p w14:paraId="68104277" w14:textId="7F1A94B4" w:rsidR="00E102D9" w:rsidRDefault="00D55AA9" w:rsidP="00585D65">
      <w:pPr>
        <w:pStyle w:val="USBullet1"/>
      </w:pPr>
      <w:r>
        <w:t>alcohol-related presentation</w:t>
      </w:r>
      <w:r w:rsidR="00D4529E" w:rsidRPr="00D4529E">
        <w:t xml:space="preserve">s had a median ED length of stay of five hours compared to 2 hours and 58 minutes </w:t>
      </w:r>
      <w:r>
        <w:t>for non-alcohol-related presentations</w:t>
      </w:r>
      <w:r w:rsidR="0067137C">
        <w:t>.</w:t>
      </w:r>
    </w:p>
    <w:p w14:paraId="057528C6" w14:textId="609C53C8" w:rsidR="00D327A1" w:rsidRDefault="00D327A1" w:rsidP="00D327A1">
      <w:pPr>
        <w:pStyle w:val="Heading3"/>
      </w:pPr>
      <w:r>
        <w:t>Costs of alcohol-attributable E</w:t>
      </w:r>
      <w:r w:rsidR="00E03551">
        <w:t xml:space="preserve">mergency </w:t>
      </w:r>
      <w:r>
        <w:t>D</w:t>
      </w:r>
      <w:r w:rsidR="00E03551">
        <w:t>epartment</w:t>
      </w:r>
      <w:r>
        <w:t xml:space="preserve"> visits</w:t>
      </w:r>
    </w:p>
    <w:p w14:paraId="1BD97230" w14:textId="294192E2" w:rsidR="00162019" w:rsidRDefault="006248E5" w:rsidP="00674B58">
      <w:pPr>
        <w:pStyle w:val="USBodyText"/>
      </w:pPr>
      <w:r>
        <w:t>We estimate the total ED cost of alcohol-involved ED presentations b</w:t>
      </w:r>
      <w:r w:rsidR="002E476B">
        <w:t xml:space="preserve">ased on the </w:t>
      </w:r>
      <w:r w:rsidR="00B014EC">
        <w:t>1,250,248</w:t>
      </w:r>
      <w:r w:rsidR="00764204">
        <w:t xml:space="preserve"> ED visits nationally in 2022</w:t>
      </w:r>
      <w:r w:rsidR="00585D65">
        <w:t xml:space="preserve"> </w:t>
      </w:r>
      <w:r w:rsidR="00407431">
        <w:t>(</w:t>
      </w:r>
      <w:r w:rsidR="00744253">
        <w:t>Ministry of Health,</w:t>
      </w:r>
      <w:r w:rsidR="009B283F">
        <w:t>2023</w:t>
      </w:r>
      <w:r w:rsidR="00407431">
        <w:t xml:space="preserve">) </w:t>
      </w:r>
      <w:r w:rsidR="00585D65">
        <w:t xml:space="preserve">and the alcohol-related presentation </w:t>
      </w:r>
      <w:r w:rsidR="00585D65">
        <w:lastRenderedPageBreak/>
        <w:t xml:space="preserve">rate identified by </w:t>
      </w:r>
      <w:r w:rsidR="00E8293A">
        <w:fldChar w:fldCharType="begin"/>
      </w:r>
      <w:r w:rsidR="00F244F6">
        <w:instrText xml:space="preserve"> ADDIN ZOTERO_ITEM CSL_CITATION {"citationID":"OGX8Hjjx","properties":{"formattedCitation":"(Svensen, Kool, and Buller 2019)","plainCitation":"(Svensen, Kool, and Buller 2019)","dontUpdate":true,"noteIndex":0},"citationItems":[{"id":70379,"uris":["http://zotero.org/groups/4944822/items/AY4WYB7T"],"itemData":{"id":70379,"type":"article-journal","abstract":"AIMS: This cross-sectional observational study presents a focused analysis of alcohol-related presentations (ARPs) to a major New Zealand emergency department (ED) with the aim of describing and comparing the profile and outcomes of these presentations.\nMETHODS: A secondary analysis of 12 months (November 2017 to October 2018) of electronic patient records of adult (≥15 years) presentations to the Auckland City Hospital Adult ED. The primary area of interest was patient's alcohol-related status. Additional information reviewed included: patient demographics, and features of the presentation such as time of presentation, triage category and discharge disposition.\nRESULTS: Among 73,381 presentations, 7% (n=5,130) were alcohol-related, the majority were male (65%) and aged 20-39 (52%). ARPs were more frequent at night, during the weekends, public holidays and over the summer months. Sixteen percent of injury-related presentations were alcohol-related. ARPs commonly arrived at the ED via emergency services and had a longer length of stay than non-ARPs.\nCONCLUSIONS: The findings from this study highlight the burden of alcohol misuse on the ED. Continued public health efforts are required to implement preventative strategies for alcohol-related harm in the ED and society as a whole.","container-title":"The New Zealand Medical Journal","ISSN":"1175-8716","issue":"1504","journalAbbreviation":"N Z Med J","language":"eng","note":"PMID: 31647795","page":"56-66","source":"PubMed","title":"The burden of alcohol-related presentations to a busy urban New Zealand hospital emergency department","volume":"132","author":[{"family":"Svensen","given":"Georgina"},{"family":"Kool","given":"Bridget"},{"family":"Buller","given":"Sarah"}],"issued":{"date-parts":[["2019",10,25]]}}}],"schema":"https://github.com/citation-style-language/schema/raw/master/csl-citation.json"} </w:instrText>
      </w:r>
      <w:r w:rsidR="00E8293A">
        <w:fldChar w:fldCharType="separate"/>
      </w:r>
      <w:proofErr w:type="spellStart"/>
      <w:r w:rsidR="00E8293A" w:rsidRPr="00E8293A">
        <w:rPr>
          <w:rFonts w:cs="Calibri"/>
        </w:rPr>
        <w:t>Svensen</w:t>
      </w:r>
      <w:proofErr w:type="spellEnd"/>
      <w:r w:rsidR="00E8293A" w:rsidRPr="00E8293A">
        <w:rPr>
          <w:rFonts w:cs="Calibri"/>
        </w:rPr>
        <w:t xml:space="preserve">, Kool, and Buller </w:t>
      </w:r>
      <w:r w:rsidR="00E8293A">
        <w:rPr>
          <w:rFonts w:cs="Calibri"/>
        </w:rPr>
        <w:t>(</w:t>
      </w:r>
      <w:r w:rsidR="00E8293A" w:rsidRPr="00E8293A">
        <w:rPr>
          <w:rFonts w:cs="Calibri"/>
        </w:rPr>
        <w:t>2019)</w:t>
      </w:r>
      <w:r w:rsidR="00E8293A">
        <w:fldChar w:fldCharType="end"/>
      </w:r>
      <w:r w:rsidR="00E8293A">
        <w:t>.</w:t>
      </w:r>
      <w:r w:rsidR="00AE4677">
        <w:t xml:space="preserve"> We do not factor in the relatively long length of stay in ED for alcohol-related presentations </w:t>
      </w:r>
      <w:r w:rsidR="00E31AC2">
        <w:t>(5 hours versus just under 3 hours) or the higher rate of life-threatening conditions in these presentations (8 percent versus 3 percent) because it is not clear how these translate into costs. A longer length of stay</w:t>
      </w:r>
      <w:r w:rsidR="00504602">
        <w:t xml:space="preserve"> may not </w:t>
      </w:r>
      <w:r w:rsidR="001E3D34">
        <w:t xml:space="preserve">always </w:t>
      </w:r>
      <w:r w:rsidR="00504602">
        <w:t xml:space="preserve">translate into higher costs </w:t>
      </w:r>
      <w:r w:rsidR="007F0338">
        <w:t>because longer stays may not be related to</w:t>
      </w:r>
      <w:r w:rsidR="009B283F">
        <w:t xml:space="preserve"> increased</w:t>
      </w:r>
      <w:r w:rsidR="00504602">
        <w:t xml:space="preserve"> complexity of care (</w:t>
      </w:r>
      <w:proofErr w:type="gramStart"/>
      <w:r w:rsidR="00504602">
        <w:t>e.g.</w:t>
      </w:r>
      <w:proofErr w:type="gramEnd"/>
      <w:r w:rsidR="00504602">
        <w:t xml:space="preserve"> a patient </w:t>
      </w:r>
      <w:r w:rsidR="00505BFA">
        <w:t>may need to</w:t>
      </w:r>
      <w:r w:rsidR="00371B7A">
        <w:t xml:space="preserve"> sober up</w:t>
      </w:r>
      <w:r w:rsidR="00505BFA">
        <w:t xml:space="preserve"> before assessment can confirm only a minor medical </w:t>
      </w:r>
      <w:r w:rsidR="00B65876">
        <w:t>concern</w:t>
      </w:r>
      <w:r w:rsidR="00505BFA">
        <w:t>)</w:t>
      </w:r>
      <w:r w:rsidR="004662B3">
        <w:t>.</w:t>
      </w:r>
      <w:r w:rsidR="00262057">
        <w:t xml:space="preserve"> </w:t>
      </w:r>
    </w:p>
    <w:p w14:paraId="1475D457" w14:textId="6794C39C" w:rsidR="002E476B" w:rsidRDefault="00407431" w:rsidP="00674B58">
      <w:pPr>
        <w:pStyle w:val="USBodyText"/>
      </w:pPr>
      <w:r>
        <w:t>I</w:t>
      </w:r>
      <w:r w:rsidR="00AC7E7A">
        <w:t xml:space="preserve">f 7 percent </w:t>
      </w:r>
      <w:r>
        <w:t xml:space="preserve">of all ED presentations nationally in 2022 </w:t>
      </w:r>
      <w:r w:rsidR="00AC7E7A">
        <w:t>were alcohol-related</w:t>
      </w:r>
      <w:r w:rsidR="003E222E">
        <w:t>, with</w:t>
      </w:r>
      <w:r w:rsidR="008500DC">
        <w:t xml:space="preserve"> eight percent of these being life-threatening and</w:t>
      </w:r>
      <w:r w:rsidR="00757361">
        <w:t xml:space="preserve"> </w:t>
      </w:r>
      <w:r w:rsidR="00EE4159">
        <w:t>53 percent</w:t>
      </w:r>
      <w:r w:rsidR="008500DC">
        <w:t xml:space="preserve"> </w:t>
      </w:r>
      <w:r w:rsidR="00EE4159">
        <w:t>arriv</w:t>
      </w:r>
      <w:r w:rsidR="008500DC">
        <w:t>ing</w:t>
      </w:r>
      <w:r w:rsidR="00EE4159">
        <w:t xml:space="preserve"> by ambulance</w:t>
      </w:r>
      <w:r w:rsidR="00AC7E7A">
        <w:t>, then there were</w:t>
      </w:r>
      <w:r w:rsidR="00757361">
        <w:t>:</w:t>
      </w:r>
    </w:p>
    <w:p w14:paraId="7DB1726C" w14:textId="24C31D59" w:rsidR="00757361" w:rsidRDefault="00757361" w:rsidP="00757361">
      <w:pPr>
        <w:pStyle w:val="USBullet1"/>
      </w:pPr>
      <w:r>
        <w:t>47,880 alcohol-related ED visits</w:t>
      </w:r>
      <w:r w:rsidR="008500DC">
        <w:t>, including</w:t>
      </w:r>
      <w:r w:rsidR="005702F2">
        <w:t>:</w:t>
      </w:r>
    </w:p>
    <w:p w14:paraId="2E546FC4" w14:textId="218D108B" w:rsidR="008500DC" w:rsidRDefault="00CB45AD" w:rsidP="008500DC">
      <w:pPr>
        <w:pStyle w:val="USBullet2"/>
      </w:pPr>
      <w:r>
        <w:t>3,830 life-threatening prese</w:t>
      </w:r>
      <w:r w:rsidR="000C4559">
        <w:t>n</w:t>
      </w:r>
      <w:r>
        <w:t>tations</w:t>
      </w:r>
    </w:p>
    <w:p w14:paraId="241FCF04" w14:textId="296C3BA4" w:rsidR="00CB45AD" w:rsidRDefault="000C4559" w:rsidP="004662B3">
      <w:pPr>
        <w:pStyle w:val="USBullet2"/>
      </w:pPr>
      <w:r>
        <w:t>44,050 non-life-threatening presentations</w:t>
      </w:r>
    </w:p>
    <w:p w14:paraId="349F54D4" w14:textId="452A9DB6" w:rsidR="00EE4159" w:rsidRDefault="00EE4159" w:rsidP="00757361">
      <w:pPr>
        <w:pStyle w:val="USBullet1"/>
      </w:pPr>
      <w:r>
        <w:t>25</w:t>
      </w:r>
      <w:r w:rsidR="00C431A8">
        <w:t xml:space="preserve">,376 alcohol-related ambulance </w:t>
      </w:r>
      <w:proofErr w:type="gramStart"/>
      <w:r w:rsidR="00C431A8">
        <w:t>call-outs</w:t>
      </w:r>
      <w:proofErr w:type="gramEnd"/>
      <w:r w:rsidR="00C431A8">
        <w:t xml:space="preserve"> that resulted in a person being taken to the ED</w:t>
      </w:r>
      <w:r w:rsidR="00C37A15">
        <w:t>.</w:t>
      </w:r>
    </w:p>
    <w:p w14:paraId="79A777F9" w14:textId="77777777" w:rsidR="00DF0281" w:rsidRDefault="00DF0281" w:rsidP="00C431A8">
      <w:pPr>
        <w:pStyle w:val="USBullet1"/>
        <w:numPr>
          <w:ilvl w:val="0"/>
          <w:numId w:val="0"/>
        </w:numPr>
        <w:ind w:left="851"/>
      </w:pPr>
      <w:r>
        <w:t>The unit costs we use to estimate the costs of alcohol-related ED visits are:</w:t>
      </w:r>
    </w:p>
    <w:p w14:paraId="2308B330" w14:textId="65F5A18F" w:rsidR="002C4E0D" w:rsidRDefault="002C4E0D" w:rsidP="002C4E0D">
      <w:pPr>
        <w:pStyle w:val="USBullet1"/>
      </w:pPr>
      <w:r w:rsidRPr="002C4E0D">
        <w:t>t</w:t>
      </w:r>
      <w:r w:rsidR="00025E79" w:rsidRPr="002C4E0D">
        <w:t>he</w:t>
      </w:r>
      <w:r w:rsidR="00025E79">
        <w:t xml:space="preserve"> </w:t>
      </w:r>
      <w:r w:rsidR="00C431A8">
        <w:t>Treasury</w:t>
      </w:r>
      <w:r w:rsidR="00025E79">
        <w:t>’s</w:t>
      </w:r>
      <w:r w:rsidR="00C431A8">
        <w:t xml:space="preserve"> 2023 cost </w:t>
      </w:r>
      <w:r w:rsidR="00C431A8" w:rsidRPr="002D608F">
        <w:t xml:space="preserve">estimate </w:t>
      </w:r>
      <w:r w:rsidR="00025E79" w:rsidRPr="002D608F">
        <w:fldChar w:fldCharType="begin"/>
      </w:r>
      <w:r w:rsidR="00F244F6">
        <w:instrText xml:space="preserve"> ADDIN ZOTERO_ITEM CSL_CITATION {"citationID":"1F7pB9iO","properties":{"formattedCitation":"(The Treasury 2022)","plainCitation":"(The Treasury 2022)","noteIndex":0},"citationItems":[{"id":71335,"uris":["http://zotero.org/groups/4944822/items/VWY2MJIJ"],"itemData":{"id":71335,"type":"webpage","abstract":"CBAx is a spreadsheet model by the Treasury that contains a common database to help agencies monetise impacts and do return on investment","language":"en","title":"CBAX impacts database","URL":"https://www.treasury.govt.nz/information-and-services/state-sector-leadership/investment-management/investment-planning/treasurys-cbax-tool","author":[{"family":"The Treasury","given":""}],"accessed":{"date-parts":[["2023",12,7]]},"issued":{"date-parts":[["2022"]]}}}],"schema":"https://github.com/citation-style-language/schema/raw/master/csl-citation.json"} </w:instrText>
      </w:r>
      <w:r w:rsidR="00025E79" w:rsidRPr="002D608F">
        <w:fldChar w:fldCharType="separate"/>
      </w:r>
      <w:r w:rsidR="00025E79" w:rsidRPr="002D608F">
        <w:rPr>
          <w:rFonts w:cs="Calibri"/>
        </w:rPr>
        <w:t>(The Treasury 2022)</w:t>
      </w:r>
      <w:r w:rsidR="00025E79" w:rsidRPr="002D608F">
        <w:fldChar w:fldCharType="end"/>
      </w:r>
      <w:r w:rsidR="00C431A8" w:rsidRPr="002D608F">
        <w:t xml:space="preserve"> of </w:t>
      </w:r>
      <w:r w:rsidR="00B601E9" w:rsidRPr="002D608F">
        <w:t>$503</w:t>
      </w:r>
      <w:r w:rsidR="00B601E9">
        <w:t xml:space="preserve"> per ED visit</w:t>
      </w:r>
      <w:r w:rsidR="003275A8">
        <w:t>, which we use for non-life-threatening presentations</w:t>
      </w:r>
      <w:r w:rsidR="00B601E9">
        <w:t xml:space="preserve"> </w:t>
      </w:r>
    </w:p>
    <w:p w14:paraId="78876EB0" w14:textId="7237564C" w:rsidR="002C4E0D" w:rsidRDefault="003275A8" w:rsidP="002C4E0D">
      <w:pPr>
        <w:pStyle w:val="USBullet1"/>
      </w:pPr>
      <w:r>
        <w:t>a</w:t>
      </w:r>
      <w:r w:rsidR="002C4E0D">
        <w:t xml:space="preserve"> high</w:t>
      </w:r>
      <w:r w:rsidR="009D77B2">
        <w:t>-</w:t>
      </w:r>
      <w:r w:rsidR="002C4E0D">
        <w:t xml:space="preserve">end cost for ED visits based on </w:t>
      </w:r>
      <w:r>
        <w:t xml:space="preserve">clinical triage suggested by </w:t>
      </w:r>
      <w:proofErr w:type="spellStart"/>
      <w:r w:rsidR="00A96743">
        <w:t>Te</w:t>
      </w:r>
      <w:proofErr w:type="spellEnd"/>
      <w:r w:rsidR="00A96743">
        <w:t xml:space="preserve"> </w:t>
      </w:r>
      <w:proofErr w:type="spellStart"/>
      <w:r w:rsidR="00A96743">
        <w:t>Whatu</w:t>
      </w:r>
      <w:proofErr w:type="spellEnd"/>
      <w:r w:rsidR="00A96743">
        <w:t xml:space="preserve"> Ora</w:t>
      </w:r>
      <w:r w:rsidR="00581548">
        <w:t xml:space="preserve"> </w:t>
      </w:r>
      <w:r w:rsidR="00A56174">
        <w:fldChar w:fldCharType="begin"/>
      </w:r>
      <w:r w:rsidR="00F244F6">
        <w:instrText xml:space="preserve"> ADDIN ZOTERO_ITEM CSL_CITATION {"citationID":"UA1vJu6x","properties":{"formattedCitation":"(Te Whatu Ora Health New Zealand, Counties Manukau 2020)","plainCitation":"(Te Whatu Ora Health New Zealand, Counties Manukau 2020)","noteIndex":0},"citationItems":[{"id":72460,"uris":["http://zotero.org/groups/4944822/items/S5V5M46F"],"itemData":{"id":72460,"type":"report","title":"Do you have to pay?","URL":"https://www.countiesmanukau.health.nz/for-patients-and-visitors/do-you-have-to-pay/","author":[{"family":"Te Whatu Ora Health New Zealand, Counties Manukau","given":""}],"issued":{"date-parts":[["2020"]]}}}],"schema":"https://github.com/citation-style-language/schema/raw/master/csl-citation.json"} </w:instrText>
      </w:r>
      <w:r w:rsidR="00A56174">
        <w:fldChar w:fldCharType="separate"/>
      </w:r>
      <w:r w:rsidR="00A56174" w:rsidRPr="00A56174">
        <w:rPr>
          <w:rFonts w:cs="Calibri"/>
        </w:rPr>
        <w:t>(</w:t>
      </w:r>
      <w:proofErr w:type="spellStart"/>
      <w:r w:rsidR="00A56174" w:rsidRPr="00A56174">
        <w:rPr>
          <w:rFonts w:cs="Calibri"/>
        </w:rPr>
        <w:t>Te</w:t>
      </w:r>
      <w:proofErr w:type="spellEnd"/>
      <w:r w:rsidR="00A56174" w:rsidRPr="00A56174">
        <w:rPr>
          <w:rFonts w:cs="Calibri"/>
        </w:rPr>
        <w:t xml:space="preserve"> </w:t>
      </w:r>
      <w:proofErr w:type="spellStart"/>
      <w:r w:rsidR="00A56174" w:rsidRPr="00A56174">
        <w:rPr>
          <w:rFonts w:cs="Calibri"/>
        </w:rPr>
        <w:t>Whatu</w:t>
      </w:r>
      <w:proofErr w:type="spellEnd"/>
      <w:r w:rsidR="00A56174" w:rsidRPr="00A56174">
        <w:rPr>
          <w:rFonts w:cs="Calibri"/>
        </w:rPr>
        <w:t xml:space="preserve"> Ora Health New Zealand, Counties Manukau 2020)</w:t>
      </w:r>
      <w:r w:rsidR="00A56174">
        <w:fldChar w:fldCharType="end"/>
      </w:r>
      <w:r w:rsidR="00A96743">
        <w:t xml:space="preserve"> </w:t>
      </w:r>
      <w:r>
        <w:t xml:space="preserve">of $1,832 </w:t>
      </w:r>
      <w:r w:rsidR="00581548">
        <w:t>in 2020 (worth approximately $2,162 in 2023)</w:t>
      </w:r>
      <w:r w:rsidR="001558C3">
        <w:t>,</w:t>
      </w:r>
      <w:r w:rsidR="00581548">
        <w:t xml:space="preserve"> </w:t>
      </w:r>
      <w:r>
        <w:t>which we use for the cost of life-threatening ED presentations</w:t>
      </w:r>
    </w:p>
    <w:p w14:paraId="689C9BE2" w14:textId="03388631" w:rsidR="003275A8" w:rsidRPr="003275A8" w:rsidRDefault="003275A8" w:rsidP="003275A8">
      <w:pPr>
        <w:pStyle w:val="USBullet1"/>
      </w:pPr>
      <w:r w:rsidRPr="003275A8">
        <w:t>the Treasury’s 2023 cost estimate (The Treasury 2022) of $1,008 per ambulance call-out</w:t>
      </w:r>
      <w:r w:rsidR="00700473">
        <w:t>.</w:t>
      </w:r>
    </w:p>
    <w:p w14:paraId="289E3EFD" w14:textId="51211867" w:rsidR="00757361" w:rsidRDefault="003275A8" w:rsidP="004662B3">
      <w:pPr>
        <w:pStyle w:val="USBodyText"/>
      </w:pPr>
      <w:r>
        <w:t xml:space="preserve">Based on </w:t>
      </w:r>
      <w:r w:rsidR="001558C3">
        <w:t xml:space="preserve">the </w:t>
      </w:r>
      <w:r>
        <w:t xml:space="preserve">assumption that a </w:t>
      </w:r>
      <w:r w:rsidR="00050681">
        <w:t xml:space="preserve">similar level of </w:t>
      </w:r>
      <w:r w:rsidR="007D0903">
        <w:t xml:space="preserve">ED </w:t>
      </w:r>
      <w:r w:rsidR="00050681">
        <w:t xml:space="preserve">presentations and ambulance </w:t>
      </w:r>
      <w:proofErr w:type="gramStart"/>
      <w:r w:rsidR="00050681">
        <w:t>call-outs</w:t>
      </w:r>
      <w:proofErr w:type="gramEnd"/>
      <w:r w:rsidR="00050681">
        <w:t xml:space="preserve"> for 2023</w:t>
      </w:r>
      <w:r w:rsidR="007D0903">
        <w:t xml:space="preserve"> as there were in 2022</w:t>
      </w:r>
      <w:r w:rsidR="00050681">
        <w:t xml:space="preserve">, </w:t>
      </w:r>
      <w:r w:rsidR="00492B70">
        <w:t xml:space="preserve">the health sector cost </w:t>
      </w:r>
      <w:r w:rsidR="00700473">
        <w:t xml:space="preserve">of these </w:t>
      </w:r>
      <w:r w:rsidR="00492B70">
        <w:t>amounts to</w:t>
      </w:r>
      <w:r w:rsidR="006C4B4E">
        <w:t xml:space="preserve"> over $</w:t>
      </w:r>
      <w:r w:rsidR="006F0D16">
        <w:t>102</w:t>
      </w:r>
      <w:r w:rsidR="006C4B4E">
        <w:t xml:space="preserve"> million</w:t>
      </w:r>
      <w:r w:rsidR="0021034F">
        <w:t>.</w:t>
      </w:r>
    </w:p>
    <w:p w14:paraId="2C0858F7" w14:textId="682C42FC" w:rsidR="00B65BF3" w:rsidRPr="00731CA6" w:rsidRDefault="00B65BF3" w:rsidP="001F162B">
      <w:pPr>
        <w:pStyle w:val="TableCaption"/>
        <w:keepLines/>
      </w:pPr>
      <w:bookmarkStart w:id="132" w:name="_Toc160633934"/>
      <w:r w:rsidRPr="00731CA6">
        <w:t xml:space="preserve">Table </w:t>
      </w:r>
      <w:fldSimple w:instr=" SEQ Table \* ARABIC ">
        <w:r w:rsidR="00AE166D">
          <w:rPr>
            <w:noProof/>
          </w:rPr>
          <w:t>27</w:t>
        </w:r>
      </w:fldSimple>
      <w:r w:rsidRPr="00731CA6">
        <w:t xml:space="preserve"> </w:t>
      </w:r>
      <w:r>
        <w:t>Cost of alcohol-related ED visits (including ambulance costs)</w:t>
      </w:r>
      <w:bookmarkEnd w:id="132"/>
    </w:p>
    <w:p w14:paraId="3D21B45D" w14:textId="0B3D36E5" w:rsidR="0021034F" w:rsidRDefault="009C2186" w:rsidP="001F162B">
      <w:pPr>
        <w:pStyle w:val="CaptionSubheading"/>
        <w:keepLines/>
      </w:pPr>
      <w:r>
        <w:t xml:space="preserve">2023 </w:t>
      </w:r>
      <w:proofErr w:type="gramStart"/>
      <w:r>
        <w:t>estimated</w:t>
      </w:r>
      <w:proofErr w:type="gramEnd"/>
    </w:p>
    <w:tbl>
      <w:tblPr>
        <w:tblStyle w:val="TableDefault"/>
        <w:tblW w:w="8221" w:type="dxa"/>
        <w:tblLook w:val="04A0" w:firstRow="1" w:lastRow="0" w:firstColumn="1" w:lastColumn="0" w:noHBand="0" w:noVBand="1"/>
      </w:tblPr>
      <w:tblGrid>
        <w:gridCol w:w="5953"/>
        <w:gridCol w:w="2268"/>
      </w:tblGrid>
      <w:tr w:rsidR="00E0180A" w14:paraId="69961591" w14:textId="77777777" w:rsidTr="00E0180A">
        <w:trPr>
          <w:cnfStyle w:val="100000000000" w:firstRow="1" w:lastRow="0" w:firstColumn="0" w:lastColumn="0" w:oddVBand="0" w:evenVBand="0" w:oddHBand="0" w:evenHBand="0" w:firstRowFirstColumn="0" w:firstRowLastColumn="0" w:lastRowFirstColumn="0" w:lastRowLastColumn="0"/>
        </w:trPr>
        <w:tc>
          <w:tcPr>
            <w:tcW w:w="5953" w:type="dxa"/>
          </w:tcPr>
          <w:p w14:paraId="09FA702E" w14:textId="41C507FE" w:rsidR="00E0180A" w:rsidRPr="005515ED" w:rsidRDefault="00E0180A" w:rsidP="00AB785A">
            <w:pPr>
              <w:pStyle w:val="TSTableHeadingWhite-TopRow"/>
              <w:rPr>
                <w:b w:val="0"/>
                <w:bCs/>
                <w:color w:val="FFFFFF" w:themeColor="background1"/>
              </w:rPr>
            </w:pPr>
            <w:r w:rsidRPr="005515ED">
              <w:t>Variable</w:t>
            </w:r>
          </w:p>
        </w:tc>
        <w:tc>
          <w:tcPr>
            <w:tcW w:w="2268" w:type="dxa"/>
          </w:tcPr>
          <w:p w14:paraId="67AE5692" w14:textId="36EF5115" w:rsidR="00E0180A" w:rsidRPr="005515ED" w:rsidRDefault="00E0180A" w:rsidP="00AB785A">
            <w:pPr>
              <w:pStyle w:val="TSTableHeadingWhite-TopRow"/>
              <w:jc w:val="center"/>
              <w:rPr>
                <w:b w:val="0"/>
                <w:bCs/>
                <w:color w:val="FFFFFF" w:themeColor="background1"/>
              </w:rPr>
            </w:pPr>
            <w:r w:rsidRPr="005515ED">
              <w:t>Value</w:t>
            </w:r>
          </w:p>
        </w:tc>
      </w:tr>
      <w:tr w:rsidR="002360B2" w14:paraId="6917CD7F" w14:textId="77777777" w:rsidTr="004662B3">
        <w:tc>
          <w:tcPr>
            <w:tcW w:w="0" w:type="dxa"/>
          </w:tcPr>
          <w:p w14:paraId="1686A66E" w14:textId="5198956E" w:rsidR="002360B2" w:rsidRPr="001F162B" w:rsidRDefault="002360B2" w:rsidP="002360B2">
            <w:pPr>
              <w:pStyle w:val="TSBodyText"/>
            </w:pPr>
            <w:r w:rsidRPr="00DA64CC">
              <w:t>Total ED visits in 2022</w:t>
            </w:r>
          </w:p>
        </w:tc>
        <w:tc>
          <w:tcPr>
            <w:tcW w:w="0" w:type="dxa"/>
          </w:tcPr>
          <w:p w14:paraId="46AB9A6F" w14:textId="65A9820A" w:rsidR="002360B2" w:rsidRPr="001F162B" w:rsidRDefault="002360B2" w:rsidP="002360B2">
            <w:pPr>
              <w:pStyle w:val="TSBodyText"/>
              <w:ind w:right="748"/>
              <w:jc w:val="right"/>
            </w:pPr>
            <w:r w:rsidRPr="00DA64CC">
              <w:t>1,250,247</w:t>
            </w:r>
          </w:p>
        </w:tc>
      </w:tr>
      <w:tr w:rsidR="002360B2" w:rsidDel="008057A5" w14:paraId="1709175C"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27270558" w14:textId="32EE94BF" w:rsidR="002360B2" w:rsidRPr="001F162B" w:rsidDel="008057A5" w:rsidRDefault="002360B2" w:rsidP="002360B2">
            <w:pPr>
              <w:pStyle w:val="TSBodyText"/>
            </w:pPr>
            <w:r w:rsidRPr="00DA64CC">
              <w:t>% of all ED visits related to alcohol</w:t>
            </w:r>
          </w:p>
        </w:tc>
        <w:tc>
          <w:tcPr>
            <w:tcW w:w="0" w:type="dxa"/>
          </w:tcPr>
          <w:p w14:paraId="1F04D26B" w14:textId="05CD386F" w:rsidR="002360B2" w:rsidRPr="001F162B" w:rsidDel="008057A5" w:rsidRDefault="002360B2" w:rsidP="002360B2">
            <w:pPr>
              <w:pStyle w:val="TSBodyText"/>
              <w:ind w:right="748"/>
              <w:jc w:val="right"/>
            </w:pPr>
            <w:r w:rsidRPr="00DA64CC">
              <w:t>7%</w:t>
            </w:r>
          </w:p>
        </w:tc>
      </w:tr>
      <w:tr w:rsidR="002360B2" w14:paraId="376F87C9" w14:textId="77777777" w:rsidTr="004662B3">
        <w:tc>
          <w:tcPr>
            <w:tcW w:w="0" w:type="dxa"/>
          </w:tcPr>
          <w:p w14:paraId="022BCBAE" w14:textId="2CFAB405" w:rsidR="002360B2" w:rsidRPr="001F162B" w:rsidRDefault="002360B2" w:rsidP="002360B2">
            <w:pPr>
              <w:pStyle w:val="TSBodyText"/>
            </w:pPr>
            <w:r w:rsidRPr="00DA64CC">
              <w:t>Number of alcohol-related ED visits</w:t>
            </w:r>
          </w:p>
        </w:tc>
        <w:tc>
          <w:tcPr>
            <w:tcW w:w="0" w:type="dxa"/>
          </w:tcPr>
          <w:p w14:paraId="653182B0" w14:textId="28D8F86A" w:rsidR="002360B2" w:rsidRPr="001F162B" w:rsidRDefault="002360B2" w:rsidP="002360B2">
            <w:pPr>
              <w:pStyle w:val="TSBodyText"/>
              <w:ind w:right="748"/>
              <w:jc w:val="right"/>
            </w:pPr>
            <w:r w:rsidRPr="00DA64CC">
              <w:t xml:space="preserve"> 87,517 </w:t>
            </w:r>
          </w:p>
        </w:tc>
      </w:tr>
      <w:tr w:rsidR="002360B2" w14:paraId="7B3F244A"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551DB725" w14:textId="26BEB0C2" w:rsidR="002360B2" w:rsidRPr="001F162B" w:rsidRDefault="002360B2" w:rsidP="002360B2">
            <w:pPr>
              <w:pStyle w:val="TSBodyText"/>
            </w:pPr>
            <w:r w:rsidRPr="00DA64CC">
              <w:t>% of alcohol-related ED visits arriving by ambulance</w:t>
            </w:r>
          </w:p>
        </w:tc>
        <w:tc>
          <w:tcPr>
            <w:tcW w:w="0" w:type="dxa"/>
          </w:tcPr>
          <w:p w14:paraId="7007EDEA" w14:textId="7C8FC96E" w:rsidR="002360B2" w:rsidRPr="001F162B" w:rsidRDefault="002360B2" w:rsidP="002360B2">
            <w:pPr>
              <w:pStyle w:val="TSBodyText"/>
              <w:ind w:right="748"/>
              <w:jc w:val="right"/>
            </w:pPr>
            <w:r w:rsidRPr="00DA64CC">
              <w:t>53%</w:t>
            </w:r>
          </w:p>
        </w:tc>
      </w:tr>
      <w:tr w:rsidR="002360B2" w14:paraId="4E75BA39" w14:textId="77777777" w:rsidTr="004662B3">
        <w:tc>
          <w:tcPr>
            <w:tcW w:w="0" w:type="dxa"/>
          </w:tcPr>
          <w:p w14:paraId="374A5A52" w14:textId="332F81B0" w:rsidR="002360B2" w:rsidRPr="001F162B" w:rsidRDefault="002360B2" w:rsidP="002360B2">
            <w:pPr>
              <w:pStyle w:val="TSBodyText"/>
            </w:pPr>
            <w:r w:rsidRPr="00DA64CC">
              <w:t xml:space="preserve">Number of alcohol-related ambulance </w:t>
            </w:r>
            <w:proofErr w:type="gramStart"/>
            <w:r w:rsidRPr="00DA64CC">
              <w:t>call-outs</w:t>
            </w:r>
            <w:proofErr w:type="gramEnd"/>
            <w:r w:rsidRPr="00DA64CC">
              <w:t xml:space="preserve"> resulting in ED visit</w:t>
            </w:r>
          </w:p>
        </w:tc>
        <w:tc>
          <w:tcPr>
            <w:tcW w:w="0" w:type="dxa"/>
          </w:tcPr>
          <w:p w14:paraId="3A77D7BA" w14:textId="408F192D" w:rsidR="002360B2" w:rsidRPr="001F162B" w:rsidRDefault="002360B2" w:rsidP="002360B2">
            <w:pPr>
              <w:pStyle w:val="TSBodyText"/>
              <w:ind w:right="748"/>
              <w:jc w:val="right"/>
            </w:pPr>
            <w:r w:rsidRPr="00DA64CC">
              <w:t xml:space="preserve"> 46,384 </w:t>
            </w:r>
          </w:p>
        </w:tc>
      </w:tr>
      <w:tr w:rsidR="002360B2" w14:paraId="25A4C2DF"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1207EF59" w14:textId="2BAB13CF" w:rsidR="002360B2" w:rsidRPr="001F162B" w:rsidRDefault="002360B2" w:rsidP="002360B2">
            <w:pPr>
              <w:pStyle w:val="TSBodyText"/>
            </w:pPr>
            <w:r w:rsidRPr="00DA64CC">
              <w:t xml:space="preserve">% of alcohol-related ED visits that were </w:t>
            </w:r>
            <w:r w:rsidR="001558C3" w:rsidRPr="00DA64CC">
              <w:t>life</w:t>
            </w:r>
            <w:r w:rsidR="001558C3">
              <w:t>-</w:t>
            </w:r>
            <w:r w:rsidRPr="00DA64CC">
              <w:t>threatening</w:t>
            </w:r>
          </w:p>
        </w:tc>
        <w:tc>
          <w:tcPr>
            <w:tcW w:w="0" w:type="dxa"/>
          </w:tcPr>
          <w:p w14:paraId="5575DCCF" w14:textId="5444969F" w:rsidR="002360B2" w:rsidRPr="001F162B" w:rsidRDefault="002360B2" w:rsidP="002360B2">
            <w:pPr>
              <w:pStyle w:val="TSBodyText"/>
              <w:ind w:right="748"/>
              <w:jc w:val="right"/>
            </w:pPr>
            <w:r w:rsidRPr="00DA64CC">
              <w:t>8%</w:t>
            </w:r>
          </w:p>
        </w:tc>
      </w:tr>
      <w:tr w:rsidR="002360B2" w14:paraId="161124CD" w14:textId="77777777" w:rsidTr="004662B3">
        <w:tc>
          <w:tcPr>
            <w:tcW w:w="0" w:type="dxa"/>
          </w:tcPr>
          <w:p w14:paraId="27C57820" w14:textId="08C32F0F" w:rsidR="002360B2" w:rsidRPr="001F162B" w:rsidRDefault="002360B2" w:rsidP="002360B2">
            <w:pPr>
              <w:pStyle w:val="TSBodyText"/>
            </w:pPr>
            <w:r w:rsidRPr="00DA64CC">
              <w:t xml:space="preserve">Number of alcohol-related ED visits that were </w:t>
            </w:r>
            <w:r w:rsidR="001558C3" w:rsidRPr="00DA64CC">
              <w:t>life</w:t>
            </w:r>
            <w:r w:rsidR="001558C3">
              <w:t>-</w:t>
            </w:r>
            <w:r w:rsidRPr="00DA64CC">
              <w:t>threatening</w:t>
            </w:r>
          </w:p>
        </w:tc>
        <w:tc>
          <w:tcPr>
            <w:tcW w:w="0" w:type="dxa"/>
          </w:tcPr>
          <w:p w14:paraId="5D9E1ED1" w14:textId="1FCAE3F9" w:rsidR="002360B2" w:rsidRPr="001F162B" w:rsidRDefault="002360B2" w:rsidP="002360B2">
            <w:pPr>
              <w:pStyle w:val="TSBodyText"/>
              <w:ind w:right="748"/>
              <w:jc w:val="right"/>
            </w:pPr>
            <w:r w:rsidRPr="00DA64CC">
              <w:t xml:space="preserve"> 7,001.38 </w:t>
            </w:r>
          </w:p>
        </w:tc>
      </w:tr>
      <w:tr w:rsidR="002360B2" w14:paraId="7E03B94A"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1575F56D" w14:textId="42F0F930" w:rsidR="002360B2" w:rsidRPr="001F162B" w:rsidRDefault="002360B2" w:rsidP="002360B2">
            <w:pPr>
              <w:pStyle w:val="TSBodyText"/>
            </w:pPr>
            <w:r w:rsidRPr="00DA64CC">
              <w:t xml:space="preserve">% of ED visits that were not </w:t>
            </w:r>
            <w:r w:rsidR="001558C3" w:rsidRPr="00DA64CC">
              <w:t>life</w:t>
            </w:r>
            <w:r w:rsidR="001558C3">
              <w:t>-</w:t>
            </w:r>
            <w:r w:rsidRPr="00DA64CC">
              <w:t>threatening</w:t>
            </w:r>
          </w:p>
        </w:tc>
        <w:tc>
          <w:tcPr>
            <w:tcW w:w="0" w:type="dxa"/>
          </w:tcPr>
          <w:p w14:paraId="69550C78" w14:textId="0848F6A0" w:rsidR="002360B2" w:rsidRPr="001F162B" w:rsidRDefault="002360B2" w:rsidP="002360B2">
            <w:pPr>
              <w:pStyle w:val="TSBodyText"/>
              <w:ind w:right="748"/>
              <w:jc w:val="right"/>
            </w:pPr>
            <w:r w:rsidRPr="00DA64CC">
              <w:t>92%</w:t>
            </w:r>
          </w:p>
        </w:tc>
      </w:tr>
      <w:tr w:rsidR="002360B2" w14:paraId="415D1302" w14:textId="77777777" w:rsidTr="004662B3">
        <w:tc>
          <w:tcPr>
            <w:tcW w:w="0" w:type="dxa"/>
          </w:tcPr>
          <w:p w14:paraId="6FE84C88" w14:textId="722A1244" w:rsidR="002360B2" w:rsidRPr="001F162B" w:rsidRDefault="002360B2" w:rsidP="002360B2">
            <w:pPr>
              <w:pStyle w:val="TSBodyText"/>
            </w:pPr>
            <w:r w:rsidRPr="00DA64CC">
              <w:t>Number of alcohol-related ED visits that were non-life-threatening</w:t>
            </w:r>
          </w:p>
        </w:tc>
        <w:tc>
          <w:tcPr>
            <w:tcW w:w="0" w:type="dxa"/>
          </w:tcPr>
          <w:p w14:paraId="3DCCF8F7" w14:textId="530BB91B" w:rsidR="002360B2" w:rsidRPr="001F162B" w:rsidRDefault="002360B2" w:rsidP="002360B2">
            <w:pPr>
              <w:pStyle w:val="TSBodyText"/>
              <w:ind w:right="748"/>
              <w:jc w:val="right"/>
            </w:pPr>
            <w:r w:rsidRPr="00DA64CC">
              <w:t xml:space="preserve"> 80,516 </w:t>
            </w:r>
          </w:p>
        </w:tc>
      </w:tr>
      <w:tr w:rsidR="002360B2" w14:paraId="6A249D8B"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4F3B6DF2" w14:textId="31947CC2" w:rsidR="002360B2" w:rsidRPr="001F162B" w:rsidRDefault="002360B2" w:rsidP="002360B2">
            <w:pPr>
              <w:pStyle w:val="TSBodyText"/>
            </w:pPr>
            <w:r w:rsidRPr="00DA64CC">
              <w:lastRenderedPageBreak/>
              <w:t>Cost of non-</w:t>
            </w:r>
            <w:r w:rsidR="001558C3" w:rsidRPr="00DA64CC">
              <w:t>life</w:t>
            </w:r>
            <w:r w:rsidR="001558C3">
              <w:t>-</w:t>
            </w:r>
            <w:r w:rsidRPr="00DA64CC">
              <w:t>threatening ED visit</w:t>
            </w:r>
          </w:p>
        </w:tc>
        <w:tc>
          <w:tcPr>
            <w:tcW w:w="0" w:type="dxa"/>
          </w:tcPr>
          <w:p w14:paraId="35F5AE70" w14:textId="57888786" w:rsidR="002360B2" w:rsidRPr="001F162B" w:rsidRDefault="002360B2" w:rsidP="002360B2">
            <w:pPr>
              <w:pStyle w:val="TSBodyText"/>
              <w:ind w:right="748"/>
              <w:jc w:val="right"/>
            </w:pPr>
            <w:r w:rsidRPr="00DA64CC">
              <w:t>$503</w:t>
            </w:r>
          </w:p>
        </w:tc>
      </w:tr>
      <w:tr w:rsidR="002360B2" w14:paraId="6F848D2D" w14:textId="77777777" w:rsidTr="004662B3">
        <w:tc>
          <w:tcPr>
            <w:tcW w:w="0" w:type="dxa"/>
          </w:tcPr>
          <w:p w14:paraId="2AD696A2" w14:textId="2BC40728" w:rsidR="002360B2" w:rsidRPr="001F162B" w:rsidRDefault="002360B2" w:rsidP="002360B2">
            <w:pPr>
              <w:pStyle w:val="TSBodyText"/>
            </w:pPr>
            <w:r w:rsidRPr="00DA64CC">
              <w:t>Cost of life-threatening ED visit</w:t>
            </w:r>
          </w:p>
        </w:tc>
        <w:tc>
          <w:tcPr>
            <w:tcW w:w="0" w:type="dxa"/>
          </w:tcPr>
          <w:p w14:paraId="055D8358" w14:textId="1A535D74" w:rsidR="002360B2" w:rsidRPr="001F162B" w:rsidRDefault="002360B2" w:rsidP="002360B2">
            <w:pPr>
              <w:pStyle w:val="TSBodyText"/>
              <w:ind w:right="748"/>
              <w:jc w:val="right"/>
            </w:pPr>
            <w:r w:rsidRPr="00DA64CC">
              <w:t>$2,162</w:t>
            </w:r>
          </w:p>
        </w:tc>
      </w:tr>
      <w:tr w:rsidR="002360B2" w14:paraId="4CFA1E01"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56E60499" w14:textId="0B34EF67" w:rsidR="002360B2" w:rsidRPr="001F162B" w:rsidRDefault="002360B2" w:rsidP="002360B2">
            <w:pPr>
              <w:pStyle w:val="TSBodyText"/>
            </w:pPr>
            <w:r w:rsidRPr="00DA64CC">
              <w:t>Cost of ambulance call-out</w:t>
            </w:r>
          </w:p>
        </w:tc>
        <w:tc>
          <w:tcPr>
            <w:tcW w:w="0" w:type="dxa"/>
          </w:tcPr>
          <w:p w14:paraId="514B3341" w14:textId="08D1081B" w:rsidR="002360B2" w:rsidRPr="001F162B" w:rsidRDefault="002360B2" w:rsidP="002360B2">
            <w:pPr>
              <w:pStyle w:val="TSBodyText"/>
              <w:ind w:right="748"/>
              <w:jc w:val="right"/>
            </w:pPr>
            <w:r w:rsidRPr="00DA64CC">
              <w:t>$1,008</w:t>
            </w:r>
          </w:p>
        </w:tc>
      </w:tr>
      <w:tr w:rsidR="002360B2" w14:paraId="46AA9016" w14:textId="77777777" w:rsidTr="004662B3">
        <w:tc>
          <w:tcPr>
            <w:tcW w:w="0" w:type="dxa"/>
          </w:tcPr>
          <w:p w14:paraId="75946005" w14:textId="2882DB8B" w:rsidR="002360B2" w:rsidRPr="001F162B" w:rsidRDefault="002360B2" w:rsidP="002360B2">
            <w:pPr>
              <w:pStyle w:val="TSBodyText"/>
            </w:pPr>
            <w:r w:rsidRPr="00DA64CC">
              <w:t>Total cost of non-</w:t>
            </w:r>
            <w:r w:rsidR="001558C3" w:rsidRPr="00DA64CC">
              <w:t>life</w:t>
            </w:r>
            <w:r w:rsidR="001558C3">
              <w:t>-</w:t>
            </w:r>
            <w:r w:rsidRPr="00DA64CC">
              <w:t>threatening alcohol-related ED visits</w:t>
            </w:r>
          </w:p>
        </w:tc>
        <w:tc>
          <w:tcPr>
            <w:tcW w:w="0" w:type="dxa"/>
          </w:tcPr>
          <w:p w14:paraId="58349FA5" w14:textId="2321321C" w:rsidR="002360B2" w:rsidRPr="001F162B" w:rsidRDefault="002360B2" w:rsidP="002360B2">
            <w:pPr>
              <w:pStyle w:val="TSBodyText"/>
              <w:ind w:right="748"/>
              <w:jc w:val="right"/>
            </w:pPr>
            <w:r w:rsidRPr="00DA64CC">
              <w:t xml:space="preserve"> $40,499,501 </w:t>
            </w:r>
          </w:p>
        </w:tc>
      </w:tr>
      <w:tr w:rsidR="002360B2" w14:paraId="7362BCA4"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59911E2E" w14:textId="4B8C1258" w:rsidR="002360B2" w:rsidRPr="001F162B" w:rsidRDefault="002360B2" w:rsidP="002360B2">
            <w:pPr>
              <w:pStyle w:val="TSBodyText"/>
            </w:pPr>
            <w:r w:rsidRPr="00DA64CC">
              <w:t>Total cost of life-threatening alcohol-related ED visits</w:t>
            </w:r>
          </w:p>
        </w:tc>
        <w:tc>
          <w:tcPr>
            <w:tcW w:w="0" w:type="dxa"/>
          </w:tcPr>
          <w:p w14:paraId="2F3FA740" w14:textId="57A8A052" w:rsidR="002360B2" w:rsidRPr="001F162B" w:rsidRDefault="002360B2" w:rsidP="002360B2">
            <w:pPr>
              <w:pStyle w:val="TSBodyText"/>
              <w:ind w:right="748"/>
              <w:jc w:val="right"/>
            </w:pPr>
            <w:r w:rsidRPr="00DA64CC">
              <w:t xml:space="preserve"> $15,135,310 </w:t>
            </w:r>
          </w:p>
        </w:tc>
      </w:tr>
      <w:tr w:rsidR="002360B2" w14:paraId="5E306824" w14:textId="77777777" w:rsidTr="004662B3">
        <w:tc>
          <w:tcPr>
            <w:tcW w:w="0" w:type="dxa"/>
          </w:tcPr>
          <w:p w14:paraId="6C9F2611" w14:textId="7B1B4845" w:rsidR="002360B2" w:rsidRPr="004662B3" w:rsidRDefault="002360B2" w:rsidP="002360B2">
            <w:pPr>
              <w:pStyle w:val="TSBodyText"/>
              <w:rPr>
                <w:b/>
                <w:bCs/>
              </w:rPr>
            </w:pPr>
            <w:r w:rsidRPr="004662B3">
              <w:rPr>
                <w:b/>
                <w:bCs/>
              </w:rPr>
              <w:t>Total cost of alcohol-related ED visits</w:t>
            </w:r>
          </w:p>
        </w:tc>
        <w:tc>
          <w:tcPr>
            <w:tcW w:w="0" w:type="dxa"/>
          </w:tcPr>
          <w:p w14:paraId="30844AA5" w14:textId="60B08124" w:rsidR="002360B2" w:rsidRPr="004662B3" w:rsidRDefault="002360B2" w:rsidP="002360B2">
            <w:pPr>
              <w:pStyle w:val="TSBodyText"/>
              <w:ind w:right="748"/>
              <w:jc w:val="right"/>
              <w:rPr>
                <w:b/>
                <w:bCs/>
              </w:rPr>
            </w:pPr>
            <w:r w:rsidRPr="004662B3">
              <w:rPr>
                <w:b/>
                <w:bCs/>
              </w:rPr>
              <w:t xml:space="preserve"> $55,634,811 </w:t>
            </w:r>
          </w:p>
        </w:tc>
      </w:tr>
      <w:tr w:rsidR="002360B2" w14:paraId="759D26A3" w14:textId="77777777" w:rsidTr="004662B3">
        <w:trPr>
          <w:cnfStyle w:val="000000010000" w:firstRow="0" w:lastRow="0" w:firstColumn="0" w:lastColumn="0" w:oddVBand="0" w:evenVBand="0" w:oddHBand="0" w:evenHBand="1" w:firstRowFirstColumn="0" w:firstRowLastColumn="0" w:lastRowFirstColumn="0" w:lastRowLastColumn="0"/>
        </w:trPr>
        <w:tc>
          <w:tcPr>
            <w:tcW w:w="0" w:type="dxa"/>
          </w:tcPr>
          <w:p w14:paraId="26E8AF94" w14:textId="6E572881" w:rsidR="002360B2" w:rsidRPr="001F162B" w:rsidRDefault="002360B2" w:rsidP="002360B2">
            <w:pPr>
              <w:pStyle w:val="TSBodyText"/>
            </w:pPr>
            <w:r w:rsidRPr="00DA64CC">
              <w:t xml:space="preserve">Total cost of alcohol-related ambulance </w:t>
            </w:r>
            <w:proofErr w:type="gramStart"/>
            <w:r w:rsidRPr="00DA64CC">
              <w:t>call-outs</w:t>
            </w:r>
            <w:proofErr w:type="gramEnd"/>
            <w:r w:rsidRPr="00DA64CC">
              <w:t xml:space="preserve"> resulting in an ED visit</w:t>
            </w:r>
          </w:p>
        </w:tc>
        <w:tc>
          <w:tcPr>
            <w:tcW w:w="0" w:type="dxa"/>
          </w:tcPr>
          <w:p w14:paraId="47A48134" w14:textId="20B9C252" w:rsidR="002360B2" w:rsidRPr="001F162B" w:rsidRDefault="002360B2" w:rsidP="002360B2">
            <w:pPr>
              <w:pStyle w:val="TSBodyText"/>
              <w:ind w:right="748"/>
              <w:jc w:val="right"/>
            </w:pPr>
            <w:r w:rsidRPr="00DA64CC">
              <w:t xml:space="preserve"> $46,755,237 </w:t>
            </w:r>
          </w:p>
        </w:tc>
      </w:tr>
      <w:tr w:rsidR="002360B2" w14:paraId="79DEB818" w14:textId="77777777" w:rsidTr="004662B3">
        <w:tc>
          <w:tcPr>
            <w:tcW w:w="0" w:type="dxa"/>
          </w:tcPr>
          <w:p w14:paraId="010810E5" w14:textId="3A9CAFC0" w:rsidR="002360B2" w:rsidRPr="002360B2" w:rsidRDefault="002360B2" w:rsidP="002360B2">
            <w:pPr>
              <w:pStyle w:val="TSBodyText"/>
              <w:rPr>
                <w:b/>
                <w:bCs/>
              </w:rPr>
            </w:pPr>
            <w:r w:rsidRPr="004662B3">
              <w:rPr>
                <w:b/>
                <w:bCs/>
              </w:rPr>
              <w:t xml:space="preserve">Total cost of alcohol-related ED visits and </w:t>
            </w:r>
            <w:r>
              <w:rPr>
                <w:b/>
                <w:bCs/>
              </w:rPr>
              <w:t xml:space="preserve">related </w:t>
            </w:r>
            <w:r w:rsidRPr="004662B3">
              <w:rPr>
                <w:b/>
                <w:bCs/>
              </w:rPr>
              <w:t>ambulance callouts</w:t>
            </w:r>
          </w:p>
        </w:tc>
        <w:tc>
          <w:tcPr>
            <w:tcW w:w="0" w:type="dxa"/>
          </w:tcPr>
          <w:p w14:paraId="2D7CC289" w14:textId="3C7BC0FF" w:rsidR="002360B2" w:rsidRPr="002360B2" w:rsidRDefault="002360B2" w:rsidP="002360B2">
            <w:pPr>
              <w:pStyle w:val="TSBodyText"/>
              <w:ind w:right="748"/>
              <w:jc w:val="right"/>
              <w:rPr>
                <w:b/>
                <w:bCs/>
              </w:rPr>
            </w:pPr>
            <w:r w:rsidRPr="00484945">
              <w:rPr>
                <w:b/>
                <w:bCs/>
              </w:rPr>
              <w:t xml:space="preserve"> $102,390,048 </w:t>
            </w:r>
          </w:p>
        </w:tc>
      </w:tr>
    </w:tbl>
    <w:p w14:paraId="45E97491" w14:textId="5E012821" w:rsidR="00050681" w:rsidRDefault="009C2186" w:rsidP="009C4D93">
      <w:pPr>
        <w:pStyle w:val="USSource"/>
      </w:pPr>
      <w:r w:rsidRPr="00AB785A">
        <w:t xml:space="preserve">Source: NZIER, based on </w:t>
      </w:r>
      <w:r w:rsidR="009C4D93" w:rsidRPr="00AB785A">
        <w:t xml:space="preserve">data from </w:t>
      </w:r>
      <w:proofErr w:type="spellStart"/>
      <w:r w:rsidR="002360B2">
        <w:t>Te</w:t>
      </w:r>
      <w:proofErr w:type="spellEnd"/>
      <w:r w:rsidR="002360B2">
        <w:t xml:space="preserve"> </w:t>
      </w:r>
      <w:proofErr w:type="spellStart"/>
      <w:r w:rsidR="002360B2">
        <w:t>Whatu</w:t>
      </w:r>
      <w:proofErr w:type="spellEnd"/>
      <w:r w:rsidR="002360B2">
        <w:t xml:space="preserve"> Ora</w:t>
      </w:r>
      <w:r w:rsidR="009C4D93" w:rsidRPr="00AB785A">
        <w:t xml:space="preserve"> and </w:t>
      </w:r>
      <w:r w:rsidR="009C4D93" w:rsidRPr="00AB785A">
        <w:fldChar w:fldCharType="begin"/>
      </w:r>
      <w:r w:rsidR="00F244F6">
        <w:instrText xml:space="preserve"> ADDIN ZOTERO_ITEM CSL_CITATION {"citationID":"Uk4ChBpk","properties":{"custom":"Svensen, Kool, and Buller (2019)","formattedCitation":"Svensen, Kool, and Buller (2019)","plainCitation":"Svensen, Kool, and Buller (2019)","noteIndex":0},"citationItems":[{"id":70379,"uris":["http://zotero.org/groups/4944822/items/AY4WYB7T"],"itemData":{"id":70379,"type":"article-journal","abstract":"AIMS: This cross-sectional observational study presents a focused analysis of alcohol-related presentations (ARPs) to a major New Zealand emergency department (ED) with the aim of describing and comparing the profile and outcomes of these presentations.\nMETHODS: A secondary analysis of 12 months (November 2017 to October 2018) of electronic patient records of adult (≥15 years) presentations to the Auckland City Hospital Adult ED. The primary area of interest was patient's alcohol-related status. Additional information reviewed included: patient demographics, and features of the presentation such as time of presentation, triage category and discharge disposition.\nRESULTS: Among 73,381 presentations, 7% (n=5,130) were alcohol-related, the majority were male (65%) and aged 20-39 (52%). ARPs were more frequent at night, during the weekends, public holidays and over the summer months. Sixteen percent of injury-related presentations were alcohol-related. ARPs commonly arrived at the ED via emergency services and had a longer length of stay than non-ARPs.\nCONCLUSIONS: The findings from this study highlight the burden of alcohol misuse on the ED. Continued public health efforts are required to implement preventative strategies for alcohol-related harm in the ED and society as a whole.","container-title":"The New Zealand Medical Journal","ISSN":"1175-8716","issue":"1504","journalAbbreviation":"N Z Med J","language":"eng","note":"PMID: 31647795","page":"56-66","source":"PubMed","title":"The burden of alcohol-related presentations to a busy urban New Zealand hospital emergency department","volume":"132","author":[{"family":"Svensen","given":"Georgina"},{"family":"Kool","given":"Bridget"},{"family":"Buller","given":"Sarah"}],"issued":{"date-parts":[["2019",10,25]]}}}],"schema":"https://github.com/citation-style-language/schema/raw/master/csl-citation.json"} </w:instrText>
      </w:r>
      <w:r w:rsidR="009C4D93" w:rsidRPr="00AB785A">
        <w:fldChar w:fldCharType="separate"/>
      </w:r>
      <w:proofErr w:type="spellStart"/>
      <w:r w:rsidR="009C4D93" w:rsidRPr="00AB785A">
        <w:t>Svensen</w:t>
      </w:r>
      <w:proofErr w:type="spellEnd"/>
      <w:r w:rsidR="009C4D93" w:rsidRPr="00AB785A">
        <w:t>, Kool, and Buller (2019)</w:t>
      </w:r>
      <w:r w:rsidR="009C4D93" w:rsidRPr="00AB785A">
        <w:fldChar w:fldCharType="end"/>
      </w:r>
    </w:p>
    <w:p w14:paraId="09302BBE" w14:textId="3F2D3EC2" w:rsidR="00986AEB" w:rsidRDefault="00DA7606" w:rsidP="00DA7606">
      <w:pPr>
        <w:pStyle w:val="USBodyText"/>
      </w:pPr>
      <w:r>
        <w:t xml:space="preserve">This result is highly uncertain </w:t>
      </w:r>
      <w:r w:rsidR="00C66048">
        <w:t>because i</w:t>
      </w:r>
      <w:r>
        <w:t xml:space="preserve">t is not known to what extent data on </w:t>
      </w:r>
      <w:r w:rsidR="0077661C">
        <w:t>“</w:t>
      </w:r>
      <w:r>
        <w:t>alcohol-involvement</w:t>
      </w:r>
      <w:r w:rsidR="0077661C">
        <w:t>”</w:t>
      </w:r>
      <w:r>
        <w:t xml:space="preserve"> in this context corresponds to attribution to alcohol. </w:t>
      </w:r>
      <w:r w:rsidR="00F93DBD">
        <w:t xml:space="preserve">It is also difficult to determine whether this cost is </w:t>
      </w:r>
      <w:r w:rsidR="001558C3">
        <w:t>likely under or overestimated</w:t>
      </w:r>
      <w:r w:rsidR="00F93DBD">
        <w:t xml:space="preserve">. </w:t>
      </w:r>
      <w:r w:rsidR="00316B5F">
        <w:t>S</w:t>
      </w:r>
      <w:r w:rsidR="00BB6FF2">
        <w:t>ome ED visits that are at least partially attributable to alcohol may not be recorded as alcohol-related by ED staff</w:t>
      </w:r>
      <w:r w:rsidR="00026299">
        <w:t xml:space="preserve"> due to the difficulty of identifying the role of alcohol in many conditions</w:t>
      </w:r>
      <w:r w:rsidR="00FA490D">
        <w:t xml:space="preserve">, resulting in </w:t>
      </w:r>
      <w:r w:rsidR="005C232F">
        <w:t xml:space="preserve">an </w:t>
      </w:r>
      <w:r w:rsidR="00FA490D">
        <w:t>underestimation of the true number of alcohol-related events</w:t>
      </w:r>
      <w:r w:rsidR="00BB6F78">
        <w:t xml:space="preserve">. </w:t>
      </w:r>
    </w:p>
    <w:p w14:paraId="6468F534" w14:textId="45CD7B75" w:rsidR="00DA7606" w:rsidRDefault="00BB6F78" w:rsidP="00DA7606">
      <w:pPr>
        <w:pStyle w:val="USBodyText"/>
      </w:pPr>
      <w:r>
        <w:t>However</w:t>
      </w:r>
      <w:r w:rsidR="00FA490D">
        <w:t xml:space="preserve">, it is important to note that </w:t>
      </w:r>
      <w:r w:rsidR="007D19CD">
        <w:t>relying on</w:t>
      </w:r>
      <w:r w:rsidR="00DA7606">
        <w:t xml:space="preserve"> alcohol-related ED events data results in </w:t>
      </w:r>
      <w:r w:rsidR="00EC7FA5">
        <w:t xml:space="preserve">a relatively high </w:t>
      </w:r>
      <w:r w:rsidR="00DA7606">
        <w:t>attribution rate</w:t>
      </w:r>
      <w:r w:rsidR="00AD4563">
        <w:t>:</w:t>
      </w:r>
      <w:r w:rsidR="00EC7FA5">
        <w:t xml:space="preserve"> The resulting attribution rate is</w:t>
      </w:r>
      <w:r w:rsidR="00DA7606">
        <w:t xml:space="preserve"> approximately 3.5 times the rate estimated for males and </w:t>
      </w:r>
      <w:r w:rsidR="005C232F">
        <w:t>eight</w:t>
      </w:r>
      <w:r w:rsidR="00DA7606">
        <w:t xml:space="preserve"> times the rate estimated for females in a Canadian study </w:t>
      </w:r>
      <w:r w:rsidR="00DA7606" w:rsidRPr="002D608F">
        <w:fldChar w:fldCharType="begin"/>
      </w:r>
      <w:r w:rsidR="00F244F6">
        <w:instrText xml:space="preserve"> ADDIN ZOTERO_ITEM CSL_CITATION {"citationID":"b2JX1fPa","properties":{"formattedCitation":"(Myran et al. 2019)","plainCitation":"(Myran et al. 2019)","noteIndex":0},"citationItems":[{"id":70378,"uris":["http://zotero.org/groups/4944822/items/IEQ6XJP5"],"itemData":{"id":70378,"type":"article-journal","abstract":"BACKGROUND:\nAlcohol use causes a large burden on the health of Canadians, and alcohol-related harms appear to be increasing in many high-income countries. We sought to analyze changes in emergency department visits attributable to alcohol use, by sex, age and neighbourhood income over time.\n\nMETHODS:\nAll individuals aged 10 to 105 years living in Ontario, Canada, between 2003 and 2016 were included in this study. The primary outcome was age-standardized rates of emergency department visits attributable to alcohol use, defined using diagnostic codes from the Canadian Institute for Health Information Health Indicator “hospitalizations entirely caused by alcohol.” We compared rates of these visits using a retrospective population-level design.\n\nRESULTS:\nAmong 15 121 639 individuals, there were 765 346 emergency department visits attributable to alcohol use over the study period. Between 2003 and 2016, the age-standardized rates of these visits increased more in women (86.5%) than in men (53.2%), and the increase in rates of emergency department visits attributable to alcohol use was 4.4 times greater than the increases in the rates of overall emergency department visits. Individuals aged 25–29 years experienced the largest change in the rate of emergency department visits attributable to alcohol use (175%). We found evidence of age-cohort effects, whereby the rate of emergency department visits attributable to alcohol use at age 19 years increased on average by 4.07% (95% confidence interval [CI] 3.71%–4.44%) per year for each cohort born between 1986 and 1999. Individuals in the lowest neighbourhood income quintile had 2.37 (95% CI 2.27–2.49) times the rate of emergency department visits attributable to alcohol use than those in the highest income quintile. This disparity increased slightly over the study period.\n\nINTERPRETATION:\nAlthough men and lower-income individuals have the highest burden of emergency department visits attributable to alcohol use, the largest increases in visits have been in women and younger adults. Further research should focus on potential causes of these trends to provide guidance on how to reduce alcohol-related harms.","container-title":"CMAJ : Canadian Medical Association Journal","DOI":"10.1503/cmaj.181575","ISSN":"0820-3946","issue":"29","journalAbbreviation":"CMAJ","note":"PMID: 31332048\nPMCID: PMC6645924","page":"E804-E810","source":"PubMed Central","title":"Rates of emergency department visits attributable to alcohol use in Ontario from 2003 to 2016: a retrospective population-level study","title-short":"Rates of emergency department visits attributable to alcohol use in Ontario from 2003 to 2016","volume":"191","author":[{"family":"Myran","given":"Daniel T."},{"family":"Hsu","given":"Amy T."},{"family":"Smith","given":"Glenys"},{"family":"Tanuseputro","given":"Peter"}],"issued":{"date-parts":[["2019",7,22]]}}}],"schema":"https://github.com/citation-style-language/schema/raw/master/csl-citation.json"} </w:instrText>
      </w:r>
      <w:r w:rsidR="00DA7606" w:rsidRPr="002D608F">
        <w:fldChar w:fldCharType="separate"/>
      </w:r>
      <w:r w:rsidR="00D072F0" w:rsidRPr="002D608F">
        <w:rPr>
          <w:rFonts w:cs="Calibri"/>
        </w:rPr>
        <w:t>(</w:t>
      </w:r>
      <w:proofErr w:type="spellStart"/>
      <w:r w:rsidR="00D072F0" w:rsidRPr="002D608F">
        <w:rPr>
          <w:rFonts w:cs="Calibri"/>
        </w:rPr>
        <w:t>Myran</w:t>
      </w:r>
      <w:proofErr w:type="spellEnd"/>
      <w:r w:rsidR="00D072F0" w:rsidRPr="002D608F">
        <w:rPr>
          <w:rFonts w:cs="Calibri"/>
        </w:rPr>
        <w:t xml:space="preserve"> et al. 2019)</w:t>
      </w:r>
      <w:r w:rsidR="00DA7606" w:rsidRPr="002D608F">
        <w:fldChar w:fldCharType="end"/>
      </w:r>
      <w:r w:rsidR="00AD4563">
        <w:t xml:space="preserve">. That study </w:t>
      </w:r>
      <w:r>
        <w:t xml:space="preserve">benefitted from </w:t>
      </w:r>
      <w:r w:rsidR="00302B68">
        <w:t>diagnosis codes being recorded in ED data</w:t>
      </w:r>
      <w:r w:rsidR="00490FC3">
        <w:t xml:space="preserve">, </w:t>
      </w:r>
      <w:r w:rsidR="00AD4563">
        <w:t xml:space="preserve">so </w:t>
      </w:r>
      <w:r w:rsidR="001558C3">
        <w:t xml:space="preserve">it </w:t>
      </w:r>
      <w:r w:rsidR="00AD4563">
        <w:t>offers a credible attribution to alcohol, albeit in the Canadian context</w:t>
      </w:r>
      <w:r w:rsidR="00C66048">
        <w:t>.</w:t>
      </w:r>
      <w:r w:rsidR="00DA7606">
        <w:t xml:space="preserve"> </w:t>
      </w:r>
      <w:r w:rsidR="007D19CD">
        <w:t>T</w:t>
      </w:r>
      <w:r w:rsidR="00DA7606">
        <w:t>he New Zealand context is different from the Canadian context in important ways due to higher rates of alcohol consumption and hazardous drinking in New Zealand as well as higher barriers of access to primary care</w:t>
      </w:r>
      <w:r w:rsidR="001558C3">
        <w:t>,</w:t>
      </w:r>
      <w:r w:rsidR="007D19CD">
        <w:t xml:space="preserve"> which would be expected to result in higher rates of alcohol</w:t>
      </w:r>
      <w:r w:rsidR="00D072F0">
        <w:t>-</w:t>
      </w:r>
      <w:r w:rsidR="007D19CD">
        <w:t>attributable ED events</w:t>
      </w:r>
      <w:r w:rsidR="00DA7606">
        <w:t>.</w:t>
      </w:r>
      <w:r w:rsidR="00C66048">
        <w:t xml:space="preserve"> Nevertheless, </w:t>
      </w:r>
      <w:r w:rsidR="00BB6FF2">
        <w:t xml:space="preserve">the cost estimated </w:t>
      </w:r>
      <w:r w:rsidR="00BD0D9A">
        <w:t>here</w:t>
      </w:r>
      <w:r w:rsidR="00BB6FF2">
        <w:t xml:space="preserve"> should be regarded as </w:t>
      </w:r>
      <w:r w:rsidR="006C2071">
        <w:t>highly uncertain</w:t>
      </w:r>
      <w:r w:rsidR="00BB6FF2">
        <w:t>.</w:t>
      </w:r>
    </w:p>
    <w:p w14:paraId="34DC2FEC" w14:textId="4BA0F7FF" w:rsidR="00D327A1" w:rsidRDefault="00D327A1" w:rsidP="00D327A1">
      <w:pPr>
        <w:pStyle w:val="Heading4"/>
      </w:pPr>
      <w:r>
        <w:t>E</w:t>
      </w:r>
      <w:r w:rsidR="008B5E03">
        <w:t xml:space="preserve">mergency </w:t>
      </w:r>
      <w:r w:rsidR="001558C3">
        <w:t xml:space="preserve">department </w:t>
      </w:r>
      <w:r>
        <w:t>presentations associated with alcohol</w:t>
      </w:r>
      <w:r w:rsidR="00D072F0">
        <w:t>-</w:t>
      </w:r>
      <w:r>
        <w:t xml:space="preserve">attributable inpatient </w:t>
      </w:r>
      <w:proofErr w:type="gramStart"/>
      <w:r>
        <w:t>hospitalisations</w:t>
      </w:r>
      <w:proofErr w:type="gramEnd"/>
    </w:p>
    <w:p w14:paraId="02BC45E7" w14:textId="506B3EDC" w:rsidR="0023796C" w:rsidRDefault="0023796C" w:rsidP="00D327A1">
      <w:pPr>
        <w:pStyle w:val="USBodyText"/>
      </w:pPr>
      <w:r>
        <w:t>Within the total cost of ED presentations</w:t>
      </w:r>
      <w:r w:rsidR="00B73C15">
        <w:t xml:space="preserve">, there is a subset of events </w:t>
      </w:r>
      <w:r w:rsidR="00FC553D">
        <w:t>around which a higher level of confidence is possible: ED events associated with inpatient admissions.</w:t>
      </w:r>
    </w:p>
    <w:p w14:paraId="7E2731FE" w14:textId="73403EF6" w:rsidR="00D327A1" w:rsidRDefault="00D327A1" w:rsidP="00D327A1">
      <w:pPr>
        <w:pStyle w:val="USBodyText"/>
      </w:pPr>
      <w:r>
        <w:t xml:space="preserve">Based on inpatient hospitalisation data and their AAFs, it is possible to estimate the number of associated ED presentations. Inpatient data is coded as either an acute or planned admission. Most acute admissions are admitted from the ED. </w:t>
      </w:r>
    </w:p>
    <w:p w14:paraId="40B5E57E" w14:textId="337151E0" w:rsidR="00D327A1" w:rsidRDefault="00D327A1" w:rsidP="00D327A1">
      <w:pPr>
        <w:pStyle w:val="USBodyText"/>
      </w:pPr>
      <w:r>
        <w:fldChar w:fldCharType="begin"/>
      </w:r>
      <w:r>
        <w:instrText xml:space="preserve"> REF _Ref148890081 \h </w:instrText>
      </w:r>
      <w:r>
        <w:fldChar w:fldCharType="separate"/>
      </w:r>
      <w:r w:rsidR="00AE166D" w:rsidRPr="00731CA6">
        <w:t xml:space="preserve">Table </w:t>
      </w:r>
      <w:r w:rsidR="00AE166D">
        <w:rPr>
          <w:noProof/>
        </w:rPr>
        <w:t>28</w:t>
      </w:r>
      <w:r>
        <w:fldChar w:fldCharType="end"/>
      </w:r>
      <w:r>
        <w:t xml:space="preserve"> below shows the breakdown of alcohol</w:t>
      </w:r>
      <w:r w:rsidR="00E56B87">
        <w:t>-</w:t>
      </w:r>
      <w:r>
        <w:t>attributable inpatient events to planned admissions and acute admissions. An estimated 8,772 acute admissions in 2023 will be attributable to alcohol (approximately 21 percent of all alcohol</w:t>
      </w:r>
      <w:r w:rsidR="00E56B87">
        <w:t>-</w:t>
      </w:r>
      <w:r>
        <w:t>attributable admissions).</w:t>
      </w:r>
    </w:p>
    <w:p w14:paraId="1D31F54E" w14:textId="22B2C52B" w:rsidR="00D327A1" w:rsidRDefault="00D327A1" w:rsidP="00C41F20">
      <w:pPr>
        <w:pStyle w:val="TableCaption"/>
        <w:keepLines/>
      </w:pPr>
      <w:bookmarkStart w:id="133" w:name="_Ref148890081"/>
      <w:bookmarkStart w:id="134" w:name="_Toc160633935"/>
      <w:bookmarkStart w:id="135" w:name="_Hlk148890349"/>
      <w:r w:rsidRPr="00731CA6">
        <w:lastRenderedPageBreak/>
        <w:t xml:space="preserve">Table </w:t>
      </w:r>
      <w:fldSimple w:instr=" SEQ Table \* ARABIC ">
        <w:r w:rsidR="00AE166D">
          <w:rPr>
            <w:noProof/>
          </w:rPr>
          <w:t>28</w:t>
        </w:r>
      </w:fldSimple>
      <w:bookmarkEnd w:id="133"/>
      <w:r w:rsidRPr="00731CA6">
        <w:t xml:space="preserve"> </w:t>
      </w:r>
      <w:r>
        <w:t>Planned and acute inpatient admissions</w:t>
      </w:r>
      <w:bookmarkEnd w:id="134"/>
    </w:p>
    <w:p w14:paraId="209C85B5" w14:textId="77777777" w:rsidR="00D327A1" w:rsidRDefault="00D327A1" w:rsidP="00C41F20">
      <w:pPr>
        <w:pStyle w:val="CaptionSubheading"/>
        <w:keepLines/>
      </w:pPr>
      <w:r w:rsidRPr="004505A5">
        <w:t xml:space="preserve">Estimated 2023 </w:t>
      </w:r>
    </w:p>
    <w:tbl>
      <w:tblPr>
        <w:tblStyle w:val="TableDefault"/>
        <w:tblW w:w="0" w:type="auto"/>
        <w:tblLook w:val="04A0" w:firstRow="1" w:lastRow="0" w:firstColumn="1" w:lastColumn="0" w:noHBand="0" w:noVBand="1"/>
      </w:tblPr>
      <w:tblGrid>
        <w:gridCol w:w="2055"/>
        <w:gridCol w:w="2055"/>
        <w:gridCol w:w="2055"/>
        <w:gridCol w:w="2055"/>
      </w:tblGrid>
      <w:tr w:rsidR="00D327A1" w14:paraId="64EAC57E" w14:textId="77777777">
        <w:trPr>
          <w:cnfStyle w:val="100000000000" w:firstRow="1" w:lastRow="0" w:firstColumn="0" w:lastColumn="0" w:oddVBand="0" w:evenVBand="0" w:oddHBand="0" w:evenHBand="0" w:firstRowFirstColumn="0" w:firstRowLastColumn="0" w:lastRowFirstColumn="0" w:lastRowLastColumn="0"/>
        </w:trPr>
        <w:tc>
          <w:tcPr>
            <w:tcW w:w="2055" w:type="dxa"/>
          </w:tcPr>
          <w:p w14:paraId="2FC23876" w14:textId="77777777" w:rsidR="00D327A1" w:rsidRPr="002D072F" w:rsidRDefault="00D327A1" w:rsidP="00C41F20">
            <w:pPr>
              <w:pStyle w:val="TSTableHeadingWhite-TopRow"/>
            </w:pPr>
          </w:p>
        </w:tc>
        <w:tc>
          <w:tcPr>
            <w:tcW w:w="2055" w:type="dxa"/>
          </w:tcPr>
          <w:p w14:paraId="48FCDA30" w14:textId="77777777" w:rsidR="00D327A1" w:rsidRPr="002D072F" w:rsidRDefault="00D327A1" w:rsidP="00C41F20">
            <w:pPr>
              <w:pStyle w:val="TSTableHeadingWhite-TopRow"/>
              <w:rPr>
                <w:b w:val="0"/>
                <w:bCs/>
                <w:color w:val="FFFFFF" w:themeColor="background1"/>
              </w:rPr>
            </w:pPr>
            <w:r w:rsidRPr="002D072F">
              <w:t>Planned admissions</w:t>
            </w:r>
          </w:p>
        </w:tc>
        <w:tc>
          <w:tcPr>
            <w:tcW w:w="2055" w:type="dxa"/>
          </w:tcPr>
          <w:p w14:paraId="274B3CAE" w14:textId="77777777" w:rsidR="00D327A1" w:rsidRPr="002D072F" w:rsidRDefault="00D327A1" w:rsidP="00C41F20">
            <w:pPr>
              <w:pStyle w:val="TSTableHeadingWhite-TopRow"/>
              <w:rPr>
                <w:b w:val="0"/>
                <w:bCs/>
                <w:color w:val="FFFFFF" w:themeColor="background1"/>
              </w:rPr>
            </w:pPr>
            <w:r w:rsidRPr="002D072F">
              <w:t>Acute admissions</w:t>
            </w:r>
          </w:p>
        </w:tc>
        <w:tc>
          <w:tcPr>
            <w:tcW w:w="2055" w:type="dxa"/>
          </w:tcPr>
          <w:p w14:paraId="0C639F81" w14:textId="77777777" w:rsidR="00D327A1" w:rsidRPr="002D072F" w:rsidRDefault="00D327A1" w:rsidP="00C41F20">
            <w:pPr>
              <w:pStyle w:val="TSTableHeadingWhite-TopRow"/>
              <w:rPr>
                <w:b w:val="0"/>
                <w:bCs/>
                <w:color w:val="FFFFFF" w:themeColor="background1"/>
              </w:rPr>
            </w:pPr>
            <w:r w:rsidRPr="002D072F">
              <w:t>All admissions</w:t>
            </w:r>
          </w:p>
        </w:tc>
      </w:tr>
      <w:tr w:rsidR="00D327A1" w14:paraId="7507B5D8" w14:textId="77777777">
        <w:tc>
          <w:tcPr>
            <w:tcW w:w="2055" w:type="dxa"/>
          </w:tcPr>
          <w:p w14:paraId="1DA7645E" w14:textId="46A4703E" w:rsidR="00D327A1" w:rsidRDefault="00D327A1" w:rsidP="00C41F20">
            <w:pPr>
              <w:pStyle w:val="TSBodyText"/>
              <w:keepNext/>
              <w:keepLines/>
            </w:pPr>
            <w:r>
              <w:t>Alcohol</w:t>
            </w:r>
            <w:r w:rsidR="0030392D">
              <w:t>-</w:t>
            </w:r>
            <w:r w:rsidRPr="003A7793">
              <w:t>attributable</w:t>
            </w:r>
            <w:r>
              <w:t xml:space="preserve"> admissions</w:t>
            </w:r>
          </w:p>
        </w:tc>
        <w:tc>
          <w:tcPr>
            <w:tcW w:w="2055" w:type="dxa"/>
          </w:tcPr>
          <w:p w14:paraId="39C22BB6" w14:textId="77777777" w:rsidR="00D327A1" w:rsidRDefault="00D327A1" w:rsidP="00C41F20">
            <w:pPr>
              <w:pStyle w:val="TSBodyText"/>
              <w:keepNext/>
              <w:keepLines/>
            </w:pPr>
            <w:r w:rsidRPr="003A7793">
              <w:t>32</w:t>
            </w:r>
            <w:r>
              <w:t>,</w:t>
            </w:r>
            <w:r w:rsidRPr="003A7793">
              <w:t>151</w:t>
            </w:r>
          </w:p>
        </w:tc>
        <w:tc>
          <w:tcPr>
            <w:tcW w:w="2055" w:type="dxa"/>
          </w:tcPr>
          <w:p w14:paraId="6913BC7B" w14:textId="77777777" w:rsidR="00D327A1" w:rsidRDefault="00D327A1" w:rsidP="00C41F20">
            <w:pPr>
              <w:pStyle w:val="TSBodyText"/>
              <w:keepNext/>
              <w:keepLines/>
            </w:pPr>
            <w:r w:rsidRPr="003A7793">
              <w:t>8</w:t>
            </w:r>
            <w:r>
              <w:t>,</w:t>
            </w:r>
            <w:r w:rsidRPr="003A7793">
              <w:t>772</w:t>
            </w:r>
          </w:p>
        </w:tc>
        <w:tc>
          <w:tcPr>
            <w:tcW w:w="2055" w:type="dxa"/>
          </w:tcPr>
          <w:p w14:paraId="3532B2F2" w14:textId="77777777" w:rsidR="00D327A1" w:rsidRDefault="00D327A1" w:rsidP="00C41F20">
            <w:pPr>
              <w:pStyle w:val="TSBodyText"/>
              <w:keepNext/>
              <w:keepLines/>
            </w:pPr>
            <w:r w:rsidRPr="003A7793">
              <w:t>40</w:t>
            </w:r>
            <w:r>
              <w:t>,</w:t>
            </w:r>
            <w:r w:rsidRPr="003A7793">
              <w:t>923</w:t>
            </w:r>
          </w:p>
        </w:tc>
      </w:tr>
      <w:tr w:rsidR="00D327A1" w14:paraId="1E43783F"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43D807B2" w14:textId="77777777" w:rsidR="00D327A1" w:rsidRDefault="00D327A1" w:rsidP="00C41F20">
            <w:pPr>
              <w:pStyle w:val="TSBodyText"/>
              <w:keepNext/>
              <w:keepLines/>
            </w:pPr>
            <w:r>
              <w:t>Share</w:t>
            </w:r>
          </w:p>
        </w:tc>
        <w:tc>
          <w:tcPr>
            <w:tcW w:w="2055" w:type="dxa"/>
          </w:tcPr>
          <w:p w14:paraId="51AC049D" w14:textId="77777777" w:rsidR="00D327A1" w:rsidRDefault="00D327A1" w:rsidP="00C41F20">
            <w:pPr>
              <w:pStyle w:val="TSBodyText"/>
              <w:keepNext/>
              <w:keepLines/>
            </w:pPr>
            <w:r w:rsidRPr="008467D1">
              <w:t>78.6%</w:t>
            </w:r>
          </w:p>
        </w:tc>
        <w:tc>
          <w:tcPr>
            <w:tcW w:w="2055" w:type="dxa"/>
          </w:tcPr>
          <w:p w14:paraId="4F39E9C7" w14:textId="77777777" w:rsidR="00D327A1" w:rsidRDefault="00D327A1" w:rsidP="00C41F20">
            <w:pPr>
              <w:pStyle w:val="TSBodyText"/>
              <w:keepNext/>
              <w:keepLines/>
            </w:pPr>
            <w:r w:rsidRPr="008467D1">
              <w:t>21.4%</w:t>
            </w:r>
          </w:p>
        </w:tc>
        <w:tc>
          <w:tcPr>
            <w:tcW w:w="2055" w:type="dxa"/>
          </w:tcPr>
          <w:p w14:paraId="7BCA62F6" w14:textId="77777777" w:rsidR="00D327A1" w:rsidRDefault="00D327A1" w:rsidP="00C41F20">
            <w:pPr>
              <w:pStyle w:val="TSBodyText"/>
              <w:keepNext/>
              <w:keepLines/>
            </w:pPr>
            <w:r>
              <w:t>100%</w:t>
            </w:r>
          </w:p>
        </w:tc>
      </w:tr>
    </w:tbl>
    <w:p w14:paraId="1D68CC8D" w14:textId="0F929279" w:rsidR="00D327A1" w:rsidRDefault="00D327A1" w:rsidP="00D327A1">
      <w:pPr>
        <w:pStyle w:val="USSource"/>
        <w:spacing w:after="480"/>
      </w:pPr>
      <w:r w:rsidRPr="00731CA6">
        <w:t xml:space="preserve">Source: </w:t>
      </w:r>
      <w:r w:rsidRPr="00B857B2">
        <w:t xml:space="preserve">NZIER, based on </w:t>
      </w:r>
      <w:proofErr w:type="spellStart"/>
      <w:r w:rsidRPr="00B857B2">
        <w:t>Te</w:t>
      </w:r>
      <w:proofErr w:type="spellEnd"/>
      <w:r w:rsidRPr="00B857B2">
        <w:t xml:space="preserve"> </w:t>
      </w:r>
      <w:proofErr w:type="spellStart"/>
      <w:r w:rsidRPr="00B857B2">
        <w:t>Whatu</w:t>
      </w:r>
      <w:proofErr w:type="spellEnd"/>
      <w:r w:rsidRPr="00B857B2">
        <w:t xml:space="preserve"> Ora data and </w:t>
      </w:r>
      <w:r w:rsidR="00782460" w:rsidRPr="00B857B2">
        <w:t>alcohol</w:t>
      </w:r>
      <w:r w:rsidR="00782460">
        <w:t>-</w:t>
      </w:r>
      <w:r w:rsidRPr="00B857B2">
        <w:t xml:space="preserve">attributable fractions from Chambers and </w:t>
      </w:r>
      <w:proofErr w:type="spellStart"/>
      <w:r w:rsidRPr="00B857B2">
        <w:t>Mizdrak</w:t>
      </w:r>
      <w:proofErr w:type="spellEnd"/>
      <w:r w:rsidRPr="00B857B2">
        <w:t xml:space="preserve"> (</w:t>
      </w:r>
      <w:r w:rsidR="00D072F0">
        <w:t>forthcoming</w:t>
      </w:r>
      <w:r w:rsidRPr="00B857B2">
        <w:t>)</w:t>
      </w:r>
    </w:p>
    <w:bookmarkEnd w:id="135"/>
    <w:p w14:paraId="587BF185" w14:textId="2F27D7AE" w:rsidR="00D327A1" w:rsidRDefault="00D327A1" w:rsidP="00D327A1">
      <w:pPr>
        <w:pStyle w:val="USBodyText"/>
      </w:pPr>
      <w:r>
        <w:fldChar w:fldCharType="begin"/>
      </w:r>
      <w:r>
        <w:instrText xml:space="preserve"> REF _Ref148890365 \h </w:instrText>
      </w:r>
      <w:r>
        <w:fldChar w:fldCharType="separate"/>
      </w:r>
      <w:r w:rsidR="00AE166D" w:rsidRPr="00731CA6">
        <w:t xml:space="preserve">Table </w:t>
      </w:r>
      <w:r w:rsidR="00AE166D">
        <w:rPr>
          <w:noProof/>
        </w:rPr>
        <w:t>29</w:t>
      </w:r>
      <w:r>
        <w:fldChar w:fldCharType="end"/>
      </w:r>
      <w:r>
        <w:t xml:space="preserve"> below shows that</w:t>
      </w:r>
      <w:r w:rsidR="0065432B" w:rsidRPr="0065432B">
        <w:t xml:space="preserve"> for alcohol-attributable admissions, non-Māori were more likely to have acute admissions than Māori (22 percent, compared with 18 percent for Māori). Māori accounted for 15 percent of all alcohol-attributable acute inpatient admissions. </w:t>
      </w:r>
    </w:p>
    <w:p w14:paraId="25ED7347" w14:textId="1143FC1F" w:rsidR="00D327A1" w:rsidRDefault="00D327A1" w:rsidP="00D327A1">
      <w:pPr>
        <w:pStyle w:val="TableCaption"/>
      </w:pPr>
      <w:bookmarkStart w:id="136" w:name="_Ref148890365"/>
      <w:bookmarkStart w:id="137" w:name="_Toc160633936"/>
      <w:r w:rsidRPr="00731CA6">
        <w:t xml:space="preserve">Table </w:t>
      </w:r>
      <w:fldSimple w:instr=" SEQ Table \* ARABIC ">
        <w:r w:rsidR="00AE166D">
          <w:rPr>
            <w:noProof/>
          </w:rPr>
          <w:t>29</w:t>
        </w:r>
      </w:fldSimple>
      <w:bookmarkEnd w:id="136"/>
      <w:r w:rsidRPr="00731CA6">
        <w:t xml:space="preserve"> </w:t>
      </w:r>
      <w:r>
        <w:t>Planned and acute inpatient admissions by ethnicity</w:t>
      </w:r>
      <w:bookmarkEnd w:id="137"/>
    </w:p>
    <w:p w14:paraId="216C3D37" w14:textId="77777777" w:rsidR="00D327A1" w:rsidRDefault="00D327A1" w:rsidP="00D327A1">
      <w:pPr>
        <w:pStyle w:val="CaptionSubheading"/>
        <w:keepLines/>
      </w:pPr>
      <w:r w:rsidRPr="004505A5">
        <w:t xml:space="preserve">Estimated 2023 </w:t>
      </w:r>
    </w:p>
    <w:tbl>
      <w:tblPr>
        <w:tblStyle w:val="TableDefault"/>
        <w:tblW w:w="0" w:type="auto"/>
        <w:tblLook w:val="04A0" w:firstRow="1" w:lastRow="0" w:firstColumn="1" w:lastColumn="0" w:noHBand="0" w:noVBand="1"/>
      </w:tblPr>
      <w:tblGrid>
        <w:gridCol w:w="1191"/>
        <w:gridCol w:w="1276"/>
        <w:gridCol w:w="1134"/>
        <w:gridCol w:w="1275"/>
        <w:gridCol w:w="1560"/>
        <w:gridCol w:w="1560"/>
      </w:tblGrid>
      <w:tr w:rsidR="008125AA" w14:paraId="0E4D0CDA" w14:textId="268C5F86" w:rsidTr="00A63247">
        <w:trPr>
          <w:cnfStyle w:val="100000000000" w:firstRow="1" w:lastRow="0" w:firstColumn="0" w:lastColumn="0" w:oddVBand="0" w:evenVBand="0" w:oddHBand="0" w:evenHBand="0" w:firstRowFirstColumn="0" w:firstRowLastColumn="0" w:lastRowFirstColumn="0" w:lastRowLastColumn="0"/>
        </w:trPr>
        <w:tc>
          <w:tcPr>
            <w:tcW w:w="1191" w:type="dxa"/>
          </w:tcPr>
          <w:p w14:paraId="50753953" w14:textId="3FD4E211" w:rsidR="008125AA" w:rsidRPr="002D072F" w:rsidRDefault="008125AA" w:rsidP="008125AA">
            <w:pPr>
              <w:pStyle w:val="TSTableHeadingWhite-TopRow"/>
            </w:pPr>
          </w:p>
        </w:tc>
        <w:tc>
          <w:tcPr>
            <w:tcW w:w="1276" w:type="dxa"/>
            <w:vAlign w:val="center"/>
          </w:tcPr>
          <w:p w14:paraId="3C2516E5" w14:textId="77777777" w:rsidR="008125AA" w:rsidRPr="002D072F" w:rsidRDefault="008125AA" w:rsidP="006241E9">
            <w:pPr>
              <w:pStyle w:val="TSTableHeadingWhite-TopRow"/>
              <w:jc w:val="center"/>
              <w:rPr>
                <w:b w:val="0"/>
                <w:bCs/>
                <w:color w:val="FFFFFF" w:themeColor="background1"/>
              </w:rPr>
            </w:pPr>
            <w:r w:rsidRPr="002D072F">
              <w:t>Planned admissions</w:t>
            </w:r>
          </w:p>
        </w:tc>
        <w:tc>
          <w:tcPr>
            <w:tcW w:w="1134" w:type="dxa"/>
            <w:vAlign w:val="center"/>
          </w:tcPr>
          <w:p w14:paraId="75EC1EB0" w14:textId="77777777" w:rsidR="008125AA" w:rsidRPr="002D072F" w:rsidRDefault="008125AA" w:rsidP="006241E9">
            <w:pPr>
              <w:pStyle w:val="TSTableHeadingWhite-TopRow"/>
              <w:jc w:val="center"/>
              <w:rPr>
                <w:b w:val="0"/>
                <w:bCs/>
                <w:color w:val="FFFFFF" w:themeColor="background1"/>
              </w:rPr>
            </w:pPr>
            <w:r w:rsidRPr="002D072F">
              <w:t>Acute admissions</w:t>
            </w:r>
          </w:p>
        </w:tc>
        <w:tc>
          <w:tcPr>
            <w:tcW w:w="1275" w:type="dxa"/>
            <w:vAlign w:val="center"/>
          </w:tcPr>
          <w:p w14:paraId="7E623B6C" w14:textId="77777777" w:rsidR="008125AA" w:rsidRPr="002D072F" w:rsidRDefault="008125AA" w:rsidP="006241E9">
            <w:pPr>
              <w:pStyle w:val="TSTableHeadingWhite-TopRow"/>
              <w:jc w:val="center"/>
              <w:rPr>
                <w:b w:val="0"/>
                <w:bCs/>
                <w:color w:val="FFFFFF" w:themeColor="background1"/>
              </w:rPr>
            </w:pPr>
            <w:r w:rsidRPr="002D072F">
              <w:t>All admissions</w:t>
            </w:r>
          </w:p>
        </w:tc>
        <w:tc>
          <w:tcPr>
            <w:tcW w:w="1560" w:type="dxa"/>
            <w:vAlign w:val="center"/>
          </w:tcPr>
          <w:p w14:paraId="198E973F" w14:textId="75DE7F73" w:rsidR="008125AA" w:rsidRPr="002D072F" w:rsidRDefault="008125AA" w:rsidP="006241E9">
            <w:pPr>
              <w:pStyle w:val="TSTableHeadingWhite-TopRow"/>
              <w:jc w:val="center"/>
              <w:rPr>
                <w:b w:val="0"/>
                <w:bCs/>
                <w:color w:val="FFFFFF" w:themeColor="background1"/>
              </w:rPr>
            </w:pPr>
            <w:r>
              <w:t>Planned share of all admissions</w:t>
            </w:r>
          </w:p>
        </w:tc>
        <w:tc>
          <w:tcPr>
            <w:tcW w:w="1560" w:type="dxa"/>
          </w:tcPr>
          <w:p w14:paraId="723955F1" w14:textId="5E12F6E6" w:rsidR="008125AA" w:rsidRDefault="008125AA" w:rsidP="006241E9">
            <w:pPr>
              <w:pStyle w:val="TSTableHeadingWhite-TopRow"/>
              <w:jc w:val="center"/>
            </w:pPr>
            <w:r w:rsidRPr="00677139">
              <w:t>Acute share of all admissions</w:t>
            </w:r>
          </w:p>
        </w:tc>
      </w:tr>
      <w:tr w:rsidR="008125AA" w14:paraId="72BE83FF" w14:textId="00EDD053" w:rsidTr="00A63247">
        <w:tc>
          <w:tcPr>
            <w:tcW w:w="1191" w:type="dxa"/>
          </w:tcPr>
          <w:p w14:paraId="3CF2CD2E" w14:textId="77777777" w:rsidR="008125AA" w:rsidRDefault="008125AA" w:rsidP="008125AA">
            <w:pPr>
              <w:pStyle w:val="TSBodyText"/>
            </w:pPr>
            <w:r>
              <w:t xml:space="preserve">Māori </w:t>
            </w:r>
          </w:p>
        </w:tc>
        <w:tc>
          <w:tcPr>
            <w:tcW w:w="1276" w:type="dxa"/>
          </w:tcPr>
          <w:p w14:paraId="49B62A36" w14:textId="77777777" w:rsidR="008125AA" w:rsidRPr="003A7793" w:rsidRDefault="008125AA" w:rsidP="006241E9">
            <w:pPr>
              <w:pStyle w:val="TSBodyText"/>
              <w:ind w:right="238"/>
              <w:jc w:val="right"/>
            </w:pPr>
            <w:r w:rsidRPr="00892780">
              <w:t xml:space="preserve"> 6,074 </w:t>
            </w:r>
          </w:p>
        </w:tc>
        <w:tc>
          <w:tcPr>
            <w:tcW w:w="1134" w:type="dxa"/>
          </w:tcPr>
          <w:p w14:paraId="6C7E44EA" w14:textId="77777777" w:rsidR="008125AA" w:rsidRPr="003A7793" w:rsidRDefault="008125AA" w:rsidP="006241E9">
            <w:pPr>
              <w:pStyle w:val="TSBodyText"/>
              <w:ind w:right="238"/>
              <w:jc w:val="right"/>
            </w:pPr>
            <w:r w:rsidRPr="00892780">
              <w:t xml:space="preserve"> 1,310 </w:t>
            </w:r>
          </w:p>
        </w:tc>
        <w:tc>
          <w:tcPr>
            <w:tcW w:w="1275" w:type="dxa"/>
          </w:tcPr>
          <w:p w14:paraId="4326A30B" w14:textId="77777777" w:rsidR="008125AA" w:rsidRPr="003A7793" w:rsidRDefault="008125AA" w:rsidP="006241E9">
            <w:pPr>
              <w:pStyle w:val="TSBodyText"/>
              <w:ind w:right="238"/>
              <w:jc w:val="right"/>
            </w:pPr>
            <w:r w:rsidRPr="00892780">
              <w:t xml:space="preserve"> 7,384 </w:t>
            </w:r>
          </w:p>
        </w:tc>
        <w:tc>
          <w:tcPr>
            <w:tcW w:w="1560" w:type="dxa"/>
          </w:tcPr>
          <w:p w14:paraId="3C49B556" w14:textId="20C515A4" w:rsidR="008125AA" w:rsidRPr="00892780" w:rsidRDefault="008125AA" w:rsidP="006241E9">
            <w:pPr>
              <w:pStyle w:val="TSBodyText"/>
              <w:ind w:right="371"/>
              <w:jc w:val="right"/>
            </w:pPr>
            <w:r>
              <w:t>82.3%</w:t>
            </w:r>
          </w:p>
        </w:tc>
        <w:tc>
          <w:tcPr>
            <w:tcW w:w="1560" w:type="dxa"/>
          </w:tcPr>
          <w:p w14:paraId="3E5DBB45" w14:textId="1896B205" w:rsidR="008125AA" w:rsidRDefault="008125AA" w:rsidP="006241E9">
            <w:pPr>
              <w:pStyle w:val="TSBodyText"/>
              <w:ind w:right="371"/>
              <w:jc w:val="right"/>
            </w:pPr>
            <w:r w:rsidRPr="00677139">
              <w:t>17.7%</w:t>
            </w:r>
          </w:p>
        </w:tc>
      </w:tr>
      <w:tr w:rsidR="008125AA" w14:paraId="65CF8BDE" w14:textId="2E2A46A4" w:rsidTr="00A63247">
        <w:trPr>
          <w:cnfStyle w:val="000000010000" w:firstRow="0" w:lastRow="0" w:firstColumn="0" w:lastColumn="0" w:oddVBand="0" w:evenVBand="0" w:oddHBand="0" w:evenHBand="1" w:firstRowFirstColumn="0" w:firstRowLastColumn="0" w:lastRowFirstColumn="0" w:lastRowLastColumn="0"/>
        </w:trPr>
        <w:tc>
          <w:tcPr>
            <w:tcW w:w="1191" w:type="dxa"/>
          </w:tcPr>
          <w:p w14:paraId="11DAD316" w14:textId="77777777" w:rsidR="008125AA" w:rsidRDefault="008125AA" w:rsidP="008125AA">
            <w:pPr>
              <w:pStyle w:val="TSBodyText"/>
            </w:pPr>
            <w:r>
              <w:t xml:space="preserve">Non-Māori </w:t>
            </w:r>
          </w:p>
        </w:tc>
        <w:tc>
          <w:tcPr>
            <w:tcW w:w="1276" w:type="dxa"/>
          </w:tcPr>
          <w:p w14:paraId="12E0B9CD" w14:textId="77777777" w:rsidR="008125AA" w:rsidRDefault="008125AA" w:rsidP="006241E9">
            <w:pPr>
              <w:pStyle w:val="TSBodyText"/>
              <w:ind w:right="238"/>
              <w:jc w:val="right"/>
            </w:pPr>
            <w:r w:rsidRPr="00892780">
              <w:t xml:space="preserve"> 26,077 </w:t>
            </w:r>
          </w:p>
        </w:tc>
        <w:tc>
          <w:tcPr>
            <w:tcW w:w="1134" w:type="dxa"/>
          </w:tcPr>
          <w:p w14:paraId="5244B9E6" w14:textId="77777777" w:rsidR="008125AA" w:rsidRDefault="008125AA" w:rsidP="006241E9">
            <w:pPr>
              <w:pStyle w:val="TSBodyText"/>
              <w:ind w:right="238"/>
              <w:jc w:val="right"/>
            </w:pPr>
            <w:r w:rsidRPr="00892780">
              <w:t xml:space="preserve"> 7,462 </w:t>
            </w:r>
          </w:p>
        </w:tc>
        <w:tc>
          <w:tcPr>
            <w:tcW w:w="1275" w:type="dxa"/>
          </w:tcPr>
          <w:p w14:paraId="319C90E3" w14:textId="77777777" w:rsidR="008125AA" w:rsidRDefault="008125AA" w:rsidP="006241E9">
            <w:pPr>
              <w:pStyle w:val="TSBodyText"/>
              <w:ind w:right="238"/>
              <w:jc w:val="right"/>
            </w:pPr>
            <w:r w:rsidRPr="00892780">
              <w:t xml:space="preserve"> 33,539 </w:t>
            </w:r>
          </w:p>
        </w:tc>
        <w:tc>
          <w:tcPr>
            <w:tcW w:w="1560" w:type="dxa"/>
          </w:tcPr>
          <w:p w14:paraId="5E6F1042" w14:textId="3055CBC7" w:rsidR="008125AA" w:rsidRPr="00892780" w:rsidRDefault="009F4B8D" w:rsidP="006241E9">
            <w:pPr>
              <w:pStyle w:val="TSBodyText"/>
              <w:ind w:right="371"/>
              <w:jc w:val="right"/>
            </w:pPr>
            <w:r>
              <w:t>77.8</w:t>
            </w:r>
            <w:r w:rsidR="008125AA">
              <w:t>%</w:t>
            </w:r>
          </w:p>
        </w:tc>
        <w:tc>
          <w:tcPr>
            <w:tcW w:w="1560" w:type="dxa"/>
          </w:tcPr>
          <w:p w14:paraId="26E4D50D" w14:textId="683822D6" w:rsidR="008125AA" w:rsidRDefault="008125AA" w:rsidP="006241E9">
            <w:pPr>
              <w:pStyle w:val="TSBodyText"/>
              <w:ind w:right="371"/>
              <w:jc w:val="right"/>
            </w:pPr>
            <w:r w:rsidRPr="00677139">
              <w:t>22.2%</w:t>
            </w:r>
          </w:p>
        </w:tc>
      </w:tr>
      <w:tr w:rsidR="008125AA" w14:paraId="79CB2DA3" w14:textId="28EB7B75" w:rsidTr="00A63247">
        <w:tc>
          <w:tcPr>
            <w:tcW w:w="1191" w:type="dxa"/>
          </w:tcPr>
          <w:p w14:paraId="66359FF5" w14:textId="7A07509C" w:rsidR="008125AA" w:rsidRDefault="008125AA" w:rsidP="00D072F0">
            <w:pPr>
              <w:pStyle w:val="TSBodyText"/>
            </w:pPr>
            <w:r>
              <w:t xml:space="preserve">% Māori </w:t>
            </w:r>
          </w:p>
        </w:tc>
        <w:tc>
          <w:tcPr>
            <w:tcW w:w="1276" w:type="dxa"/>
          </w:tcPr>
          <w:p w14:paraId="324671D1" w14:textId="77777777" w:rsidR="008125AA" w:rsidRPr="00892780" w:rsidRDefault="008125AA" w:rsidP="006241E9">
            <w:pPr>
              <w:pStyle w:val="TSBodyText"/>
              <w:ind w:right="238"/>
              <w:jc w:val="right"/>
            </w:pPr>
            <w:r w:rsidRPr="008D5E44">
              <w:t>18.9%</w:t>
            </w:r>
          </w:p>
        </w:tc>
        <w:tc>
          <w:tcPr>
            <w:tcW w:w="1134" w:type="dxa"/>
          </w:tcPr>
          <w:p w14:paraId="53892369" w14:textId="77777777" w:rsidR="008125AA" w:rsidRPr="00892780" w:rsidRDefault="008125AA" w:rsidP="006241E9">
            <w:pPr>
              <w:pStyle w:val="TSBodyText"/>
              <w:ind w:right="238"/>
              <w:jc w:val="right"/>
            </w:pPr>
            <w:r w:rsidRPr="008D5E44">
              <w:t>14.9%</w:t>
            </w:r>
          </w:p>
        </w:tc>
        <w:tc>
          <w:tcPr>
            <w:tcW w:w="1275" w:type="dxa"/>
          </w:tcPr>
          <w:p w14:paraId="4F204DBB" w14:textId="77777777" w:rsidR="008125AA" w:rsidRPr="00892780" w:rsidRDefault="008125AA" w:rsidP="006241E9">
            <w:pPr>
              <w:pStyle w:val="TSBodyText"/>
              <w:ind w:right="238"/>
              <w:jc w:val="right"/>
            </w:pPr>
            <w:r w:rsidRPr="008D5E44">
              <w:t>18.0%</w:t>
            </w:r>
          </w:p>
        </w:tc>
        <w:tc>
          <w:tcPr>
            <w:tcW w:w="1560" w:type="dxa"/>
            <w:shd w:val="clear" w:color="auto" w:fill="BFBFBF" w:themeFill="background1" w:themeFillShade="BF"/>
          </w:tcPr>
          <w:p w14:paraId="2552EFED" w14:textId="77777777" w:rsidR="008125AA" w:rsidRDefault="008125AA" w:rsidP="00593173">
            <w:pPr>
              <w:pStyle w:val="TSBodyText"/>
              <w:jc w:val="right"/>
            </w:pPr>
          </w:p>
        </w:tc>
        <w:tc>
          <w:tcPr>
            <w:tcW w:w="1560" w:type="dxa"/>
            <w:shd w:val="clear" w:color="auto" w:fill="BFBFBF" w:themeFill="background1" w:themeFillShade="BF"/>
          </w:tcPr>
          <w:p w14:paraId="6CEBFBB0" w14:textId="77777777" w:rsidR="008125AA" w:rsidRDefault="008125AA" w:rsidP="00593173">
            <w:pPr>
              <w:pStyle w:val="TSBodyText"/>
              <w:jc w:val="right"/>
            </w:pPr>
          </w:p>
        </w:tc>
      </w:tr>
      <w:tr w:rsidR="009F4B8D" w14:paraId="536ACE39" w14:textId="77777777" w:rsidTr="00A63247">
        <w:trPr>
          <w:cnfStyle w:val="000000010000" w:firstRow="0" w:lastRow="0" w:firstColumn="0" w:lastColumn="0" w:oddVBand="0" w:evenVBand="0" w:oddHBand="0" w:evenHBand="1" w:firstRowFirstColumn="0" w:firstRowLastColumn="0" w:lastRowFirstColumn="0" w:lastRowLastColumn="0"/>
        </w:trPr>
        <w:tc>
          <w:tcPr>
            <w:tcW w:w="1191" w:type="dxa"/>
          </w:tcPr>
          <w:p w14:paraId="7F3FA649" w14:textId="40B1A336" w:rsidR="009F4B8D" w:rsidRDefault="009F4B8D" w:rsidP="00D072F0">
            <w:pPr>
              <w:pStyle w:val="TSBodyText"/>
            </w:pPr>
            <w:r>
              <w:t>% Non-Māori</w:t>
            </w:r>
          </w:p>
        </w:tc>
        <w:tc>
          <w:tcPr>
            <w:tcW w:w="1276" w:type="dxa"/>
          </w:tcPr>
          <w:p w14:paraId="47DB3B5A" w14:textId="496B1FD2" w:rsidR="009F4B8D" w:rsidRPr="008D5E44" w:rsidRDefault="00F96679" w:rsidP="006241E9">
            <w:pPr>
              <w:pStyle w:val="TSBodyText"/>
              <w:ind w:right="238"/>
              <w:jc w:val="right"/>
            </w:pPr>
            <w:r>
              <w:t>81.1%</w:t>
            </w:r>
          </w:p>
        </w:tc>
        <w:tc>
          <w:tcPr>
            <w:tcW w:w="1134" w:type="dxa"/>
          </w:tcPr>
          <w:p w14:paraId="4080B6D9" w14:textId="5F4F50E9" w:rsidR="009F4B8D" w:rsidRPr="008D5E44" w:rsidRDefault="00F96679" w:rsidP="006241E9">
            <w:pPr>
              <w:pStyle w:val="TSBodyText"/>
              <w:ind w:right="238"/>
              <w:jc w:val="right"/>
            </w:pPr>
            <w:r>
              <w:t>85.1%</w:t>
            </w:r>
          </w:p>
        </w:tc>
        <w:tc>
          <w:tcPr>
            <w:tcW w:w="1275" w:type="dxa"/>
          </w:tcPr>
          <w:p w14:paraId="24F383CB" w14:textId="06CF2D15" w:rsidR="009F4B8D" w:rsidRPr="008D5E44" w:rsidRDefault="00F96679" w:rsidP="006241E9">
            <w:pPr>
              <w:pStyle w:val="TSBodyText"/>
              <w:ind w:right="238"/>
              <w:jc w:val="right"/>
            </w:pPr>
            <w:r>
              <w:t>82%</w:t>
            </w:r>
          </w:p>
        </w:tc>
        <w:tc>
          <w:tcPr>
            <w:tcW w:w="1560" w:type="dxa"/>
            <w:shd w:val="clear" w:color="auto" w:fill="BFBFBF" w:themeFill="background1" w:themeFillShade="BF"/>
          </w:tcPr>
          <w:p w14:paraId="2D13B7DF" w14:textId="77777777" w:rsidR="009F4B8D" w:rsidRDefault="009F4B8D" w:rsidP="00593173">
            <w:pPr>
              <w:pStyle w:val="TSBodyText"/>
              <w:jc w:val="right"/>
            </w:pPr>
          </w:p>
        </w:tc>
        <w:tc>
          <w:tcPr>
            <w:tcW w:w="1560" w:type="dxa"/>
            <w:shd w:val="clear" w:color="auto" w:fill="BFBFBF" w:themeFill="background1" w:themeFillShade="BF"/>
          </w:tcPr>
          <w:p w14:paraId="6881B788" w14:textId="77777777" w:rsidR="009F4B8D" w:rsidRDefault="009F4B8D" w:rsidP="00593173">
            <w:pPr>
              <w:pStyle w:val="TSBodyText"/>
              <w:jc w:val="right"/>
            </w:pPr>
          </w:p>
        </w:tc>
      </w:tr>
    </w:tbl>
    <w:p w14:paraId="02A2BE8E" w14:textId="6539A7A1" w:rsidR="00D327A1" w:rsidRDefault="00D327A1" w:rsidP="00D327A1">
      <w:pPr>
        <w:pStyle w:val="USSource"/>
        <w:spacing w:after="480"/>
      </w:pPr>
      <w:bookmarkStart w:id="138" w:name="_Hlk148891288"/>
      <w:r w:rsidRPr="00731CA6">
        <w:t xml:space="preserve">Source: </w:t>
      </w:r>
      <w:r w:rsidRPr="00B857B2">
        <w:t xml:space="preserve">NZIER, based on </w:t>
      </w:r>
      <w:proofErr w:type="spellStart"/>
      <w:r w:rsidRPr="00B857B2">
        <w:t>Te</w:t>
      </w:r>
      <w:proofErr w:type="spellEnd"/>
      <w:r w:rsidRPr="00B857B2">
        <w:t xml:space="preserve"> </w:t>
      </w:r>
      <w:proofErr w:type="spellStart"/>
      <w:r w:rsidRPr="00B857B2">
        <w:t>Whatu</w:t>
      </w:r>
      <w:proofErr w:type="spellEnd"/>
      <w:r w:rsidRPr="00B857B2">
        <w:t xml:space="preserve"> Ora data and </w:t>
      </w:r>
      <w:r w:rsidR="00782460" w:rsidRPr="00B857B2">
        <w:t>alcohol</w:t>
      </w:r>
      <w:r w:rsidR="00782460">
        <w:t>-</w:t>
      </w:r>
      <w:r w:rsidRPr="00B857B2">
        <w:t xml:space="preserve">attributable fractions from Chambers and </w:t>
      </w:r>
      <w:proofErr w:type="spellStart"/>
      <w:r w:rsidRPr="00B857B2">
        <w:t>Mizdrak</w:t>
      </w:r>
      <w:proofErr w:type="spellEnd"/>
      <w:r w:rsidRPr="00B857B2">
        <w:t xml:space="preserve"> (</w:t>
      </w:r>
      <w:r w:rsidR="00D072F0">
        <w:t>forthcoming</w:t>
      </w:r>
      <w:r w:rsidRPr="00B857B2">
        <w:t>)</w:t>
      </w:r>
    </w:p>
    <w:bookmarkEnd w:id="138"/>
    <w:p w14:paraId="3874F646" w14:textId="6FE0B882" w:rsidR="00D327A1" w:rsidRDefault="00D327A1" w:rsidP="00D327A1">
      <w:pPr>
        <w:pStyle w:val="USBodyText"/>
      </w:pPr>
      <w:r>
        <w:t>By age group, the group with the highest share of acute admission is 65 to 74</w:t>
      </w:r>
      <w:r w:rsidR="00AB24DA">
        <w:t>-</w:t>
      </w:r>
      <w:r>
        <w:t>year</w:t>
      </w:r>
      <w:r w:rsidR="00AB24DA">
        <w:t>-</w:t>
      </w:r>
      <w:r>
        <w:t>olds</w:t>
      </w:r>
      <w:r w:rsidR="00AB24DA">
        <w:t>,</w:t>
      </w:r>
      <w:r>
        <w:t xml:space="preserve"> with 14 percent of admissions in this age group being acute. The share of acute admissions in 15</w:t>
      </w:r>
      <w:r w:rsidR="001558C3">
        <w:t>–</w:t>
      </w:r>
      <w:r>
        <w:t>24</w:t>
      </w:r>
      <w:r w:rsidR="00D072F0">
        <w:t>-</w:t>
      </w:r>
      <w:r>
        <w:t>year</w:t>
      </w:r>
      <w:r w:rsidR="00D072F0">
        <w:t>-</w:t>
      </w:r>
      <w:r>
        <w:t xml:space="preserve">olds is very low (4 percent) when considering the observation </w:t>
      </w:r>
      <w:r w:rsidRPr="002C5D21">
        <w:t>(Egerton-Warburton et al. 2018)</w:t>
      </w:r>
      <w:r>
        <w:t xml:space="preserve"> that alcohol-related ED visits are highly likely to involve young people. This probably indicates that people aged 15</w:t>
      </w:r>
      <w:r w:rsidR="00AB24DA">
        <w:t>–</w:t>
      </w:r>
      <w:r>
        <w:t>24 who have alcohol-related presentations to the ED are highly likely to be treated and discharged from the ED and not be admitted to an inpatient ward.</w:t>
      </w:r>
    </w:p>
    <w:p w14:paraId="7A18A71B" w14:textId="2413FC7F" w:rsidR="00D327A1" w:rsidRDefault="00D327A1" w:rsidP="00C27395">
      <w:pPr>
        <w:pStyle w:val="TableCaption"/>
        <w:keepLines/>
      </w:pPr>
      <w:bookmarkStart w:id="139" w:name="_Toc160633937"/>
      <w:r w:rsidRPr="00731CA6">
        <w:t xml:space="preserve">Table </w:t>
      </w:r>
      <w:fldSimple w:instr=" SEQ Table \* ARABIC ">
        <w:r w:rsidR="00AE166D">
          <w:rPr>
            <w:noProof/>
          </w:rPr>
          <w:t>30</w:t>
        </w:r>
      </w:fldSimple>
      <w:r w:rsidRPr="00731CA6">
        <w:t xml:space="preserve"> </w:t>
      </w:r>
      <w:r>
        <w:t xml:space="preserve">Planned and acute inpatient admissions by </w:t>
      </w:r>
      <w:r w:rsidR="00BC18D1">
        <w:t>age group</w:t>
      </w:r>
      <w:bookmarkEnd w:id="139"/>
    </w:p>
    <w:p w14:paraId="1ECFB930" w14:textId="77777777" w:rsidR="00D327A1" w:rsidRDefault="00D327A1" w:rsidP="00C27395">
      <w:pPr>
        <w:pStyle w:val="CaptionSubheading"/>
        <w:keepLines/>
      </w:pPr>
      <w:r w:rsidRPr="004505A5">
        <w:t xml:space="preserve">Estimated 2023 </w:t>
      </w:r>
    </w:p>
    <w:tbl>
      <w:tblPr>
        <w:tblStyle w:val="TableDefault"/>
        <w:tblW w:w="8157" w:type="dxa"/>
        <w:tblLook w:val="04A0" w:firstRow="1" w:lastRow="0" w:firstColumn="1" w:lastColumn="0" w:noHBand="0" w:noVBand="1"/>
      </w:tblPr>
      <w:tblGrid>
        <w:gridCol w:w="1361"/>
        <w:gridCol w:w="1348"/>
        <w:gridCol w:w="1348"/>
        <w:gridCol w:w="1247"/>
        <w:gridCol w:w="1415"/>
        <w:gridCol w:w="1438"/>
      </w:tblGrid>
      <w:tr w:rsidR="00E376D9" w14:paraId="4AFD85E8" w14:textId="77777777" w:rsidTr="007F26D3">
        <w:trPr>
          <w:cnfStyle w:val="100000000000" w:firstRow="1" w:lastRow="0" w:firstColumn="0" w:lastColumn="0" w:oddVBand="0" w:evenVBand="0" w:oddHBand="0" w:evenHBand="0" w:firstRowFirstColumn="0" w:firstRowLastColumn="0" w:lastRowFirstColumn="0" w:lastRowLastColumn="0"/>
        </w:trPr>
        <w:tc>
          <w:tcPr>
            <w:tcW w:w="1361" w:type="dxa"/>
            <w:vAlign w:val="bottom"/>
          </w:tcPr>
          <w:p w14:paraId="22001C03" w14:textId="64F17DD7" w:rsidR="00E376D9" w:rsidRPr="002D072F" w:rsidRDefault="00E376D9" w:rsidP="00E376D9">
            <w:pPr>
              <w:pStyle w:val="TSTableHeadingWhite-TopRow"/>
            </w:pPr>
          </w:p>
        </w:tc>
        <w:tc>
          <w:tcPr>
            <w:tcW w:w="1348" w:type="dxa"/>
            <w:vAlign w:val="center"/>
          </w:tcPr>
          <w:p w14:paraId="793F740E" w14:textId="77777777" w:rsidR="00E376D9" w:rsidRPr="002D072F" w:rsidRDefault="00E376D9" w:rsidP="00E376D9">
            <w:pPr>
              <w:pStyle w:val="TSTableHeadingWhite-TopRow"/>
              <w:jc w:val="center"/>
              <w:rPr>
                <w:b w:val="0"/>
                <w:bCs/>
                <w:color w:val="FFFFFF" w:themeColor="background1"/>
              </w:rPr>
            </w:pPr>
            <w:r w:rsidRPr="002D072F">
              <w:t>Planned admissions</w:t>
            </w:r>
          </w:p>
        </w:tc>
        <w:tc>
          <w:tcPr>
            <w:tcW w:w="1348" w:type="dxa"/>
            <w:vAlign w:val="center"/>
          </w:tcPr>
          <w:p w14:paraId="12543C8B" w14:textId="77777777" w:rsidR="00E376D9" w:rsidRPr="002D072F" w:rsidRDefault="00E376D9" w:rsidP="00E376D9">
            <w:pPr>
              <w:pStyle w:val="TSTableHeadingWhite-TopRow"/>
              <w:jc w:val="center"/>
              <w:rPr>
                <w:b w:val="0"/>
                <w:bCs/>
                <w:color w:val="FFFFFF" w:themeColor="background1"/>
              </w:rPr>
            </w:pPr>
            <w:r w:rsidRPr="002D072F">
              <w:t>Acute admissions</w:t>
            </w:r>
          </w:p>
        </w:tc>
        <w:tc>
          <w:tcPr>
            <w:tcW w:w="1247" w:type="dxa"/>
            <w:vAlign w:val="center"/>
          </w:tcPr>
          <w:p w14:paraId="44A352EC" w14:textId="5B3D5054" w:rsidR="00E376D9" w:rsidRPr="002D072F" w:rsidRDefault="00E376D9" w:rsidP="00E376D9">
            <w:pPr>
              <w:pStyle w:val="TSTableHeadingWhite-TopRow"/>
              <w:jc w:val="center"/>
              <w:rPr>
                <w:b w:val="0"/>
                <w:bCs/>
                <w:color w:val="FFFFFF" w:themeColor="background1"/>
              </w:rPr>
            </w:pPr>
            <w:r w:rsidRPr="002D072F">
              <w:t xml:space="preserve">All </w:t>
            </w:r>
            <w:r>
              <w:t>admissions</w:t>
            </w:r>
          </w:p>
        </w:tc>
        <w:tc>
          <w:tcPr>
            <w:tcW w:w="1415" w:type="dxa"/>
          </w:tcPr>
          <w:p w14:paraId="567C8DB5" w14:textId="661B7F4E" w:rsidR="00E376D9" w:rsidRDefault="00E376D9" w:rsidP="00E376D9">
            <w:pPr>
              <w:pStyle w:val="TSTableHeadingWhite-TopRow"/>
              <w:jc w:val="center"/>
            </w:pPr>
            <w:r w:rsidRPr="00F87738">
              <w:t>Planned share of all admissions</w:t>
            </w:r>
          </w:p>
        </w:tc>
        <w:tc>
          <w:tcPr>
            <w:tcW w:w="1438" w:type="dxa"/>
          </w:tcPr>
          <w:p w14:paraId="48B10AF0" w14:textId="512C8502" w:rsidR="00E376D9" w:rsidRPr="002D072F" w:rsidRDefault="00E376D9" w:rsidP="00E376D9">
            <w:pPr>
              <w:pStyle w:val="TSTableHeadingWhite-TopRow"/>
              <w:jc w:val="center"/>
              <w:rPr>
                <w:b w:val="0"/>
                <w:bCs/>
                <w:color w:val="FFFFFF" w:themeColor="background1"/>
              </w:rPr>
            </w:pPr>
            <w:r w:rsidRPr="00F87738">
              <w:t>Acute share of all admissions</w:t>
            </w:r>
          </w:p>
        </w:tc>
      </w:tr>
      <w:tr w:rsidR="00E376D9" w14:paraId="6E656B0D" w14:textId="77777777" w:rsidTr="007F26D3">
        <w:tc>
          <w:tcPr>
            <w:tcW w:w="1361" w:type="dxa"/>
          </w:tcPr>
          <w:p w14:paraId="7B07049F" w14:textId="2CA6BC9B" w:rsidR="00E376D9" w:rsidRPr="00782460" w:rsidRDefault="00E376D9" w:rsidP="00782460">
            <w:pPr>
              <w:pStyle w:val="TSBodyText"/>
            </w:pPr>
            <w:r w:rsidRPr="00782460">
              <w:t>15</w:t>
            </w:r>
            <w:r w:rsidR="00C4569E">
              <w:t>–</w:t>
            </w:r>
            <w:r w:rsidRPr="00782460">
              <w:t>24</w:t>
            </w:r>
          </w:p>
        </w:tc>
        <w:tc>
          <w:tcPr>
            <w:tcW w:w="1348" w:type="dxa"/>
            <w:vAlign w:val="center"/>
          </w:tcPr>
          <w:p w14:paraId="574944D1" w14:textId="77777777" w:rsidR="00E376D9" w:rsidRPr="00782460" w:rsidRDefault="00E376D9" w:rsidP="006241E9">
            <w:pPr>
              <w:pStyle w:val="TSBodyText"/>
              <w:ind w:right="309"/>
              <w:jc w:val="right"/>
            </w:pPr>
            <w:r w:rsidRPr="00782460">
              <w:t xml:space="preserve"> 3,782 </w:t>
            </w:r>
          </w:p>
        </w:tc>
        <w:tc>
          <w:tcPr>
            <w:tcW w:w="1348" w:type="dxa"/>
            <w:vAlign w:val="center"/>
          </w:tcPr>
          <w:p w14:paraId="30E1E5E9" w14:textId="77777777" w:rsidR="00E376D9" w:rsidRPr="00782460" w:rsidRDefault="00E376D9" w:rsidP="006241E9">
            <w:pPr>
              <w:pStyle w:val="TSBodyText"/>
              <w:ind w:right="309"/>
              <w:jc w:val="right"/>
            </w:pPr>
            <w:r w:rsidRPr="00782460">
              <w:t xml:space="preserve"> 327 </w:t>
            </w:r>
          </w:p>
        </w:tc>
        <w:tc>
          <w:tcPr>
            <w:tcW w:w="1247" w:type="dxa"/>
            <w:vAlign w:val="center"/>
          </w:tcPr>
          <w:p w14:paraId="653DE945" w14:textId="3A03E4FD" w:rsidR="00E376D9" w:rsidRPr="00782460" w:rsidRDefault="00E376D9" w:rsidP="006241E9">
            <w:pPr>
              <w:pStyle w:val="TSBodyText"/>
              <w:ind w:right="309"/>
              <w:jc w:val="right"/>
            </w:pPr>
            <w:r w:rsidRPr="00782460">
              <w:t xml:space="preserve">4,108 </w:t>
            </w:r>
          </w:p>
        </w:tc>
        <w:tc>
          <w:tcPr>
            <w:tcW w:w="1415" w:type="dxa"/>
            <w:vAlign w:val="center"/>
          </w:tcPr>
          <w:p w14:paraId="287FB4E2" w14:textId="561E5C38" w:rsidR="00E376D9" w:rsidRPr="00782460" w:rsidRDefault="00593173" w:rsidP="006241E9">
            <w:pPr>
              <w:pStyle w:val="TSBodyText"/>
              <w:ind w:right="309"/>
              <w:jc w:val="right"/>
            </w:pPr>
            <w:r w:rsidRPr="00782460">
              <w:t>96%</w:t>
            </w:r>
          </w:p>
        </w:tc>
        <w:tc>
          <w:tcPr>
            <w:tcW w:w="1438" w:type="dxa"/>
            <w:vAlign w:val="center"/>
          </w:tcPr>
          <w:p w14:paraId="132ADCCD" w14:textId="54179A1A" w:rsidR="00E376D9" w:rsidRPr="00782460" w:rsidRDefault="00E376D9" w:rsidP="006241E9">
            <w:pPr>
              <w:pStyle w:val="TSBodyText"/>
              <w:ind w:right="309"/>
              <w:jc w:val="right"/>
            </w:pPr>
            <w:r w:rsidRPr="00782460">
              <w:t>4%</w:t>
            </w:r>
          </w:p>
        </w:tc>
      </w:tr>
      <w:tr w:rsidR="00E376D9" w14:paraId="40B94DBB" w14:textId="77777777" w:rsidTr="007F26D3">
        <w:trPr>
          <w:cnfStyle w:val="000000010000" w:firstRow="0" w:lastRow="0" w:firstColumn="0" w:lastColumn="0" w:oddVBand="0" w:evenVBand="0" w:oddHBand="0" w:evenHBand="1" w:firstRowFirstColumn="0" w:firstRowLastColumn="0" w:lastRowFirstColumn="0" w:lastRowLastColumn="0"/>
        </w:trPr>
        <w:tc>
          <w:tcPr>
            <w:tcW w:w="1361" w:type="dxa"/>
          </w:tcPr>
          <w:p w14:paraId="43C8D5F9" w14:textId="09FC2D48" w:rsidR="00E376D9" w:rsidRPr="00782460" w:rsidRDefault="00E376D9" w:rsidP="00782460">
            <w:pPr>
              <w:pStyle w:val="TSBodyText"/>
            </w:pPr>
            <w:r w:rsidRPr="00782460">
              <w:t>25</w:t>
            </w:r>
            <w:r w:rsidR="00C4569E">
              <w:t>–</w:t>
            </w:r>
            <w:r w:rsidRPr="00782460">
              <w:t>34</w:t>
            </w:r>
          </w:p>
        </w:tc>
        <w:tc>
          <w:tcPr>
            <w:tcW w:w="1348" w:type="dxa"/>
            <w:vAlign w:val="center"/>
          </w:tcPr>
          <w:p w14:paraId="0AC57BDD" w14:textId="77777777" w:rsidR="00E376D9" w:rsidRPr="00782460" w:rsidRDefault="00E376D9" w:rsidP="006241E9">
            <w:pPr>
              <w:pStyle w:val="TSBodyText"/>
              <w:ind w:right="309"/>
              <w:jc w:val="right"/>
            </w:pPr>
            <w:r w:rsidRPr="00782460">
              <w:t xml:space="preserve"> 3,657 </w:t>
            </w:r>
          </w:p>
        </w:tc>
        <w:tc>
          <w:tcPr>
            <w:tcW w:w="1348" w:type="dxa"/>
            <w:vAlign w:val="center"/>
          </w:tcPr>
          <w:p w14:paraId="552D8EEC" w14:textId="77777777" w:rsidR="00E376D9" w:rsidRPr="00782460" w:rsidRDefault="00E376D9" w:rsidP="006241E9">
            <w:pPr>
              <w:pStyle w:val="TSBodyText"/>
              <w:ind w:right="309"/>
              <w:jc w:val="right"/>
            </w:pPr>
            <w:r w:rsidRPr="00782460">
              <w:t xml:space="preserve"> 519 </w:t>
            </w:r>
          </w:p>
        </w:tc>
        <w:tc>
          <w:tcPr>
            <w:tcW w:w="1247" w:type="dxa"/>
            <w:vAlign w:val="center"/>
          </w:tcPr>
          <w:p w14:paraId="4FD0D212" w14:textId="01627A8B" w:rsidR="00E376D9" w:rsidRPr="00782460" w:rsidRDefault="00E376D9" w:rsidP="006241E9">
            <w:pPr>
              <w:pStyle w:val="TSBodyText"/>
              <w:ind w:right="309"/>
              <w:jc w:val="right"/>
            </w:pPr>
            <w:r w:rsidRPr="00782460">
              <w:t xml:space="preserve">4,177 </w:t>
            </w:r>
          </w:p>
        </w:tc>
        <w:tc>
          <w:tcPr>
            <w:tcW w:w="1415" w:type="dxa"/>
            <w:vAlign w:val="center"/>
          </w:tcPr>
          <w:p w14:paraId="74B0CC01" w14:textId="46CFD7C0" w:rsidR="00E376D9" w:rsidRPr="00782460" w:rsidRDefault="00593173" w:rsidP="006241E9">
            <w:pPr>
              <w:pStyle w:val="TSBodyText"/>
              <w:ind w:right="309"/>
              <w:jc w:val="right"/>
            </w:pPr>
            <w:r w:rsidRPr="00782460">
              <w:t>94%</w:t>
            </w:r>
          </w:p>
        </w:tc>
        <w:tc>
          <w:tcPr>
            <w:tcW w:w="1438" w:type="dxa"/>
            <w:vAlign w:val="center"/>
          </w:tcPr>
          <w:p w14:paraId="1917CA51" w14:textId="0CA6C3C3" w:rsidR="00E376D9" w:rsidRPr="00782460" w:rsidRDefault="00E376D9" w:rsidP="006241E9">
            <w:pPr>
              <w:pStyle w:val="TSBodyText"/>
              <w:ind w:right="309"/>
              <w:jc w:val="right"/>
            </w:pPr>
            <w:r w:rsidRPr="00782460">
              <w:t>6%</w:t>
            </w:r>
          </w:p>
        </w:tc>
      </w:tr>
      <w:tr w:rsidR="00E376D9" w14:paraId="48B0F1BE" w14:textId="77777777" w:rsidTr="007F26D3">
        <w:tc>
          <w:tcPr>
            <w:tcW w:w="1361" w:type="dxa"/>
          </w:tcPr>
          <w:p w14:paraId="1FE7E3A4" w14:textId="02726432" w:rsidR="00E376D9" w:rsidRPr="00782460" w:rsidRDefault="00E376D9" w:rsidP="00782460">
            <w:pPr>
              <w:pStyle w:val="TSBodyText"/>
            </w:pPr>
            <w:r w:rsidRPr="00782460">
              <w:t>35</w:t>
            </w:r>
            <w:r w:rsidR="00C4569E">
              <w:t>–</w:t>
            </w:r>
            <w:r w:rsidRPr="00782460">
              <w:t>44</w:t>
            </w:r>
          </w:p>
        </w:tc>
        <w:tc>
          <w:tcPr>
            <w:tcW w:w="1348" w:type="dxa"/>
            <w:vAlign w:val="center"/>
          </w:tcPr>
          <w:p w14:paraId="1E14C2DA" w14:textId="77777777" w:rsidR="00E376D9" w:rsidRPr="00782460" w:rsidRDefault="00E376D9" w:rsidP="006241E9">
            <w:pPr>
              <w:pStyle w:val="TSBodyText"/>
              <w:ind w:right="309"/>
              <w:jc w:val="right"/>
            </w:pPr>
            <w:r w:rsidRPr="00782460">
              <w:t xml:space="preserve"> 3,714 </w:t>
            </w:r>
          </w:p>
        </w:tc>
        <w:tc>
          <w:tcPr>
            <w:tcW w:w="1348" w:type="dxa"/>
            <w:vAlign w:val="center"/>
          </w:tcPr>
          <w:p w14:paraId="1D83E87C" w14:textId="77777777" w:rsidR="00E376D9" w:rsidRPr="00782460" w:rsidRDefault="00E376D9" w:rsidP="006241E9">
            <w:pPr>
              <w:pStyle w:val="TSBodyText"/>
              <w:ind w:right="309"/>
              <w:jc w:val="right"/>
            </w:pPr>
            <w:r w:rsidRPr="00782460">
              <w:t xml:space="preserve"> 698 </w:t>
            </w:r>
          </w:p>
        </w:tc>
        <w:tc>
          <w:tcPr>
            <w:tcW w:w="1247" w:type="dxa"/>
            <w:vAlign w:val="center"/>
          </w:tcPr>
          <w:p w14:paraId="687A94DE" w14:textId="4BF14149" w:rsidR="00E376D9" w:rsidRPr="00782460" w:rsidRDefault="00E376D9" w:rsidP="006241E9">
            <w:pPr>
              <w:pStyle w:val="TSBodyText"/>
              <w:ind w:right="309"/>
              <w:jc w:val="right"/>
            </w:pPr>
            <w:r w:rsidRPr="00782460">
              <w:t xml:space="preserve">4,413 </w:t>
            </w:r>
          </w:p>
        </w:tc>
        <w:tc>
          <w:tcPr>
            <w:tcW w:w="1415" w:type="dxa"/>
            <w:vAlign w:val="center"/>
          </w:tcPr>
          <w:p w14:paraId="0B47C56A" w14:textId="51DB803C" w:rsidR="00E376D9" w:rsidRPr="00782460" w:rsidRDefault="00593173" w:rsidP="006241E9">
            <w:pPr>
              <w:pStyle w:val="TSBodyText"/>
              <w:ind w:right="309"/>
              <w:jc w:val="right"/>
            </w:pPr>
            <w:r w:rsidRPr="00782460">
              <w:t>92%</w:t>
            </w:r>
          </w:p>
        </w:tc>
        <w:tc>
          <w:tcPr>
            <w:tcW w:w="1438" w:type="dxa"/>
            <w:vAlign w:val="center"/>
          </w:tcPr>
          <w:p w14:paraId="41ADEEDA" w14:textId="7C956B71" w:rsidR="00E376D9" w:rsidRPr="00782460" w:rsidRDefault="00E376D9" w:rsidP="006241E9">
            <w:pPr>
              <w:pStyle w:val="TSBodyText"/>
              <w:ind w:right="309"/>
              <w:jc w:val="right"/>
            </w:pPr>
            <w:r w:rsidRPr="00782460">
              <w:t>8%</w:t>
            </w:r>
          </w:p>
        </w:tc>
      </w:tr>
      <w:tr w:rsidR="00E376D9" w14:paraId="0AB2C8FA" w14:textId="77777777" w:rsidTr="007F26D3">
        <w:trPr>
          <w:cnfStyle w:val="000000010000" w:firstRow="0" w:lastRow="0" w:firstColumn="0" w:lastColumn="0" w:oddVBand="0" w:evenVBand="0" w:oddHBand="0" w:evenHBand="1" w:firstRowFirstColumn="0" w:firstRowLastColumn="0" w:lastRowFirstColumn="0" w:lastRowLastColumn="0"/>
        </w:trPr>
        <w:tc>
          <w:tcPr>
            <w:tcW w:w="1361" w:type="dxa"/>
          </w:tcPr>
          <w:p w14:paraId="4736E9FA" w14:textId="055824F6" w:rsidR="00E376D9" w:rsidRPr="00782460" w:rsidRDefault="00E376D9" w:rsidP="00782460">
            <w:pPr>
              <w:pStyle w:val="TSBodyText"/>
            </w:pPr>
            <w:r w:rsidRPr="00782460">
              <w:t>45</w:t>
            </w:r>
            <w:r w:rsidR="00C4569E">
              <w:t>–</w:t>
            </w:r>
            <w:r w:rsidRPr="00782460">
              <w:t>54</w:t>
            </w:r>
          </w:p>
        </w:tc>
        <w:tc>
          <w:tcPr>
            <w:tcW w:w="1348" w:type="dxa"/>
            <w:vAlign w:val="center"/>
          </w:tcPr>
          <w:p w14:paraId="20BB0180" w14:textId="77777777" w:rsidR="00E376D9" w:rsidRPr="00782460" w:rsidRDefault="00E376D9" w:rsidP="006241E9">
            <w:pPr>
              <w:pStyle w:val="TSBodyText"/>
              <w:ind w:right="309"/>
              <w:jc w:val="right"/>
            </w:pPr>
            <w:r w:rsidRPr="00782460">
              <w:t xml:space="preserve"> 4,509 </w:t>
            </w:r>
          </w:p>
        </w:tc>
        <w:tc>
          <w:tcPr>
            <w:tcW w:w="1348" w:type="dxa"/>
            <w:vAlign w:val="center"/>
          </w:tcPr>
          <w:p w14:paraId="413551A2" w14:textId="77777777" w:rsidR="00E376D9" w:rsidRPr="00782460" w:rsidRDefault="00E376D9" w:rsidP="006241E9">
            <w:pPr>
              <w:pStyle w:val="TSBodyText"/>
              <w:ind w:right="309"/>
              <w:jc w:val="right"/>
            </w:pPr>
            <w:r w:rsidRPr="00782460">
              <w:t xml:space="preserve"> 1,214 </w:t>
            </w:r>
          </w:p>
        </w:tc>
        <w:tc>
          <w:tcPr>
            <w:tcW w:w="1247" w:type="dxa"/>
            <w:vAlign w:val="center"/>
          </w:tcPr>
          <w:p w14:paraId="35898E4A" w14:textId="79444AA9" w:rsidR="00E376D9" w:rsidRPr="00782460" w:rsidRDefault="00E376D9" w:rsidP="006241E9">
            <w:pPr>
              <w:pStyle w:val="TSBodyText"/>
              <w:ind w:right="309"/>
              <w:jc w:val="right"/>
            </w:pPr>
            <w:r w:rsidRPr="00782460">
              <w:t xml:space="preserve">5,723 </w:t>
            </w:r>
          </w:p>
        </w:tc>
        <w:tc>
          <w:tcPr>
            <w:tcW w:w="1415" w:type="dxa"/>
            <w:vAlign w:val="center"/>
          </w:tcPr>
          <w:p w14:paraId="2FB8E36D" w14:textId="48CCA4F4" w:rsidR="00E376D9" w:rsidRPr="00782460" w:rsidRDefault="00593173" w:rsidP="006241E9">
            <w:pPr>
              <w:pStyle w:val="TSBodyText"/>
              <w:ind w:right="309"/>
              <w:jc w:val="right"/>
            </w:pPr>
            <w:r w:rsidRPr="00782460">
              <w:t>89%</w:t>
            </w:r>
          </w:p>
        </w:tc>
        <w:tc>
          <w:tcPr>
            <w:tcW w:w="1438" w:type="dxa"/>
            <w:vAlign w:val="center"/>
          </w:tcPr>
          <w:p w14:paraId="79248FEF" w14:textId="1C637CD6" w:rsidR="00E376D9" w:rsidRPr="00782460" w:rsidRDefault="00E376D9" w:rsidP="006241E9">
            <w:pPr>
              <w:pStyle w:val="TSBodyText"/>
              <w:ind w:right="309"/>
              <w:jc w:val="right"/>
            </w:pPr>
            <w:r w:rsidRPr="00782460">
              <w:t>11%</w:t>
            </w:r>
          </w:p>
        </w:tc>
      </w:tr>
      <w:tr w:rsidR="00E376D9" w14:paraId="65F0AA07" w14:textId="77777777" w:rsidTr="007F26D3">
        <w:tc>
          <w:tcPr>
            <w:tcW w:w="1361" w:type="dxa"/>
          </w:tcPr>
          <w:p w14:paraId="07D4C9C2" w14:textId="54F2A638" w:rsidR="00E376D9" w:rsidRPr="00782460" w:rsidRDefault="00E376D9" w:rsidP="00782460">
            <w:pPr>
              <w:pStyle w:val="TSBodyText"/>
            </w:pPr>
            <w:r w:rsidRPr="00782460">
              <w:t>55</w:t>
            </w:r>
            <w:r w:rsidR="00C4569E">
              <w:t>–</w:t>
            </w:r>
            <w:r w:rsidRPr="00782460">
              <w:t>64</w:t>
            </w:r>
          </w:p>
        </w:tc>
        <w:tc>
          <w:tcPr>
            <w:tcW w:w="1348" w:type="dxa"/>
            <w:vAlign w:val="center"/>
          </w:tcPr>
          <w:p w14:paraId="094CCE07" w14:textId="77777777" w:rsidR="00E376D9" w:rsidRPr="00782460" w:rsidRDefault="00E376D9" w:rsidP="006241E9">
            <w:pPr>
              <w:pStyle w:val="TSBodyText"/>
              <w:ind w:right="309"/>
              <w:jc w:val="right"/>
            </w:pPr>
            <w:r w:rsidRPr="00782460">
              <w:t xml:space="preserve"> 5,165 </w:t>
            </w:r>
          </w:p>
        </w:tc>
        <w:tc>
          <w:tcPr>
            <w:tcW w:w="1348" w:type="dxa"/>
            <w:vAlign w:val="center"/>
          </w:tcPr>
          <w:p w14:paraId="62889F02" w14:textId="77777777" w:rsidR="00E376D9" w:rsidRPr="00782460" w:rsidRDefault="00E376D9" w:rsidP="006241E9">
            <w:pPr>
              <w:pStyle w:val="TSBodyText"/>
              <w:ind w:right="309"/>
              <w:jc w:val="right"/>
            </w:pPr>
            <w:r w:rsidRPr="00782460">
              <w:t xml:space="preserve"> 1,898 </w:t>
            </w:r>
          </w:p>
        </w:tc>
        <w:tc>
          <w:tcPr>
            <w:tcW w:w="1247" w:type="dxa"/>
            <w:vAlign w:val="center"/>
          </w:tcPr>
          <w:p w14:paraId="2E48FFF8" w14:textId="00528851" w:rsidR="00E376D9" w:rsidRPr="00782460" w:rsidRDefault="00E376D9" w:rsidP="006241E9">
            <w:pPr>
              <w:pStyle w:val="TSBodyText"/>
              <w:ind w:right="309"/>
              <w:jc w:val="right"/>
            </w:pPr>
            <w:r w:rsidRPr="00782460">
              <w:t xml:space="preserve">7,063 </w:t>
            </w:r>
          </w:p>
        </w:tc>
        <w:tc>
          <w:tcPr>
            <w:tcW w:w="1415" w:type="dxa"/>
            <w:vAlign w:val="center"/>
          </w:tcPr>
          <w:p w14:paraId="40111415" w14:textId="36C55ED4" w:rsidR="00E376D9" w:rsidRPr="00782460" w:rsidRDefault="00593173" w:rsidP="006241E9">
            <w:pPr>
              <w:pStyle w:val="TSBodyText"/>
              <w:ind w:right="309"/>
              <w:jc w:val="right"/>
            </w:pPr>
            <w:r w:rsidRPr="00782460">
              <w:t>87%</w:t>
            </w:r>
          </w:p>
        </w:tc>
        <w:tc>
          <w:tcPr>
            <w:tcW w:w="1438" w:type="dxa"/>
            <w:vAlign w:val="center"/>
          </w:tcPr>
          <w:p w14:paraId="4190AAAE" w14:textId="5AD532F7" w:rsidR="00E376D9" w:rsidRPr="00782460" w:rsidRDefault="00E376D9" w:rsidP="006241E9">
            <w:pPr>
              <w:pStyle w:val="TSBodyText"/>
              <w:ind w:right="309"/>
              <w:jc w:val="right"/>
            </w:pPr>
            <w:r w:rsidRPr="00782460">
              <w:t>13%</w:t>
            </w:r>
          </w:p>
        </w:tc>
      </w:tr>
      <w:tr w:rsidR="00E376D9" w14:paraId="45E1662B" w14:textId="77777777" w:rsidTr="007F26D3">
        <w:trPr>
          <w:cnfStyle w:val="000000010000" w:firstRow="0" w:lastRow="0" w:firstColumn="0" w:lastColumn="0" w:oddVBand="0" w:evenVBand="0" w:oddHBand="0" w:evenHBand="1" w:firstRowFirstColumn="0" w:firstRowLastColumn="0" w:lastRowFirstColumn="0" w:lastRowLastColumn="0"/>
        </w:trPr>
        <w:tc>
          <w:tcPr>
            <w:tcW w:w="1361" w:type="dxa"/>
          </w:tcPr>
          <w:p w14:paraId="5CB7C00F" w14:textId="13D1A518" w:rsidR="00E376D9" w:rsidRPr="00782460" w:rsidRDefault="00E376D9" w:rsidP="00782460">
            <w:pPr>
              <w:pStyle w:val="TSBodyText"/>
            </w:pPr>
            <w:r w:rsidRPr="00782460">
              <w:lastRenderedPageBreak/>
              <w:t>65</w:t>
            </w:r>
            <w:r w:rsidR="00C4569E">
              <w:t>–</w:t>
            </w:r>
            <w:r w:rsidRPr="00782460">
              <w:t>74</w:t>
            </w:r>
          </w:p>
        </w:tc>
        <w:tc>
          <w:tcPr>
            <w:tcW w:w="1348" w:type="dxa"/>
            <w:vAlign w:val="center"/>
          </w:tcPr>
          <w:p w14:paraId="104FE069" w14:textId="77777777" w:rsidR="00E376D9" w:rsidRPr="00782460" w:rsidRDefault="00E376D9" w:rsidP="006241E9">
            <w:pPr>
              <w:pStyle w:val="TSBodyText"/>
              <w:ind w:right="309"/>
              <w:jc w:val="right"/>
            </w:pPr>
            <w:r w:rsidRPr="00782460">
              <w:t xml:space="preserve"> 5,008 </w:t>
            </w:r>
          </w:p>
        </w:tc>
        <w:tc>
          <w:tcPr>
            <w:tcW w:w="1348" w:type="dxa"/>
            <w:vAlign w:val="center"/>
          </w:tcPr>
          <w:p w14:paraId="6360D144" w14:textId="77777777" w:rsidR="00E376D9" w:rsidRPr="00782460" w:rsidRDefault="00E376D9" w:rsidP="006241E9">
            <w:pPr>
              <w:pStyle w:val="TSBodyText"/>
              <w:ind w:right="309"/>
              <w:jc w:val="right"/>
            </w:pPr>
            <w:r w:rsidRPr="00782460">
              <w:t xml:space="preserve"> 1,980 </w:t>
            </w:r>
          </w:p>
        </w:tc>
        <w:tc>
          <w:tcPr>
            <w:tcW w:w="1247" w:type="dxa"/>
            <w:vAlign w:val="center"/>
          </w:tcPr>
          <w:p w14:paraId="14491597" w14:textId="303BC71E" w:rsidR="00E376D9" w:rsidRPr="00782460" w:rsidRDefault="00E376D9" w:rsidP="006241E9">
            <w:pPr>
              <w:pStyle w:val="TSBodyText"/>
              <w:ind w:right="309"/>
              <w:jc w:val="right"/>
            </w:pPr>
            <w:r w:rsidRPr="00782460">
              <w:t xml:space="preserve">6,988 </w:t>
            </w:r>
          </w:p>
        </w:tc>
        <w:tc>
          <w:tcPr>
            <w:tcW w:w="1415" w:type="dxa"/>
            <w:vAlign w:val="center"/>
          </w:tcPr>
          <w:p w14:paraId="0673B985" w14:textId="6B9605FB" w:rsidR="00E376D9" w:rsidRPr="00782460" w:rsidRDefault="00593173" w:rsidP="006241E9">
            <w:pPr>
              <w:pStyle w:val="TSBodyText"/>
              <w:ind w:right="309"/>
              <w:jc w:val="right"/>
            </w:pPr>
            <w:r w:rsidRPr="00782460">
              <w:t>86%</w:t>
            </w:r>
          </w:p>
        </w:tc>
        <w:tc>
          <w:tcPr>
            <w:tcW w:w="1438" w:type="dxa"/>
            <w:vAlign w:val="center"/>
          </w:tcPr>
          <w:p w14:paraId="52CE0D4F" w14:textId="208AC351" w:rsidR="00E376D9" w:rsidRPr="00782460" w:rsidRDefault="00E376D9" w:rsidP="006241E9">
            <w:pPr>
              <w:pStyle w:val="TSBodyText"/>
              <w:ind w:right="309"/>
              <w:jc w:val="right"/>
            </w:pPr>
            <w:r w:rsidRPr="00782460">
              <w:t>14%</w:t>
            </w:r>
          </w:p>
        </w:tc>
      </w:tr>
      <w:tr w:rsidR="00E376D9" w14:paraId="4EA2AFC5" w14:textId="77777777" w:rsidTr="007F26D3">
        <w:tc>
          <w:tcPr>
            <w:tcW w:w="1361" w:type="dxa"/>
          </w:tcPr>
          <w:p w14:paraId="73194A9F" w14:textId="31B20760" w:rsidR="00E376D9" w:rsidRPr="00782460" w:rsidRDefault="00E376D9" w:rsidP="00782460">
            <w:pPr>
              <w:pStyle w:val="TSBodyText"/>
            </w:pPr>
            <w:r w:rsidRPr="00782460">
              <w:t>75</w:t>
            </w:r>
            <w:r w:rsidR="00C4569E">
              <w:t>–</w:t>
            </w:r>
            <w:r w:rsidRPr="00782460">
              <w:t>99</w:t>
            </w:r>
          </w:p>
        </w:tc>
        <w:tc>
          <w:tcPr>
            <w:tcW w:w="1348" w:type="dxa"/>
            <w:vAlign w:val="center"/>
          </w:tcPr>
          <w:p w14:paraId="2C50AF26" w14:textId="77777777" w:rsidR="00E376D9" w:rsidRPr="00782460" w:rsidRDefault="00E376D9" w:rsidP="006241E9">
            <w:pPr>
              <w:pStyle w:val="TSBodyText"/>
              <w:ind w:right="309"/>
              <w:jc w:val="right"/>
            </w:pPr>
            <w:r w:rsidRPr="00782460">
              <w:t xml:space="preserve"> 6,316 </w:t>
            </w:r>
          </w:p>
        </w:tc>
        <w:tc>
          <w:tcPr>
            <w:tcW w:w="1348" w:type="dxa"/>
            <w:vAlign w:val="center"/>
          </w:tcPr>
          <w:p w14:paraId="2E5C022C" w14:textId="77777777" w:rsidR="00E376D9" w:rsidRPr="00782460" w:rsidRDefault="00E376D9" w:rsidP="006241E9">
            <w:pPr>
              <w:pStyle w:val="TSBodyText"/>
              <w:ind w:right="309"/>
              <w:jc w:val="right"/>
            </w:pPr>
            <w:r w:rsidRPr="00782460">
              <w:t xml:space="preserve"> 2,135 </w:t>
            </w:r>
          </w:p>
        </w:tc>
        <w:tc>
          <w:tcPr>
            <w:tcW w:w="1247" w:type="dxa"/>
            <w:vAlign w:val="center"/>
          </w:tcPr>
          <w:p w14:paraId="1ACC22C2" w14:textId="0C0B800A" w:rsidR="00E376D9" w:rsidRPr="00782460" w:rsidRDefault="00E376D9" w:rsidP="006241E9">
            <w:pPr>
              <w:pStyle w:val="TSBodyText"/>
              <w:ind w:right="309"/>
              <w:jc w:val="right"/>
            </w:pPr>
            <w:r w:rsidRPr="00782460">
              <w:t xml:space="preserve">8,451 </w:t>
            </w:r>
          </w:p>
        </w:tc>
        <w:tc>
          <w:tcPr>
            <w:tcW w:w="1415" w:type="dxa"/>
            <w:vAlign w:val="center"/>
          </w:tcPr>
          <w:p w14:paraId="4B7F9F7B" w14:textId="4C10D72B" w:rsidR="00E376D9" w:rsidRPr="00782460" w:rsidRDefault="00593173" w:rsidP="006241E9">
            <w:pPr>
              <w:pStyle w:val="TSBodyText"/>
              <w:ind w:right="309"/>
              <w:jc w:val="right"/>
            </w:pPr>
            <w:r w:rsidRPr="00782460">
              <w:t>87%</w:t>
            </w:r>
          </w:p>
        </w:tc>
        <w:tc>
          <w:tcPr>
            <w:tcW w:w="1438" w:type="dxa"/>
            <w:vAlign w:val="center"/>
          </w:tcPr>
          <w:p w14:paraId="245E3EFA" w14:textId="7EE5A88A" w:rsidR="00E376D9" w:rsidRPr="00782460" w:rsidRDefault="00E376D9" w:rsidP="006241E9">
            <w:pPr>
              <w:pStyle w:val="TSBodyText"/>
              <w:ind w:right="309"/>
              <w:jc w:val="right"/>
            </w:pPr>
            <w:r w:rsidRPr="00782460">
              <w:t>13%</w:t>
            </w:r>
          </w:p>
        </w:tc>
      </w:tr>
    </w:tbl>
    <w:p w14:paraId="523E0630" w14:textId="28116536" w:rsidR="00D327A1" w:rsidRDefault="00D327A1" w:rsidP="00D327A1">
      <w:pPr>
        <w:pStyle w:val="USSource"/>
        <w:spacing w:after="480"/>
      </w:pPr>
      <w:r w:rsidRPr="00731CA6">
        <w:t xml:space="preserve">Source: </w:t>
      </w:r>
      <w:r w:rsidRPr="00B857B2">
        <w:t xml:space="preserve">NZIER, based on </w:t>
      </w:r>
      <w:proofErr w:type="spellStart"/>
      <w:r w:rsidRPr="00B857B2">
        <w:t>Te</w:t>
      </w:r>
      <w:proofErr w:type="spellEnd"/>
      <w:r w:rsidRPr="00B857B2">
        <w:t xml:space="preserve"> </w:t>
      </w:r>
      <w:proofErr w:type="spellStart"/>
      <w:r w:rsidRPr="00B857B2">
        <w:t>Whatu</w:t>
      </w:r>
      <w:proofErr w:type="spellEnd"/>
      <w:r w:rsidRPr="00B857B2">
        <w:t xml:space="preserve"> Ora data and </w:t>
      </w:r>
      <w:r w:rsidR="00782460" w:rsidRPr="00B857B2">
        <w:t>alcohol</w:t>
      </w:r>
      <w:r w:rsidR="00782460">
        <w:t>-</w:t>
      </w:r>
      <w:r w:rsidRPr="00B857B2">
        <w:t xml:space="preserve">attributable fractions from Chambers and </w:t>
      </w:r>
      <w:proofErr w:type="spellStart"/>
      <w:r w:rsidRPr="00B857B2">
        <w:t>Mizdrak</w:t>
      </w:r>
      <w:proofErr w:type="spellEnd"/>
      <w:r w:rsidRPr="00B857B2">
        <w:t xml:space="preserve"> (</w:t>
      </w:r>
      <w:r w:rsidR="00AB24DA">
        <w:t>for</w:t>
      </w:r>
      <w:r w:rsidR="00154BD3">
        <w:t>thcoming</w:t>
      </w:r>
      <w:r w:rsidRPr="00B857B2">
        <w:t>)</w:t>
      </w:r>
    </w:p>
    <w:p w14:paraId="30802F50" w14:textId="4005E755" w:rsidR="00D327A1" w:rsidRDefault="00D327A1" w:rsidP="00D327A1">
      <w:pPr>
        <w:pStyle w:val="USBodyText"/>
      </w:pPr>
      <w:r>
        <w:t>Based on the total number of acute admissions (</w:t>
      </w:r>
      <w:r w:rsidRPr="00244726">
        <w:t>8,772</w:t>
      </w:r>
      <w:r>
        <w:t>) an</w:t>
      </w:r>
      <w:r w:rsidR="0059248F">
        <w:t>d</w:t>
      </w:r>
      <w:r>
        <w:t xml:space="preserve"> an assumption that these admissions originate in the ED, we estimate the cost of </w:t>
      </w:r>
      <w:r w:rsidR="00782460">
        <w:t>alcohol-</w:t>
      </w:r>
      <w:r>
        <w:t xml:space="preserve">attributable ED visits using </w:t>
      </w:r>
      <w:r w:rsidR="00BF1BF2">
        <w:t xml:space="preserve">an ED visit cost that is at the midpoint between the average ED visit cost and the </w:t>
      </w:r>
      <w:r w:rsidR="00484945">
        <w:t>high-end</w:t>
      </w:r>
      <w:r w:rsidR="00BF1BF2">
        <w:t xml:space="preserve"> ED visit cost that we used previously for life-threatening presentations. The rationale </w:t>
      </w:r>
      <w:r w:rsidR="00153C00">
        <w:t>is that this set of ED visits resulted in inpatient admission</w:t>
      </w:r>
      <w:r w:rsidR="00CB2487">
        <w:t>s</w:t>
      </w:r>
      <w:r w:rsidR="003A6CE8">
        <w:t>, so</w:t>
      </w:r>
      <w:r w:rsidR="00CB2487">
        <w:t xml:space="preserve"> the average triage priority is likely to be higher than the average ED visit. The midpoint between</w:t>
      </w:r>
      <w:r w:rsidR="003A6CE8">
        <w:t xml:space="preserve"> </w:t>
      </w:r>
      <w:r>
        <w:t>the Treasury (</w:t>
      </w:r>
      <w:proofErr w:type="spellStart"/>
      <w:r>
        <w:t>CBAx</w:t>
      </w:r>
      <w:proofErr w:type="spellEnd"/>
      <w:r>
        <w:t xml:space="preserve"> Impact Database 2022) unit cost of an ED visit in 2023</w:t>
      </w:r>
      <w:r w:rsidR="000830EC">
        <w:t xml:space="preserve"> ($503) and the </w:t>
      </w:r>
      <w:r w:rsidR="00484945">
        <w:t>high-end</w:t>
      </w:r>
      <w:r w:rsidR="000830EC">
        <w:t xml:space="preserve"> cost based on triage priority indicated by </w:t>
      </w:r>
      <w:proofErr w:type="spellStart"/>
      <w:r w:rsidR="000830EC">
        <w:t>Te</w:t>
      </w:r>
      <w:proofErr w:type="spellEnd"/>
      <w:r w:rsidR="000830EC">
        <w:t xml:space="preserve"> </w:t>
      </w:r>
      <w:proofErr w:type="spellStart"/>
      <w:r w:rsidR="000830EC">
        <w:t>Whatu</w:t>
      </w:r>
      <w:proofErr w:type="spellEnd"/>
      <w:r w:rsidR="000830EC">
        <w:t xml:space="preserve"> Ora ($</w:t>
      </w:r>
      <w:r w:rsidR="00632EF1">
        <w:t xml:space="preserve">2,162) is </w:t>
      </w:r>
      <w:r w:rsidR="00A73BC0">
        <w:t>$1,333. The result of this cost estimation</w:t>
      </w:r>
      <w:r w:rsidR="007125BB">
        <w:t xml:space="preserve">, </w:t>
      </w:r>
      <w:r w:rsidR="00F75EF9">
        <w:t>just under $19 million, is</w:t>
      </w:r>
      <w:r w:rsidR="00A73BC0">
        <w:t xml:space="preserve"> presented in</w:t>
      </w:r>
      <w:r>
        <w:t xml:space="preserve"> </w:t>
      </w:r>
      <w:r>
        <w:fldChar w:fldCharType="begin"/>
      </w:r>
      <w:r>
        <w:instrText xml:space="preserve"> REF _Ref148891708 \h </w:instrText>
      </w:r>
      <w:r>
        <w:fldChar w:fldCharType="separate"/>
      </w:r>
      <w:r w:rsidR="00AE166D" w:rsidRPr="00731CA6">
        <w:t xml:space="preserve">Table </w:t>
      </w:r>
      <w:r w:rsidR="00AE166D">
        <w:rPr>
          <w:noProof/>
        </w:rPr>
        <w:t>31</w:t>
      </w:r>
      <w:r>
        <w:fldChar w:fldCharType="end"/>
      </w:r>
      <w:r>
        <w:t xml:space="preserve"> below.</w:t>
      </w:r>
    </w:p>
    <w:p w14:paraId="40A3DBAA" w14:textId="56737A08" w:rsidR="00D327A1" w:rsidRDefault="00D327A1" w:rsidP="00D327A1">
      <w:pPr>
        <w:pStyle w:val="TableCaption"/>
      </w:pPr>
      <w:bookmarkStart w:id="140" w:name="_Ref148891708"/>
      <w:bookmarkStart w:id="141" w:name="_Toc160633938"/>
      <w:r w:rsidRPr="00731CA6">
        <w:t xml:space="preserve">Table </w:t>
      </w:r>
      <w:fldSimple w:instr=" SEQ Table \* ARABIC ">
        <w:r w:rsidR="00AE166D">
          <w:rPr>
            <w:noProof/>
          </w:rPr>
          <w:t>31</w:t>
        </w:r>
      </w:fldSimple>
      <w:bookmarkEnd w:id="140"/>
      <w:r w:rsidRPr="00731CA6">
        <w:t xml:space="preserve"> </w:t>
      </w:r>
      <w:r>
        <w:t xml:space="preserve">Total cost of </w:t>
      </w:r>
      <w:r w:rsidR="00782460">
        <w:t>alcohol-</w:t>
      </w:r>
      <w:r>
        <w:t>attributable ED visits</w:t>
      </w:r>
      <w:bookmarkEnd w:id="141"/>
    </w:p>
    <w:p w14:paraId="692EED29" w14:textId="77777777" w:rsidR="00D327A1" w:rsidRDefault="00D327A1" w:rsidP="00D327A1">
      <w:pPr>
        <w:pStyle w:val="CaptionSubheading"/>
        <w:keepLines/>
      </w:pPr>
      <w:r w:rsidRPr="004505A5">
        <w:t xml:space="preserve">Estimated 2023 </w:t>
      </w:r>
    </w:p>
    <w:tbl>
      <w:tblPr>
        <w:tblStyle w:val="TableDefault"/>
        <w:tblW w:w="8221" w:type="dxa"/>
        <w:tblLook w:val="04A0" w:firstRow="1" w:lastRow="0" w:firstColumn="1" w:lastColumn="0" w:noHBand="0" w:noVBand="1"/>
      </w:tblPr>
      <w:tblGrid>
        <w:gridCol w:w="5812"/>
        <w:gridCol w:w="2409"/>
      </w:tblGrid>
      <w:tr w:rsidR="00D327A1" w14:paraId="46425D2E" w14:textId="77777777">
        <w:trPr>
          <w:cnfStyle w:val="100000000000" w:firstRow="1" w:lastRow="0" w:firstColumn="0" w:lastColumn="0" w:oddVBand="0" w:evenVBand="0" w:oddHBand="0" w:evenHBand="0" w:firstRowFirstColumn="0" w:firstRowLastColumn="0" w:lastRowFirstColumn="0" w:lastRowLastColumn="0"/>
        </w:trPr>
        <w:tc>
          <w:tcPr>
            <w:tcW w:w="5812" w:type="dxa"/>
          </w:tcPr>
          <w:p w14:paraId="484D2705" w14:textId="77777777" w:rsidR="00D327A1" w:rsidRPr="00ED0F94" w:rsidRDefault="00D327A1" w:rsidP="00154BD3">
            <w:pPr>
              <w:pStyle w:val="TSTableHeadingWhite-TopRow"/>
              <w:rPr>
                <w:b w:val="0"/>
                <w:bCs/>
                <w:color w:val="FFFFFF" w:themeColor="background1"/>
              </w:rPr>
            </w:pPr>
            <w:r w:rsidRPr="00ED0F94">
              <w:t>Variable</w:t>
            </w:r>
          </w:p>
        </w:tc>
        <w:tc>
          <w:tcPr>
            <w:tcW w:w="2409" w:type="dxa"/>
          </w:tcPr>
          <w:p w14:paraId="52DEBE96" w14:textId="77777777" w:rsidR="00D327A1" w:rsidRPr="00ED0F94" w:rsidRDefault="00D327A1" w:rsidP="00154BD3">
            <w:pPr>
              <w:pStyle w:val="TSTableHeadingWhite-TopRow"/>
              <w:jc w:val="center"/>
              <w:rPr>
                <w:b w:val="0"/>
                <w:bCs/>
                <w:color w:val="FFFFFF" w:themeColor="background1"/>
              </w:rPr>
            </w:pPr>
            <w:r w:rsidRPr="00ED0F94">
              <w:t>Value</w:t>
            </w:r>
          </w:p>
        </w:tc>
      </w:tr>
      <w:tr w:rsidR="00D327A1" w14:paraId="796E4F0A" w14:textId="77777777">
        <w:tc>
          <w:tcPr>
            <w:tcW w:w="5812" w:type="dxa"/>
          </w:tcPr>
          <w:p w14:paraId="7AFD7BA2" w14:textId="43B4B352" w:rsidR="00D327A1" w:rsidRDefault="00D327A1" w:rsidP="00154BD3">
            <w:pPr>
              <w:pStyle w:val="TSBodyText"/>
            </w:pPr>
            <w:r>
              <w:t xml:space="preserve">Number of acute </w:t>
            </w:r>
            <w:r w:rsidR="00782460">
              <w:t>alcohol-</w:t>
            </w:r>
            <w:r>
              <w:t>attributable inpatient admissions</w:t>
            </w:r>
          </w:p>
        </w:tc>
        <w:tc>
          <w:tcPr>
            <w:tcW w:w="2409" w:type="dxa"/>
          </w:tcPr>
          <w:p w14:paraId="697CF275" w14:textId="77777777" w:rsidR="00D327A1" w:rsidRDefault="00D327A1" w:rsidP="00154BD3">
            <w:pPr>
              <w:pStyle w:val="TSBodyText"/>
              <w:ind w:right="1032"/>
              <w:jc w:val="right"/>
            </w:pPr>
            <w:r>
              <w:t>8,772</w:t>
            </w:r>
          </w:p>
        </w:tc>
      </w:tr>
      <w:tr w:rsidR="00D327A1" w14:paraId="6442805C" w14:textId="77777777">
        <w:trPr>
          <w:cnfStyle w:val="000000010000" w:firstRow="0" w:lastRow="0" w:firstColumn="0" w:lastColumn="0" w:oddVBand="0" w:evenVBand="0" w:oddHBand="0" w:evenHBand="1" w:firstRowFirstColumn="0" w:firstRowLastColumn="0" w:lastRowFirstColumn="0" w:lastRowLastColumn="0"/>
        </w:trPr>
        <w:tc>
          <w:tcPr>
            <w:tcW w:w="5812" w:type="dxa"/>
          </w:tcPr>
          <w:p w14:paraId="17DB18FD" w14:textId="06502FBA" w:rsidR="00D327A1" w:rsidRDefault="00D327A1" w:rsidP="00154BD3">
            <w:pPr>
              <w:pStyle w:val="TSBodyText"/>
            </w:pPr>
            <w:r>
              <w:t xml:space="preserve">Share of acute </w:t>
            </w:r>
            <w:r w:rsidR="00782460">
              <w:t>alcohol-</w:t>
            </w:r>
            <w:r>
              <w:t>attributable admissions originating in the ED</w:t>
            </w:r>
          </w:p>
        </w:tc>
        <w:tc>
          <w:tcPr>
            <w:tcW w:w="2409" w:type="dxa"/>
          </w:tcPr>
          <w:p w14:paraId="4B5A5A2E" w14:textId="77777777" w:rsidR="00D327A1" w:rsidRDefault="00D327A1" w:rsidP="00154BD3">
            <w:pPr>
              <w:pStyle w:val="TSBodyText"/>
              <w:ind w:right="1032"/>
              <w:jc w:val="right"/>
            </w:pPr>
            <w:r>
              <w:t>100%</w:t>
            </w:r>
          </w:p>
        </w:tc>
      </w:tr>
      <w:tr w:rsidR="00D327A1" w14:paraId="4B84B123" w14:textId="77777777">
        <w:tc>
          <w:tcPr>
            <w:tcW w:w="5812" w:type="dxa"/>
          </w:tcPr>
          <w:p w14:paraId="6643279B" w14:textId="77777777" w:rsidR="00D327A1" w:rsidRDefault="00D327A1" w:rsidP="00154BD3">
            <w:pPr>
              <w:pStyle w:val="TSBodyText"/>
            </w:pPr>
            <w:r>
              <w:t>Cost per ED visit</w:t>
            </w:r>
          </w:p>
        </w:tc>
        <w:tc>
          <w:tcPr>
            <w:tcW w:w="2409" w:type="dxa"/>
          </w:tcPr>
          <w:p w14:paraId="39534B83" w14:textId="0CA6FF95" w:rsidR="00D327A1" w:rsidRDefault="00D327A1" w:rsidP="00154BD3">
            <w:pPr>
              <w:pStyle w:val="TSBodyText"/>
              <w:ind w:right="1032"/>
              <w:jc w:val="right"/>
            </w:pPr>
            <w:r w:rsidRPr="000B5D77">
              <w:t>$</w:t>
            </w:r>
            <w:r w:rsidR="00A73BC0">
              <w:t>2,162</w:t>
            </w:r>
          </w:p>
        </w:tc>
      </w:tr>
      <w:tr w:rsidR="00D327A1" w14:paraId="391DF69B" w14:textId="77777777">
        <w:trPr>
          <w:cnfStyle w:val="000000010000" w:firstRow="0" w:lastRow="0" w:firstColumn="0" w:lastColumn="0" w:oddVBand="0" w:evenVBand="0" w:oddHBand="0" w:evenHBand="1" w:firstRowFirstColumn="0" w:firstRowLastColumn="0" w:lastRowFirstColumn="0" w:lastRowLastColumn="0"/>
        </w:trPr>
        <w:tc>
          <w:tcPr>
            <w:tcW w:w="5812" w:type="dxa"/>
          </w:tcPr>
          <w:p w14:paraId="3C8C6FAB" w14:textId="77777777" w:rsidR="00D327A1" w:rsidRDefault="00D327A1" w:rsidP="00154BD3">
            <w:pPr>
              <w:pStyle w:val="TSBodyText"/>
            </w:pPr>
            <w:r>
              <w:t>Total ED cost</w:t>
            </w:r>
          </w:p>
        </w:tc>
        <w:tc>
          <w:tcPr>
            <w:tcW w:w="2409" w:type="dxa"/>
          </w:tcPr>
          <w:p w14:paraId="72A4D8CC" w14:textId="0196C27C" w:rsidR="00D327A1" w:rsidRDefault="00D327A1" w:rsidP="00154BD3">
            <w:pPr>
              <w:pStyle w:val="TSBodyText"/>
              <w:ind w:right="1032"/>
              <w:jc w:val="right"/>
            </w:pPr>
            <w:r>
              <w:t>$</w:t>
            </w:r>
            <w:r w:rsidR="00F75EF9">
              <w:t>18,965,064</w:t>
            </w:r>
          </w:p>
        </w:tc>
      </w:tr>
    </w:tbl>
    <w:p w14:paraId="70407F64" w14:textId="381202DA" w:rsidR="00D327A1" w:rsidRDefault="00D327A1" w:rsidP="006C2071">
      <w:pPr>
        <w:pStyle w:val="USSource"/>
      </w:pPr>
      <w:r w:rsidRPr="00731CA6">
        <w:t xml:space="preserve">Source: </w:t>
      </w:r>
      <w:r w:rsidRPr="00B857B2">
        <w:t xml:space="preserve">NZIER, based on </w:t>
      </w:r>
      <w:proofErr w:type="spellStart"/>
      <w:r w:rsidRPr="00B857B2">
        <w:t>Te</w:t>
      </w:r>
      <w:proofErr w:type="spellEnd"/>
      <w:r w:rsidRPr="00B857B2">
        <w:t xml:space="preserve"> </w:t>
      </w:r>
      <w:proofErr w:type="spellStart"/>
      <w:r w:rsidRPr="00B857B2">
        <w:t>Whatu</w:t>
      </w:r>
      <w:proofErr w:type="spellEnd"/>
      <w:r w:rsidRPr="00B857B2">
        <w:t xml:space="preserve"> Ora data and </w:t>
      </w:r>
      <w:r w:rsidR="00782460" w:rsidRPr="00B857B2">
        <w:t>alcohol</w:t>
      </w:r>
      <w:r w:rsidR="00782460">
        <w:t>-</w:t>
      </w:r>
      <w:r w:rsidRPr="00B857B2">
        <w:t xml:space="preserve">attributable fractions from Chambers and </w:t>
      </w:r>
      <w:proofErr w:type="spellStart"/>
      <w:r w:rsidRPr="00B857B2">
        <w:t>Mizdrak</w:t>
      </w:r>
      <w:proofErr w:type="spellEnd"/>
      <w:r w:rsidRPr="00B857B2">
        <w:t xml:space="preserve"> (</w:t>
      </w:r>
      <w:r w:rsidR="00154BD3">
        <w:t>forthcoming</w:t>
      </w:r>
      <w:r w:rsidRPr="00B857B2">
        <w:t>)</w:t>
      </w:r>
    </w:p>
    <w:p w14:paraId="6CE0E8C2" w14:textId="01507CBB" w:rsidR="006C2071" w:rsidRPr="00731CA6" w:rsidRDefault="006C2071" w:rsidP="003150A0">
      <w:pPr>
        <w:pStyle w:val="USBodyText"/>
      </w:pPr>
      <w:r>
        <w:t xml:space="preserve">This result </w:t>
      </w:r>
      <w:r w:rsidR="004E2849">
        <w:t xml:space="preserve">is likely subject to less uncertainty than the previously estimated </w:t>
      </w:r>
      <w:r w:rsidR="005E55EE">
        <w:t xml:space="preserve">total </w:t>
      </w:r>
      <w:r w:rsidR="004E2849">
        <w:t>costs of alcohol-related ED visits</w:t>
      </w:r>
      <w:r w:rsidR="00AD0B48">
        <w:t xml:space="preserve"> but also represents only a small subset of ED visits that </w:t>
      </w:r>
      <w:r w:rsidR="002B31CD">
        <w:t>may be</w:t>
      </w:r>
      <w:r w:rsidR="00F63BFF">
        <w:t xml:space="preserve"> attributable to alcohol.</w:t>
      </w:r>
    </w:p>
    <w:p w14:paraId="3F747387" w14:textId="0B9F8698" w:rsidR="00DD12CF" w:rsidRDefault="0046466E" w:rsidP="00490BE9">
      <w:pPr>
        <w:pStyle w:val="Heading2"/>
      </w:pPr>
      <w:bookmarkStart w:id="142" w:name="_Toc160633848"/>
      <w:r>
        <w:t>Evidence suggests no additional p</w:t>
      </w:r>
      <w:r w:rsidR="00237203">
        <w:t xml:space="preserve">rimary care costs </w:t>
      </w:r>
      <w:r>
        <w:t xml:space="preserve">are </w:t>
      </w:r>
      <w:r w:rsidR="00237203">
        <w:t xml:space="preserve">attributable to </w:t>
      </w:r>
      <w:r w:rsidR="007B29D4">
        <w:t xml:space="preserve">hazardous </w:t>
      </w:r>
      <w:proofErr w:type="gramStart"/>
      <w:r w:rsidR="007B29D4">
        <w:t>drinking</w:t>
      </w:r>
      <w:bookmarkEnd w:id="142"/>
      <w:proofErr w:type="gramEnd"/>
    </w:p>
    <w:p w14:paraId="6D612478" w14:textId="26042689" w:rsidR="00987D98" w:rsidRDefault="00791145" w:rsidP="00237203">
      <w:pPr>
        <w:pStyle w:val="USBodyText"/>
      </w:pPr>
      <w:r w:rsidRPr="00791145">
        <w:t xml:space="preserve">Primary care </w:t>
      </w:r>
      <w:r>
        <w:t>is the</w:t>
      </w:r>
      <w:r w:rsidR="0055466A">
        <w:t xml:space="preserve"> intended</w:t>
      </w:r>
      <w:r w:rsidRPr="00791145">
        <w:t xml:space="preserve"> first point of contact with</w:t>
      </w:r>
      <w:r>
        <w:t>in</w:t>
      </w:r>
      <w:r w:rsidRPr="00791145">
        <w:t xml:space="preserve"> the health system for </w:t>
      </w:r>
      <w:r w:rsidR="0055466A">
        <w:t>people</w:t>
      </w:r>
      <w:r w:rsidRPr="00791145">
        <w:t xml:space="preserve"> experiencing </w:t>
      </w:r>
      <w:r>
        <w:t>health issues</w:t>
      </w:r>
      <w:r w:rsidRPr="00791145">
        <w:t xml:space="preserve">. </w:t>
      </w:r>
      <w:r w:rsidR="0055466A">
        <w:t>However</w:t>
      </w:r>
      <w:r w:rsidR="00D078EB">
        <w:t xml:space="preserve">, </w:t>
      </w:r>
      <w:r w:rsidR="00987D98">
        <w:t>a visit to the GP may not be the first point of contact in many instances for a range of reasons, including:</w:t>
      </w:r>
    </w:p>
    <w:p w14:paraId="22A9EBFA" w14:textId="0847183C" w:rsidR="002171DE" w:rsidRDefault="00D078EB" w:rsidP="00987D98">
      <w:pPr>
        <w:pStyle w:val="USBullet1"/>
      </w:pPr>
      <w:r>
        <w:t xml:space="preserve">numerous studies and population surveys identify that a significant minority do not visit the GP </w:t>
      </w:r>
      <w:r w:rsidR="00987D98">
        <w:t xml:space="preserve">when </w:t>
      </w:r>
      <w:r w:rsidR="002171DE">
        <w:t xml:space="preserve">they need to </w:t>
      </w:r>
      <w:r w:rsidR="00936EEB">
        <w:t xml:space="preserve">for </w:t>
      </w:r>
      <w:r w:rsidR="005A61AA">
        <w:t xml:space="preserve">health issues generally </w:t>
      </w:r>
      <w:r w:rsidR="001763FF">
        <w:t>due to access barriers</w:t>
      </w:r>
      <w:r w:rsidR="00936EEB">
        <w:t xml:space="preserve">, including cost, time and </w:t>
      </w:r>
      <w:proofErr w:type="gramStart"/>
      <w:r w:rsidR="00936EEB">
        <w:t>availability</w:t>
      </w:r>
      <w:proofErr w:type="gramEnd"/>
    </w:p>
    <w:p w14:paraId="7027DB3E" w14:textId="7BFBF640" w:rsidR="002171DE" w:rsidRDefault="002171DE" w:rsidP="00987D98">
      <w:pPr>
        <w:pStyle w:val="USBullet1"/>
      </w:pPr>
      <w:r>
        <w:t xml:space="preserve">accidents and injuries, particularly more serious ones, are most likely to be seen in urgent care contexts such as the </w:t>
      </w:r>
      <w:proofErr w:type="gramStart"/>
      <w:r>
        <w:t>ED</w:t>
      </w:r>
      <w:proofErr w:type="gramEnd"/>
    </w:p>
    <w:p w14:paraId="5B174182" w14:textId="435496B4" w:rsidR="000D248E" w:rsidRDefault="000D248E" w:rsidP="00987D98">
      <w:pPr>
        <w:pStyle w:val="USBullet1"/>
      </w:pPr>
      <w:r>
        <w:lastRenderedPageBreak/>
        <w:t>some health conditions may be asymptomatic</w:t>
      </w:r>
      <w:r w:rsidR="00154BD3">
        <w:t>,</w:t>
      </w:r>
      <w:r>
        <w:t xml:space="preserve"> or symptoms may be ignored until </w:t>
      </w:r>
      <w:r w:rsidR="00173E88">
        <w:t>urgent care is needed.</w:t>
      </w:r>
    </w:p>
    <w:p w14:paraId="278A18A8" w14:textId="29DB14D8" w:rsidR="006A62DE" w:rsidRDefault="00173E88" w:rsidP="00173E88">
      <w:pPr>
        <w:pStyle w:val="USBullet1"/>
        <w:numPr>
          <w:ilvl w:val="0"/>
          <w:numId w:val="0"/>
        </w:numPr>
        <w:ind w:left="851"/>
      </w:pPr>
      <w:r w:rsidRPr="00307E0E">
        <w:t>A</w:t>
      </w:r>
      <w:r w:rsidR="00791145" w:rsidRPr="00307E0E">
        <w:t xml:space="preserve"> New Zealand study </w:t>
      </w:r>
      <w:r w:rsidR="004E6122" w:rsidRPr="00307E0E">
        <w:fldChar w:fldCharType="begin"/>
      </w:r>
      <w:r w:rsidR="00F244F6">
        <w:instrText xml:space="preserve"> ADDIN ZOTERO_ITEM CSL_CITATION {"citationID":"Q7YiH5Qp","properties":{"formattedCitation":"(Paton-Simpson et al. 2000)","plainCitation":"(Paton-Simpson et al. 2000)","noteIndex":0},"citationItems":[{"id":70389,"uris":["http://zotero.org/groups/4944822/items/GSP27QL4"],"itemData":{"id":70389,"type":"article-journal","abstract":"AIM: To quantify the prevalence and demography of at-risk and problematic drinkers in the population attending a random selection of general practices and to compare this with similar studies.\nMETHOD: A study examining the uptake and utilisation of the \"DRINKLESS\" package to 369 New Zealand general practitioners was conducted during 1995/6. The \"DRINKLESS\" package was developed with the World Health Organisation collaborative study for brief intervention for at-risk alcohol consumption. The package uses the Alcohol Use Disorders Identification Test (AUDIT). There were 15,670 completed AUDIT questionnaires collected during the study. These were analysed to ascertain the prevalence and demography of at-risk and problematic drinkers attending general practitioners.\nRESULTS: There were 16% of patients identified as having either \"risky drinking\" or \"problematic or dependent drinking\". This pattern varied according to the occupation, age and gender of patients.\nCONCLUSIONS: The data confirm that large numbers of patients presenting to general practitioners experience alcohol problems of varying degrees. This study also suggests that the AUDIT will have satisfactory detection rates in a primary care setting.","container-title":"The New Zealand Medical Journal","ISSN":"0028-8446","issue":"1105","journalAbbreviation":"N Z Med J","language":"eng","note":"PMID: 10855582","page":"74-77","source":"PubMed","title":"Problem drinking profiles of patients presenting to general practitioners: analysis of Alcohol Use Disorders Identification Test (AUDIT) scores for the Auckland area","title-short":"Problem drinking profiles of patients presenting to general practitioners","volume":"113","author":[{"family":"Paton-Simpson","given":"G."},{"family":"McCormick","given":"I. R."},{"family":"Powell","given":"A."},{"family":"Adams","given":"P."},{"family":"Bunbury","given":"D."}],"issued":{"date-parts":[["2000",3,10]]}}}],"schema":"https://github.com/citation-style-language/schema/raw/master/csl-citation.json"} </w:instrText>
      </w:r>
      <w:r w:rsidR="004E6122" w:rsidRPr="00307E0E">
        <w:fldChar w:fldCharType="separate"/>
      </w:r>
      <w:r w:rsidR="005A429D" w:rsidRPr="005A429D">
        <w:rPr>
          <w:rFonts w:cs="Calibri"/>
        </w:rPr>
        <w:t>(Paton-Simpson et al. 2000)</w:t>
      </w:r>
      <w:r w:rsidR="004E6122" w:rsidRPr="00307E0E">
        <w:fldChar w:fldCharType="end"/>
      </w:r>
      <w:r w:rsidR="004E6122" w:rsidRPr="00307E0E">
        <w:t xml:space="preserve"> </w:t>
      </w:r>
      <w:r w:rsidR="00791145" w:rsidRPr="00307E0E">
        <w:t xml:space="preserve">found </w:t>
      </w:r>
      <w:r w:rsidRPr="00307E0E">
        <w:t xml:space="preserve">that </w:t>
      </w:r>
      <w:r w:rsidR="00791145" w:rsidRPr="00307E0E">
        <w:t>16</w:t>
      </w:r>
      <w:r w:rsidRPr="00307E0E">
        <w:t xml:space="preserve"> percent</w:t>
      </w:r>
      <w:r w:rsidR="00791145" w:rsidRPr="00307E0E">
        <w:t xml:space="preserve"> of people wh</w:t>
      </w:r>
      <w:r w:rsidRPr="00307E0E">
        <w:t xml:space="preserve">o visited </w:t>
      </w:r>
      <w:r w:rsidR="00791145" w:rsidRPr="00307E0E">
        <w:t xml:space="preserve">Auckland </w:t>
      </w:r>
      <w:r w:rsidRPr="00307E0E">
        <w:t xml:space="preserve">GPs </w:t>
      </w:r>
      <w:r w:rsidR="00791145" w:rsidRPr="00307E0E">
        <w:t xml:space="preserve">met </w:t>
      </w:r>
      <w:r w:rsidRPr="00307E0E">
        <w:t xml:space="preserve">the criteria for </w:t>
      </w:r>
      <w:r w:rsidR="00791145" w:rsidRPr="00307E0E">
        <w:t>hazardous drinking</w:t>
      </w:r>
      <w:r w:rsidRPr="00307E0E">
        <w:t xml:space="preserve">. However, their visits to the GP were not necessarily </w:t>
      </w:r>
      <w:r w:rsidR="00314291">
        <w:t xml:space="preserve">related to health issues </w:t>
      </w:r>
      <w:r w:rsidR="00405F24">
        <w:t>that were attributable to</w:t>
      </w:r>
      <w:r w:rsidR="004D0A08" w:rsidRPr="00307E0E">
        <w:t xml:space="preserve"> hazardous drinking.</w:t>
      </w:r>
      <w:r w:rsidR="0096229F">
        <w:t xml:space="preserve"> </w:t>
      </w:r>
    </w:p>
    <w:p w14:paraId="74BB32BA" w14:textId="0F720C79" w:rsidR="00266D57" w:rsidRDefault="006A62DE" w:rsidP="00173E88">
      <w:pPr>
        <w:pStyle w:val="USBullet1"/>
        <w:numPr>
          <w:ilvl w:val="0"/>
          <w:numId w:val="0"/>
        </w:numPr>
        <w:ind w:left="851"/>
      </w:pPr>
      <w:r>
        <w:t>T</w:t>
      </w:r>
      <w:r w:rsidR="0096229F">
        <w:t>he question of whether people who engage in hazardous drinking visit the GP more than people who do not engage in hazardous drinking</w:t>
      </w:r>
      <w:r w:rsidR="00FF6B2D">
        <w:t xml:space="preserve"> remained unanswered </w:t>
      </w:r>
      <w:r w:rsidR="003969D6">
        <w:t xml:space="preserve">in the New Zealand context </w:t>
      </w:r>
      <w:r w:rsidR="00FF6B2D">
        <w:t>u</w:t>
      </w:r>
      <w:r w:rsidR="003969D6">
        <w:t>n</w:t>
      </w:r>
      <w:r w:rsidR="00FF6B2D">
        <w:t>til a later study was published in 2020</w:t>
      </w:r>
      <w:r w:rsidR="00344767">
        <w:t xml:space="preserve"> </w:t>
      </w:r>
      <w:r w:rsidR="00344767" w:rsidRPr="002D608F">
        <w:fldChar w:fldCharType="begin"/>
      </w:r>
      <w:r w:rsidR="00344767">
        <w:instrText xml:space="preserve"> ADDIN ZOTERO_ITEM CSL_CITATION {"citationID":"VTN1cx9E","properties":{"formattedCitation":"(Jury et al. 2020)","plainCitation":"(Jury et al. 2020)","noteIndex":0},"citationItems":[{"id":69458,"uris":["http://zotero.org/groups/4944822/items/SXFX7Z2W"],"itemData":{"id":69458,"type":"article-journal","container-title":"New Zealand Medical Journal","ISSN":"1175-8716","issue":"1518","page":"43-53","title":"Hazardous drinking and general practitioner visits in the past year","volume":"133","author":[{"family":"Jury","given":"Angela"},{"family":"Koning","given":"Ashley"},{"family":"Lai","given":"Jennifer"},{"family":"Tuason","given":"Charito"},{"family":"Huriwai","given":"Terry"},{"family":"Hetrick","given":"Sarah"}],"issued":{"date-parts":[["2020"]]}}}],"schema":"https://github.com/citation-style-language/schema/raw/master/csl-citation.json"} </w:instrText>
      </w:r>
      <w:r w:rsidR="00344767" w:rsidRPr="002D608F">
        <w:fldChar w:fldCharType="separate"/>
      </w:r>
      <w:r w:rsidR="00344767" w:rsidRPr="000172CC">
        <w:rPr>
          <w:rFonts w:cs="Calibri"/>
        </w:rPr>
        <w:t>(Jury et al. 2020)</w:t>
      </w:r>
      <w:r w:rsidR="00344767" w:rsidRPr="002D608F">
        <w:fldChar w:fldCharType="end"/>
      </w:r>
      <w:r w:rsidR="00FF6B2D">
        <w:t xml:space="preserve">. </w:t>
      </w:r>
      <w:r w:rsidR="000D0B3E">
        <w:t xml:space="preserve">Using New Zealand Health Survey data from </w:t>
      </w:r>
      <w:r w:rsidR="00561F1C">
        <w:t>2</w:t>
      </w:r>
      <w:r w:rsidR="00FF0D5C">
        <w:t>0</w:t>
      </w:r>
      <w:r w:rsidR="00561F1C">
        <w:t xml:space="preserve">16/17, the study analysed GP visits in the past year </w:t>
      </w:r>
      <w:r w:rsidR="00CC5231">
        <w:t>and their association with hazardous drinking</w:t>
      </w:r>
      <w:r w:rsidR="00874889">
        <w:t xml:space="preserve">, including for </w:t>
      </w:r>
      <w:r w:rsidR="00731D32">
        <w:t xml:space="preserve">various population subgroups. </w:t>
      </w:r>
      <w:r w:rsidR="008D497F">
        <w:t>The study found that</w:t>
      </w:r>
      <w:r w:rsidR="003E5C87">
        <w:t>,</w:t>
      </w:r>
      <w:r w:rsidR="008D497F">
        <w:t xml:space="preserve"> overall</w:t>
      </w:r>
      <w:r w:rsidR="003E5C87">
        <w:t>,</w:t>
      </w:r>
      <w:r w:rsidR="008D497F">
        <w:t xml:space="preserve"> </w:t>
      </w:r>
      <w:r w:rsidR="008D497F" w:rsidRPr="0046466E">
        <w:t>there was no association between hazardous drinking and greater or lesser rates of past</w:t>
      </w:r>
      <w:r w:rsidR="004E3F18" w:rsidRPr="002D608F">
        <w:t>-</w:t>
      </w:r>
      <w:r w:rsidR="008D497F" w:rsidRPr="0046466E">
        <w:t>year GP visits</w:t>
      </w:r>
      <w:r w:rsidR="00A0208D" w:rsidRPr="0046466E">
        <w:t>: 76.54 percent of people who met the criteria for hazardous drinking had visited a GP</w:t>
      </w:r>
      <w:r w:rsidR="00A0208D" w:rsidRPr="00A0208D">
        <w:t xml:space="preserve"> in the past year </w:t>
      </w:r>
      <w:r w:rsidR="00A0208D">
        <w:t>compared with</w:t>
      </w:r>
      <w:r w:rsidR="00A0208D" w:rsidRPr="00A0208D">
        <w:t xml:space="preserve"> 77.60</w:t>
      </w:r>
      <w:r w:rsidR="00A0208D">
        <w:t xml:space="preserve"> percent</w:t>
      </w:r>
      <w:r w:rsidR="00A0208D" w:rsidRPr="00A0208D">
        <w:t xml:space="preserve"> of </w:t>
      </w:r>
      <w:r w:rsidR="00A0208D">
        <w:t>people who were not hazardous drinkers</w:t>
      </w:r>
      <w:r w:rsidR="008D497F">
        <w:t>.</w:t>
      </w:r>
      <w:r w:rsidR="00266D57">
        <w:t xml:space="preserve"> </w:t>
      </w:r>
    </w:p>
    <w:p w14:paraId="60823268" w14:textId="766CF02D" w:rsidR="005709C8" w:rsidRDefault="00BD3CDB" w:rsidP="00FF0D5C">
      <w:pPr>
        <w:pStyle w:val="USBullet1"/>
        <w:numPr>
          <w:ilvl w:val="0"/>
          <w:numId w:val="0"/>
        </w:numPr>
        <w:ind w:left="851"/>
      </w:pPr>
      <w:r>
        <w:t xml:space="preserve">While the study did not control for </w:t>
      </w:r>
      <w:r w:rsidR="00886876">
        <w:t>other potential causal variables</w:t>
      </w:r>
      <w:r w:rsidR="005D0B09">
        <w:t xml:space="preserve"> to determine the </w:t>
      </w:r>
      <w:r w:rsidR="00B82374">
        <w:t xml:space="preserve">role of hazardous drinking in </w:t>
      </w:r>
      <w:r w:rsidR="009B1CE3">
        <w:t>GP visit rates</w:t>
      </w:r>
      <w:r w:rsidR="00266D57">
        <w:t xml:space="preserve">, </w:t>
      </w:r>
      <w:r w:rsidR="00FF3B6F">
        <w:t xml:space="preserve">it </w:t>
      </w:r>
      <w:r w:rsidR="009B1CE3">
        <w:t>included sub-group analysis</w:t>
      </w:r>
      <w:r w:rsidR="000C67DF" w:rsidRPr="002D608F">
        <w:t>,</w:t>
      </w:r>
      <w:r w:rsidR="009B1CE3">
        <w:t xml:space="preserve"> which found </w:t>
      </w:r>
      <w:r w:rsidR="00266D57" w:rsidRPr="00266D57">
        <w:t>no association between hazardous drinking and GP visit</w:t>
      </w:r>
      <w:r w:rsidR="00266D57">
        <w:t>s</w:t>
      </w:r>
      <w:r w:rsidR="00266D57" w:rsidRPr="00266D57">
        <w:t xml:space="preserve"> for Māori males</w:t>
      </w:r>
      <w:r w:rsidR="00AB546A">
        <w:t xml:space="preserve"> and </w:t>
      </w:r>
      <w:r w:rsidR="00C94346">
        <w:t>Māori</w:t>
      </w:r>
      <w:r w:rsidR="00AB546A">
        <w:t xml:space="preserve"> females: </w:t>
      </w:r>
      <w:r w:rsidR="00137EEA">
        <w:t xml:space="preserve">That is, </w:t>
      </w:r>
      <w:r w:rsidR="00AB546A">
        <w:t xml:space="preserve">the </w:t>
      </w:r>
      <w:r w:rsidR="00137EEA">
        <w:t xml:space="preserve">rate </w:t>
      </w:r>
      <w:r w:rsidR="00AB546A">
        <w:t xml:space="preserve">of </w:t>
      </w:r>
      <w:r w:rsidR="00266D57" w:rsidRPr="00266D57">
        <w:t xml:space="preserve">GP visits for Māori males </w:t>
      </w:r>
      <w:r w:rsidR="00AB546A">
        <w:t xml:space="preserve">and females </w:t>
      </w:r>
      <w:r w:rsidR="00137EEA">
        <w:t xml:space="preserve">who were hazardous drinkers </w:t>
      </w:r>
      <w:r w:rsidR="00AB546A">
        <w:t xml:space="preserve">was </w:t>
      </w:r>
      <w:r w:rsidR="00266D57" w:rsidRPr="00266D57">
        <w:t>similar</w:t>
      </w:r>
      <w:r w:rsidR="00AB546A">
        <w:t xml:space="preserve"> to </w:t>
      </w:r>
      <w:r w:rsidR="00F15C2D">
        <w:t xml:space="preserve">the </w:t>
      </w:r>
      <w:r w:rsidR="00137EEA">
        <w:t xml:space="preserve">rate </w:t>
      </w:r>
      <w:r w:rsidR="00F15C2D">
        <w:t>of GP visits for</w:t>
      </w:r>
      <w:r w:rsidR="00F15C2D" w:rsidRPr="00F15C2D">
        <w:t xml:space="preserve"> Māori males and females</w:t>
      </w:r>
      <w:r w:rsidR="00266D57" w:rsidRPr="00266D57">
        <w:t xml:space="preserve"> who did and did not meet hazardous drinking criteria. </w:t>
      </w:r>
      <w:r w:rsidR="00137EEA">
        <w:t xml:space="preserve">Compared with other subgroups, </w:t>
      </w:r>
      <w:r w:rsidR="00266D57" w:rsidRPr="00266D57">
        <w:t>Māori males aged 15–24 years were least likely to have visited a GP in the past year regardless of drinking behaviour.</w:t>
      </w:r>
      <w:r w:rsidR="00A5786D">
        <w:t xml:space="preserve"> </w:t>
      </w:r>
      <w:r w:rsidR="000C67DF" w:rsidRPr="002D608F">
        <w:t>A s</w:t>
      </w:r>
      <w:r w:rsidR="00A756B6" w:rsidRPr="002D608F">
        <w:t>eparate</w:t>
      </w:r>
      <w:r w:rsidR="00A756B6">
        <w:t xml:space="preserve"> a</w:t>
      </w:r>
      <w:r w:rsidR="005709C8">
        <w:t xml:space="preserve">nalysis by socioeconomic </w:t>
      </w:r>
      <w:r w:rsidR="00006144">
        <w:t>deprivation</w:t>
      </w:r>
      <w:r w:rsidR="007200EF">
        <w:t xml:space="preserve"> area </w:t>
      </w:r>
      <w:r w:rsidR="00A756B6">
        <w:t xml:space="preserve">(the study did not have </w:t>
      </w:r>
      <w:r w:rsidR="000C67DF" w:rsidRPr="002D608F">
        <w:t xml:space="preserve">a </w:t>
      </w:r>
      <w:r w:rsidR="00A756B6">
        <w:t xml:space="preserve">sufficient sample for robust </w:t>
      </w:r>
      <w:r w:rsidR="00AC4948">
        <w:t xml:space="preserve">analysis of subgroups determined by demographics and deprivation simultaneously) </w:t>
      </w:r>
      <w:r w:rsidR="006D7931">
        <w:t xml:space="preserve">revealed a lower rate of GP visits for </w:t>
      </w:r>
      <w:r w:rsidR="00512456">
        <w:t>people who were hazardous drinkers if they lived in high</w:t>
      </w:r>
      <w:r w:rsidR="000C67DF" w:rsidRPr="002D608F">
        <w:t>-</w:t>
      </w:r>
      <w:r w:rsidR="00512456">
        <w:t>deprivation areas</w:t>
      </w:r>
      <w:r w:rsidR="00173A84">
        <w:t>.</w:t>
      </w:r>
    </w:p>
    <w:p w14:paraId="76E67ECA" w14:textId="49CFC8CE" w:rsidR="00060C40" w:rsidRDefault="00DC5EB3" w:rsidP="00FF0D5C">
      <w:pPr>
        <w:pStyle w:val="USBullet1"/>
        <w:numPr>
          <w:ilvl w:val="0"/>
          <w:numId w:val="0"/>
        </w:numPr>
        <w:ind w:left="851"/>
      </w:pPr>
      <w:r>
        <w:t>Jury et al</w:t>
      </w:r>
      <w:r w:rsidR="00066AAA">
        <w:t xml:space="preserve">. concluded that </w:t>
      </w:r>
      <w:r w:rsidR="00AC4948">
        <w:t xml:space="preserve">the </w:t>
      </w:r>
      <w:r w:rsidR="009840CE">
        <w:t xml:space="preserve">results indicate that access barriers </w:t>
      </w:r>
      <w:r w:rsidR="00282857">
        <w:t>affecting general needs for GP visits are likely to affect alcohol-related GP visits as well</w:t>
      </w:r>
      <w:r w:rsidR="004919D8">
        <w:t xml:space="preserve"> and that </w:t>
      </w:r>
      <w:r w:rsidR="00A50F02">
        <w:t xml:space="preserve">the </w:t>
      </w:r>
      <w:r w:rsidR="00CF2F24">
        <w:t>lack of differential rates of GP visits between hazardous drinkers and those who do not meet the criteria for hazardous drinking</w:t>
      </w:r>
      <w:r w:rsidR="00062D36">
        <w:t xml:space="preserve"> </w:t>
      </w:r>
      <w:r w:rsidR="002C376A">
        <w:t xml:space="preserve">indicate </w:t>
      </w:r>
      <w:r w:rsidR="00DA73E3">
        <w:t xml:space="preserve">it </w:t>
      </w:r>
      <w:r w:rsidR="005A6434">
        <w:t>is likely contributing to poor health outcomes</w:t>
      </w:r>
      <w:r w:rsidR="0058344A">
        <w:t xml:space="preserve"> and higher rates of </w:t>
      </w:r>
      <w:r w:rsidR="00D865DA">
        <w:t>alcohol-related hospitalisations</w:t>
      </w:r>
      <w:r w:rsidR="005A6434">
        <w:t xml:space="preserve"> for </w:t>
      </w:r>
      <w:r w:rsidR="00424599">
        <w:t>hazardous drinkers, particularly those from more deprived groups</w:t>
      </w:r>
      <w:r w:rsidR="00282857">
        <w:t xml:space="preserve">. </w:t>
      </w:r>
    </w:p>
    <w:p w14:paraId="7246F807" w14:textId="0E79651A" w:rsidR="00A63A8A" w:rsidRDefault="00A63A8A" w:rsidP="00FF0D5C">
      <w:pPr>
        <w:pStyle w:val="USBullet1"/>
        <w:numPr>
          <w:ilvl w:val="0"/>
          <w:numId w:val="0"/>
        </w:numPr>
        <w:ind w:left="851"/>
      </w:pPr>
      <w:r>
        <w:t xml:space="preserve">Another interpretation could be that people who experience health problems associated with alcohol seek care for these and </w:t>
      </w:r>
      <w:r w:rsidR="00FA3E6C">
        <w:t xml:space="preserve">reduce their care-seeking for other issues. The </w:t>
      </w:r>
      <w:r w:rsidR="00FA3E6C" w:rsidRPr="00FA3E6C">
        <w:t xml:space="preserve">Jury et al. </w:t>
      </w:r>
      <w:r w:rsidR="00FA3E6C">
        <w:t>(</w:t>
      </w:r>
      <w:r w:rsidR="00FA3E6C" w:rsidRPr="00FA3E6C">
        <w:t>2020</w:t>
      </w:r>
      <w:r w:rsidR="00FA3E6C">
        <w:t xml:space="preserve">) study could not identify this behaviour due to </w:t>
      </w:r>
      <w:r w:rsidR="000579EA">
        <w:t>data on the presenting problem not being available.</w:t>
      </w:r>
    </w:p>
    <w:p w14:paraId="72C8CCAD" w14:textId="4C46EA0E" w:rsidR="00986AEB" w:rsidRDefault="00044B20" w:rsidP="00EE4585">
      <w:pPr>
        <w:pStyle w:val="USBullet1"/>
        <w:numPr>
          <w:ilvl w:val="0"/>
          <w:numId w:val="0"/>
        </w:numPr>
        <w:ind w:left="851"/>
      </w:pPr>
      <w:r w:rsidRPr="002D608F">
        <w:t xml:space="preserve">A European study </w:t>
      </w:r>
      <w:r w:rsidR="002218A1" w:rsidRPr="002D608F">
        <w:fldChar w:fldCharType="begin"/>
      </w:r>
      <w:r w:rsidR="00F244F6">
        <w:instrText xml:space="preserve"> ADDIN ZOTERO_ITEM CSL_CITATION {"citationID":"hxPSVhDd","properties":{"formattedCitation":"(Probst et al. 2015)","plainCitation":"(Probst et al. 2015)","noteIndex":0},"citationItems":[{"id":70387,"uris":["http://zotero.org/groups/4944822/items/IK7UT3FW"],"itemData":{"id":70387,"type":"article-journal","abstract":"Alcohol use disorders are among the mental disorders with the lowest treatment rates. Increasing the treatment rates requires insight on the reasons why patients do not seek treatment. This study examined self-reported reasons for not seeking treatment and their association with alcohol use disorder severity among primary health care patients diagnosed with an alcohol use disorder.","container-title":"Substance Abuse Treatment, Prevention, and Policy","DOI":"10.1186/s13011-015-0028-z","ISSN":"1747-597X","issue":"1","journalAbbreviation":"Substance Abuse Treatment, Prevention, and Policy","page":"32","source":"BioMed Central","title":"Alcohol use disorder severity and reported reasons not to seek treatment: a cross-sectional study in European primary care practices","title-short":"Alcohol use disorder severity and reported reasons not to seek treatment","volume":"10","author":[{"family":"Probst","given":"Charlotte"},{"family":"Manthey","given":"Jakob"},{"family":"Martinez","given":"Alicia"},{"family":"Rehm","given":"Jürgen"}],"issued":{"date-parts":[["2015",8,12]]}}}],"schema":"https://github.com/citation-style-language/schema/raw/master/csl-citation.json"} </w:instrText>
      </w:r>
      <w:r w:rsidR="002218A1" w:rsidRPr="002D608F">
        <w:fldChar w:fldCharType="separate"/>
      </w:r>
      <w:r w:rsidR="002218A1" w:rsidRPr="002D608F">
        <w:rPr>
          <w:rFonts w:cs="Calibri"/>
        </w:rPr>
        <w:t>(Probst et al. 2015)</w:t>
      </w:r>
      <w:r w:rsidR="002218A1" w:rsidRPr="002D608F">
        <w:fldChar w:fldCharType="end"/>
      </w:r>
      <w:r w:rsidRPr="00044B20">
        <w:t xml:space="preserve"> identified that lack of awareness was a key factor behind low use of services by people with lower severity of alcohol use disorder, while fear of stigma or shame and various “encounter barriers” including cost barriers, time barriers, lack of trust in the service/system and a lack of appropriate services explained low use of primary care services by people with more severe alcohol use disorders.</w:t>
      </w:r>
      <w:r>
        <w:t xml:space="preserve"> Similar </w:t>
      </w:r>
      <w:r w:rsidR="0046216D">
        <w:t>barriers may explain observed patterns of utilisation in New Ze</w:t>
      </w:r>
      <w:r w:rsidR="0046466E">
        <w:t>a</w:t>
      </w:r>
      <w:r w:rsidR="0046216D">
        <w:t>land.</w:t>
      </w:r>
    </w:p>
    <w:p w14:paraId="03046131" w14:textId="478C2D17" w:rsidR="007369C9" w:rsidRDefault="00EE4585" w:rsidP="00FF0D5C">
      <w:pPr>
        <w:pStyle w:val="USBullet1"/>
        <w:numPr>
          <w:ilvl w:val="0"/>
          <w:numId w:val="0"/>
        </w:numPr>
        <w:ind w:left="851"/>
      </w:pPr>
      <w:r>
        <w:t>A key point to note is that</w:t>
      </w:r>
      <w:r w:rsidR="007369C9">
        <w:t xml:space="preserve"> if alcohol consumption is contributing to health problems and people affected by this are not seeking GP care, there are likely to be </w:t>
      </w:r>
      <w:r w:rsidR="007F3DB3">
        <w:t>higher downstream costs as conditions worsen and affected individuals are forced to seek care at a more advanced stage</w:t>
      </w:r>
      <w:r w:rsidR="00DB3C1A">
        <w:t xml:space="preserve">. These costs </w:t>
      </w:r>
      <w:r w:rsidR="000579EA">
        <w:t>may then be</w:t>
      </w:r>
      <w:r w:rsidR="00DB3C1A">
        <w:t xml:space="preserve"> reflected in estimates of emergency and inpatient </w:t>
      </w:r>
      <w:r w:rsidR="00DB3C1A">
        <w:lastRenderedPageBreak/>
        <w:t>care</w:t>
      </w:r>
      <w:r w:rsidR="005D42AB">
        <w:t>.</w:t>
      </w:r>
      <w:r w:rsidR="00145E52">
        <w:t xml:space="preserve"> Such a conclusion is supported by </w:t>
      </w:r>
      <w:r w:rsidR="00DD1752">
        <w:t>overseas studies that find risky drinkers use more costly health services but not more primary care (see</w:t>
      </w:r>
      <w:r w:rsidR="002218A1">
        <w:t>,</w:t>
      </w:r>
      <w:r w:rsidR="00DD1752">
        <w:t xml:space="preserve"> for example, </w:t>
      </w:r>
      <w:r w:rsidR="00815F10" w:rsidRPr="002D608F">
        <w:fldChar w:fldCharType="begin"/>
      </w:r>
      <w:r w:rsidR="00F244F6">
        <w:instrText xml:space="preserve"> ADDIN ZOTERO_ITEM CSL_CITATION {"citationID":"F1cgl4Fo","properties":{"custom":"Miquel et al. 2018)","formattedCitation":"Miquel et al. 2018)","plainCitation":"Miquel et al. 2018)","noteIndex":0},"citationItems":[{"id":70385,"uris":["http://zotero.org/groups/4944822/items/PGPVS84A"],"itemData":{"id":70385,"type":"article-journal","abstract":"Objective: To examine health services use on the basis of alcohol consumption. Material and Methods: A cross-sectional study was carried out on patients visiting the Primary Health Care (PHC) settings in Catalonia during 2011 and 2012; these patients had a history of alcohol consumption. Information about outpatient visits in the PHC setting, hospitalizations, specialists’ visits and emergency room visits for the year 2013 was obtained from 2 databases (the Information System for the Development of Research in PHC and the Catalan Health Surveillance System). Risky drinkers were defined as those who consumed more than 280 g per week for men or more than 170 g per week for women, or any amount of alcohol while being involved in a high risk work activity, or taking medication that significantly interferes with alcohol or when being pregnant. Binge drinkers (&amp;gt; 60 g in men or &amp;gt; 50 g in women in a short amount of time more than once a month) were also considered risky drinkers. Results: A total of 606,948 patients reported consuming alcohol (of which 10.5% were risky drinkers). Risky drinkers were more likely to be admitted to hospitals or emergency departments (range of ORs 1.08–1.18) compared to light drinkers. Male risky drinkers used fewer PHC services than male light drinkers (OR 0.89, 95% CI 0.87–0.92). In general, risky alcohol users used services more and had longer hospital stays. When stratifying by socioeconomic level of the residential area, we found that risky drinking failed significance, while current or past cigarette smoking was associated with higher healthcare use. Conclusions: Risky drinkers use more expensive services, such as hospitals and emergency rooms, but not PHC services, which may suggest that prevention strategies and alcohol interventions should also be implemented in those settings.","container-title":"European Addiction Research","DOI":"10.1159/000493884","ISSN":"1022-6877","issue":"5","journalAbbreviation":"European Addiction Research","page":"234-244","source":"Silverchair","title":"Risky Alcohol Use: The Impact on Health Service Use","title-short":"Risky Alcohol Use","volume":"24","author":[{"family":"Miquel","given":"Laia"},{"family":"Manthey","given":"Jakob"},{"family":"Rehm","given":"Jürgen"},{"family":"Vela","given":"Emili"},{"family":"Bustins","given":"Montserrat"},{"family":"Segura","given":"Lidia"},{"family":"Vieta","given":"Eduard"},{"family":"Colom","given":"Joan"},{"family":"Anderson","given":"Peter"},{"family":"Gual","given":"Antoni"}],"issued":{"date-parts":[["2018",10,3]]}}}],"schema":"https://github.com/citation-style-language/schema/raw/master/csl-citation.json"} </w:instrText>
      </w:r>
      <w:r w:rsidR="00815F10" w:rsidRPr="002D608F">
        <w:fldChar w:fldCharType="separate"/>
      </w:r>
      <w:r w:rsidR="00986B98" w:rsidRPr="002D608F">
        <w:rPr>
          <w:rFonts w:cs="Calibri"/>
        </w:rPr>
        <w:t>Miquel et al. 2018)</w:t>
      </w:r>
      <w:r w:rsidR="00815F10" w:rsidRPr="002D608F">
        <w:fldChar w:fldCharType="end"/>
      </w:r>
      <w:r w:rsidR="006C5C65" w:rsidRPr="002D608F">
        <w:t>.</w:t>
      </w:r>
    </w:p>
    <w:p w14:paraId="2C36F7AB" w14:textId="291808A5" w:rsidR="007A085D" w:rsidRDefault="007A085D" w:rsidP="005D42AB">
      <w:pPr>
        <w:pStyle w:val="USBullet1"/>
        <w:numPr>
          <w:ilvl w:val="0"/>
          <w:numId w:val="0"/>
        </w:numPr>
        <w:ind w:left="851"/>
      </w:pPr>
      <w:r>
        <w:t xml:space="preserve">Another important point is that </w:t>
      </w:r>
      <w:r w:rsidR="00D6522F">
        <w:t xml:space="preserve">alcohol contributes to </w:t>
      </w:r>
      <w:r>
        <w:t>many health conditions</w:t>
      </w:r>
      <w:r w:rsidR="00D6522F">
        <w:t xml:space="preserve"> which are </w:t>
      </w:r>
      <w:r w:rsidR="00943AEF">
        <w:t xml:space="preserve">screened for, identified, and at times </w:t>
      </w:r>
      <w:r w:rsidR="00D6522F">
        <w:t xml:space="preserve">treated in primary care, so </w:t>
      </w:r>
      <w:r w:rsidR="00AB2161">
        <w:t xml:space="preserve">a portion of primary care costs is likely to be attributable to alcohol. Research </w:t>
      </w:r>
      <w:r w:rsidR="00CF089C">
        <w:t>to identify how alcohol</w:t>
      </w:r>
      <w:r w:rsidR="00782460">
        <w:t>-</w:t>
      </w:r>
      <w:r w:rsidR="00CF089C">
        <w:t>attributable fractions may be used in a primary care context is needed</w:t>
      </w:r>
      <w:r w:rsidR="009E3204">
        <w:t>, but in the New Zealand context, making use of such evidence will also require a detailed national primary care dataset.</w:t>
      </w:r>
    </w:p>
    <w:p w14:paraId="59440447" w14:textId="13C9C125" w:rsidR="005D42AB" w:rsidRDefault="00282857" w:rsidP="005D42AB">
      <w:pPr>
        <w:pStyle w:val="USBullet1"/>
        <w:numPr>
          <w:ilvl w:val="0"/>
          <w:numId w:val="0"/>
        </w:numPr>
        <w:ind w:left="851"/>
      </w:pPr>
      <w:r>
        <w:t xml:space="preserve">Based on the </w:t>
      </w:r>
      <w:r w:rsidR="005D42AB">
        <w:t xml:space="preserve">current </w:t>
      </w:r>
      <w:r>
        <w:t>evidence</w:t>
      </w:r>
      <w:r w:rsidR="005D42AB">
        <w:t xml:space="preserve">, </w:t>
      </w:r>
      <w:r w:rsidR="00D6522F">
        <w:t>however</w:t>
      </w:r>
      <w:r w:rsidR="00506168">
        <w:t>, no cost associated with primary care is estimated</w:t>
      </w:r>
      <w:r w:rsidR="008174D1">
        <w:t>.</w:t>
      </w:r>
    </w:p>
    <w:p w14:paraId="7A18ED51" w14:textId="388EB3E9" w:rsidR="00801C87" w:rsidRDefault="001F162B" w:rsidP="00C4722F">
      <w:pPr>
        <w:pStyle w:val="Heading2"/>
      </w:pPr>
      <w:bookmarkStart w:id="143" w:name="_Ref152851717"/>
      <w:bookmarkStart w:id="144" w:name="_Toc160633849"/>
      <w:r>
        <w:t>Disability-related costs to ACC</w:t>
      </w:r>
      <w:bookmarkEnd w:id="143"/>
      <w:bookmarkEnd w:id="144"/>
    </w:p>
    <w:p w14:paraId="0BB664A1" w14:textId="35F1A0F3" w:rsidR="00801C87" w:rsidRDefault="00C37A2B" w:rsidP="00801C87">
      <w:pPr>
        <w:pStyle w:val="USBodyText"/>
      </w:pPr>
      <w:r>
        <w:t xml:space="preserve">In addition to </w:t>
      </w:r>
      <w:r w:rsidR="009023ED">
        <w:t>funding many hospital-related events related to accidents</w:t>
      </w:r>
      <w:r w:rsidR="001842D3">
        <w:t xml:space="preserve"> (the inpatient and ED portions of which are included in costs estimated </w:t>
      </w:r>
      <w:r w:rsidR="00872025">
        <w:t xml:space="preserve">previously), </w:t>
      </w:r>
      <w:r w:rsidR="00801C87">
        <w:t xml:space="preserve">ACC covers costs associated with </w:t>
      </w:r>
      <w:r w:rsidR="00872025">
        <w:t>lost</w:t>
      </w:r>
      <w:r w:rsidR="00804700">
        <w:t xml:space="preserve"> income for people who have experienced injuries that meet specific conditions.</w:t>
      </w:r>
    </w:p>
    <w:p w14:paraId="39E1F696" w14:textId="06615DAA" w:rsidR="00C4722F" w:rsidRDefault="008E088D" w:rsidP="00C4722F">
      <w:pPr>
        <w:pStyle w:val="USBodyText"/>
      </w:pPr>
      <w:r>
        <w:t xml:space="preserve">When people experience injuries that affect their ability to work, ACC pays up to 80 percent of their </w:t>
      </w:r>
      <w:r w:rsidR="00A10E80">
        <w:t xml:space="preserve">usual </w:t>
      </w:r>
      <w:r>
        <w:t xml:space="preserve">weekly </w:t>
      </w:r>
      <w:r w:rsidR="00A10E80">
        <w:t>income as weekly compensation.</w:t>
      </w:r>
    </w:p>
    <w:p w14:paraId="03F4F9E8" w14:textId="6E625348" w:rsidR="00A93ECD" w:rsidRDefault="00A972CD" w:rsidP="00670A01">
      <w:pPr>
        <w:pStyle w:val="USBodyText"/>
      </w:pPr>
      <w:r>
        <w:fldChar w:fldCharType="begin"/>
      </w:r>
      <w:r>
        <w:instrText xml:space="preserve"> REF _Ref148895402 \h </w:instrText>
      </w:r>
      <w:r>
        <w:fldChar w:fldCharType="separate"/>
      </w:r>
      <w:r w:rsidR="00AE166D" w:rsidRPr="00731CA6">
        <w:t xml:space="preserve">Table </w:t>
      </w:r>
      <w:r w:rsidR="00AE166D">
        <w:rPr>
          <w:noProof/>
        </w:rPr>
        <w:t>32</w:t>
      </w:r>
      <w:r>
        <w:fldChar w:fldCharType="end"/>
      </w:r>
      <w:r w:rsidR="00872025">
        <w:t xml:space="preserve"> below shows that in </w:t>
      </w:r>
      <w:r w:rsidR="003F543C">
        <w:t>2022</w:t>
      </w:r>
      <w:r w:rsidR="00451E8F">
        <w:t>,</w:t>
      </w:r>
      <w:r w:rsidR="003F543C">
        <w:t xml:space="preserve"> ACC had </w:t>
      </w:r>
      <w:r w:rsidR="005D16F2">
        <w:t xml:space="preserve">an overall total of </w:t>
      </w:r>
      <w:r w:rsidR="003F543C">
        <w:t xml:space="preserve">138,992 active weekly claims and that active weekly claims in 2022 </w:t>
      </w:r>
      <w:r>
        <w:t>had a cost of $1,951,774,609</w:t>
      </w:r>
      <w:r w:rsidR="00670A01">
        <w:t xml:space="preserve"> (after inflating to 2023 values)</w:t>
      </w:r>
      <w:r>
        <w:t>.</w:t>
      </w:r>
    </w:p>
    <w:p w14:paraId="258BF1E9" w14:textId="67A8D469" w:rsidR="00A93ECD" w:rsidRPr="00731CA6" w:rsidRDefault="00A93ECD" w:rsidP="00A93ECD">
      <w:pPr>
        <w:pStyle w:val="TableCaption"/>
      </w:pPr>
      <w:bookmarkStart w:id="145" w:name="_Ref148895402"/>
      <w:bookmarkStart w:id="146" w:name="_Toc160633939"/>
      <w:r w:rsidRPr="00731CA6">
        <w:t xml:space="preserve">Table </w:t>
      </w:r>
      <w:fldSimple w:instr=" SEQ Table \* ARABIC ">
        <w:r w:rsidR="00AE166D">
          <w:rPr>
            <w:noProof/>
          </w:rPr>
          <w:t>32</w:t>
        </w:r>
      </w:fldSimple>
      <w:bookmarkEnd w:id="145"/>
      <w:r w:rsidRPr="00731CA6">
        <w:t xml:space="preserve"> </w:t>
      </w:r>
      <w:r w:rsidR="00787BD3">
        <w:t>Number of ACC active weekly claims and active weekly costs</w:t>
      </w:r>
      <w:bookmarkEnd w:id="146"/>
    </w:p>
    <w:p w14:paraId="04CC2D4C" w14:textId="7833827E" w:rsidR="00A93ECD" w:rsidRPr="00731CA6" w:rsidRDefault="00900E86" w:rsidP="00A93ECD">
      <w:pPr>
        <w:pStyle w:val="CaptionSubheading"/>
      </w:pPr>
      <w:r>
        <w:t>Total</w:t>
      </w:r>
    </w:p>
    <w:tbl>
      <w:tblPr>
        <w:tblStyle w:val="TableDefault"/>
        <w:tblW w:w="8220" w:type="dxa"/>
        <w:tblLook w:val="0460" w:firstRow="1" w:lastRow="1" w:firstColumn="0" w:lastColumn="0" w:noHBand="0" w:noVBand="1"/>
      </w:tblPr>
      <w:tblGrid>
        <w:gridCol w:w="2740"/>
        <w:gridCol w:w="2741"/>
        <w:gridCol w:w="2739"/>
      </w:tblGrid>
      <w:tr w:rsidR="00A93ECD" w:rsidRPr="00731CA6" w14:paraId="4BF561B5" w14:textId="77777777">
        <w:trPr>
          <w:cnfStyle w:val="100000000000" w:firstRow="1" w:lastRow="0" w:firstColumn="0" w:lastColumn="0" w:oddVBand="0" w:evenVBand="0" w:oddHBand="0" w:evenHBand="0" w:firstRowFirstColumn="0" w:firstRowLastColumn="0" w:lastRowFirstColumn="0" w:lastRowLastColumn="0"/>
        </w:trPr>
        <w:tc>
          <w:tcPr>
            <w:tcW w:w="1667" w:type="pct"/>
          </w:tcPr>
          <w:p w14:paraId="27F2722F" w14:textId="77777777" w:rsidR="00A93ECD" w:rsidRPr="00731CA6" w:rsidRDefault="00A93ECD">
            <w:pPr>
              <w:pStyle w:val="TSTableHeadingWhite-TopRow"/>
            </w:pPr>
            <w:r>
              <w:t>Age group</w:t>
            </w:r>
          </w:p>
        </w:tc>
        <w:tc>
          <w:tcPr>
            <w:tcW w:w="1667" w:type="pct"/>
          </w:tcPr>
          <w:p w14:paraId="1B134A0C" w14:textId="788801C2" w:rsidR="00A93ECD" w:rsidRPr="00731CA6" w:rsidRDefault="00A93ECD" w:rsidP="00451E8F">
            <w:pPr>
              <w:pStyle w:val="TSTableHeadingWhite-TopRow"/>
              <w:jc w:val="center"/>
            </w:pPr>
            <w:r w:rsidRPr="00F60918">
              <w:t xml:space="preserve">Active </w:t>
            </w:r>
            <w:r w:rsidR="00212D8D">
              <w:t>weekly c</w:t>
            </w:r>
            <w:r w:rsidRPr="00F60918">
              <w:t>laims</w:t>
            </w:r>
            <w:r w:rsidR="004032B7">
              <w:t xml:space="preserve"> (2022)</w:t>
            </w:r>
          </w:p>
        </w:tc>
        <w:tc>
          <w:tcPr>
            <w:tcW w:w="1666" w:type="pct"/>
          </w:tcPr>
          <w:p w14:paraId="4E0C6116" w14:textId="0234D6B0" w:rsidR="00A93ECD" w:rsidRPr="00731CA6" w:rsidRDefault="00A93ECD" w:rsidP="00451E8F">
            <w:pPr>
              <w:pStyle w:val="TSTableHeadingWhite-TopRow"/>
              <w:jc w:val="center"/>
            </w:pPr>
            <w:r w:rsidRPr="00F60918">
              <w:t xml:space="preserve">Active </w:t>
            </w:r>
            <w:r w:rsidR="00212D8D">
              <w:t>weekly c</w:t>
            </w:r>
            <w:r w:rsidRPr="00F60918">
              <w:t>osts</w:t>
            </w:r>
            <w:r w:rsidR="004032B7">
              <w:t xml:space="preserve"> (</w:t>
            </w:r>
            <w:r w:rsidR="00670A01">
              <w:t>2023 dollars</w:t>
            </w:r>
            <w:r w:rsidR="004032B7">
              <w:t>)</w:t>
            </w:r>
          </w:p>
        </w:tc>
      </w:tr>
      <w:tr w:rsidR="00A93ECD" w:rsidRPr="00731CA6" w14:paraId="3821130F" w14:textId="77777777">
        <w:trPr>
          <w:cnfStyle w:val="010000000000" w:firstRow="0" w:lastRow="1" w:firstColumn="0" w:lastColumn="0" w:oddVBand="0" w:evenVBand="0" w:oddHBand="0" w:evenHBand="0" w:firstRowFirstColumn="0" w:firstRowLastColumn="0" w:lastRowFirstColumn="0" w:lastRowLastColumn="0"/>
        </w:trPr>
        <w:tc>
          <w:tcPr>
            <w:tcW w:w="1667" w:type="pct"/>
          </w:tcPr>
          <w:p w14:paraId="1FB238FE" w14:textId="7D6D6807" w:rsidR="00A93ECD" w:rsidRPr="00731CA6" w:rsidRDefault="00A93ECD" w:rsidP="00A93ECD">
            <w:pPr>
              <w:pStyle w:val="TSBodyText"/>
            </w:pPr>
            <w:r w:rsidRPr="004113FF">
              <w:t>Total</w:t>
            </w:r>
            <w:r w:rsidR="00AF7025">
              <w:t xml:space="preserve"> annual</w:t>
            </w:r>
          </w:p>
        </w:tc>
        <w:tc>
          <w:tcPr>
            <w:tcW w:w="1667" w:type="pct"/>
          </w:tcPr>
          <w:p w14:paraId="134132C1" w14:textId="29378BD9" w:rsidR="00A93ECD" w:rsidRPr="00731CA6" w:rsidRDefault="00A93ECD" w:rsidP="00451E8F">
            <w:pPr>
              <w:pStyle w:val="TSBodyText"/>
              <w:ind w:right="838"/>
              <w:jc w:val="right"/>
            </w:pPr>
            <w:r w:rsidRPr="004113FF">
              <w:t>138,992</w:t>
            </w:r>
          </w:p>
        </w:tc>
        <w:tc>
          <w:tcPr>
            <w:tcW w:w="1666" w:type="pct"/>
          </w:tcPr>
          <w:p w14:paraId="4744DEB8" w14:textId="3F040722" w:rsidR="00A93ECD" w:rsidRPr="00731CA6" w:rsidRDefault="00451E8F" w:rsidP="00451E8F">
            <w:pPr>
              <w:pStyle w:val="TSBodyText"/>
              <w:ind w:right="838"/>
              <w:jc w:val="right"/>
            </w:pPr>
            <w:r>
              <w:t>$</w:t>
            </w:r>
            <w:r w:rsidR="00A93ECD" w:rsidRPr="004113FF">
              <w:t>1,951,774,609</w:t>
            </w:r>
          </w:p>
        </w:tc>
      </w:tr>
    </w:tbl>
    <w:p w14:paraId="44306C4E" w14:textId="16C6EE78" w:rsidR="00A93ECD" w:rsidRPr="00731CA6" w:rsidRDefault="00A972CD" w:rsidP="00390CB5">
      <w:pPr>
        <w:pStyle w:val="USSource"/>
      </w:pPr>
      <w:r>
        <w:t>Source: NZIER based on data supplied by ACC</w:t>
      </w:r>
    </w:p>
    <w:p w14:paraId="5746AC85" w14:textId="01F1537C" w:rsidR="007E51BF" w:rsidRDefault="007E51BF" w:rsidP="007D1812">
      <w:pPr>
        <w:pStyle w:val="USBodyText"/>
      </w:pPr>
      <w:r>
        <w:t>Because income compensation is a function of</w:t>
      </w:r>
      <w:r w:rsidR="00A972CD">
        <w:t xml:space="preserve"> individuals’</w:t>
      </w:r>
      <w:r>
        <w:t xml:space="preserve"> </w:t>
      </w:r>
      <w:r w:rsidR="000C6D0D">
        <w:t xml:space="preserve">income level, age groups with higher income levels </w:t>
      </w:r>
      <w:r w:rsidR="00EC4EC0">
        <w:t>tend to</w:t>
      </w:r>
      <w:r w:rsidR="003B58D4">
        <w:t xml:space="preserve"> receive h</w:t>
      </w:r>
      <w:r w:rsidR="00EC4EC0">
        <w:t>i</w:t>
      </w:r>
      <w:r w:rsidR="003B58D4">
        <w:t xml:space="preserve">gher </w:t>
      </w:r>
      <w:r w:rsidR="00EC4EC0">
        <w:t xml:space="preserve">average </w:t>
      </w:r>
      <w:r w:rsidR="003B58D4">
        <w:t>compensation per person. In terms of total claims, income levels interact with the number of claims</w:t>
      </w:r>
      <w:r w:rsidR="00451E8F">
        <w:t>,</w:t>
      </w:r>
      <w:r w:rsidR="007D42A1">
        <w:t xml:space="preserve"> which will be highest in the age group with the </w:t>
      </w:r>
      <w:r w:rsidR="006B54C9">
        <w:t>most injuries eligible for income compensation.</w:t>
      </w:r>
    </w:p>
    <w:p w14:paraId="084C1DE8" w14:textId="51272E61" w:rsidR="00A93ECD" w:rsidRDefault="007E51BF" w:rsidP="007D1812">
      <w:pPr>
        <w:pStyle w:val="USBodyText"/>
      </w:pPr>
      <w:r>
        <w:t>Broken down by age group</w:t>
      </w:r>
      <w:r w:rsidR="00EC4EC0">
        <w:t xml:space="preserve">, ACC weekly claims data </w:t>
      </w:r>
      <w:r w:rsidR="006B54C9">
        <w:t xml:space="preserve">shows that the highest number of active </w:t>
      </w:r>
      <w:r w:rsidR="007D1812">
        <w:t xml:space="preserve">weekly </w:t>
      </w:r>
      <w:r w:rsidR="006B54C9">
        <w:t xml:space="preserve">claims in 2022 was from 25 to </w:t>
      </w:r>
      <w:r w:rsidR="007D1812">
        <w:t>34</w:t>
      </w:r>
      <w:r w:rsidR="00451E8F">
        <w:t>-</w:t>
      </w:r>
      <w:r w:rsidR="007D1812">
        <w:t>year</w:t>
      </w:r>
      <w:r w:rsidR="00451E8F">
        <w:t>-</w:t>
      </w:r>
      <w:r w:rsidR="007D1812">
        <w:t>olds, but the highest cost of weekly claims was in the 45</w:t>
      </w:r>
      <w:r w:rsidR="007A3031">
        <w:t>–</w:t>
      </w:r>
      <w:r w:rsidR="007D1812">
        <w:t>54</w:t>
      </w:r>
      <w:r w:rsidR="00451E8F">
        <w:t>-</w:t>
      </w:r>
      <w:r w:rsidR="007D1812">
        <w:t>year</w:t>
      </w:r>
      <w:r w:rsidR="00451E8F">
        <w:t>-</w:t>
      </w:r>
      <w:r w:rsidR="007D1812">
        <w:t>old group</w:t>
      </w:r>
      <w:r w:rsidR="00EC4EC0">
        <w:t xml:space="preserve"> (see </w:t>
      </w:r>
      <w:r w:rsidR="00EC4EC0">
        <w:fldChar w:fldCharType="begin"/>
      </w:r>
      <w:r w:rsidR="00EC4EC0">
        <w:instrText xml:space="preserve"> REF _Ref148895530 \h </w:instrText>
      </w:r>
      <w:r w:rsidR="00EC4EC0">
        <w:fldChar w:fldCharType="separate"/>
      </w:r>
      <w:r w:rsidR="00AE166D" w:rsidRPr="00731CA6">
        <w:t xml:space="preserve">Table </w:t>
      </w:r>
      <w:r w:rsidR="00AE166D">
        <w:rPr>
          <w:noProof/>
        </w:rPr>
        <w:t>33</w:t>
      </w:r>
      <w:r w:rsidR="00EC4EC0">
        <w:fldChar w:fldCharType="end"/>
      </w:r>
      <w:r w:rsidR="00EC4EC0">
        <w:t xml:space="preserve"> below).</w:t>
      </w:r>
    </w:p>
    <w:p w14:paraId="7991D5C6" w14:textId="6CCB3B59" w:rsidR="00390CB5" w:rsidRPr="00731CA6" w:rsidRDefault="00390CB5" w:rsidP="00390CB5">
      <w:pPr>
        <w:pStyle w:val="TableCaption"/>
      </w:pPr>
      <w:bookmarkStart w:id="147" w:name="_Ref148895530"/>
      <w:bookmarkStart w:id="148" w:name="_Toc160633940"/>
      <w:bookmarkStart w:id="149" w:name="_Hlk146274876"/>
      <w:r w:rsidRPr="00731CA6">
        <w:t xml:space="preserve">Table </w:t>
      </w:r>
      <w:fldSimple w:instr=" SEQ Table \* ARABIC ">
        <w:r w:rsidR="00AE166D">
          <w:rPr>
            <w:noProof/>
          </w:rPr>
          <w:t>33</w:t>
        </w:r>
      </w:fldSimple>
      <w:bookmarkEnd w:id="147"/>
      <w:r w:rsidRPr="00731CA6">
        <w:t xml:space="preserve"> </w:t>
      </w:r>
      <w:r w:rsidR="00C65A57">
        <w:t xml:space="preserve">Number of </w:t>
      </w:r>
      <w:r w:rsidR="008C1BCA">
        <w:t xml:space="preserve">ACC </w:t>
      </w:r>
      <w:r w:rsidR="00C65A57">
        <w:t>active weekly claims and active weekly costs</w:t>
      </w:r>
      <w:bookmarkEnd w:id="148"/>
    </w:p>
    <w:p w14:paraId="6AC314EC" w14:textId="3C41ECA3" w:rsidR="00390CB5" w:rsidRPr="00731CA6" w:rsidRDefault="00900E86" w:rsidP="00390CB5">
      <w:pPr>
        <w:pStyle w:val="CaptionSubheading"/>
      </w:pPr>
      <w:r>
        <w:t>By age group</w:t>
      </w:r>
    </w:p>
    <w:tbl>
      <w:tblPr>
        <w:tblStyle w:val="TableDefault"/>
        <w:tblW w:w="8220" w:type="dxa"/>
        <w:tblLook w:val="0460" w:firstRow="1" w:lastRow="1" w:firstColumn="0" w:lastColumn="0" w:noHBand="0" w:noVBand="1"/>
      </w:tblPr>
      <w:tblGrid>
        <w:gridCol w:w="2740"/>
        <w:gridCol w:w="2741"/>
        <w:gridCol w:w="2739"/>
      </w:tblGrid>
      <w:tr w:rsidR="00BA0F35" w:rsidRPr="00731CA6" w14:paraId="5DBE841B" w14:textId="77777777">
        <w:trPr>
          <w:cnfStyle w:val="100000000000" w:firstRow="1" w:lastRow="0" w:firstColumn="0" w:lastColumn="0" w:oddVBand="0" w:evenVBand="0" w:oddHBand="0" w:evenHBand="0" w:firstRowFirstColumn="0" w:firstRowLastColumn="0" w:lastRowFirstColumn="0" w:lastRowLastColumn="0"/>
        </w:trPr>
        <w:tc>
          <w:tcPr>
            <w:tcW w:w="1667" w:type="pct"/>
          </w:tcPr>
          <w:p w14:paraId="590695A6" w14:textId="0BEB25E3" w:rsidR="00BA0F35" w:rsidRPr="00731CA6" w:rsidRDefault="00A93ECD" w:rsidP="00BA0F35">
            <w:pPr>
              <w:pStyle w:val="TSTableHeadingWhite-TopRow"/>
            </w:pPr>
            <w:bookmarkStart w:id="150" w:name="_Hlk146277075"/>
            <w:r>
              <w:t>Age group</w:t>
            </w:r>
          </w:p>
        </w:tc>
        <w:tc>
          <w:tcPr>
            <w:tcW w:w="1667" w:type="pct"/>
          </w:tcPr>
          <w:p w14:paraId="6CA7DB11" w14:textId="0599A7A7" w:rsidR="00BA0F35" w:rsidRPr="00731CA6" w:rsidRDefault="00BA0F35" w:rsidP="00451E8F">
            <w:pPr>
              <w:pStyle w:val="TSTableHeadingWhite-TopRow"/>
              <w:jc w:val="center"/>
            </w:pPr>
            <w:r w:rsidRPr="00F60918">
              <w:t xml:space="preserve">Active </w:t>
            </w:r>
            <w:r w:rsidR="00451E8F">
              <w:t>c</w:t>
            </w:r>
            <w:r w:rsidRPr="00F60918">
              <w:t>laims</w:t>
            </w:r>
            <w:r w:rsidR="004032B7">
              <w:t xml:space="preserve"> (2022)</w:t>
            </w:r>
          </w:p>
        </w:tc>
        <w:tc>
          <w:tcPr>
            <w:tcW w:w="1666" w:type="pct"/>
          </w:tcPr>
          <w:p w14:paraId="7E8C0C3D" w14:textId="01B95DF4" w:rsidR="00BA0F35" w:rsidRPr="00731CA6" w:rsidRDefault="00BA0F35" w:rsidP="00451E8F">
            <w:pPr>
              <w:pStyle w:val="TSTableHeadingWhite-TopRow"/>
              <w:jc w:val="center"/>
            </w:pPr>
            <w:r w:rsidRPr="00F60918">
              <w:t xml:space="preserve">Active </w:t>
            </w:r>
            <w:r w:rsidR="00451E8F">
              <w:t>c</w:t>
            </w:r>
            <w:r w:rsidRPr="00F60918">
              <w:t>osts</w:t>
            </w:r>
            <w:r w:rsidR="004032B7">
              <w:t xml:space="preserve"> (2023 dollars)</w:t>
            </w:r>
          </w:p>
        </w:tc>
      </w:tr>
      <w:tr w:rsidR="00A93ECD" w:rsidRPr="00731CA6" w14:paraId="78F35580" w14:textId="77777777">
        <w:tc>
          <w:tcPr>
            <w:tcW w:w="1667" w:type="pct"/>
          </w:tcPr>
          <w:p w14:paraId="3DE49E2B" w14:textId="683CA199" w:rsidR="00A93ECD" w:rsidRPr="00731CA6" w:rsidRDefault="00A93ECD" w:rsidP="00A93ECD">
            <w:pPr>
              <w:pStyle w:val="TSBodyText"/>
            </w:pPr>
            <w:r w:rsidRPr="00FF3432">
              <w:t>00</w:t>
            </w:r>
            <w:r w:rsidR="007A3031">
              <w:t>–</w:t>
            </w:r>
            <w:r w:rsidRPr="00FF3432">
              <w:t>14</w:t>
            </w:r>
          </w:p>
        </w:tc>
        <w:tc>
          <w:tcPr>
            <w:tcW w:w="1667" w:type="pct"/>
          </w:tcPr>
          <w:p w14:paraId="0694A733" w14:textId="171A6DA1" w:rsidR="00A93ECD" w:rsidRPr="00731CA6" w:rsidRDefault="00A93ECD" w:rsidP="00451E8F">
            <w:pPr>
              <w:pStyle w:val="TSBodyText"/>
              <w:ind w:right="1122"/>
              <w:jc w:val="right"/>
            </w:pPr>
            <w:r w:rsidRPr="006C47C2">
              <w:t>832</w:t>
            </w:r>
          </w:p>
        </w:tc>
        <w:tc>
          <w:tcPr>
            <w:tcW w:w="1666" w:type="pct"/>
          </w:tcPr>
          <w:p w14:paraId="0FDEFF43" w14:textId="6BEC7727" w:rsidR="00A93ECD" w:rsidRPr="00731CA6" w:rsidRDefault="00A93ECD" w:rsidP="00451E8F">
            <w:pPr>
              <w:pStyle w:val="TSBodyText"/>
              <w:ind w:right="1122"/>
              <w:jc w:val="right"/>
            </w:pPr>
            <w:r w:rsidRPr="006C47C2">
              <w:t>$34,166,460</w:t>
            </w:r>
          </w:p>
        </w:tc>
      </w:tr>
      <w:tr w:rsidR="00A93ECD" w:rsidRPr="00731CA6" w14:paraId="32B82AD5" w14:textId="77777777">
        <w:trPr>
          <w:cnfStyle w:val="000000010000" w:firstRow="0" w:lastRow="0" w:firstColumn="0" w:lastColumn="0" w:oddVBand="0" w:evenVBand="0" w:oddHBand="0" w:evenHBand="1" w:firstRowFirstColumn="0" w:firstRowLastColumn="0" w:lastRowFirstColumn="0" w:lastRowLastColumn="0"/>
        </w:trPr>
        <w:tc>
          <w:tcPr>
            <w:tcW w:w="1667" w:type="pct"/>
          </w:tcPr>
          <w:p w14:paraId="6B01D17F" w14:textId="00B04E51" w:rsidR="00A93ECD" w:rsidRPr="00731CA6" w:rsidRDefault="00A93ECD" w:rsidP="00A93ECD">
            <w:pPr>
              <w:pStyle w:val="TSBodyText"/>
            </w:pPr>
            <w:r w:rsidRPr="00FF3432">
              <w:t>15</w:t>
            </w:r>
            <w:r w:rsidR="007A3031">
              <w:t>–</w:t>
            </w:r>
            <w:r w:rsidRPr="00FF3432">
              <w:t>24</w:t>
            </w:r>
          </w:p>
        </w:tc>
        <w:tc>
          <w:tcPr>
            <w:tcW w:w="1667" w:type="pct"/>
          </w:tcPr>
          <w:p w14:paraId="3FCEEBE6" w14:textId="69A3FFD0" w:rsidR="00A93ECD" w:rsidRPr="00731CA6" w:rsidRDefault="00A93ECD" w:rsidP="00451E8F">
            <w:pPr>
              <w:pStyle w:val="TSBodyText"/>
              <w:ind w:right="1122"/>
              <w:jc w:val="right"/>
            </w:pPr>
            <w:r w:rsidRPr="006C47C2">
              <w:t>23,908</w:t>
            </w:r>
          </w:p>
        </w:tc>
        <w:tc>
          <w:tcPr>
            <w:tcW w:w="1666" w:type="pct"/>
          </w:tcPr>
          <w:p w14:paraId="003CACA7" w14:textId="5399B716" w:rsidR="00A93ECD" w:rsidRPr="00731CA6" w:rsidRDefault="00A93ECD" w:rsidP="00451E8F">
            <w:pPr>
              <w:pStyle w:val="TSBodyText"/>
              <w:ind w:right="1122"/>
              <w:jc w:val="right"/>
            </w:pPr>
            <w:r w:rsidRPr="006C47C2">
              <w:t>$228,644,204</w:t>
            </w:r>
          </w:p>
        </w:tc>
      </w:tr>
      <w:bookmarkEnd w:id="149"/>
      <w:tr w:rsidR="00A93ECD" w:rsidRPr="00731CA6" w14:paraId="61B53816" w14:textId="77777777">
        <w:tc>
          <w:tcPr>
            <w:tcW w:w="1667" w:type="pct"/>
          </w:tcPr>
          <w:p w14:paraId="4191C832" w14:textId="062DCBED" w:rsidR="00A93ECD" w:rsidRPr="00731CA6" w:rsidRDefault="00A93ECD" w:rsidP="00A93ECD">
            <w:pPr>
              <w:pStyle w:val="TSBodyText"/>
            </w:pPr>
            <w:r w:rsidRPr="00FF3432">
              <w:t>25</w:t>
            </w:r>
            <w:r w:rsidR="007A3031">
              <w:t>–</w:t>
            </w:r>
            <w:r w:rsidRPr="00FF3432">
              <w:t>34</w:t>
            </w:r>
          </w:p>
        </w:tc>
        <w:tc>
          <w:tcPr>
            <w:tcW w:w="1667" w:type="pct"/>
          </w:tcPr>
          <w:p w14:paraId="10B9F152" w14:textId="4B11AFBE" w:rsidR="00A93ECD" w:rsidRPr="00731CA6" w:rsidRDefault="00A93ECD" w:rsidP="00451E8F">
            <w:pPr>
              <w:pStyle w:val="TSBodyText"/>
              <w:ind w:right="1122"/>
              <w:jc w:val="right"/>
            </w:pPr>
            <w:r w:rsidRPr="006C47C2">
              <w:t>33,350</w:t>
            </w:r>
          </w:p>
        </w:tc>
        <w:tc>
          <w:tcPr>
            <w:tcW w:w="1666" w:type="pct"/>
          </w:tcPr>
          <w:p w14:paraId="486B9162" w14:textId="008FE352" w:rsidR="00A93ECD" w:rsidRPr="00731CA6" w:rsidRDefault="00A93ECD" w:rsidP="00451E8F">
            <w:pPr>
              <w:pStyle w:val="TSBodyText"/>
              <w:ind w:right="1122"/>
              <w:jc w:val="right"/>
            </w:pPr>
            <w:r w:rsidRPr="006C47C2">
              <w:t>$410,541,978</w:t>
            </w:r>
          </w:p>
        </w:tc>
      </w:tr>
      <w:tr w:rsidR="00A93ECD" w:rsidRPr="00731CA6" w14:paraId="07AF86EB" w14:textId="77777777">
        <w:trPr>
          <w:cnfStyle w:val="000000010000" w:firstRow="0" w:lastRow="0" w:firstColumn="0" w:lastColumn="0" w:oddVBand="0" w:evenVBand="0" w:oddHBand="0" w:evenHBand="1" w:firstRowFirstColumn="0" w:firstRowLastColumn="0" w:lastRowFirstColumn="0" w:lastRowLastColumn="0"/>
        </w:trPr>
        <w:tc>
          <w:tcPr>
            <w:tcW w:w="1667" w:type="pct"/>
          </w:tcPr>
          <w:p w14:paraId="7E9FC874" w14:textId="42777D92" w:rsidR="00A93ECD" w:rsidRPr="00731CA6" w:rsidRDefault="00A93ECD" w:rsidP="00A93ECD">
            <w:pPr>
              <w:pStyle w:val="TSBodyText"/>
            </w:pPr>
            <w:r w:rsidRPr="00FF3432">
              <w:t>35</w:t>
            </w:r>
            <w:r w:rsidR="007A3031">
              <w:t>–</w:t>
            </w:r>
            <w:r w:rsidRPr="00FF3432">
              <w:t>44</w:t>
            </w:r>
          </w:p>
        </w:tc>
        <w:tc>
          <w:tcPr>
            <w:tcW w:w="1667" w:type="pct"/>
          </w:tcPr>
          <w:p w14:paraId="52D9FEBA" w14:textId="2B10655B" w:rsidR="00A93ECD" w:rsidRPr="00731CA6" w:rsidRDefault="00A93ECD" w:rsidP="00451E8F">
            <w:pPr>
              <w:pStyle w:val="TSBodyText"/>
              <w:ind w:right="1122"/>
              <w:jc w:val="right"/>
            </w:pPr>
            <w:r w:rsidRPr="006C47C2">
              <w:t>26,212</w:t>
            </w:r>
          </w:p>
        </w:tc>
        <w:tc>
          <w:tcPr>
            <w:tcW w:w="1666" w:type="pct"/>
          </w:tcPr>
          <w:p w14:paraId="100E17B0" w14:textId="2F0D201D" w:rsidR="00A93ECD" w:rsidRPr="00731CA6" w:rsidRDefault="00A93ECD" w:rsidP="00451E8F">
            <w:pPr>
              <w:pStyle w:val="TSBodyText"/>
              <w:ind w:right="1122"/>
              <w:jc w:val="right"/>
            </w:pPr>
            <w:r w:rsidRPr="006C47C2">
              <w:t>$424,439,719</w:t>
            </w:r>
          </w:p>
        </w:tc>
      </w:tr>
      <w:tr w:rsidR="00A93ECD" w:rsidRPr="00731CA6" w14:paraId="2E6CD3F5" w14:textId="77777777">
        <w:tc>
          <w:tcPr>
            <w:tcW w:w="1667" w:type="pct"/>
          </w:tcPr>
          <w:p w14:paraId="65AD32E6" w14:textId="462AEB69" w:rsidR="00A93ECD" w:rsidRPr="00731CA6" w:rsidRDefault="00A93ECD" w:rsidP="00A93ECD">
            <w:pPr>
              <w:pStyle w:val="TSBodyText"/>
            </w:pPr>
            <w:r w:rsidRPr="00FF3432">
              <w:lastRenderedPageBreak/>
              <w:t>45</w:t>
            </w:r>
            <w:r w:rsidR="007A3031">
              <w:t>–</w:t>
            </w:r>
            <w:r w:rsidRPr="00FF3432">
              <w:t>54</w:t>
            </w:r>
          </w:p>
        </w:tc>
        <w:tc>
          <w:tcPr>
            <w:tcW w:w="1667" w:type="pct"/>
          </w:tcPr>
          <w:p w14:paraId="40867B8B" w14:textId="2595C587" w:rsidR="00A93ECD" w:rsidRPr="00731CA6" w:rsidRDefault="00A93ECD" w:rsidP="00451E8F">
            <w:pPr>
              <w:pStyle w:val="TSBodyText"/>
              <w:ind w:right="1122"/>
              <w:jc w:val="right"/>
            </w:pPr>
            <w:r w:rsidRPr="006C47C2">
              <w:t>26,218</w:t>
            </w:r>
          </w:p>
        </w:tc>
        <w:tc>
          <w:tcPr>
            <w:tcW w:w="1666" w:type="pct"/>
          </w:tcPr>
          <w:p w14:paraId="023E631C" w14:textId="7DC784B9" w:rsidR="00A93ECD" w:rsidRPr="00731CA6" w:rsidRDefault="00A93ECD" w:rsidP="00451E8F">
            <w:pPr>
              <w:pStyle w:val="TSBodyText"/>
              <w:ind w:right="1122"/>
              <w:jc w:val="right"/>
            </w:pPr>
            <w:r w:rsidRPr="006C47C2">
              <w:t>$451,737,872</w:t>
            </w:r>
          </w:p>
        </w:tc>
      </w:tr>
      <w:tr w:rsidR="00A93ECD" w:rsidRPr="00731CA6" w14:paraId="560A3600" w14:textId="77777777">
        <w:trPr>
          <w:cnfStyle w:val="000000010000" w:firstRow="0" w:lastRow="0" w:firstColumn="0" w:lastColumn="0" w:oddVBand="0" w:evenVBand="0" w:oddHBand="0" w:evenHBand="1" w:firstRowFirstColumn="0" w:firstRowLastColumn="0" w:lastRowFirstColumn="0" w:lastRowLastColumn="0"/>
        </w:trPr>
        <w:tc>
          <w:tcPr>
            <w:tcW w:w="1667" w:type="pct"/>
          </w:tcPr>
          <w:p w14:paraId="094AA1DB" w14:textId="51A199AA" w:rsidR="00A93ECD" w:rsidRPr="00731CA6" w:rsidRDefault="00A93ECD" w:rsidP="00A93ECD">
            <w:pPr>
              <w:pStyle w:val="TSBodyText"/>
            </w:pPr>
            <w:r w:rsidRPr="00FF3432">
              <w:t>55</w:t>
            </w:r>
            <w:r w:rsidR="007A3031">
              <w:t>–</w:t>
            </w:r>
            <w:r w:rsidRPr="00FF3432">
              <w:t>64</w:t>
            </w:r>
          </w:p>
        </w:tc>
        <w:tc>
          <w:tcPr>
            <w:tcW w:w="1667" w:type="pct"/>
          </w:tcPr>
          <w:p w14:paraId="0F2FFFF1" w14:textId="6A3BA9FF" w:rsidR="00A93ECD" w:rsidRPr="00731CA6" w:rsidRDefault="00A93ECD" w:rsidP="00451E8F">
            <w:pPr>
              <w:pStyle w:val="TSBodyText"/>
              <w:ind w:right="1122"/>
              <w:jc w:val="right"/>
            </w:pPr>
            <w:r w:rsidRPr="006C47C2">
              <w:t>22,300</w:t>
            </w:r>
          </w:p>
        </w:tc>
        <w:tc>
          <w:tcPr>
            <w:tcW w:w="1666" w:type="pct"/>
          </w:tcPr>
          <w:p w14:paraId="3F7A6890" w14:textId="0DF59CBE" w:rsidR="00A93ECD" w:rsidRPr="00731CA6" w:rsidRDefault="00A93ECD" w:rsidP="00451E8F">
            <w:pPr>
              <w:pStyle w:val="TSBodyText"/>
              <w:ind w:right="1122"/>
              <w:jc w:val="right"/>
            </w:pPr>
            <w:r w:rsidRPr="006C47C2">
              <w:t>$336,152,020</w:t>
            </w:r>
          </w:p>
        </w:tc>
      </w:tr>
      <w:tr w:rsidR="00A93ECD" w:rsidRPr="00731CA6" w14:paraId="3A269785" w14:textId="77777777">
        <w:tc>
          <w:tcPr>
            <w:tcW w:w="1667" w:type="pct"/>
          </w:tcPr>
          <w:p w14:paraId="6D9286CC" w14:textId="33F615BD" w:rsidR="00A93ECD" w:rsidRPr="00731CA6" w:rsidRDefault="00A93ECD" w:rsidP="00A93ECD">
            <w:pPr>
              <w:pStyle w:val="TSBodyText"/>
            </w:pPr>
            <w:r w:rsidRPr="00FF3432">
              <w:t>65</w:t>
            </w:r>
            <w:r w:rsidR="007A3031">
              <w:t>-</w:t>
            </w:r>
            <w:r w:rsidRPr="00FF3432">
              <w:t>74</w:t>
            </w:r>
          </w:p>
        </w:tc>
        <w:tc>
          <w:tcPr>
            <w:tcW w:w="1667" w:type="pct"/>
          </w:tcPr>
          <w:p w14:paraId="294A3560" w14:textId="228AD73A" w:rsidR="00A93ECD" w:rsidRPr="00731CA6" w:rsidRDefault="00A93ECD" w:rsidP="00451E8F">
            <w:pPr>
              <w:pStyle w:val="TSBodyText"/>
              <w:ind w:right="1122"/>
              <w:jc w:val="right"/>
            </w:pPr>
            <w:r w:rsidRPr="006C47C2">
              <w:t>5,159</w:t>
            </w:r>
          </w:p>
        </w:tc>
        <w:tc>
          <w:tcPr>
            <w:tcW w:w="1666" w:type="pct"/>
          </w:tcPr>
          <w:p w14:paraId="1EEE61B1" w14:textId="436F9A5F" w:rsidR="00A93ECD" w:rsidRPr="00731CA6" w:rsidRDefault="00A93ECD" w:rsidP="00451E8F">
            <w:pPr>
              <w:pStyle w:val="TSBodyText"/>
              <w:ind w:right="1122"/>
              <w:jc w:val="right"/>
            </w:pPr>
            <w:r w:rsidRPr="006C47C2">
              <w:t>$59,895,117</w:t>
            </w:r>
          </w:p>
        </w:tc>
      </w:tr>
      <w:tr w:rsidR="00A93ECD" w:rsidRPr="00731CA6" w14:paraId="6F4332DD" w14:textId="77777777">
        <w:trPr>
          <w:cnfStyle w:val="000000010000" w:firstRow="0" w:lastRow="0" w:firstColumn="0" w:lastColumn="0" w:oddVBand="0" w:evenVBand="0" w:oddHBand="0" w:evenHBand="1" w:firstRowFirstColumn="0" w:firstRowLastColumn="0" w:lastRowFirstColumn="0" w:lastRowLastColumn="0"/>
        </w:trPr>
        <w:tc>
          <w:tcPr>
            <w:tcW w:w="1667" w:type="pct"/>
          </w:tcPr>
          <w:p w14:paraId="487ABC28" w14:textId="3A7137E1" w:rsidR="00A93ECD" w:rsidRPr="00731CA6" w:rsidRDefault="00A93ECD" w:rsidP="00A93ECD">
            <w:pPr>
              <w:pStyle w:val="TSBodyText"/>
            </w:pPr>
            <w:r w:rsidRPr="00FF3432">
              <w:t>75</w:t>
            </w:r>
            <w:r w:rsidR="007A3031">
              <w:t>–</w:t>
            </w:r>
            <w:r w:rsidRPr="00FF3432">
              <w:t>99</w:t>
            </w:r>
          </w:p>
        </w:tc>
        <w:tc>
          <w:tcPr>
            <w:tcW w:w="1667" w:type="pct"/>
          </w:tcPr>
          <w:p w14:paraId="27911922" w14:textId="2B82013C" w:rsidR="00A93ECD" w:rsidRPr="00731CA6" w:rsidRDefault="00A93ECD" w:rsidP="00451E8F">
            <w:pPr>
              <w:pStyle w:val="TSBodyText"/>
              <w:ind w:right="1122"/>
              <w:jc w:val="right"/>
            </w:pPr>
            <w:r w:rsidRPr="006C47C2">
              <w:t>464</w:t>
            </w:r>
          </w:p>
        </w:tc>
        <w:tc>
          <w:tcPr>
            <w:tcW w:w="1666" w:type="pct"/>
          </w:tcPr>
          <w:p w14:paraId="047DF596" w14:textId="357622A7" w:rsidR="00A93ECD" w:rsidRPr="00731CA6" w:rsidRDefault="00A93ECD" w:rsidP="00451E8F">
            <w:pPr>
              <w:pStyle w:val="TSBodyText"/>
              <w:ind w:right="1122"/>
              <w:jc w:val="right"/>
            </w:pPr>
            <w:r w:rsidRPr="006C47C2">
              <w:t>$4,464,189</w:t>
            </w:r>
          </w:p>
        </w:tc>
      </w:tr>
      <w:tr w:rsidR="00A93ECD" w:rsidRPr="00731CA6" w14:paraId="5C263F1F" w14:textId="77777777">
        <w:trPr>
          <w:cnfStyle w:val="010000000000" w:firstRow="0" w:lastRow="1" w:firstColumn="0" w:lastColumn="0" w:oddVBand="0" w:evenVBand="0" w:oddHBand="0" w:evenHBand="0" w:firstRowFirstColumn="0" w:firstRowLastColumn="0" w:lastRowFirstColumn="0" w:lastRowLastColumn="0"/>
        </w:trPr>
        <w:tc>
          <w:tcPr>
            <w:tcW w:w="1667" w:type="pct"/>
          </w:tcPr>
          <w:p w14:paraId="4E4C0FF6" w14:textId="7D90694F" w:rsidR="00A93ECD" w:rsidRPr="00731CA6" w:rsidRDefault="00A93ECD" w:rsidP="00A93ECD">
            <w:pPr>
              <w:pStyle w:val="TSBodyText"/>
            </w:pPr>
            <w:r w:rsidRPr="00FF3432">
              <w:t>Over 99</w:t>
            </w:r>
          </w:p>
        </w:tc>
        <w:tc>
          <w:tcPr>
            <w:tcW w:w="1667" w:type="pct"/>
          </w:tcPr>
          <w:p w14:paraId="570D2047" w14:textId="101C41EE" w:rsidR="00A93ECD" w:rsidRPr="00731CA6" w:rsidRDefault="00A93ECD" w:rsidP="00451E8F">
            <w:pPr>
              <w:pStyle w:val="TSBodyText"/>
              <w:ind w:right="1122"/>
              <w:jc w:val="right"/>
            </w:pPr>
            <w:r w:rsidRPr="006C47C2">
              <w:t>549</w:t>
            </w:r>
          </w:p>
        </w:tc>
        <w:tc>
          <w:tcPr>
            <w:tcW w:w="1666" w:type="pct"/>
          </w:tcPr>
          <w:p w14:paraId="2D9C3190" w14:textId="2719F219" w:rsidR="00A93ECD" w:rsidRPr="00731CA6" w:rsidRDefault="00A93ECD" w:rsidP="00451E8F">
            <w:pPr>
              <w:pStyle w:val="TSBodyText"/>
              <w:ind w:right="1122"/>
              <w:jc w:val="right"/>
            </w:pPr>
            <w:r w:rsidRPr="006C47C2">
              <w:t>$1,733,051</w:t>
            </w:r>
          </w:p>
        </w:tc>
      </w:tr>
    </w:tbl>
    <w:bookmarkEnd w:id="150"/>
    <w:p w14:paraId="13CCFFCC" w14:textId="7007E819" w:rsidR="00390CB5" w:rsidRPr="00731CA6" w:rsidRDefault="00390CB5" w:rsidP="00390CB5">
      <w:pPr>
        <w:pStyle w:val="USSource"/>
      </w:pPr>
      <w:r w:rsidRPr="00731CA6">
        <w:t xml:space="preserve">Source: </w:t>
      </w:r>
      <w:r w:rsidR="00A93ECD">
        <w:t>ACC</w:t>
      </w:r>
    </w:p>
    <w:p w14:paraId="537D887D" w14:textId="24B2193B" w:rsidR="00390CB5" w:rsidRDefault="007D71D2" w:rsidP="00C4722F">
      <w:pPr>
        <w:pStyle w:val="USBodyText"/>
      </w:pPr>
      <w:r>
        <w:t>The alcohol</w:t>
      </w:r>
      <w:r w:rsidR="001D7154">
        <w:t>-</w:t>
      </w:r>
      <w:r>
        <w:t xml:space="preserve">attributable fractions supplied for this project (Chambers and </w:t>
      </w:r>
      <w:proofErr w:type="spellStart"/>
      <w:r>
        <w:t>Mizdrak</w:t>
      </w:r>
      <w:proofErr w:type="spellEnd"/>
      <w:r>
        <w:t xml:space="preserve">, </w:t>
      </w:r>
      <w:r w:rsidR="00014F2C">
        <w:t>forthcoming</w:t>
      </w:r>
      <w:r>
        <w:t xml:space="preserve">) show that </w:t>
      </w:r>
      <w:r w:rsidR="00BD3B2D">
        <w:t xml:space="preserve">the fraction of injuries attributable to alcohol </w:t>
      </w:r>
      <w:r w:rsidR="003B4ABB">
        <w:t>peaks in the years when income is likely to be highest</w:t>
      </w:r>
      <w:r w:rsidR="004A054A">
        <w:t>, contributing to high weekly compensation claims costs.</w:t>
      </w:r>
    </w:p>
    <w:p w14:paraId="0D8271FC" w14:textId="1DF1A947" w:rsidR="00390CB5" w:rsidRDefault="001A75A4" w:rsidP="006E6EB7">
      <w:pPr>
        <w:pStyle w:val="FigureCaption"/>
      </w:pPr>
      <w:bookmarkStart w:id="151" w:name="_Toc160633901"/>
      <w:r w:rsidRPr="00731CA6">
        <w:t>Figure </w:t>
      </w:r>
      <w:fldSimple w:instr=" SEQ Figure \* ARABIC ">
        <w:r w:rsidR="00AE166D">
          <w:rPr>
            <w:noProof/>
          </w:rPr>
          <w:t>13</w:t>
        </w:r>
      </w:fldSimple>
      <w:r w:rsidR="00EC4EC0">
        <w:t xml:space="preserve"> </w:t>
      </w:r>
      <w:r w:rsidR="002D48ED">
        <w:t>A</w:t>
      </w:r>
      <w:r w:rsidR="006E6EB7">
        <w:t>verage a</w:t>
      </w:r>
      <w:r w:rsidR="002D48ED">
        <w:t>lcohol</w:t>
      </w:r>
      <w:r w:rsidR="001F394C">
        <w:t>-</w:t>
      </w:r>
      <w:r w:rsidR="002D48ED">
        <w:t>attr</w:t>
      </w:r>
      <w:r w:rsidR="00DE4305">
        <w:t xml:space="preserve">ibutable </w:t>
      </w:r>
      <w:r w:rsidR="006E6EB7">
        <w:t>fractions of injuries by age group</w:t>
      </w:r>
      <w:bookmarkEnd w:id="151"/>
    </w:p>
    <w:p w14:paraId="6BDBA9D1" w14:textId="2ACA48D1" w:rsidR="00390CB5" w:rsidRDefault="00D2144F" w:rsidP="00C4722F">
      <w:pPr>
        <w:pStyle w:val="USBodyText"/>
      </w:pPr>
      <w:r>
        <w:rPr>
          <w:noProof/>
        </w:rPr>
        <w:drawing>
          <wp:inline distT="0" distB="0" distL="0" distR="0" wp14:anchorId="2D583259" wp14:editId="46B4E12F">
            <wp:extent cx="4715266" cy="3832868"/>
            <wp:effectExtent l="0" t="0" r="9525" b="0"/>
            <wp:docPr id="6" name="Picture 6" descr="The chart shows three lines representing a lower estimate, a midpoint estimate, and an upper estimate, by age group in ten year bands. All lines follow and inverted-U pattern, with the midpoint line showing a value of around 14% for 15-24 year olds, peaking at 20 percent for 45-54 years olds, and declining to around 14 percent for 75-99 year olds. The lower estimate and upper estimate lines follow a similar pattern with the lower estimate line being around 2 percentage point less than the midpoint at every age group and the upper estimate being around 2 percentage points more at ever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chart shows three lines representing a lower estimate, a midpoint estimate, and an upper estimate, by age group in ten year bands. All lines follow and inverted-U pattern, with the midpoint line showing a value of around 14% for 15-24 year olds, peaking at 20 percent for 45-54 years olds, and declining to around 14 percent for 75-99 year olds. The lower estimate and upper estimate lines follow a similar pattern with the lower estimate line being around 2 percentage point less than the midpoint at every age group and the upper estimate being around 2 percentage points more at every age group."/>
                    <pic:cNvPicPr/>
                  </pic:nvPicPr>
                  <pic:blipFill>
                    <a:blip r:embed="rId38"/>
                    <a:stretch>
                      <a:fillRect/>
                    </a:stretch>
                  </pic:blipFill>
                  <pic:spPr>
                    <a:xfrm>
                      <a:off x="0" y="0"/>
                      <a:ext cx="4715266" cy="3832868"/>
                    </a:xfrm>
                    <a:prstGeom prst="rect">
                      <a:avLst/>
                    </a:prstGeom>
                  </pic:spPr>
                </pic:pic>
              </a:graphicData>
            </a:graphic>
          </wp:inline>
        </w:drawing>
      </w:r>
    </w:p>
    <w:p w14:paraId="2D405050" w14:textId="6DD66D9F" w:rsidR="008A3771" w:rsidRDefault="008A3771" w:rsidP="00EC4EC0">
      <w:pPr>
        <w:pStyle w:val="USSource"/>
      </w:pPr>
      <w:r>
        <w:t xml:space="preserve">Source: </w:t>
      </w:r>
      <w:r w:rsidR="00D72923">
        <w:t xml:space="preserve">NZIER based on Chambers and </w:t>
      </w:r>
      <w:proofErr w:type="spellStart"/>
      <w:r w:rsidR="004701C5">
        <w:t>Midzrak</w:t>
      </w:r>
      <w:proofErr w:type="spellEnd"/>
      <w:r w:rsidR="002D48ED">
        <w:t xml:space="preserve"> (</w:t>
      </w:r>
      <w:r w:rsidR="00451E8F">
        <w:t>forthcoming</w:t>
      </w:r>
      <w:r w:rsidR="002D48ED">
        <w:t>)</w:t>
      </w:r>
    </w:p>
    <w:p w14:paraId="4927E188" w14:textId="65F4A12E" w:rsidR="004A054A" w:rsidRDefault="004A054A" w:rsidP="00C4722F">
      <w:pPr>
        <w:pStyle w:val="USBodyText"/>
      </w:pPr>
      <w:r>
        <w:t xml:space="preserve">When </w:t>
      </w:r>
      <w:r w:rsidR="006E1D89">
        <w:t>alcohol</w:t>
      </w:r>
      <w:r w:rsidR="001F394C">
        <w:t>-</w:t>
      </w:r>
      <w:r w:rsidR="006E1D89">
        <w:t xml:space="preserve">attributable fractions are applied to weekly compensation claims by age group, </w:t>
      </w:r>
      <w:r w:rsidR="00CF2011">
        <w:t xml:space="preserve">the highest cost is observed in the </w:t>
      </w:r>
      <w:r w:rsidR="00A85B97">
        <w:t>45</w:t>
      </w:r>
      <w:r w:rsidR="00784BFA">
        <w:t>–</w:t>
      </w:r>
      <w:r w:rsidR="00A85B97">
        <w:t>54</w:t>
      </w:r>
      <w:r w:rsidR="00451E8F">
        <w:t>-</w:t>
      </w:r>
      <w:r w:rsidR="007006DF">
        <w:t>year age group.</w:t>
      </w:r>
      <w:r w:rsidR="00A85B97">
        <w:t xml:space="preserve"> The total alcohol</w:t>
      </w:r>
      <w:r w:rsidR="001F394C">
        <w:t>-</w:t>
      </w:r>
      <w:r w:rsidR="00A85B97">
        <w:t>attributable cost of weekly claims across all age groups is $</w:t>
      </w:r>
      <w:r w:rsidR="00C7455A">
        <w:t>326,834,329</w:t>
      </w:r>
      <w:r w:rsidR="00173624">
        <w:t xml:space="preserve"> (see </w:t>
      </w:r>
      <w:r w:rsidR="00365968">
        <w:fldChar w:fldCharType="begin"/>
      </w:r>
      <w:r w:rsidR="00365968">
        <w:instrText xml:space="preserve"> REF _Ref152843039 \h </w:instrText>
      </w:r>
      <w:r w:rsidR="00365968">
        <w:fldChar w:fldCharType="separate"/>
      </w:r>
      <w:r w:rsidR="00AE166D" w:rsidRPr="00731CA6">
        <w:t xml:space="preserve">Table </w:t>
      </w:r>
      <w:r w:rsidR="00AE166D">
        <w:rPr>
          <w:noProof/>
        </w:rPr>
        <w:t>34</w:t>
      </w:r>
      <w:r w:rsidR="00365968">
        <w:fldChar w:fldCharType="end"/>
      </w:r>
      <w:r w:rsidR="00173624">
        <w:t xml:space="preserve"> below)</w:t>
      </w:r>
      <w:r w:rsidR="00C7455A">
        <w:t>.</w:t>
      </w:r>
    </w:p>
    <w:p w14:paraId="26E4F820" w14:textId="595ED297" w:rsidR="006110C0" w:rsidRDefault="006110C0" w:rsidP="00C4722F">
      <w:pPr>
        <w:pStyle w:val="USBodyText"/>
      </w:pPr>
      <w:r>
        <w:t xml:space="preserve">These </w:t>
      </w:r>
      <w:r w:rsidR="00EC7A0F">
        <w:t xml:space="preserve">findings highlight </w:t>
      </w:r>
      <w:r w:rsidR="005F0045">
        <w:t xml:space="preserve">a key difference between alcohol harms and estimated costs of alcohol harms based on incomplete data. ACC weekly compensation is paid to </w:t>
      </w:r>
      <w:r w:rsidR="007D363E">
        <w:t>people who are employed a</w:t>
      </w:r>
      <w:r w:rsidR="00086BED">
        <w:t xml:space="preserve">t a rate that is a function of their employment income. </w:t>
      </w:r>
      <w:r w:rsidR="00FD33D9">
        <w:t xml:space="preserve">The </w:t>
      </w:r>
      <w:proofErr w:type="gramStart"/>
      <w:r w:rsidR="00FD33D9">
        <w:t>quality of life</w:t>
      </w:r>
      <w:proofErr w:type="gramEnd"/>
      <w:r w:rsidR="000620CA">
        <w:t xml:space="preserve"> implications of disability</w:t>
      </w:r>
      <w:r w:rsidR="00277377">
        <w:t xml:space="preserve">, the costs associated with </w:t>
      </w:r>
      <w:r w:rsidR="00737389">
        <w:t xml:space="preserve">disability, and </w:t>
      </w:r>
      <w:r w:rsidR="003870DC">
        <w:t xml:space="preserve">the loss of </w:t>
      </w:r>
      <w:r w:rsidR="0021355F">
        <w:t xml:space="preserve">total </w:t>
      </w:r>
      <w:r w:rsidR="00802FCB">
        <w:lastRenderedPageBreak/>
        <w:t>production</w:t>
      </w:r>
      <w:r w:rsidR="0021355F">
        <w:t xml:space="preserve"> (paid and unpaid) </w:t>
      </w:r>
      <w:r w:rsidR="00607B7F">
        <w:t xml:space="preserve">may be similar for individuals who receive very different </w:t>
      </w:r>
      <w:r w:rsidR="00863666">
        <w:t xml:space="preserve">weekly compensation from ACC. For this reason, the results presented in this section should be seen as costs to ACC, not as monetary measures of the impact of </w:t>
      </w:r>
      <w:r w:rsidR="001B2FFB">
        <w:t>disability.</w:t>
      </w:r>
    </w:p>
    <w:p w14:paraId="133B6A26" w14:textId="056320E8" w:rsidR="004E0739" w:rsidRPr="00731CA6" w:rsidRDefault="004E0739" w:rsidP="00173624">
      <w:pPr>
        <w:pStyle w:val="TableCaption"/>
        <w:keepLines/>
      </w:pPr>
      <w:bookmarkStart w:id="152" w:name="_Ref152843039"/>
      <w:bookmarkStart w:id="153" w:name="_Toc160633941"/>
      <w:r w:rsidRPr="00731CA6">
        <w:t xml:space="preserve">Table </w:t>
      </w:r>
      <w:fldSimple w:instr=" SEQ Table \* ARABIC ">
        <w:r w:rsidR="00AE166D">
          <w:rPr>
            <w:noProof/>
          </w:rPr>
          <w:t>34</w:t>
        </w:r>
      </w:fldSimple>
      <w:bookmarkEnd w:id="152"/>
      <w:r w:rsidRPr="00731CA6">
        <w:t xml:space="preserve"> </w:t>
      </w:r>
      <w:r w:rsidR="008D40E4">
        <w:t>A</w:t>
      </w:r>
      <w:r w:rsidR="009E0AE3">
        <w:t>lcohol</w:t>
      </w:r>
      <w:r w:rsidR="00591CF1">
        <w:t>-</w:t>
      </w:r>
      <w:r w:rsidR="009E0AE3">
        <w:t>attributable</w:t>
      </w:r>
      <w:r>
        <w:t xml:space="preserve"> costs</w:t>
      </w:r>
      <w:r w:rsidR="008D40E4">
        <w:t xml:space="preserve"> of active weekly claims</w:t>
      </w:r>
      <w:bookmarkEnd w:id="153"/>
      <w:r w:rsidR="008D40E4">
        <w:t xml:space="preserve"> </w:t>
      </w:r>
    </w:p>
    <w:p w14:paraId="6963EB79" w14:textId="4B71755E" w:rsidR="004E0739" w:rsidRPr="00731CA6" w:rsidRDefault="00C7455A" w:rsidP="00173624">
      <w:pPr>
        <w:pStyle w:val="CaptionSubheading"/>
        <w:keepLines/>
      </w:pPr>
      <w:r>
        <w:t xml:space="preserve">2023 value estimated from 2022 </w:t>
      </w:r>
      <w:proofErr w:type="gramStart"/>
      <w:r>
        <w:t>claims</w:t>
      </w:r>
      <w:proofErr w:type="gramEnd"/>
    </w:p>
    <w:tbl>
      <w:tblPr>
        <w:tblStyle w:val="TableDefault"/>
        <w:tblW w:w="8220" w:type="dxa"/>
        <w:tblLook w:val="0460" w:firstRow="1" w:lastRow="1" w:firstColumn="0" w:lastColumn="0" w:noHBand="0" w:noVBand="1"/>
      </w:tblPr>
      <w:tblGrid>
        <w:gridCol w:w="2055"/>
        <w:gridCol w:w="2057"/>
        <w:gridCol w:w="2055"/>
        <w:gridCol w:w="2053"/>
      </w:tblGrid>
      <w:tr w:rsidR="009E0AE3" w:rsidRPr="00731CA6" w14:paraId="1D213525" w14:textId="77777777" w:rsidTr="009E0AE3">
        <w:trPr>
          <w:cnfStyle w:val="100000000000" w:firstRow="1" w:lastRow="0" w:firstColumn="0" w:lastColumn="0" w:oddVBand="0" w:evenVBand="0" w:oddHBand="0" w:evenHBand="0" w:firstRowFirstColumn="0" w:firstRowLastColumn="0" w:lastRowFirstColumn="0" w:lastRowLastColumn="0"/>
        </w:trPr>
        <w:tc>
          <w:tcPr>
            <w:tcW w:w="1250" w:type="pct"/>
          </w:tcPr>
          <w:p w14:paraId="394D7F96" w14:textId="77777777" w:rsidR="009E0AE3" w:rsidRPr="00731CA6" w:rsidRDefault="009E0AE3" w:rsidP="00173624">
            <w:pPr>
              <w:pStyle w:val="TSTableHeadingWhite-TopRow"/>
            </w:pPr>
            <w:r>
              <w:t>Age group</w:t>
            </w:r>
          </w:p>
        </w:tc>
        <w:tc>
          <w:tcPr>
            <w:tcW w:w="1251" w:type="pct"/>
          </w:tcPr>
          <w:p w14:paraId="6D247648" w14:textId="7F97FB5E" w:rsidR="009E0AE3" w:rsidRPr="00731CA6" w:rsidRDefault="009E0AE3" w:rsidP="00D00707">
            <w:pPr>
              <w:pStyle w:val="TSTableHeadingWhite-TopRow"/>
              <w:jc w:val="center"/>
            </w:pPr>
            <w:r w:rsidRPr="00F60918">
              <w:t xml:space="preserve">Active </w:t>
            </w:r>
            <w:r w:rsidR="0069665A">
              <w:t>w</w:t>
            </w:r>
            <w:r w:rsidR="008D40E4">
              <w:t xml:space="preserve">eekly </w:t>
            </w:r>
            <w:r w:rsidR="0069665A">
              <w:t>c</w:t>
            </w:r>
            <w:r w:rsidRPr="00F60918">
              <w:t>laims</w:t>
            </w:r>
          </w:p>
        </w:tc>
        <w:tc>
          <w:tcPr>
            <w:tcW w:w="1250" w:type="pct"/>
          </w:tcPr>
          <w:p w14:paraId="4288FD19" w14:textId="37CCC0CF" w:rsidR="009E0AE3" w:rsidRDefault="009E0AE3" w:rsidP="00D00707">
            <w:pPr>
              <w:pStyle w:val="TSTableHeadingWhite-TopRow"/>
              <w:jc w:val="center"/>
            </w:pPr>
            <w:r w:rsidRPr="00D25145">
              <w:t xml:space="preserve">Active </w:t>
            </w:r>
            <w:r w:rsidR="00D00707">
              <w:t>w</w:t>
            </w:r>
            <w:r w:rsidR="008D40E4">
              <w:t xml:space="preserve">eekly </w:t>
            </w:r>
            <w:r w:rsidR="00D00707">
              <w:t>c</w:t>
            </w:r>
            <w:r w:rsidRPr="00D25145">
              <w:t>osts</w:t>
            </w:r>
          </w:p>
        </w:tc>
        <w:tc>
          <w:tcPr>
            <w:tcW w:w="1249" w:type="pct"/>
          </w:tcPr>
          <w:p w14:paraId="2ADA8B5D" w14:textId="517734FA" w:rsidR="009E0AE3" w:rsidRPr="00731CA6" w:rsidRDefault="009E0AE3" w:rsidP="00D00707">
            <w:pPr>
              <w:pStyle w:val="TSTableHeadingWhite-TopRow"/>
              <w:jc w:val="center"/>
            </w:pPr>
            <w:r>
              <w:t>Alcohol</w:t>
            </w:r>
            <w:r w:rsidR="00784BFA">
              <w:t>-</w:t>
            </w:r>
            <w:r>
              <w:t>attributable c</w:t>
            </w:r>
            <w:r w:rsidRPr="00F60918">
              <w:t>osts</w:t>
            </w:r>
            <w:r w:rsidR="008D40E4">
              <w:t xml:space="preserve"> for active weekly claims</w:t>
            </w:r>
          </w:p>
        </w:tc>
      </w:tr>
      <w:tr w:rsidR="009A75E1" w:rsidRPr="00731CA6" w14:paraId="755E3D62" w14:textId="77777777" w:rsidTr="009E0AE3">
        <w:tc>
          <w:tcPr>
            <w:tcW w:w="1250" w:type="pct"/>
          </w:tcPr>
          <w:p w14:paraId="1E00956D" w14:textId="3A121481" w:rsidR="009A75E1" w:rsidRPr="00731CA6" w:rsidRDefault="009A75E1" w:rsidP="00173624">
            <w:pPr>
              <w:pStyle w:val="TSBodyText"/>
              <w:keepNext/>
              <w:keepLines/>
            </w:pPr>
            <w:r w:rsidRPr="00FF3432">
              <w:t>00</w:t>
            </w:r>
            <w:r w:rsidR="00784BFA">
              <w:t>–</w:t>
            </w:r>
            <w:r w:rsidRPr="00FF3432">
              <w:t>14</w:t>
            </w:r>
          </w:p>
        </w:tc>
        <w:tc>
          <w:tcPr>
            <w:tcW w:w="1251" w:type="pct"/>
          </w:tcPr>
          <w:p w14:paraId="177126EE" w14:textId="77777777" w:rsidR="009A75E1" w:rsidRPr="00731CA6" w:rsidRDefault="009A75E1" w:rsidP="00D00707">
            <w:pPr>
              <w:pStyle w:val="TSBodyText"/>
              <w:keepNext/>
              <w:keepLines/>
              <w:ind w:right="607"/>
              <w:jc w:val="right"/>
            </w:pPr>
            <w:r w:rsidRPr="006C47C2">
              <w:t>832</w:t>
            </w:r>
          </w:p>
        </w:tc>
        <w:tc>
          <w:tcPr>
            <w:tcW w:w="1250" w:type="pct"/>
          </w:tcPr>
          <w:p w14:paraId="64906AEC" w14:textId="08C94FAF" w:rsidR="009A75E1" w:rsidRPr="006C47C2" w:rsidRDefault="009A75E1" w:rsidP="00D00707">
            <w:pPr>
              <w:pStyle w:val="TSBodyText"/>
              <w:keepNext/>
              <w:keepLines/>
              <w:ind w:right="607"/>
              <w:jc w:val="right"/>
            </w:pPr>
            <w:r w:rsidRPr="00D25145">
              <w:t>$34,166,460</w:t>
            </w:r>
          </w:p>
        </w:tc>
        <w:tc>
          <w:tcPr>
            <w:tcW w:w="1249" w:type="pct"/>
          </w:tcPr>
          <w:p w14:paraId="6AEF3201" w14:textId="6612548B" w:rsidR="009A75E1" w:rsidRPr="00731CA6" w:rsidRDefault="00C4584A" w:rsidP="00D00707">
            <w:pPr>
              <w:pStyle w:val="TSBodyText"/>
              <w:keepNext/>
              <w:keepLines/>
              <w:ind w:right="607"/>
              <w:jc w:val="right"/>
            </w:pPr>
            <w:r>
              <w:t>No AAF available</w:t>
            </w:r>
          </w:p>
        </w:tc>
      </w:tr>
      <w:tr w:rsidR="00C4584A" w:rsidRPr="00731CA6" w14:paraId="2819C7B6" w14:textId="77777777" w:rsidTr="009E0AE3">
        <w:trPr>
          <w:cnfStyle w:val="000000010000" w:firstRow="0" w:lastRow="0" w:firstColumn="0" w:lastColumn="0" w:oddVBand="0" w:evenVBand="0" w:oddHBand="0" w:evenHBand="1" w:firstRowFirstColumn="0" w:firstRowLastColumn="0" w:lastRowFirstColumn="0" w:lastRowLastColumn="0"/>
        </w:trPr>
        <w:tc>
          <w:tcPr>
            <w:tcW w:w="1250" w:type="pct"/>
          </w:tcPr>
          <w:p w14:paraId="3B65BD88" w14:textId="191B1B25" w:rsidR="00C4584A" w:rsidRPr="00731CA6" w:rsidRDefault="00C4584A" w:rsidP="00173624">
            <w:pPr>
              <w:pStyle w:val="TSBodyText"/>
              <w:keepNext/>
              <w:keepLines/>
            </w:pPr>
            <w:r w:rsidRPr="00FF3432">
              <w:t>15</w:t>
            </w:r>
            <w:r w:rsidR="00784BFA">
              <w:t>–</w:t>
            </w:r>
            <w:r w:rsidRPr="00FF3432">
              <w:t>24</w:t>
            </w:r>
          </w:p>
        </w:tc>
        <w:tc>
          <w:tcPr>
            <w:tcW w:w="1251" w:type="pct"/>
          </w:tcPr>
          <w:p w14:paraId="4924D7A8" w14:textId="77777777" w:rsidR="00C4584A" w:rsidRPr="00731CA6" w:rsidRDefault="00C4584A" w:rsidP="00D00707">
            <w:pPr>
              <w:pStyle w:val="TSBodyText"/>
              <w:keepNext/>
              <w:keepLines/>
              <w:ind w:right="607"/>
              <w:jc w:val="right"/>
            </w:pPr>
            <w:r w:rsidRPr="006C47C2">
              <w:t>23,908</w:t>
            </w:r>
          </w:p>
        </w:tc>
        <w:tc>
          <w:tcPr>
            <w:tcW w:w="1250" w:type="pct"/>
          </w:tcPr>
          <w:p w14:paraId="1DF149E6" w14:textId="2E02975C" w:rsidR="00C4584A" w:rsidRPr="006C47C2" w:rsidRDefault="00C4584A" w:rsidP="00D00707">
            <w:pPr>
              <w:pStyle w:val="TSBodyText"/>
              <w:keepNext/>
              <w:keepLines/>
              <w:ind w:right="607"/>
              <w:jc w:val="right"/>
            </w:pPr>
            <w:r w:rsidRPr="00D25145">
              <w:t>$228,644,204</w:t>
            </w:r>
          </w:p>
        </w:tc>
        <w:tc>
          <w:tcPr>
            <w:tcW w:w="1249" w:type="pct"/>
          </w:tcPr>
          <w:p w14:paraId="25722C4A" w14:textId="2F7EC378" w:rsidR="00C4584A" w:rsidRPr="00731CA6" w:rsidRDefault="00C4584A" w:rsidP="00D00707">
            <w:pPr>
              <w:pStyle w:val="TSBodyText"/>
              <w:keepNext/>
              <w:keepLines/>
              <w:ind w:right="607"/>
              <w:jc w:val="right"/>
            </w:pPr>
            <w:r w:rsidRPr="000B63E4">
              <w:t>$32,042,752</w:t>
            </w:r>
          </w:p>
        </w:tc>
      </w:tr>
      <w:tr w:rsidR="00C4584A" w:rsidRPr="00731CA6" w14:paraId="4CFD7616" w14:textId="77777777" w:rsidTr="009E0AE3">
        <w:tc>
          <w:tcPr>
            <w:tcW w:w="1250" w:type="pct"/>
          </w:tcPr>
          <w:p w14:paraId="000F46C5" w14:textId="04725F97" w:rsidR="00C4584A" w:rsidRPr="00731CA6" w:rsidRDefault="00C4584A" w:rsidP="00173624">
            <w:pPr>
              <w:pStyle w:val="TSBodyText"/>
              <w:keepNext/>
              <w:keepLines/>
            </w:pPr>
            <w:r w:rsidRPr="00FF3432">
              <w:t>25</w:t>
            </w:r>
            <w:r w:rsidR="00784BFA">
              <w:t>–</w:t>
            </w:r>
            <w:r w:rsidRPr="00FF3432">
              <w:t>34</w:t>
            </w:r>
          </w:p>
        </w:tc>
        <w:tc>
          <w:tcPr>
            <w:tcW w:w="1251" w:type="pct"/>
          </w:tcPr>
          <w:p w14:paraId="651AA923" w14:textId="77777777" w:rsidR="00C4584A" w:rsidRPr="00731CA6" w:rsidRDefault="00C4584A" w:rsidP="00D00707">
            <w:pPr>
              <w:pStyle w:val="TSBodyText"/>
              <w:keepNext/>
              <w:keepLines/>
              <w:ind w:right="607"/>
              <w:jc w:val="right"/>
            </w:pPr>
            <w:r w:rsidRPr="006C47C2">
              <w:t>33,350</w:t>
            </w:r>
          </w:p>
        </w:tc>
        <w:tc>
          <w:tcPr>
            <w:tcW w:w="1250" w:type="pct"/>
          </w:tcPr>
          <w:p w14:paraId="357FB318" w14:textId="34757366" w:rsidR="00C4584A" w:rsidRPr="006C47C2" w:rsidRDefault="00C4584A" w:rsidP="00D00707">
            <w:pPr>
              <w:pStyle w:val="TSBodyText"/>
              <w:keepNext/>
              <w:keepLines/>
              <w:ind w:right="607"/>
              <w:jc w:val="right"/>
            </w:pPr>
            <w:r w:rsidRPr="00D25145">
              <w:t>$410,541,978</w:t>
            </w:r>
          </w:p>
        </w:tc>
        <w:tc>
          <w:tcPr>
            <w:tcW w:w="1249" w:type="pct"/>
          </w:tcPr>
          <w:p w14:paraId="4AD79F0C" w14:textId="2D1DA4DE" w:rsidR="00C4584A" w:rsidRPr="00731CA6" w:rsidRDefault="00C4584A" w:rsidP="00D00707">
            <w:pPr>
              <w:pStyle w:val="TSBodyText"/>
              <w:keepNext/>
              <w:keepLines/>
              <w:ind w:right="607"/>
              <w:jc w:val="right"/>
            </w:pPr>
            <w:r w:rsidRPr="000B63E4">
              <w:t>$62,824,573</w:t>
            </w:r>
          </w:p>
        </w:tc>
      </w:tr>
      <w:tr w:rsidR="00C4584A" w:rsidRPr="00731CA6" w14:paraId="6C7B69CD" w14:textId="77777777" w:rsidTr="009E0AE3">
        <w:trPr>
          <w:cnfStyle w:val="000000010000" w:firstRow="0" w:lastRow="0" w:firstColumn="0" w:lastColumn="0" w:oddVBand="0" w:evenVBand="0" w:oddHBand="0" w:evenHBand="1" w:firstRowFirstColumn="0" w:firstRowLastColumn="0" w:lastRowFirstColumn="0" w:lastRowLastColumn="0"/>
        </w:trPr>
        <w:tc>
          <w:tcPr>
            <w:tcW w:w="1250" w:type="pct"/>
          </w:tcPr>
          <w:p w14:paraId="32A804F5" w14:textId="04090D0C" w:rsidR="00C4584A" w:rsidRPr="00731CA6" w:rsidRDefault="00C4584A" w:rsidP="00173624">
            <w:pPr>
              <w:pStyle w:val="TSBodyText"/>
              <w:keepNext/>
              <w:keepLines/>
            </w:pPr>
            <w:r w:rsidRPr="00FF3432">
              <w:t>35</w:t>
            </w:r>
            <w:r w:rsidR="00784BFA">
              <w:t>–</w:t>
            </w:r>
            <w:r w:rsidRPr="00FF3432">
              <w:t>44</w:t>
            </w:r>
          </w:p>
        </w:tc>
        <w:tc>
          <w:tcPr>
            <w:tcW w:w="1251" w:type="pct"/>
          </w:tcPr>
          <w:p w14:paraId="72D2F21C" w14:textId="77777777" w:rsidR="00C4584A" w:rsidRPr="00731CA6" w:rsidRDefault="00C4584A" w:rsidP="00D00707">
            <w:pPr>
              <w:pStyle w:val="TSBodyText"/>
              <w:keepNext/>
              <w:keepLines/>
              <w:ind w:right="607"/>
              <w:jc w:val="right"/>
            </w:pPr>
            <w:r w:rsidRPr="006C47C2">
              <w:t>26,212</w:t>
            </w:r>
          </w:p>
        </w:tc>
        <w:tc>
          <w:tcPr>
            <w:tcW w:w="1250" w:type="pct"/>
          </w:tcPr>
          <w:p w14:paraId="1C4E2126" w14:textId="18D8D4C4" w:rsidR="00C4584A" w:rsidRPr="006C47C2" w:rsidRDefault="00C4584A" w:rsidP="00D00707">
            <w:pPr>
              <w:pStyle w:val="TSBodyText"/>
              <w:keepNext/>
              <w:keepLines/>
              <w:ind w:right="607"/>
              <w:jc w:val="right"/>
            </w:pPr>
            <w:r w:rsidRPr="00D25145">
              <w:t>$424,439,719</w:t>
            </w:r>
          </w:p>
        </w:tc>
        <w:tc>
          <w:tcPr>
            <w:tcW w:w="1249" w:type="pct"/>
          </w:tcPr>
          <w:p w14:paraId="219F0479" w14:textId="654A9D0E" w:rsidR="00C4584A" w:rsidRPr="00731CA6" w:rsidRDefault="00C4584A" w:rsidP="00D00707">
            <w:pPr>
              <w:pStyle w:val="TSBodyText"/>
              <w:keepNext/>
              <w:keepLines/>
              <w:ind w:right="607"/>
              <w:jc w:val="right"/>
            </w:pPr>
            <w:r w:rsidRPr="000B63E4">
              <w:t>$75,177,889</w:t>
            </w:r>
          </w:p>
        </w:tc>
      </w:tr>
      <w:tr w:rsidR="00C4584A" w:rsidRPr="00731CA6" w14:paraId="24DF2E82" w14:textId="77777777" w:rsidTr="009E0AE3">
        <w:tc>
          <w:tcPr>
            <w:tcW w:w="1250" w:type="pct"/>
          </w:tcPr>
          <w:p w14:paraId="5596C120" w14:textId="225B62CA" w:rsidR="00C4584A" w:rsidRPr="00731CA6" w:rsidRDefault="00C4584A" w:rsidP="00173624">
            <w:pPr>
              <w:pStyle w:val="TSBodyText"/>
              <w:keepNext/>
              <w:keepLines/>
            </w:pPr>
            <w:r w:rsidRPr="00FF3432">
              <w:t>45</w:t>
            </w:r>
            <w:r w:rsidR="00784BFA">
              <w:t>–</w:t>
            </w:r>
            <w:r w:rsidRPr="00FF3432">
              <w:t>54</w:t>
            </w:r>
          </w:p>
        </w:tc>
        <w:tc>
          <w:tcPr>
            <w:tcW w:w="1251" w:type="pct"/>
          </w:tcPr>
          <w:p w14:paraId="137BD8F2" w14:textId="77777777" w:rsidR="00C4584A" w:rsidRPr="00731CA6" w:rsidRDefault="00C4584A" w:rsidP="00D00707">
            <w:pPr>
              <w:pStyle w:val="TSBodyText"/>
              <w:keepNext/>
              <w:keepLines/>
              <w:ind w:right="607"/>
              <w:jc w:val="right"/>
            </w:pPr>
            <w:r w:rsidRPr="006C47C2">
              <w:t>26,218</w:t>
            </w:r>
          </w:p>
        </w:tc>
        <w:tc>
          <w:tcPr>
            <w:tcW w:w="1250" w:type="pct"/>
          </w:tcPr>
          <w:p w14:paraId="0FF87C0F" w14:textId="51672C55" w:rsidR="00C4584A" w:rsidRPr="006C47C2" w:rsidRDefault="00C4584A" w:rsidP="00D00707">
            <w:pPr>
              <w:pStyle w:val="TSBodyText"/>
              <w:keepNext/>
              <w:keepLines/>
              <w:ind w:right="607"/>
              <w:jc w:val="right"/>
            </w:pPr>
            <w:r w:rsidRPr="00D25145">
              <w:t>$451,737,872</w:t>
            </w:r>
          </w:p>
        </w:tc>
        <w:tc>
          <w:tcPr>
            <w:tcW w:w="1249" w:type="pct"/>
          </w:tcPr>
          <w:p w14:paraId="113E7A1C" w14:textId="7A781C11" w:rsidR="00C4584A" w:rsidRPr="00731CA6" w:rsidRDefault="00C4584A" w:rsidP="00D00707">
            <w:pPr>
              <w:pStyle w:val="TSBodyText"/>
              <w:keepNext/>
              <w:keepLines/>
              <w:ind w:right="607"/>
              <w:jc w:val="right"/>
            </w:pPr>
            <w:r w:rsidRPr="000B63E4">
              <w:t>$84,505,131</w:t>
            </w:r>
          </w:p>
        </w:tc>
      </w:tr>
      <w:tr w:rsidR="00C4584A" w:rsidRPr="00731CA6" w14:paraId="390DE434" w14:textId="77777777" w:rsidTr="009E0AE3">
        <w:trPr>
          <w:cnfStyle w:val="000000010000" w:firstRow="0" w:lastRow="0" w:firstColumn="0" w:lastColumn="0" w:oddVBand="0" w:evenVBand="0" w:oddHBand="0" w:evenHBand="1" w:firstRowFirstColumn="0" w:firstRowLastColumn="0" w:lastRowFirstColumn="0" w:lastRowLastColumn="0"/>
        </w:trPr>
        <w:tc>
          <w:tcPr>
            <w:tcW w:w="1250" w:type="pct"/>
          </w:tcPr>
          <w:p w14:paraId="2107FCC2" w14:textId="6A57AC38" w:rsidR="00C4584A" w:rsidRPr="00731CA6" w:rsidRDefault="00C4584A" w:rsidP="00173624">
            <w:pPr>
              <w:pStyle w:val="TSBodyText"/>
              <w:keepNext/>
              <w:keepLines/>
            </w:pPr>
            <w:r w:rsidRPr="00FF3432">
              <w:t>55</w:t>
            </w:r>
            <w:r w:rsidR="00784BFA">
              <w:t>–</w:t>
            </w:r>
            <w:r w:rsidRPr="00FF3432">
              <w:t>64</w:t>
            </w:r>
          </w:p>
        </w:tc>
        <w:tc>
          <w:tcPr>
            <w:tcW w:w="1251" w:type="pct"/>
          </w:tcPr>
          <w:p w14:paraId="4A78558C" w14:textId="77777777" w:rsidR="00C4584A" w:rsidRPr="00731CA6" w:rsidRDefault="00C4584A" w:rsidP="00D00707">
            <w:pPr>
              <w:pStyle w:val="TSBodyText"/>
              <w:keepNext/>
              <w:keepLines/>
              <w:ind w:right="607"/>
              <w:jc w:val="right"/>
            </w:pPr>
            <w:r w:rsidRPr="006C47C2">
              <w:t>22,300</w:t>
            </w:r>
          </w:p>
        </w:tc>
        <w:tc>
          <w:tcPr>
            <w:tcW w:w="1250" w:type="pct"/>
          </w:tcPr>
          <w:p w14:paraId="485FFB77" w14:textId="7E1C9D81" w:rsidR="00C4584A" w:rsidRPr="006C47C2" w:rsidRDefault="00C4584A" w:rsidP="00D00707">
            <w:pPr>
              <w:pStyle w:val="TSBodyText"/>
              <w:keepNext/>
              <w:keepLines/>
              <w:ind w:right="607"/>
              <w:jc w:val="right"/>
            </w:pPr>
            <w:r w:rsidRPr="00D25145">
              <w:t>$336,152,020</w:t>
            </w:r>
          </w:p>
        </w:tc>
        <w:tc>
          <w:tcPr>
            <w:tcW w:w="1249" w:type="pct"/>
          </w:tcPr>
          <w:p w14:paraId="0576C91C" w14:textId="6CD9AD49" w:rsidR="00C4584A" w:rsidRPr="00731CA6" w:rsidRDefault="00C4584A" w:rsidP="00D00707">
            <w:pPr>
              <w:pStyle w:val="TSBodyText"/>
              <w:keepNext/>
              <w:keepLines/>
              <w:ind w:right="607"/>
              <w:jc w:val="right"/>
            </w:pPr>
            <w:r w:rsidRPr="000B63E4">
              <w:t>$62,140,701</w:t>
            </w:r>
          </w:p>
        </w:tc>
      </w:tr>
      <w:tr w:rsidR="00C4584A" w:rsidRPr="00731CA6" w14:paraId="4BD1507D" w14:textId="77777777" w:rsidTr="009E0AE3">
        <w:tc>
          <w:tcPr>
            <w:tcW w:w="1250" w:type="pct"/>
          </w:tcPr>
          <w:p w14:paraId="64F87F19" w14:textId="2ACAD575" w:rsidR="00C4584A" w:rsidRPr="00731CA6" w:rsidRDefault="00C4584A" w:rsidP="00173624">
            <w:pPr>
              <w:pStyle w:val="TSBodyText"/>
              <w:keepNext/>
              <w:keepLines/>
            </w:pPr>
            <w:r w:rsidRPr="00FF3432">
              <w:t>65</w:t>
            </w:r>
            <w:r w:rsidR="00784BFA">
              <w:t>–</w:t>
            </w:r>
            <w:r w:rsidRPr="00FF3432">
              <w:t>74</w:t>
            </w:r>
          </w:p>
        </w:tc>
        <w:tc>
          <w:tcPr>
            <w:tcW w:w="1251" w:type="pct"/>
          </w:tcPr>
          <w:p w14:paraId="2C30C49D" w14:textId="77777777" w:rsidR="00C4584A" w:rsidRPr="00731CA6" w:rsidRDefault="00C4584A" w:rsidP="00D00707">
            <w:pPr>
              <w:pStyle w:val="TSBodyText"/>
              <w:keepNext/>
              <w:keepLines/>
              <w:ind w:right="607"/>
              <w:jc w:val="right"/>
            </w:pPr>
            <w:r w:rsidRPr="006C47C2">
              <w:t>5,159</w:t>
            </w:r>
          </w:p>
        </w:tc>
        <w:tc>
          <w:tcPr>
            <w:tcW w:w="1250" w:type="pct"/>
          </w:tcPr>
          <w:p w14:paraId="770538B2" w14:textId="2AD35BE5" w:rsidR="00C4584A" w:rsidRPr="006C47C2" w:rsidRDefault="00C4584A" w:rsidP="00D00707">
            <w:pPr>
              <w:pStyle w:val="TSBodyText"/>
              <w:keepNext/>
              <w:keepLines/>
              <w:ind w:right="607"/>
              <w:jc w:val="right"/>
            </w:pPr>
            <w:r w:rsidRPr="00D25145">
              <w:t>$59,895,117</w:t>
            </w:r>
          </w:p>
        </w:tc>
        <w:tc>
          <w:tcPr>
            <w:tcW w:w="1249" w:type="pct"/>
          </w:tcPr>
          <w:p w14:paraId="65F38F67" w14:textId="75D9C61F" w:rsidR="00C4584A" w:rsidRPr="00731CA6" w:rsidRDefault="00C4584A" w:rsidP="00D00707">
            <w:pPr>
              <w:pStyle w:val="TSBodyText"/>
              <w:keepNext/>
              <w:keepLines/>
              <w:ind w:right="607"/>
              <w:jc w:val="right"/>
            </w:pPr>
            <w:r w:rsidRPr="000B63E4">
              <w:t>$9,546,148</w:t>
            </w:r>
          </w:p>
        </w:tc>
      </w:tr>
      <w:tr w:rsidR="00C4584A" w:rsidRPr="00731CA6" w14:paraId="0C483437" w14:textId="77777777" w:rsidTr="009E0AE3">
        <w:trPr>
          <w:cnfStyle w:val="000000010000" w:firstRow="0" w:lastRow="0" w:firstColumn="0" w:lastColumn="0" w:oddVBand="0" w:evenVBand="0" w:oddHBand="0" w:evenHBand="1" w:firstRowFirstColumn="0" w:firstRowLastColumn="0" w:lastRowFirstColumn="0" w:lastRowLastColumn="0"/>
        </w:trPr>
        <w:tc>
          <w:tcPr>
            <w:tcW w:w="1250" w:type="pct"/>
          </w:tcPr>
          <w:p w14:paraId="38099EBB" w14:textId="37BF6058" w:rsidR="00C4584A" w:rsidRPr="00731CA6" w:rsidRDefault="00C4584A" w:rsidP="00173624">
            <w:pPr>
              <w:pStyle w:val="TSBodyText"/>
              <w:keepNext/>
              <w:keepLines/>
            </w:pPr>
            <w:r w:rsidRPr="00FF3432">
              <w:t>75</w:t>
            </w:r>
            <w:r w:rsidR="00784BFA">
              <w:t>–</w:t>
            </w:r>
            <w:r w:rsidRPr="00FF3432">
              <w:t>99</w:t>
            </w:r>
          </w:p>
        </w:tc>
        <w:tc>
          <w:tcPr>
            <w:tcW w:w="1251" w:type="pct"/>
          </w:tcPr>
          <w:p w14:paraId="641B452C" w14:textId="77777777" w:rsidR="00C4584A" w:rsidRPr="00731CA6" w:rsidRDefault="00C4584A" w:rsidP="00D00707">
            <w:pPr>
              <w:pStyle w:val="TSBodyText"/>
              <w:keepNext/>
              <w:keepLines/>
              <w:ind w:right="607"/>
              <w:jc w:val="right"/>
            </w:pPr>
            <w:r w:rsidRPr="006C47C2">
              <w:t>464</w:t>
            </w:r>
          </w:p>
        </w:tc>
        <w:tc>
          <w:tcPr>
            <w:tcW w:w="1250" w:type="pct"/>
          </w:tcPr>
          <w:p w14:paraId="1FFC8BB9" w14:textId="097927C0" w:rsidR="00C4584A" w:rsidRPr="006C47C2" w:rsidRDefault="00C4584A" w:rsidP="00D00707">
            <w:pPr>
              <w:pStyle w:val="TSBodyText"/>
              <w:keepNext/>
              <w:keepLines/>
              <w:ind w:right="607"/>
              <w:jc w:val="right"/>
            </w:pPr>
            <w:r w:rsidRPr="00D25145">
              <w:t>$4,464,189</w:t>
            </w:r>
          </w:p>
        </w:tc>
        <w:tc>
          <w:tcPr>
            <w:tcW w:w="1249" w:type="pct"/>
          </w:tcPr>
          <w:p w14:paraId="05398FA4" w14:textId="3E929629" w:rsidR="00C4584A" w:rsidRPr="00731CA6" w:rsidRDefault="00C4584A" w:rsidP="00D00707">
            <w:pPr>
              <w:pStyle w:val="TSBodyText"/>
              <w:keepNext/>
              <w:keepLines/>
              <w:ind w:right="607"/>
              <w:jc w:val="right"/>
            </w:pPr>
            <w:r w:rsidRPr="000B63E4">
              <w:t>$597,136</w:t>
            </w:r>
          </w:p>
        </w:tc>
      </w:tr>
      <w:tr w:rsidR="009E0AE3" w:rsidRPr="00731CA6" w14:paraId="4A65B758" w14:textId="77777777" w:rsidTr="009E0AE3">
        <w:tc>
          <w:tcPr>
            <w:tcW w:w="1250" w:type="pct"/>
          </w:tcPr>
          <w:p w14:paraId="4907C6D8" w14:textId="77777777" w:rsidR="009E0AE3" w:rsidRPr="00731CA6" w:rsidRDefault="009E0AE3" w:rsidP="00173624">
            <w:pPr>
              <w:pStyle w:val="TSBodyText"/>
              <w:keepNext/>
              <w:keepLines/>
            </w:pPr>
            <w:r w:rsidRPr="00FF3432">
              <w:t>Over 99</w:t>
            </w:r>
          </w:p>
        </w:tc>
        <w:tc>
          <w:tcPr>
            <w:tcW w:w="1251" w:type="pct"/>
          </w:tcPr>
          <w:p w14:paraId="4A643465" w14:textId="77777777" w:rsidR="009E0AE3" w:rsidRPr="00731CA6" w:rsidRDefault="009E0AE3" w:rsidP="00D00707">
            <w:pPr>
              <w:pStyle w:val="TSBodyText"/>
              <w:keepNext/>
              <w:keepLines/>
              <w:ind w:right="607"/>
              <w:jc w:val="right"/>
            </w:pPr>
            <w:r w:rsidRPr="006C47C2">
              <w:t>549</w:t>
            </w:r>
          </w:p>
        </w:tc>
        <w:tc>
          <w:tcPr>
            <w:tcW w:w="1250" w:type="pct"/>
          </w:tcPr>
          <w:p w14:paraId="53768536" w14:textId="07F6B623" w:rsidR="009E0AE3" w:rsidRPr="006C47C2" w:rsidRDefault="009E0AE3" w:rsidP="00D00707">
            <w:pPr>
              <w:pStyle w:val="TSBodyText"/>
              <w:keepNext/>
              <w:keepLines/>
              <w:ind w:right="607"/>
              <w:jc w:val="right"/>
            </w:pPr>
            <w:r w:rsidRPr="00D25145">
              <w:t>$1,733,051</w:t>
            </w:r>
          </w:p>
        </w:tc>
        <w:tc>
          <w:tcPr>
            <w:tcW w:w="1249" w:type="pct"/>
          </w:tcPr>
          <w:p w14:paraId="013ADE10" w14:textId="3A8C8C20" w:rsidR="009E0AE3" w:rsidRPr="00731CA6" w:rsidRDefault="00C4584A" w:rsidP="00D00707">
            <w:pPr>
              <w:pStyle w:val="TSBodyText"/>
              <w:keepNext/>
              <w:keepLines/>
              <w:ind w:right="607"/>
              <w:jc w:val="right"/>
            </w:pPr>
            <w:r w:rsidRPr="00C4584A">
              <w:t>No AAF available</w:t>
            </w:r>
          </w:p>
        </w:tc>
      </w:tr>
      <w:tr w:rsidR="008D40E4" w:rsidRPr="00731CA6" w14:paraId="46522370" w14:textId="77777777" w:rsidTr="009E0AE3">
        <w:trPr>
          <w:cnfStyle w:val="010000000000" w:firstRow="0" w:lastRow="1" w:firstColumn="0" w:lastColumn="0" w:oddVBand="0" w:evenVBand="0" w:oddHBand="0" w:evenHBand="0" w:firstRowFirstColumn="0" w:firstRowLastColumn="0" w:lastRowFirstColumn="0" w:lastRowLastColumn="0"/>
        </w:trPr>
        <w:tc>
          <w:tcPr>
            <w:tcW w:w="1250" w:type="pct"/>
          </w:tcPr>
          <w:p w14:paraId="7467D7FD" w14:textId="45EFEB59" w:rsidR="008D40E4" w:rsidRPr="004E5C6F" w:rsidRDefault="008D40E4" w:rsidP="00173624">
            <w:pPr>
              <w:pStyle w:val="TSBodyText"/>
              <w:keepNext/>
              <w:keepLines/>
              <w:rPr>
                <w:b/>
                <w:bCs/>
              </w:rPr>
            </w:pPr>
            <w:r w:rsidRPr="004E5C6F">
              <w:rPr>
                <w:b/>
                <w:bCs/>
              </w:rPr>
              <w:t xml:space="preserve">Total </w:t>
            </w:r>
          </w:p>
        </w:tc>
        <w:tc>
          <w:tcPr>
            <w:tcW w:w="1251" w:type="pct"/>
          </w:tcPr>
          <w:p w14:paraId="4ED5F35B" w14:textId="08CF9DBC" w:rsidR="008D40E4" w:rsidRPr="004E5C6F" w:rsidRDefault="00D542E8" w:rsidP="00D00707">
            <w:pPr>
              <w:pStyle w:val="TSBodyText"/>
              <w:keepNext/>
              <w:keepLines/>
              <w:ind w:right="607"/>
              <w:jc w:val="right"/>
              <w:rPr>
                <w:b/>
                <w:bCs/>
              </w:rPr>
            </w:pPr>
            <w:r w:rsidRPr="004E5C6F">
              <w:rPr>
                <w:b/>
                <w:bCs/>
              </w:rPr>
              <w:t>138,992</w:t>
            </w:r>
          </w:p>
        </w:tc>
        <w:tc>
          <w:tcPr>
            <w:tcW w:w="1250" w:type="pct"/>
          </w:tcPr>
          <w:p w14:paraId="00E5D0F0" w14:textId="2D496078" w:rsidR="008D40E4" w:rsidRPr="004E5C6F" w:rsidRDefault="00534D00" w:rsidP="00D00707">
            <w:pPr>
              <w:pStyle w:val="TSBodyText"/>
              <w:keepNext/>
              <w:keepLines/>
              <w:ind w:right="607"/>
              <w:jc w:val="right"/>
              <w:rPr>
                <w:b/>
                <w:bCs/>
              </w:rPr>
            </w:pPr>
            <w:r w:rsidRPr="004E5C6F">
              <w:rPr>
                <w:b/>
                <w:bCs/>
              </w:rPr>
              <w:t>1,951,774,609</w:t>
            </w:r>
          </w:p>
        </w:tc>
        <w:tc>
          <w:tcPr>
            <w:tcW w:w="1249" w:type="pct"/>
          </w:tcPr>
          <w:p w14:paraId="0B8D49BA" w14:textId="169F0417" w:rsidR="008D40E4" w:rsidRPr="004E5C6F" w:rsidRDefault="0076363A" w:rsidP="00D00707">
            <w:pPr>
              <w:pStyle w:val="TSBodyText"/>
              <w:keepNext/>
              <w:keepLines/>
              <w:ind w:right="607"/>
              <w:jc w:val="right"/>
              <w:rPr>
                <w:b/>
                <w:bCs/>
              </w:rPr>
            </w:pPr>
            <w:r w:rsidRPr="004E5C6F">
              <w:rPr>
                <w:b/>
                <w:bCs/>
              </w:rPr>
              <w:t>$326,834,329</w:t>
            </w:r>
          </w:p>
        </w:tc>
      </w:tr>
    </w:tbl>
    <w:p w14:paraId="45D00CF5" w14:textId="77777777" w:rsidR="00B8669E" w:rsidRDefault="00CF2011" w:rsidP="00B8669E">
      <w:pPr>
        <w:pStyle w:val="USSource"/>
      </w:pPr>
      <w:r>
        <w:t xml:space="preserve">Source: NZIER, based on ACC data and AAFs from </w:t>
      </w:r>
      <w:proofErr w:type="spellStart"/>
      <w:r>
        <w:t>Chamers</w:t>
      </w:r>
      <w:proofErr w:type="spellEnd"/>
      <w:r>
        <w:t xml:space="preserve"> and </w:t>
      </w:r>
      <w:proofErr w:type="spellStart"/>
      <w:r>
        <w:t>Mizdrak</w:t>
      </w:r>
      <w:proofErr w:type="spellEnd"/>
      <w:r>
        <w:t xml:space="preserve"> (forthcoming)</w:t>
      </w:r>
    </w:p>
    <w:p w14:paraId="663BFA67" w14:textId="73B03C33" w:rsidR="00B8669E" w:rsidRPr="003150A0" w:rsidRDefault="00B8669E" w:rsidP="008539B0">
      <w:pPr>
        <w:pStyle w:val="Heading2"/>
        <w:rPr>
          <w:color w:val="0094C5"/>
          <w:sz w:val="32"/>
          <w:szCs w:val="32"/>
        </w:rPr>
      </w:pPr>
      <w:bookmarkStart w:id="154" w:name="_Toc160633850"/>
      <w:r>
        <w:t xml:space="preserve">Limitations of estimates of health and disability </w:t>
      </w:r>
      <w:r w:rsidR="008539B0">
        <w:t xml:space="preserve">system </w:t>
      </w:r>
      <w:r>
        <w:t>costs</w:t>
      </w:r>
      <w:bookmarkEnd w:id="154"/>
    </w:p>
    <w:p w14:paraId="26022599" w14:textId="5DDD6B85" w:rsidR="00B8669E" w:rsidRDefault="00B8669E" w:rsidP="00B8669E">
      <w:pPr>
        <w:pStyle w:val="USBodyText"/>
      </w:pPr>
      <w:r>
        <w:t xml:space="preserve">While the health and disability sector </w:t>
      </w:r>
      <w:r w:rsidR="007C2888">
        <w:t>should be</w:t>
      </w:r>
      <w:r>
        <w:t xml:space="preserve"> well-placed to identify alcohol harms, with a </w:t>
      </w:r>
      <w:r w:rsidR="00C46532">
        <w:t xml:space="preserve">growing </w:t>
      </w:r>
      <w:r>
        <w:t>body of research providing a high degree of confidence in the attribution of health conditions and injuries to alcohol, data collection across a range of services does not support the same degree of confidence in estimation</w:t>
      </w:r>
      <w:r w:rsidR="00784BFA">
        <w:t>. This issue</w:t>
      </w:r>
      <w:r>
        <w:t xml:space="preserve"> is mainly about quantifying the problem rather than cost estimation. Two major limitations or evidence gaps are:</w:t>
      </w:r>
    </w:p>
    <w:p w14:paraId="3B6932CD" w14:textId="77777777" w:rsidR="00B8669E" w:rsidRDefault="00B8669E" w:rsidP="00B8669E">
      <w:pPr>
        <w:pStyle w:val="USBullet1"/>
      </w:pPr>
      <w:r>
        <w:t>the use of outpatient services attributable to alcohol</w:t>
      </w:r>
    </w:p>
    <w:p w14:paraId="4DCEC29B" w14:textId="2861B107" w:rsidR="00B8669E" w:rsidRPr="00B47BD1" w:rsidRDefault="00B8669E" w:rsidP="00B8669E">
      <w:pPr>
        <w:pStyle w:val="USBullet1"/>
      </w:pPr>
      <w:r>
        <w:t xml:space="preserve">the </w:t>
      </w:r>
      <w:r w:rsidR="008539B0">
        <w:t>use of mental health services attributable to alcohol</w:t>
      </w:r>
      <w:r>
        <w:t>.</w:t>
      </w:r>
    </w:p>
    <w:p w14:paraId="100C8FE0" w14:textId="77777777" w:rsidR="00B8669E" w:rsidRDefault="00B8669E" w:rsidP="00B8669E">
      <w:pPr>
        <w:pStyle w:val="Heading4"/>
      </w:pPr>
      <w:r>
        <w:t xml:space="preserve">Outpatient care costs are an area of significant </w:t>
      </w:r>
      <w:proofErr w:type="gramStart"/>
      <w:r>
        <w:t>unknowns</w:t>
      </w:r>
      <w:proofErr w:type="gramEnd"/>
    </w:p>
    <w:p w14:paraId="4CF83680" w14:textId="57CAA9EE" w:rsidR="00B8669E" w:rsidRDefault="00B8669E" w:rsidP="00B8669E">
      <w:pPr>
        <w:pStyle w:val="USBodyText"/>
      </w:pPr>
      <w:r>
        <w:t xml:space="preserve">Outpatient data in New Zealand is collected in the non-admitted patient collection (NNPAC) dataset held by </w:t>
      </w:r>
      <w:proofErr w:type="spellStart"/>
      <w:r>
        <w:t>Te</w:t>
      </w:r>
      <w:proofErr w:type="spellEnd"/>
      <w:r>
        <w:t xml:space="preserve"> </w:t>
      </w:r>
      <w:proofErr w:type="spellStart"/>
      <w:r>
        <w:t>Whatu</w:t>
      </w:r>
      <w:proofErr w:type="spellEnd"/>
      <w:r>
        <w:t xml:space="preserve"> Ora. Unlike inpatient data, detail on the cause and nature of outpatient visits and the medical diagnoses of people attending outpatient appointments </w:t>
      </w:r>
      <w:r w:rsidR="0082033B">
        <w:t xml:space="preserve">are </w:t>
      </w:r>
      <w:r>
        <w:t xml:space="preserve">not available in outpatient data. This means outpatient data does not present any way of aligning service use with </w:t>
      </w:r>
      <w:r w:rsidR="0082033B">
        <w:t>alcohol-</w:t>
      </w:r>
      <w:r>
        <w:t xml:space="preserve">attributable fractions in the same way that inpatient data allows. </w:t>
      </w:r>
    </w:p>
    <w:p w14:paraId="694FBA31" w14:textId="77777777" w:rsidR="00B8669E" w:rsidRDefault="00B8669E" w:rsidP="00B8669E">
      <w:pPr>
        <w:pStyle w:val="USBodyText"/>
      </w:pPr>
      <w:r>
        <w:t xml:space="preserve">We found no New Zealand studies that specifically investigated the impact of alcohol on the use of outpatient services. The limited evidence from overseas indicates no excess use of outpatients’ services by people with alcohol use disorders or moderate to </w:t>
      </w:r>
      <w:proofErr w:type="gramStart"/>
      <w:r>
        <w:t>high risk</w:t>
      </w:r>
      <w:proofErr w:type="gramEnd"/>
      <w:r>
        <w:t xml:space="preserve"> drinkers:</w:t>
      </w:r>
    </w:p>
    <w:p w14:paraId="32A6E702" w14:textId="50608DEB" w:rsidR="00B8669E" w:rsidRDefault="00B8669E" w:rsidP="00B8669E">
      <w:pPr>
        <w:pStyle w:val="USBullet1"/>
      </w:pPr>
      <w:r>
        <w:lastRenderedPageBreak/>
        <w:t xml:space="preserve">One US study based on an older primary care population (3,954 patients aged 60 and older who </w:t>
      </w:r>
      <w:r w:rsidRPr="002D608F">
        <w:t xml:space="preserve">completed the CAGE alcoholism screening questionnaire during routine office visits) </w:t>
      </w:r>
      <w:r w:rsidRPr="002D608F">
        <w:fldChar w:fldCharType="begin"/>
      </w:r>
      <w:r w:rsidR="00F244F6">
        <w:instrText xml:space="preserve"> ADDIN ZOTERO_ITEM CSL_CITATION {"citationID":"UrJsWTfL","properties":{"formattedCitation":"(Callahan and Tierney 1995)","plainCitation":"(Callahan and Tierney 1995)","noteIndex":0},"citationItems":[{"id":70384,"uris":["http://zotero.org/groups/4944822/items/BCIWFCA2"],"itemData":{"id":70384,"type":"article-journal","abstract":"OBJECTIVE: To describe the prevalence of alcoholism in an older primary care population and to compare rates of health services use and mortality among those with and those without evidence of alcoholism. DESIGN: Baseline screening for alcoholism using the CAGE questionnaire and longitudinal assessment of health services use and mortality using an electronic medical record system. SETTING: An academic primary care group practice at an urban ambulatory care clinic. PATIENTS: A total of 3954 patients aged 60 and older who completed the CAGE alcoholism screening questionnaire during routine office visits. MAIN OUTCOME MEASURES: Comorbidity, preventive health services use, hospital episodes and length of stay, emergency room visits, ambulatory care visits, total outpatient charges, and mortality. RESULTS: The prevalence of current evidence of alcoholism, as defined by a CAGE score ≤ 2 and alcohol use in the previous 12 months, was 10.6%. Patients with evidence of alcoholism were younger (66.2 vs 68.3 years), had fewer years of education (8.4 vs 9.1), were more likely to be male (65.8 vs 27.2%), black (71.2 vs 62.6%), smokers (40.4 vs 26.3%), and malnourished (32.5 vs 26.3%). Patients with alcoholism were more likely to have a diagnosis of obstructive lung disease (22.9 vs 18.3%), injuries (14.2 vs 8.3%), and gout (6.7 vs 2.9%) and less likely to have a diagnosis of hypertension (56.9 vs 61.8%), arthritis (23.3 vs 29.3%), and diabetes (15.9 vs 23.3%). Among those with evidence of alcoholism, 41.6% had a diagnosis of alcoholism in their outpatient medical record. Rates of completion of preventive health services did not differ between the two groups, and there was no difference in the number of ambulatory care visits, emergency room visits, or total outpatient charges. Patients with evidence of alcoholism were more likely to be hospitalized (21.5 vs 16.9%) and more likely to die within 2 years (10.6% vs 6.3%). CONCLUSIONS: One of 10 older patients in this primary care practice had current evidence of alcoholism, fewer than half of whom had documentation of alcohol abuse in their medical records. These patients were more likely to be hospitalized and more likely to die but did not consume a greater amount of outpatient resources. Further research is needed to determine if interventions to reduce alcohol use would also reduce excess hospitalizations and mortality among these older patients.","container-title":"Journal of the American Geriatrics Society","DOI":"10.1111/j.1532-5415.1995.tb06617.x","ISSN":"1532-5415","issue":"12","language":"en","license":"1995 The American Geriatrics Society","note":"_eprint: https://onlinelibrary.wiley.com/doi/pdf/10.1111/j.1532-5415.1995.tb06617.x","page":"1378-1383","source":"Wiley Online Library","title":"Health Services Use and Mortality Among Older Primary Care Patients with Alcoholism","volume":"43","author":[{"family":"Callahan","given":"Christopher M."},{"family":"Tierney","given":"William M."}],"issued":{"date-parts":[["1995"]]}}}],"schema":"https://github.com/citation-style-language/schema/raw/master/csl-citation.json"} </w:instrText>
      </w:r>
      <w:r w:rsidRPr="002D608F">
        <w:fldChar w:fldCharType="separate"/>
      </w:r>
      <w:r w:rsidRPr="002D608F">
        <w:rPr>
          <w:rFonts w:cs="Calibri"/>
        </w:rPr>
        <w:t>(Callahan and Tierney 1995)</w:t>
      </w:r>
      <w:r w:rsidRPr="002D608F">
        <w:fldChar w:fldCharType="end"/>
      </w:r>
      <w:r w:rsidRPr="002D608F">
        <w:t xml:space="preserve"> found that one in 10 older patients had current evidence of alcoholism and that these patients were more likely to be hospitalised and more likely to die, but did not consume a greater amount of outpatient resources.</w:t>
      </w:r>
    </w:p>
    <w:p w14:paraId="47F8FF35" w14:textId="6C4D0BD5" w:rsidR="00B8669E" w:rsidRDefault="00B8669E" w:rsidP="00B8669E">
      <w:pPr>
        <w:pStyle w:val="USBullet1"/>
      </w:pPr>
      <w:r w:rsidRPr="002D608F">
        <w:t xml:space="preserve">Another study based on a cross-sectional survey of German adults </w:t>
      </w:r>
      <w:r w:rsidRPr="002D608F">
        <w:fldChar w:fldCharType="begin"/>
      </w:r>
      <w:r w:rsidR="00F244F6">
        <w:instrText xml:space="preserve"> ADDIN ZOTERO_ITEM CSL_CITATION {"citationID":"AVnD7aoD","properties":{"formattedCitation":"(Baumeister et al. 2006)","plainCitation":"(Baumeister et al. 2006)","noteIndex":0},"citationItems":[{"id":70383,"uris":["http://zotero.org/groups/4944822/items/D9QF35TW"],"itemData":{"id":70383,"type":"article-journal","abstract":"Aims Previous studies have found that abstainers utilize out-patient health services more than alcohol consumers. The aim of this study was to investigate this relationship further by including several confounding variables and effect modifiers. It was hypothesized that abstainers utilize more health services because they have less social resources, practice more risky health behaviours, have poorer self-reported health and suffer more from chronic diseases. Design and participants Cross-sectional health survey of a random sample of adults aged 20–64 in Pomerania, Germany. The response rate was 68.8%. Alcohol consumption was assessed using a quantity–frequency measure and categorized into past-year abstainers, low-risk, medium-risk and high-risk drinkers. Confounders and effect modifiers included socio-demographic and health-related variables. Findings Abstainers had a 43% higher rate (rate ratio = 1.43, 95% CI = 1.24, 1.63) of physician visits compared to low-risk drinkers, adjusting for age and gender. Medium-risk and high-risk drinkers did not differ from low-risk drinkers in terms of out-patient visits. Further regression adjustment for socio-economic covariates, self-reported health status and chronic diseases suggested that abstainers used more out-patient services because they were more ill than drinkers. The effect of mental health status and the number of chronic diseases on out-patient visits was greater for abstainers than drinkers. Conclusions The relation between alcohol consumption and out-patient services is explained partly by poorer health among the abstainers. Further research is needed to affirm these results, such as transferring this evidence to the utilization of in-patient health services.","container-title":"Addiction","DOI":"10.1111/j.1360-0443.2006.01538.x","ISSN":"1360-0443","issue":"9","language":"en","note":"_eprint: https://onlinelibrary.wiley.com/doi/pdf/10.1111/j.1360-0443.2006.01538.x","page":"1285-1291","source":"Wiley Online Library","title":"Alcohol consumption and out-patient services utilization by abstainers and drinkers","volume":"101","author":[{"family":"Baumeister","given":"Sebastian E."},{"family":"Schumann","given":"Anja"},{"family":"Nakazono","given":"Terry T."},{"family":"Alte","given":"Dietrich"},{"family":"Friedrich","given":"Nele"},{"family":"John","given":"Ulrich"},{"family":"Völzke","given":"Henry"}],"issued":{"date-parts":[["2006"]]}}}],"schema":"https://github.com/citation-style-language/schema/raw/master/csl-citation.json"} </w:instrText>
      </w:r>
      <w:r w:rsidRPr="002D608F">
        <w:fldChar w:fldCharType="separate"/>
      </w:r>
      <w:r w:rsidRPr="002D608F">
        <w:rPr>
          <w:rFonts w:cs="Calibri"/>
        </w:rPr>
        <w:t>(Baumeister et al. 2006)</w:t>
      </w:r>
      <w:r w:rsidRPr="002D608F">
        <w:fldChar w:fldCharType="end"/>
      </w:r>
      <w:r w:rsidRPr="002D608F">
        <w:t xml:space="preserve"> found that medium-risk and high-risk drinkers did not differ from low-risk drinkers in terms</w:t>
      </w:r>
      <w:r>
        <w:t xml:space="preserve"> of outpatient service utilisation and that alcohol abstainers had a higher rate of outpatient service utilisation. </w:t>
      </w:r>
    </w:p>
    <w:p w14:paraId="36637909" w14:textId="14E5EBA0" w:rsidR="00B8669E" w:rsidRDefault="00B8669E" w:rsidP="00B8669E">
      <w:pPr>
        <w:pStyle w:val="USBodyText"/>
      </w:pPr>
      <w:r>
        <w:t xml:space="preserve">However, these studies were conducted in a different context, notably in health systems where services are differently funded from New Zealand’s – a factor that can influence service utilisation. However, studies that compare people based on alcohol consumption habits raise important questions that underscore the need for research: Results from these types of studies can be driven at least in part by the poorer health status of </w:t>
      </w:r>
      <w:r w:rsidR="00724FC3">
        <w:t xml:space="preserve">some </w:t>
      </w:r>
      <w:r>
        <w:t>alcohol abstainers who may, in fact, abstain from alcohol due to poor health.</w:t>
      </w:r>
      <w:r w:rsidR="00724FC3">
        <w:t xml:space="preserve"> At the same time, many </w:t>
      </w:r>
      <w:r w:rsidR="0082428D">
        <w:t>abstainers today a</w:t>
      </w:r>
      <w:r w:rsidR="00F42FF1">
        <w:t>bstain</w:t>
      </w:r>
      <w:r w:rsidR="0082428D">
        <w:t xml:space="preserve"> for health reasons and are generally health conscious</w:t>
      </w:r>
      <w:r w:rsidR="00ED2A50">
        <w:t>, following a healthy lifestyle and potentially more inclined to seek care early</w:t>
      </w:r>
      <w:r w:rsidR="005503A0">
        <w:t xml:space="preserve"> or preventatively. </w:t>
      </w:r>
    </w:p>
    <w:p w14:paraId="1AB4B1BE" w14:textId="7FD61106" w:rsidR="0094393F" w:rsidRDefault="008539B0" w:rsidP="00753F7D">
      <w:pPr>
        <w:pStyle w:val="Heading4"/>
      </w:pPr>
      <w:r>
        <w:t>Mental health service</w:t>
      </w:r>
      <w:r w:rsidR="00753F7D">
        <w:t xml:space="preserve"> use could be </w:t>
      </w:r>
      <w:proofErr w:type="gramStart"/>
      <w:r w:rsidR="00753F7D">
        <w:t>significant</w:t>
      </w:r>
      <w:proofErr w:type="gramEnd"/>
    </w:p>
    <w:p w14:paraId="0148F7C0" w14:textId="538D1CA2" w:rsidR="00753F7D" w:rsidRDefault="00753F7D" w:rsidP="00753F7D">
      <w:pPr>
        <w:pStyle w:val="USBodyText"/>
      </w:pPr>
      <w:r>
        <w:t>The association between alcohol use and mental illness has been well documented</w:t>
      </w:r>
      <w:r w:rsidR="00F42FF1">
        <w:t xml:space="preserve">; </w:t>
      </w:r>
      <w:r>
        <w:t>however</w:t>
      </w:r>
      <w:r w:rsidR="00F42FF1">
        <w:t>,</w:t>
      </w:r>
      <w:r>
        <w:t xml:space="preserve"> the impact of alcohol consumption on the use of mental health services in New Zealand has not been quantified. </w:t>
      </w:r>
    </w:p>
    <w:p w14:paraId="44A11B1F" w14:textId="29A3A864" w:rsidR="00DB6AD3" w:rsidRDefault="00DB6AD3" w:rsidP="00753F7D">
      <w:pPr>
        <w:pStyle w:val="USBodyText"/>
      </w:pPr>
      <w:r>
        <w:t>A review of the evidence by New Zealand researchers</w:t>
      </w:r>
      <w:r w:rsidR="00E83A92">
        <w:t xml:space="preserve"> </w:t>
      </w:r>
      <w:r w:rsidR="00E83A92">
        <w:fldChar w:fldCharType="begin"/>
      </w:r>
      <w:r w:rsidR="00F244F6">
        <w:instrText xml:space="preserve"> ADDIN ZOTERO_ITEM CSL_CITATION {"citationID":"l6S13eVa","properties":{"formattedCitation":"(Cobiac and Wilson 2018)","plainCitation":"(Cobiac and Wilson 2018)","noteIndex":0},"citationItems":[{"id":71408,"uris":["http://zotero.org/groups/4944822/items/57MHC6TL"],"itemData":{"id":71408,"type":"report","genre":"Report prepared to inform the Mental Health and Addiction Inquiry underway in 2018 and funded by Alcohol Healthwatch","title":"Alcohol and mental health: a review of evidence, with a particular focus on New Zealand","URL":"https://www.ahw.org.nz/Portals/5/Resources/Submissions/2018/Alcohol%20Healthwatch%20Alcohol%20and%20mental%20health%202018.pdf","author":[{"family":"Cobiac","given":"Linda J."},{"family":"Wilson","given":"Nick"}],"accessed":{"date-parts":[["2023",12,8]]},"issued":{"date-parts":[["2018"]]}}}],"schema":"https://github.com/citation-style-language/schema/raw/master/csl-citation.json"} </w:instrText>
      </w:r>
      <w:r w:rsidR="00E83A92">
        <w:fldChar w:fldCharType="separate"/>
      </w:r>
      <w:r w:rsidR="00E83A92" w:rsidRPr="00E83A92">
        <w:rPr>
          <w:rFonts w:cs="Calibri"/>
        </w:rPr>
        <w:t>(</w:t>
      </w:r>
      <w:proofErr w:type="spellStart"/>
      <w:r w:rsidR="00E83A92" w:rsidRPr="00E83A92">
        <w:rPr>
          <w:rFonts w:cs="Calibri"/>
        </w:rPr>
        <w:t>Cobiac</w:t>
      </w:r>
      <w:proofErr w:type="spellEnd"/>
      <w:r w:rsidR="00E83A92" w:rsidRPr="00E83A92">
        <w:rPr>
          <w:rFonts w:cs="Calibri"/>
        </w:rPr>
        <w:t xml:space="preserve"> and Wilson 2018)</w:t>
      </w:r>
      <w:r w:rsidR="00E83A92">
        <w:fldChar w:fldCharType="end"/>
      </w:r>
      <w:r w:rsidR="00E83A92">
        <w:t xml:space="preserve"> found that </w:t>
      </w:r>
      <w:r w:rsidR="00410976">
        <w:t>alcohol consumption and exposure to heavy drinking by others were both significant risk factors for reduced mental health</w:t>
      </w:r>
      <w:r w:rsidR="001A5969">
        <w:t xml:space="preserve">. With almost </w:t>
      </w:r>
      <w:r w:rsidR="00B23058">
        <w:t>one-</w:t>
      </w:r>
      <w:r w:rsidR="001A5969">
        <w:t>third of the population reporting having a heavy drinker in their life</w:t>
      </w:r>
      <w:r w:rsidR="004A4BF2">
        <w:t xml:space="preserve"> and a high prevalence of heavy drinking, the cost implications for mental health services could be substantial. </w:t>
      </w:r>
      <w:r w:rsidR="00562A50">
        <w:t xml:space="preserve">However, as the study authors indicate, while </w:t>
      </w:r>
      <w:r w:rsidR="00CD6339">
        <w:t>these risks are well understood, there is a lack of longitudinal studies to confidently determine causality.</w:t>
      </w:r>
    </w:p>
    <w:p w14:paraId="37A546B6" w14:textId="5F4DCD4B" w:rsidR="008B3D5E" w:rsidRPr="00753F7D" w:rsidRDefault="008B3D5E" w:rsidP="008B3D5E">
      <w:pPr>
        <w:pStyle w:val="Heading4"/>
      </w:pPr>
      <w:r>
        <w:t xml:space="preserve">ACC </w:t>
      </w:r>
      <w:r w:rsidR="000456F1">
        <w:t xml:space="preserve">costs </w:t>
      </w:r>
      <w:r>
        <w:t xml:space="preserve">should </w:t>
      </w:r>
      <w:r w:rsidR="000456F1">
        <w:t xml:space="preserve">not </w:t>
      </w:r>
      <w:r>
        <w:t xml:space="preserve">be understood as the </w:t>
      </w:r>
      <w:r w:rsidR="006B3BB1">
        <w:t xml:space="preserve">total </w:t>
      </w:r>
      <w:r>
        <w:t xml:space="preserve">societal cost of </w:t>
      </w:r>
      <w:proofErr w:type="gramStart"/>
      <w:r>
        <w:t>disability</w:t>
      </w:r>
      <w:proofErr w:type="gramEnd"/>
    </w:p>
    <w:p w14:paraId="5782318A" w14:textId="71419763" w:rsidR="008B3D5E" w:rsidRDefault="008B3D5E" w:rsidP="008B3D5E">
      <w:pPr>
        <w:pStyle w:val="USBodyText"/>
      </w:pPr>
      <w:bookmarkStart w:id="155" w:name="_Ref156212752"/>
      <w:r>
        <w:t xml:space="preserve">We estimated the costs to ACC of providing income compensation to people experiencing disability </w:t>
      </w:r>
      <w:r w:rsidR="000F5C9F">
        <w:t>due to</w:t>
      </w:r>
      <w:r>
        <w:t xml:space="preserve"> injuries (having applied the </w:t>
      </w:r>
      <w:r w:rsidR="000F5C9F">
        <w:t>alcohol-</w:t>
      </w:r>
      <w:r>
        <w:t xml:space="preserve">attributable fractions for injuries to weekly compensation claims data). However, this only captures compensation to people who were employed at the time they became disabled by alcohol-attributable injuries. While the estimate represents the cost to ACC fairly, it does not represent the burden of alcohol-attributable injury </w:t>
      </w:r>
      <w:r w:rsidR="0066687C">
        <w:t xml:space="preserve">and disability </w:t>
      </w:r>
      <w:r>
        <w:t>to New Zealanders fairly because:</w:t>
      </w:r>
    </w:p>
    <w:p w14:paraId="38B36010" w14:textId="5D5E98F3" w:rsidR="008B3D5E" w:rsidRDefault="008B3D5E" w:rsidP="008B3D5E">
      <w:pPr>
        <w:pStyle w:val="USBullet1"/>
      </w:pPr>
      <w:r>
        <w:t xml:space="preserve">the burden to people who were not employed at the time of injury (in which children, women, older people, and Māori are over-represented) is </w:t>
      </w:r>
      <w:r w:rsidR="0066687C">
        <w:t xml:space="preserve">not reflected in ACC </w:t>
      </w:r>
      <w:proofErr w:type="gramStart"/>
      <w:r w:rsidR="00B44F7F">
        <w:t>claims</w:t>
      </w:r>
      <w:proofErr w:type="gramEnd"/>
    </w:p>
    <w:p w14:paraId="547912FD" w14:textId="79D1B05F" w:rsidR="008B3D5E" w:rsidRDefault="008B3D5E" w:rsidP="008B3D5E">
      <w:pPr>
        <w:pStyle w:val="USBullet1"/>
      </w:pPr>
      <w:r>
        <w:t>the cost estimation is based on employment earnings pre-injury, not on the severity of the injury or the extent of disability beyond incapacity to work</w:t>
      </w:r>
      <w:r w:rsidR="00B44F7F">
        <w:t>, and therefore does not reflect costs associated with non-employment impacts of disability, such as reduced ability to contribute at home</w:t>
      </w:r>
      <w:r w:rsidR="00673E92">
        <w:t xml:space="preserve"> or reduced social participation</w:t>
      </w:r>
      <w:r>
        <w:t>.</w:t>
      </w:r>
    </w:p>
    <w:p w14:paraId="3A79817B" w14:textId="1D3D7F5F" w:rsidR="00BF6EEC" w:rsidRDefault="00ED1180" w:rsidP="006F043D">
      <w:pPr>
        <w:pStyle w:val="USBodyText"/>
      </w:pPr>
      <w:r>
        <w:lastRenderedPageBreak/>
        <w:t xml:space="preserve">ACC also does not cover the first week following an injury, meaning </w:t>
      </w:r>
      <w:r w:rsidR="006F043D">
        <w:t>there may be private costs for this period that are not otherwise captured.</w:t>
      </w:r>
    </w:p>
    <w:p w14:paraId="6D2571D8" w14:textId="77777777" w:rsidR="00CD6339" w:rsidRDefault="00CD6339">
      <w:pPr>
        <w:spacing w:after="160" w:line="259" w:lineRule="auto"/>
        <w:rPr>
          <w:rFonts w:eastAsiaTheme="majorEastAsia" w:cstheme="majorBidi"/>
          <w:b/>
          <w:color w:val="0094C5"/>
          <w:sz w:val="32"/>
          <w:szCs w:val="32"/>
        </w:rPr>
      </w:pPr>
      <w:r>
        <w:br w:type="page"/>
      </w:r>
    </w:p>
    <w:p w14:paraId="3CE30EB8" w14:textId="18180932" w:rsidR="00D87A95" w:rsidRDefault="00D87A95" w:rsidP="00D87A95">
      <w:pPr>
        <w:pStyle w:val="Heading1"/>
      </w:pPr>
      <w:bookmarkStart w:id="156" w:name="_Ref158034314"/>
      <w:bookmarkStart w:id="157" w:name="_Toc160633851"/>
      <w:r>
        <w:lastRenderedPageBreak/>
        <w:t>Justice sector costs of alcohol harms</w:t>
      </w:r>
      <w:bookmarkEnd w:id="155"/>
      <w:bookmarkEnd w:id="156"/>
      <w:bookmarkEnd w:id="157"/>
    </w:p>
    <w:p w14:paraId="5B299D5B" w14:textId="699A43A6" w:rsidR="00D87A95" w:rsidRPr="002F0884" w:rsidRDefault="00D87A95" w:rsidP="00765A12">
      <w:pPr>
        <w:pStyle w:val="USBodyText"/>
      </w:pPr>
      <w:r>
        <w:t>The involvement of alcohol in criminal offences is well documented. According to NZ Police, a</w:t>
      </w:r>
      <w:r w:rsidRPr="000F4927">
        <w:t xml:space="preserve"> </w:t>
      </w:r>
      <w:r>
        <w:t>“</w:t>
      </w:r>
      <w:r w:rsidRPr="000F4927">
        <w:t xml:space="preserve">significant proportion of </w:t>
      </w:r>
      <w:r w:rsidR="001235A3">
        <w:t>P</w:t>
      </w:r>
      <w:r w:rsidRPr="000F4927">
        <w:t>olice work involves responding to alcohol-related incidents. This includes violent offending, homicides, drink-driving, family violence, ensuring the safety of intoxicated people or those around them</w:t>
      </w:r>
      <w:r>
        <w:t>” (</w:t>
      </w:r>
      <w:r>
        <w:fldChar w:fldCharType="begin"/>
      </w:r>
      <w:r w:rsidR="00F244F6">
        <w:instrText xml:space="preserve"> ADDIN ZOTERO_ITEM CSL_CITATION {"citationID":"NepLoihr","properties":{"formattedCitation":"(New Zealand Police n.d.)","plainCitation":"(New Zealand Police n.d.)","dontUpdate":true,"noteIndex":0},"citationItems":[{"id":71355,"uris":["http://zotero.org/groups/4944822/items/SQNLLSHN"],"itemData":{"id":71355,"type":"webpage","abstract":"This page describes some of the laws, offences and penalties relating to alcohol, and the law for under-18s and local alcohol bans.","container-title":"New Zealand Police","language":"en","title":"Alcohol – laws and penalties","URL":"https://www.police.govt.nz/advice/drugs-and-alcohol/alcohol-laws-and-penalties","author":[{"family":"New Zealand Police","given":""}],"accessed":{"date-parts":[["2023",12,7]]}}}],"schema":"https://github.com/citation-style-language/schema/raw/master/csl-citation.json"} </w:instrText>
      </w:r>
      <w:r>
        <w:fldChar w:fldCharType="separate"/>
      </w:r>
      <w:r w:rsidRPr="00F90758">
        <w:rPr>
          <w:rFonts w:cs="Calibri"/>
        </w:rPr>
        <w:t>New Zealand Police n.d.)</w:t>
      </w:r>
      <w:r>
        <w:fldChar w:fldCharType="end"/>
      </w:r>
      <w:r w:rsidR="00DE7B1B">
        <w:t>.</w:t>
      </w:r>
    </w:p>
    <w:p w14:paraId="088523F9" w14:textId="5E221B42" w:rsidR="00D87A95" w:rsidRDefault="00D87A95" w:rsidP="00D87A95">
      <w:pPr>
        <w:pStyle w:val="USBodyText"/>
      </w:pPr>
      <w:r>
        <w:t xml:space="preserve">According to Horvath and </w:t>
      </w:r>
      <w:proofErr w:type="spellStart"/>
      <w:r>
        <w:t>Leboutillier</w:t>
      </w:r>
      <w:proofErr w:type="spellEnd"/>
      <w:r>
        <w:t xml:space="preserve"> (2014), alcohol can contribute to crime in two ways:</w:t>
      </w:r>
    </w:p>
    <w:p w14:paraId="76C1B682" w14:textId="77777777" w:rsidR="00D87A95" w:rsidRDefault="00D87A95" w:rsidP="00D87A95">
      <w:pPr>
        <w:pStyle w:val="USBullet1"/>
      </w:pPr>
      <w:r>
        <w:t xml:space="preserve">by loosening inhibitions and reasoning, which leads to decreased impulse control and increased probability of </w:t>
      </w:r>
      <w:proofErr w:type="gramStart"/>
      <w:r>
        <w:t>offending</w:t>
      </w:r>
      <w:proofErr w:type="gramEnd"/>
    </w:p>
    <w:p w14:paraId="00839C21" w14:textId="77777777" w:rsidR="00D87A95" w:rsidRDefault="00D87A95" w:rsidP="00D87A95">
      <w:pPr>
        <w:pStyle w:val="USBullet1"/>
      </w:pPr>
      <w:r>
        <w:t>by providing an economic incentive to steal to feed an alcohol abuse problem.</w:t>
      </w:r>
    </w:p>
    <w:p w14:paraId="54095E0D" w14:textId="5D7C98A7" w:rsidR="00D87A95" w:rsidRDefault="00D87A95" w:rsidP="00D87A95">
      <w:pPr>
        <w:pStyle w:val="USBodyText"/>
      </w:pPr>
      <w:r>
        <w:t>Heavier drinkers have been shown to have personality characteristics that are associated with perpetration (e.g. antisocial behavio</w:t>
      </w:r>
      <w:r w:rsidR="00DE7B1B">
        <w:t>u</w:t>
      </w:r>
      <w:r>
        <w:t>r, orientation toward impersonal sex)</w:t>
      </w:r>
      <w:r w:rsidR="00DE7B1B">
        <w:t>,</w:t>
      </w:r>
      <w:r>
        <w:t xml:space="preserve"> which may be independent causal factors in both heavy drinking and criminal behaviour or may be exacerbated by alcohol consumption </w:t>
      </w:r>
      <w:r>
        <w:fldChar w:fldCharType="begin"/>
      </w:r>
      <w:r w:rsidR="00F244F6">
        <w:instrText xml:space="preserve"> ADDIN ZOTERO_ITEM CSL_CITATION {"citationID":"jTpduV1m","properties":{"formattedCitation":"(Testa and Cleveland 2017)","plainCitation":"(Testa and Cleveland 2017)","noteIndex":0},"citationItems":[{"id":71620,"uris":["http://zotero.org/groups/4944822/items/GDU8SVMX"],"itemData":{"id":71620,"type":"article-journal","abstract":"OBJECTIVE: The current longitudinal study was designed to consider the time-varying effects of men's heavy episodic drinking (HED) and drinking setting attendance on college sexual assault perpetration.\nMETHOD: Freshman men (N = 992) were recruited in their first semester and completed online measures at the end of their first five semesters. Using multilevel models, we examined whether men with higher frequency HED (or party or bar attendance) were more likely to perpetrate sexual assault (between-person, Level 2 effect) and whether sexual assault perpetration was more likely in semesters in which HED (or party or bar attendance) was higher than each individual's average (within-person, Level 1 effect).\nRESULTS: The between-person effect of HED on sexual assault was not significant after accounting for the between-person effects of antisocial behavior, impersonal sex orientation, and low self-control. The within-person effect of HED on sexual assault perpetration was not significant. However, models substituting frequency of party attendance or bar attendance revealed both between- and within-person effects. The odds of sexual assault were increased for men with higher bar and party attendance than the sample as a whole, and in semesters in which party or bar attendance was higher than their own average. Supplemental analyses suggested that these drinking setting effects were explained by hookups, with sexual assault perpetration more likely in semesters in which the number of hookups exceeded one's own average.\nCONCLUSIONS: Findings point toward the importance of drinking contexts, rather than drinking per se, as predictors of college men's sexual assault perpetration.","container-title":"Journal of Studies on Alcohol and Drugs","DOI":"10.15288/jsad.2017.78.5","ISSN":"1938-4114","issue":"1","journalAbbreviation":"J Stud Alcohol Drugs","language":"eng","note":"PMID: 27936357\nPMCID: PMC5148750","page":"5-13","source":"PubMed","title":"Does Alcohol Contribute to College Men's Sexual Assault Perpetration? Between- and Within-Person Effects Over Five Semesters","title-short":"Does Alcohol Contribute to College Men's Sexual Assault Perpetration?","volume":"78","author":[{"family":"Testa","given":"Maria"},{"family":"Cleveland","given":"Michael J."}],"issued":{"date-parts":[["2017",1]]}}}],"schema":"https://github.com/citation-style-language/schema/raw/master/csl-citation.json"} </w:instrText>
      </w:r>
      <w:r>
        <w:fldChar w:fldCharType="separate"/>
      </w:r>
      <w:r w:rsidRPr="00C04DE0">
        <w:rPr>
          <w:rFonts w:cs="Calibri"/>
        </w:rPr>
        <w:t>(Testa and Cleveland 2017)</w:t>
      </w:r>
      <w:r>
        <w:fldChar w:fldCharType="end"/>
      </w:r>
      <w:r>
        <w:t xml:space="preserve">. </w:t>
      </w:r>
    </w:p>
    <w:p w14:paraId="0669FE2E" w14:textId="108AF9B5" w:rsidR="00D87A95" w:rsidRDefault="00D87A95" w:rsidP="00D87A95">
      <w:pPr>
        <w:pStyle w:val="USBodyText"/>
      </w:pPr>
      <w:r w:rsidRPr="00280A37">
        <w:t xml:space="preserve">Some studies also suggest </w:t>
      </w:r>
      <w:r>
        <w:t>p</w:t>
      </w:r>
      <w:r w:rsidRPr="00280A37">
        <w:t xml:space="preserve">erpetrators </w:t>
      </w:r>
      <w:r>
        <w:t xml:space="preserve">of crime </w:t>
      </w:r>
      <w:r w:rsidRPr="00280A37">
        <w:t>might use alcohol as a means to justify their behavio</w:t>
      </w:r>
      <w:r>
        <w:t>u</w:t>
      </w:r>
      <w:r w:rsidRPr="00280A37">
        <w:t xml:space="preserve">r or diminish their level </w:t>
      </w:r>
      <w:r w:rsidR="003C0270">
        <w:t>or perceived level</w:t>
      </w:r>
      <w:r w:rsidR="005E3FF9" w:rsidRPr="00CD19C4">
        <w:rPr>
          <w:rStyle w:val="FootnoteReference"/>
        </w:rPr>
        <w:footnoteReference w:id="11"/>
      </w:r>
      <w:r w:rsidR="003C0270">
        <w:t xml:space="preserve"> </w:t>
      </w:r>
      <w:r w:rsidRPr="00280A37">
        <w:t>of responsibility</w:t>
      </w:r>
      <w:r>
        <w:t xml:space="preserve"> (see</w:t>
      </w:r>
      <w:r w:rsidR="00DE7B1B">
        <w:t>,</w:t>
      </w:r>
      <w:r>
        <w:t xml:space="preserve"> for example</w:t>
      </w:r>
      <w:r w:rsidR="00DE7B1B">
        <w:t>,</w:t>
      </w:r>
      <w:r>
        <w:t xml:space="preserve"> </w:t>
      </w:r>
      <w:r>
        <w:fldChar w:fldCharType="begin"/>
      </w:r>
      <w:r w:rsidR="00F244F6">
        <w:instrText xml:space="preserve"> ADDIN ZOTERO_ITEM CSL_CITATION {"citationID":"BRIwCssB","properties":{"custom":"Abbey 2002","formattedCitation":"Abbey 2002","plainCitation":"Abbey 2002","noteIndex":0},"citationItems":[{"id":71618,"uris":["http://zotero.org/groups/4944822/items/LVJ8BJHD"],"itemData":{"id":71618,"type":"article-journal","abstract":"OBJECTIVE: This article summarizes research on the role of alcohol in college students' sexual assault experiences. Sexual assault is extremely common among college students. At least half of these sexual assaults involve alcohol consumption by the perpetrator, the victim or both.\nMETHOD: Two research literatures were reviewed: the sexual assault literature and the literature that examines alcohol's effects on aggressive and sexual behavior.\nRESULTS: Research suggests that alcohol consumption by the perpetrator and/or the victim increases the likelihood of acquaintance sexual assault occurring through multiple pathways. Alcohol's psychological, cognitive and motor effects contribute to sexual assault.\nCONCLUSIONS: Although existing research addresses some important questions, there are many gaps. Methodological limitations of past research are noted, and suggestions are made for future research. In addition, recommendations are made for college prevention programs and policy initiatives.","container-title":"Journal of Studies on Alcohol. Supplement","DOI":"10.15288/jsas.2002.s14.118","ISSN":"0363-468X","issue":"14","journalAbbreviation":"J Stud Alcohol Suppl","language":"eng","note":"PMID: 12022717\nPMCID: PMC4484270","page":"118-128","source":"PubMed","title":"Alcohol-related sexual assault: a common problem among college students","title-short":"Alcohol-related sexual assault","author":[{"family":"Abbey","given":"Antonia"}],"issued":{"date-parts":[["2002",3]]}}}],"schema":"https://github.com/citation-style-language/schema/raw/master/csl-citation.json"} </w:instrText>
      </w:r>
      <w:r>
        <w:fldChar w:fldCharType="separate"/>
      </w:r>
      <w:r w:rsidRPr="000353F1">
        <w:rPr>
          <w:rFonts w:cs="Calibri"/>
        </w:rPr>
        <w:t>Abbey 2002</w:t>
      </w:r>
      <w:r>
        <w:fldChar w:fldCharType="end"/>
      </w:r>
      <w:r>
        <w:t>), adding to the complexity of the problem and raising important concerns about not only the extent of alcohol’s causal role where alcohol has been consumed prior to an offence being committed, but also about insights derived from studies that use offender survey data to identify alcohol consumption</w:t>
      </w:r>
      <w:r w:rsidRPr="00280A37">
        <w:t>.</w:t>
      </w:r>
    </w:p>
    <w:p w14:paraId="2B48E768" w14:textId="2958A671" w:rsidR="00D87A95" w:rsidRDefault="00D87A95" w:rsidP="00D87A95">
      <w:pPr>
        <w:pStyle w:val="USBodyText"/>
      </w:pPr>
      <w:r>
        <w:t>Whatever the mechanism for alcohol’s involvement, o</w:t>
      </w:r>
      <w:r w:rsidRPr="002C02E3">
        <w:t>verseas studies (see</w:t>
      </w:r>
      <w:r w:rsidR="00DE7B1B">
        <w:t>,</w:t>
      </w:r>
      <w:r w:rsidRPr="002C02E3">
        <w:t xml:space="preserve"> for example</w:t>
      </w:r>
      <w:r w:rsidR="00DE7B1B">
        <w:t>,</w:t>
      </w:r>
      <w:r w:rsidRPr="002C02E3">
        <w:t xml:space="preserve"> </w:t>
      </w:r>
      <w:r>
        <w:fldChar w:fldCharType="begin"/>
      </w:r>
      <w:r w:rsidR="00F244F6">
        <w:instrText xml:space="preserve"> ADDIN ZOTERO_ITEM CSL_CITATION {"citationID":"4YlUvWlF","properties":{"custom":"Felson and Staff 2010","formattedCitation":"Felson and Staff 2010","plainCitation":"Felson and Staff 2010","noteIndex":0},"citationItems":[{"id":71619,"uris":["http://zotero.org/groups/4944822/items/IA2JXTGE"],"itemData":{"id":71619,"type":"article-journal","abstract":"The role of alcohol intoxication in different types of criminal behavior was examined using data from a nationally representative sample of inmates (N = 16,698). An attempt was made to isolate the effects of intoxication on violent criminal behavior by controlling for chronic alcohol use and prior offending. The results suggested that intoxication plays its strongest role in homicide and physical and sexual assault but that it also plays a role in robbery and burglary. Dosage effects also provided supporting evidence: The more intoxicated the offender, the greater the effect. However, alcohol played a role in homicide and physical assault even when offenders drank in moderation. The evidence was most consistent with the idea that alcohol has stronger effects on offenses that involve personal confrontation and are therefore more risky. Evidence also suggested that alcohol effects are stronger for dispute-related violence in part because victims are also likely to be intoxicated.","container-title":"Criminal Justice and Behavior","DOI":"10.1177/0093854810382003","ISSN":"0093-8548","issue":"12","language":"en","note":"publisher: SAGE Publications Inc","page":"1343-1360","source":"SAGE Journals","title":"The Effects of Alcohol Intoxication on Violent Versus Other Offending","volume":"37","author":[{"family":"Felson","given":"Richard B."},{"family":"Staff","given":"Jeremy"}],"issued":{"date-parts":[["2010",12,1]]}}}],"schema":"https://github.com/citation-style-language/schema/raw/master/csl-citation.json"} </w:instrText>
      </w:r>
      <w:r>
        <w:fldChar w:fldCharType="separate"/>
      </w:r>
      <w:r w:rsidRPr="002C02E3">
        <w:rPr>
          <w:rFonts w:cs="Calibri"/>
        </w:rPr>
        <w:t>Felson and Staff 2010</w:t>
      </w:r>
      <w:r>
        <w:fldChar w:fldCharType="end"/>
      </w:r>
      <w:r w:rsidRPr="002C02E3">
        <w:t xml:space="preserve">) have found that </w:t>
      </w:r>
      <w:r>
        <w:t xml:space="preserve">the role of </w:t>
      </w:r>
      <w:r w:rsidRPr="002C02E3">
        <w:t>alcohol intoxication is strongest in homicide, sexual assault, robbery and burglary and that its role is still evident in homicide and physical assault even when offenders drank in moderation.</w:t>
      </w:r>
    </w:p>
    <w:p w14:paraId="26E23934" w14:textId="37F9BD01" w:rsidR="00D87A95" w:rsidRDefault="00D87A95" w:rsidP="00D87A95">
      <w:pPr>
        <w:pStyle w:val="USBodyText"/>
      </w:pPr>
      <w:r>
        <w:t>Department of Corrections data (2023) indicates that sexual assault, acts intended to cause injury</w:t>
      </w:r>
      <w:r w:rsidR="00DE7B1B">
        <w:t>,</w:t>
      </w:r>
      <w:r>
        <w:t xml:space="preserve"> and unlawful entry with intent/burglary are common serious offence types in New Zealand prisons (see </w:t>
      </w:r>
      <w:r>
        <w:fldChar w:fldCharType="begin"/>
      </w:r>
      <w:r>
        <w:instrText xml:space="preserve"> REF _Ref153522419 \h </w:instrText>
      </w:r>
      <w:r>
        <w:fldChar w:fldCharType="separate"/>
      </w:r>
      <w:r w:rsidR="00AE166D" w:rsidRPr="00731CA6">
        <w:t>Figure </w:t>
      </w:r>
      <w:r w:rsidR="00AE166D">
        <w:rPr>
          <w:noProof/>
        </w:rPr>
        <w:t>14</w:t>
      </w:r>
      <w:r>
        <w:fldChar w:fldCharType="end"/>
      </w:r>
      <w:r>
        <w:t xml:space="preserve"> below).</w:t>
      </w:r>
    </w:p>
    <w:p w14:paraId="4FB9511D" w14:textId="271CEEC1" w:rsidR="00D87A95" w:rsidRDefault="00D87A95" w:rsidP="00D87A95">
      <w:pPr>
        <w:pStyle w:val="FigureCaption"/>
      </w:pPr>
      <w:bookmarkStart w:id="158" w:name="_Ref153522419"/>
      <w:bookmarkStart w:id="159" w:name="_Toc160633902"/>
      <w:r w:rsidRPr="00731CA6">
        <w:lastRenderedPageBreak/>
        <w:t>Figure </w:t>
      </w:r>
      <w:fldSimple w:instr=" SEQ Figure \* ARABIC ">
        <w:r w:rsidR="00AE166D">
          <w:rPr>
            <w:noProof/>
          </w:rPr>
          <w:t>14</w:t>
        </w:r>
      </w:fldSimple>
      <w:bookmarkEnd w:id="158"/>
      <w:r>
        <w:rPr>
          <w:noProof/>
        </w:rPr>
        <w:t xml:space="preserve"> Prison population by offence type*</w:t>
      </w:r>
      <w:bookmarkEnd w:id="159"/>
    </w:p>
    <w:p w14:paraId="13699B7B" w14:textId="77777777" w:rsidR="00D87A95" w:rsidRDefault="00D87A95" w:rsidP="00D87A95">
      <w:pPr>
        <w:pStyle w:val="USBodyText"/>
      </w:pPr>
      <w:r>
        <w:rPr>
          <w:noProof/>
        </w:rPr>
        <w:drawing>
          <wp:inline distT="0" distB="0" distL="0" distR="0" wp14:anchorId="15D8B3B2" wp14:editId="0BB492BE">
            <wp:extent cx="5658821" cy="2891482"/>
            <wp:effectExtent l="0" t="0" r="0" b="4445"/>
            <wp:docPr id="159429906" name="Picture 159429906" descr="The chart shows bars representing the percentage of a wide range of offence types, with sexual assault being the most common at 21.3%, closely followed by acts intended to cause injury at 19.8%. The lowest bars are for miscellaneous offences at 0.2% and dangerous or negligent acts at 0.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9906" name="Picture 159429906" descr="The chart shows bars representing the percentage of a wide range of offence types, with sexual assault being the most common at 21.3%, closely followed by acts intended to cause injury at 19.8%. The lowest bars are for miscellaneous offences at 0.2% and dangerous or negligent acts at 0.7%">
                      <a:extLst>
                        <a:ext uri="{C183D7F6-B498-43B3-948B-1728B52AA6E4}">
                          <adec:decorative xmlns:adec="http://schemas.microsoft.com/office/drawing/2017/decorative" val="0"/>
                        </a:ext>
                      </a:extLst>
                    </pic:cNvPr>
                    <pic:cNvPicPr/>
                  </pic:nvPicPr>
                  <pic:blipFill>
                    <a:blip r:embed="rId39"/>
                    <a:stretch>
                      <a:fillRect/>
                    </a:stretch>
                  </pic:blipFill>
                  <pic:spPr>
                    <a:xfrm>
                      <a:off x="0" y="0"/>
                      <a:ext cx="5675892" cy="2900205"/>
                    </a:xfrm>
                    <a:prstGeom prst="rect">
                      <a:avLst/>
                    </a:prstGeom>
                  </pic:spPr>
                </pic:pic>
              </a:graphicData>
            </a:graphic>
          </wp:inline>
        </w:drawing>
      </w:r>
    </w:p>
    <w:p w14:paraId="557E7E45" w14:textId="77777777" w:rsidR="00D87A95" w:rsidRDefault="00D87A95" w:rsidP="00D87A95">
      <w:pPr>
        <w:pStyle w:val="USSource"/>
        <w:spacing w:after="120"/>
      </w:pPr>
      <w:r>
        <w:t xml:space="preserve">* </w:t>
      </w:r>
      <w:r w:rsidRPr="000A0EC1">
        <w:t>Prisoners may be convicted of offences across multiple categories. This information is based on the most serious offence a prisoner is convicted of.</w:t>
      </w:r>
    </w:p>
    <w:p w14:paraId="70BF0CEF" w14:textId="30D3E6B7" w:rsidR="00D87A95" w:rsidRDefault="00D87A95" w:rsidP="00D87A95">
      <w:pPr>
        <w:pStyle w:val="USSource"/>
      </w:pPr>
      <w:r>
        <w:t>Source:</w:t>
      </w:r>
      <w:r w:rsidR="008942B1">
        <w:fldChar w:fldCharType="begin"/>
      </w:r>
      <w:r w:rsidR="00F244F6">
        <w:instrText xml:space="preserve"> ADDIN ZOTERO_ITEM CSL_CITATION {"citationID":"lYCdnFiV","properties":{"formattedCitation":"(Department of Corrections 2023)","plainCitation":"(Department of Corrections 2023)","dontUpdate":true,"noteIndex":0},"citationItems":[{"id":72461,"uris":["http://zotero.org/groups/4944822/items/M42CUJ4S"],"itemData":{"id":72461,"type":"report","title":"Prison facts and statistics - September 2023. Quarterly prison statistics.","URL":"https://www.corrections.govt.nz/resources/statistics/quarterly_prison_statistics/prison_stats_september_2023","author":[{"family":"Department of Corrections","given":""}],"issued":{"date-parts":[["2023",9,30]]}}}],"schema":"https://github.com/citation-style-language/schema/raw/master/csl-citation.json"} </w:instrText>
      </w:r>
      <w:r w:rsidR="008942B1">
        <w:fldChar w:fldCharType="separate"/>
      </w:r>
      <w:r w:rsidR="00DE7B1B">
        <w:rPr>
          <w:rFonts w:cs="Calibri"/>
        </w:rPr>
        <w:t xml:space="preserve"> </w:t>
      </w:r>
      <w:r w:rsidR="008942B1" w:rsidRPr="008942B1">
        <w:rPr>
          <w:rFonts w:cs="Calibri"/>
        </w:rPr>
        <w:t xml:space="preserve">Department of Corrections </w:t>
      </w:r>
      <w:r w:rsidR="00DE7B1B">
        <w:rPr>
          <w:rFonts w:cs="Calibri"/>
        </w:rPr>
        <w:t>(</w:t>
      </w:r>
      <w:r w:rsidR="008942B1" w:rsidRPr="008942B1">
        <w:rPr>
          <w:rFonts w:cs="Calibri"/>
        </w:rPr>
        <w:t>2023)</w:t>
      </w:r>
      <w:r w:rsidR="008942B1">
        <w:fldChar w:fldCharType="end"/>
      </w:r>
    </w:p>
    <w:p w14:paraId="6C600DEE" w14:textId="2CB8D878" w:rsidR="00D87A95" w:rsidRDefault="00D87A95" w:rsidP="00D87A95">
      <w:pPr>
        <w:pStyle w:val="USBodyText"/>
      </w:pPr>
      <w:r>
        <w:t>According to the NZ Police 2018 Alcohol Action Plan, the average day in</w:t>
      </w:r>
      <w:r w:rsidRPr="00462D1C">
        <w:t xml:space="preserve"> New Zealand</w:t>
      </w:r>
      <w:r>
        <w:t xml:space="preserve"> sees </w:t>
      </w:r>
      <w:r w:rsidRPr="00462D1C">
        <w:t>103 offences recorded</w:t>
      </w:r>
      <w:r>
        <w:t xml:space="preserve"> </w:t>
      </w:r>
      <w:r w:rsidRPr="00462D1C">
        <w:t>in which the alleged offender had consumed alcohol</w:t>
      </w:r>
      <w:r>
        <w:t xml:space="preserve"> prior to offending (time period not </w:t>
      </w:r>
      <w:r w:rsidRPr="005543C1">
        <w:t xml:space="preserve">provided) </w:t>
      </w:r>
      <w:r w:rsidRPr="005543C1">
        <w:fldChar w:fldCharType="begin"/>
      </w:r>
      <w:r w:rsidR="00F244F6">
        <w:instrText xml:space="preserve"> ADDIN ZOTERO_ITEM CSL_CITATION {"citationID":"nlLe82kB","properties":{"formattedCitation":"(New Zealand Police 2018)","plainCitation":"(New Zealand Police 2018)","noteIndex":0},"citationItems":[{"id":71359,"uris":["http://zotero.org/groups/4944822/items/QLDI78AF"],"itemData":{"id":71359,"type":"webpage","abstract":"The Alcohol Action Plan 2018 assists in reducing alcohol-related harm, offending and victimisation by setting out guiding principles and key actions for staff at all levels of our organisation.","container-title":"New Zealand Police","language":"en","title":"Alcohol Action Plan 2018","URL":"https://www.police.govt.nz/about-us/publication/alcohol-action-plan-2018","author":[{"family":"New Zealand Police","given":""}],"accessed":{"date-parts":[["2023",12,7]]},"issued":{"date-parts":[["2018"]]}}}],"schema":"https://github.com/citation-style-language/schema/raw/master/csl-citation.json"} </w:instrText>
      </w:r>
      <w:r w:rsidRPr="005543C1">
        <w:fldChar w:fldCharType="separate"/>
      </w:r>
      <w:r w:rsidRPr="005543C1">
        <w:rPr>
          <w:rFonts w:cs="Calibri"/>
        </w:rPr>
        <w:t>(New Zealand Police 2018)</w:t>
      </w:r>
      <w:r w:rsidRPr="005543C1">
        <w:fldChar w:fldCharType="end"/>
      </w:r>
      <w:r w:rsidRPr="005543C1">
        <w:t>.</w:t>
      </w:r>
    </w:p>
    <w:p w14:paraId="3C034CE3" w14:textId="47388F67" w:rsidR="00D87A95" w:rsidRDefault="00D87A95" w:rsidP="00D87A95">
      <w:pPr>
        <w:pStyle w:val="USBodyText"/>
      </w:pPr>
      <w:r>
        <w:t>T</w:t>
      </w:r>
      <w:r w:rsidRPr="006D10FF">
        <w:t xml:space="preserve">he New Zealand Arrestee Drug Use Monitoring (NZ-ADUM) study </w:t>
      </w:r>
      <w:r>
        <w:t>t</w:t>
      </w:r>
      <w:r w:rsidRPr="006D10FF">
        <w:t>rack</w:t>
      </w:r>
      <w:r>
        <w:t>ed</w:t>
      </w:r>
      <w:r w:rsidRPr="006D10FF">
        <w:t xml:space="preserve"> trends in alcohol and other drug use among </w:t>
      </w:r>
      <w:r w:rsidR="001235A3">
        <w:t>P</w:t>
      </w:r>
      <w:r w:rsidRPr="006D10FF">
        <w:t>olice detainees in New Zealand</w:t>
      </w:r>
      <w:r>
        <w:t xml:space="preserve"> based on interviews with detainees at four central city police watchhouses until 2016. A report presenting data from this study </w:t>
      </w:r>
      <w:r>
        <w:fldChar w:fldCharType="begin"/>
      </w:r>
      <w:r w:rsidR="00F244F6">
        <w:instrText xml:space="preserve"> ADDIN ZOTERO_ITEM CSL_CITATION {"citationID":"sFieRCSa","properties":{"formattedCitation":"(Wilkins et al. 2017)","plainCitation":"(Wilkins et al. 2017)","noteIndex":0},"citationItems":[{"id":71365,"uris":["http://zotero.org/groups/4944822/items/SLWTMIWF"],"itemData":{"id":71365,"type":"report","event-place":"Palmerston North","language":"en","publisher":"SHORE &amp; Whariki Research Centre College of Health, Massey University","publisher-place":"Palmerston North","source":"Zotero","title":"New Zealand Arrestee Drug Use Monitoring (NZ-ADUM): 2016 report","author":[{"family":"Wilkins","given":"Chris"},{"family":"Prasad","given":"Jitesh"},{"family":"Barnes","given":"Helen Moewaka"},{"family":"Romeo","given":"J S"},{"family":"Rychert","given":"Marta"}],"issued":{"date-parts":[["2017"]]}}}],"schema":"https://github.com/citation-style-language/schema/raw/master/csl-citation.json"} </w:instrText>
      </w:r>
      <w:r>
        <w:fldChar w:fldCharType="separate"/>
      </w:r>
      <w:r w:rsidRPr="00295205">
        <w:rPr>
          <w:rFonts w:cs="Calibri"/>
        </w:rPr>
        <w:t>(Wilkins et al. 2017)</w:t>
      </w:r>
      <w:r>
        <w:fldChar w:fldCharType="end"/>
      </w:r>
      <w:r>
        <w:t xml:space="preserve"> identified that 28 percent of detainees had consumed alcohol prior to their arrest (relevant period of time not stated), down from 41 percent in 2010 (see </w:t>
      </w:r>
      <w:r w:rsidR="00DE7B1B">
        <w:fldChar w:fldCharType="begin"/>
      </w:r>
      <w:r w:rsidR="00DE7B1B">
        <w:instrText xml:space="preserve"> REF _Ref160455581 \h </w:instrText>
      </w:r>
      <w:r w:rsidR="00DE7B1B">
        <w:fldChar w:fldCharType="separate"/>
      </w:r>
      <w:r w:rsidR="00AE166D" w:rsidRPr="00731CA6">
        <w:t>Figure </w:t>
      </w:r>
      <w:r w:rsidR="00AE166D">
        <w:rPr>
          <w:noProof/>
        </w:rPr>
        <w:t>15</w:t>
      </w:r>
      <w:r w:rsidR="00DE7B1B">
        <w:fldChar w:fldCharType="end"/>
      </w:r>
      <w:r w:rsidR="00DE7B1B">
        <w:t xml:space="preserve"> </w:t>
      </w:r>
      <w:r>
        <w:t>below). The authors hypothesise that possible explanations for the reduction include greater use of Pre-Charge Warnings for minor alcohol offences and reduced opening hours for alcohol venues</w:t>
      </w:r>
      <w:r w:rsidR="00DE7B1B">
        <w:t>,</w:t>
      </w:r>
      <w:r>
        <w:t xml:space="preserve"> which may have a greater impact on heavy drinkers.</w:t>
      </w:r>
    </w:p>
    <w:p w14:paraId="2F4D7076" w14:textId="3FB15891" w:rsidR="00D87A95" w:rsidRDefault="00D87A95" w:rsidP="00CD6339">
      <w:pPr>
        <w:pStyle w:val="FigureCaption"/>
      </w:pPr>
      <w:bookmarkStart w:id="160" w:name="_Ref160455581"/>
      <w:bookmarkStart w:id="161" w:name="_Toc160633903"/>
      <w:r w:rsidRPr="00731CA6">
        <w:lastRenderedPageBreak/>
        <w:t>Figure </w:t>
      </w:r>
      <w:fldSimple w:instr=" SEQ Figure \* ARABIC ">
        <w:r w:rsidR="00AE166D">
          <w:rPr>
            <w:noProof/>
          </w:rPr>
          <w:t>15</w:t>
        </w:r>
      </w:fldSimple>
      <w:bookmarkEnd w:id="160"/>
      <w:r>
        <w:rPr>
          <w:noProof/>
        </w:rPr>
        <w:t xml:space="preserve"> Percentage of detainees who had consumed alcohol prior to their arrest</w:t>
      </w:r>
      <w:bookmarkEnd w:id="161"/>
    </w:p>
    <w:p w14:paraId="48E02A2B" w14:textId="77777777" w:rsidR="00D87A95" w:rsidRDefault="00D87A95" w:rsidP="00D87A95">
      <w:pPr>
        <w:pStyle w:val="USBodyText"/>
      </w:pPr>
      <w:r>
        <w:rPr>
          <w:noProof/>
        </w:rPr>
        <w:drawing>
          <wp:inline distT="0" distB="0" distL="0" distR="0" wp14:anchorId="0186DAC5" wp14:editId="787A3EAD">
            <wp:extent cx="4704139" cy="2710157"/>
            <wp:effectExtent l="0" t="0" r="1270" b="0"/>
            <wp:docPr id="1957513919" name="Picture 1957513919" descr="The chart shows bars representing the percentage of detainees who had consumed alcohol prior to their arrest in four cities: Whangarei, Auckland Central, Wellington Central, and Christchurch Central from 2010 to 2016. All locations show the highest percentage occurred between 2011 and 2013, ranging from around 38% in Christchurch Central in 2011 to around 53% in Whangarei in 2012. In more recent years, all locations show a lower percentage, ranging from 20% in Wellington Central to around 35% in Auckland central in 20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13919" name="Picture 1957513919" descr="The chart shows bars representing the percentage of detainees who had consumed alcohol prior to their arrest in four cities: Whangarei, Auckland Central, Wellington Central, and Christchurch Central from 2010 to 2016. All locations show the highest percentage occurred between 2011 and 2013, ranging from around 38% in Christchurch Central in 2011 to around 53% in Whangarei in 2012. In more recent years, all locations show a lower percentage, ranging from 20% in Wellington Central to around 35% in Auckland central in 2016.">
                      <a:extLst>
                        <a:ext uri="{C183D7F6-B498-43B3-948B-1728B52AA6E4}">
                          <adec:decorative xmlns:adec="http://schemas.microsoft.com/office/drawing/2017/decorative" val="0"/>
                        </a:ext>
                      </a:extLst>
                    </pic:cNvPr>
                    <pic:cNvPicPr/>
                  </pic:nvPicPr>
                  <pic:blipFill>
                    <a:blip r:embed="rId40"/>
                    <a:stretch>
                      <a:fillRect/>
                    </a:stretch>
                  </pic:blipFill>
                  <pic:spPr>
                    <a:xfrm>
                      <a:off x="0" y="0"/>
                      <a:ext cx="4726457" cy="2723015"/>
                    </a:xfrm>
                    <a:prstGeom prst="rect">
                      <a:avLst/>
                    </a:prstGeom>
                  </pic:spPr>
                </pic:pic>
              </a:graphicData>
            </a:graphic>
          </wp:inline>
        </w:drawing>
      </w:r>
    </w:p>
    <w:p w14:paraId="5ABEA283" w14:textId="6D4F8CD8" w:rsidR="00D87A95" w:rsidRDefault="00D87A95" w:rsidP="00D87A95">
      <w:pPr>
        <w:pStyle w:val="USSource"/>
      </w:pPr>
      <w:r>
        <w:t xml:space="preserve">Source: </w:t>
      </w:r>
      <w:r>
        <w:fldChar w:fldCharType="begin"/>
      </w:r>
      <w:r w:rsidR="00F244F6">
        <w:instrText xml:space="preserve"> ADDIN ZOTERO_ITEM CSL_CITATION {"citationID":"epLG9pcx","properties":{"formattedCitation":"(Wilkins et al. 2017)","plainCitation":"(Wilkins et al. 2017)","dontUpdate":true,"noteIndex":0},"citationItems":[{"id":71365,"uris":["http://zotero.org/groups/4944822/items/SLWTMIWF"],"itemData":{"id":71365,"type":"report","event-place":"Palmerston North","language":"en","publisher":"SHORE &amp; Whariki Research Centre College of Health, Massey University","publisher-place":"Palmerston North","source":"Zotero","title":"New Zealand Arrestee Drug Use Monitoring (NZ-ADUM): 2016 report","author":[{"family":"Wilkins","given":"Chris"},{"family":"Prasad","given":"Jitesh"},{"family":"Barnes","given":"Helen Moewaka"},{"family":"Romeo","given":"J S"},{"family":"Rychert","given":"Marta"}],"issued":{"date-parts":[["2017"]]}}}],"schema":"https://github.com/citation-style-language/schema/raw/master/csl-citation.json"} </w:instrText>
      </w:r>
      <w:r>
        <w:fldChar w:fldCharType="separate"/>
      </w:r>
      <w:r w:rsidRPr="00295205">
        <w:rPr>
          <w:rFonts w:cs="Calibri"/>
        </w:rPr>
        <w:t xml:space="preserve">Wilkins et al. </w:t>
      </w:r>
      <w:r>
        <w:rPr>
          <w:rFonts w:cs="Calibri"/>
        </w:rPr>
        <w:t>(</w:t>
      </w:r>
      <w:r w:rsidRPr="00295205">
        <w:rPr>
          <w:rFonts w:cs="Calibri"/>
        </w:rPr>
        <w:t>2017)</w:t>
      </w:r>
      <w:r>
        <w:fldChar w:fldCharType="end"/>
      </w:r>
    </w:p>
    <w:p w14:paraId="5E6D7532" w14:textId="382621AD" w:rsidR="00D87A95" w:rsidRDefault="00D87A95" w:rsidP="00D87A95">
      <w:pPr>
        <w:pStyle w:val="USBodyText"/>
      </w:pPr>
      <w:r>
        <w:t xml:space="preserve">Detainees in 2016 (the most recent year of data) reported consuming an average of 14 standard drinks prior to their arrest (see </w:t>
      </w:r>
      <w:r>
        <w:fldChar w:fldCharType="begin"/>
      </w:r>
      <w:r>
        <w:instrText xml:space="preserve"> REF _Ref152846850 \h </w:instrText>
      </w:r>
      <w:r>
        <w:fldChar w:fldCharType="separate"/>
      </w:r>
      <w:r w:rsidR="00AE166D" w:rsidRPr="00731CA6">
        <w:t>Figure </w:t>
      </w:r>
      <w:r w:rsidR="00AE166D">
        <w:rPr>
          <w:noProof/>
        </w:rPr>
        <w:t>16</w:t>
      </w:r>
      <w:r>
        <w:fldChar w:fldCharType="end"/>
      </w:r>
      <w:r>
        <w:t xml:space="preserve"> below). </w:t>
      </w:r>
    </w:p>
    <w:p w14:paraId="2835F7CD" w14:textId="0FCCD63F" w:rsidR="00D87A95" w:rsidRDefault="00D87A95" w:rsidP="00D87A95">
      <w:pPr>
        <w:pStyle w:val="FigureCaption"/>
      </w:pPr>
      <w:bookmarkStart w:id="162" w:name="_Ref152846850"/>
      <w:bookmarkStart w:id="163" w:name="_Toc160633904"/>
      <w:r w:rsidRPr="00731CA6">
        <w:t>Figure </w:t>
      </w:r>
      <w:fldSimple w:instr=" SEQ Figure \* ARABIC ">
        <w:r w:rsidR="00AE166D">
          <w:rPr>
            <w:noProof/>
          </w:rPr>
          <w:t>16</w:t>
        </w:r>
      </w:fldSimple>
      <w:bookmarkEnd w:id="162"/>
      <w:r w:rsidRPr="00731CA6">
        <w:t xml:space="preserve"> </w:t>
      </w:r>
      <w:r w:rsidRPr="002F76E4">
        <w:t>Mean number of standard alcoholic drinks consumed at the time of arrest by location, 2010</w:t>
      </w:r>
      <w:r w:rsidR="005553C7">
        <w:t>–</w:t>
      </w:r>
      <w:proofErr w:type="gramStart"/>
      <w:r w:rsidRPr="002F76E4">
        <w:t>201</w:t>
      </w:r>
      <w:r>
        <w:t>6</w:t>
      </w:r>
      <w:bookmarkEnd w:id="163"/>
      <w:proofErr w:type="gramEnd"/>
    </w:p>
    <w:p w14:paraId="397037E2" w14:textId="77777777" w:rsidR="00D87A95" w:rsidRDefault="00D87A95" w:rsidP="00D87A95">
      <w:pPr>
        <w:pStyle w:val="FigureCaption"/>
      </w:pPr>
      <w:r>
        <w:rPr>
          <w:noProof/>
        </w:rPr>
        <w:drawing>
          <wp:inline distT="0" distB="0" distL="0" distR="0" wp14:anchorId="26C24A41" wp14:editId="51136DBD">
            <wp:extent cx="4688282" cy="2681381"/>
            <wp:effectExtent l="0" t="0" r="0" b="5080"/>
            <wp:docPr id="841116894" name="Picture 841116894" descr="The chart shows bars representing the mean number of standard alcoholic drinks consumed at the time of arrest in four cities: Whangarei, Auckland Central, Wellington Central, and Christchurch Central from 2010 to 2016. Peak numbers of 22 drinks are shown for Whangarei and Wellington Central in 2014 and 2012, respectively. In the most recent year (2016), the number ranges from 12 in Whangarei to 16 in Christchurch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16894" name="Picture 841116894" descr="The chart shows bars representing the mean number of standard alcoholic drinks consumed at the time of arrest in four cities: Whangarei, Auckland Central, Wellington Central, and Christchurch Central from 2010 to 2016. Peak numbers of 22 drinks are shown for Whangarei and Wellington Central in 2014 and 2012, respectively. In the most recent year (2016), the number ranges from 12 in Whangarei to 16 in Christchurch Central."/>
                    <pic:cNvPicPr/>
                  </pic:nvPicPr>
                  <pic:blipFill>
                    <a:blip r:embed="rId41"/>
                    <a:stretch>
                      <a:fillRect/>
                    </a:stretch>
                  </pic:blipFill>
                  <pic:spPr>
                    <a:xfrm>
                      <a:off x="0" y="0"/>
                      <a:ext cx="4701277" cy="2688813"/>
                    </a:xfrm>
                    <a:prstGeom prst="rect">
                      <a:avLst/>
                    </a:prstGeom>
                  </pic:spPr>
                </pic:pic>
              </a:graphicData>
            </a:graphic>
          </wp:inline>
        </w:drawing>
      </w:r>
      <w:r w:rsidRPr="002F76E4" w:rsidDel="00822ACD">
        <w:t xml:space="preserve"> </w:t>
      </w:r>
    </w:p>
    <w:p w14:paraId="211CACB9" w14:textId="618BE613" w:rsidR="00D87A95" w:rsidRDefault="00D87A95" w:rsidP="00D87A95">
      <w:pPr>
        <w:pStyle w:val="USSource"/>
      </w:pPr>
      <w:r>
        <w:t xml:space="preserve">Source: </w:t>
      </w:r>
      <w:r>
        <w:fldChar w:fldCharType="begin"/>
      </w:r>
      <w:r w:rsidR="00F244F6">
        <w:instrText xml:space="preserve"> ADDIN ZOTERO_ITEM CSL_CITATION {"citationID":"76qaHRGu","properties":{"formattedCitation":"(Wilkins et al. 2017)","plainCitation":"(Wilkins et al. 2017)","dontUpdate":true,"noteIndex":0},"citationItems":[{"id":71365,"uris":["http://zotero.org/groups/4944822/items/SLWTMIWF"],"itemData":{"id":71365,"type":"report","event-place":"Palmerston North","language":"en","publisher":"SHORE &amp; Whariki Research Centre College of Health, Massey University","publisher-place":"Palmerston North","source":"Zotero","title":"New Zealand Arrestee Drug Use Monitoring (NZ-ADUM): 2016 report","author":[{"family":"Wilkins","given":"Chris"},{"family":"Prasad","given":"Jitesh"},{"family":"Barnes","given":"Helen Moewaka"},{"family":"Romeo","given":"J S"},{"family":"Rychert","given":"Marta"}],"issued":{"date-parts":[["2017"]]}}}],"schema":"https://github.com/citation-style-language/schema/raw/master/csl-citation.json"} </w:instrText>
      </w:r>
      <w:r>
        <w:fldChar w:fldCharType="separate"/>
      </w:r>
      <w:r w:rsidRPr="00295205">
        <w:rPr>
          <w:rFonts w:cs="Calibri"/>
        </w:rPr>
        <w:t xml:space="preserve">Wilkins et al. </w:t>
      </w:r>
      <w:r>
        <w:rPr>
          <w:rFonts w:cs="Calibri"/>
        </w:rPr>
        <w:t>(</w:t>
      </w:r>
      <w:r w:rsidRPr="00295205">
        <w:rPr>
          <w:rFonts w:cs="Calibri"/>
        </w:rPr>
        <w:t>2017)</w:t>
      </w:r>
      <w:r>
        <w:fldChar w:fldCharType="end"/>
      </w:r>
    </w:p>
    <w:p w14:paraId="641B03F4" w14:textId="39E23538" w:rsidR="00D87A95" w:rsidRDefault="00D87A95" w:rsidP="00D87A95">
      <w:pPr>
        <w:pStyle w:val="USBodyText"/>
      </w:pPr>
      <w:r>
        <w:t>The establishment of the Alcohol and Other Drugs Treatment Courts in 2012 represented an acknowledgement by the justice sector that a traditional criminal justice approach to offences committed under the influence of alcohol and other drugs is ineffective and that a</w:t>
      </w:r>
      <w:r w:rsidRPr="00B531F5">
        <w:t xml:space="preserve"> best practice </w:t>
      </w:r>
      <w:r>
        <w:t xml:space="preserve">approach should seek to break the cycle of offending by addressing underlying substance use disorders. Since 2021, there have been three Alcohol and Other Drugs </w:t>
      </w:r>
      <w:r>
        <w:lastRenderedPageBreak/>
        <w:t>Treatment Courts</w:t>
      </w:r>
      <w:r w:rsidR="00DE7B1B">
        <w:t xml:space="preserve">: </w:t>
      </w:r>
      <w:r>
        <w:t xml:space="preserve">the Auckland District Court, the </w:t>
      </w:r>
      <w:proofErr w:type="spellStart"/>
      <w:r>
        <w:t>Wait</w:t>
      </w:r>
      <w:r w:rsidRPr="00016100">
        <w:t>ā</w:t>
      </w:r>
      <w:r>
        <w:t>kere</w:t>
      </w:r>
      <w:proofErr w:type="spellEnd"/>
      <w:r>
        <w:t xml:space="preserve"> District Court, and the Hamilton District Court.</w:t>
      </w:r>
    </w:p>
    <w:p w14:paraId="46EC3400" w14:textId="36208AB9" w:rsidR="0094393F" w:rsidRDefault="00D87A95" w:rsidP="0094393F">
      <w:pPr>
        <w:pStyle w:val="USBodyText"/>
      </w:pPr>
      <w:r>
        <w:t xml:space="preserve">According to Vote Courts estimates, the Alcohol and Other Drug Treatment </w:t>
      </w:r>
      <w:r w:rsidR="00860798">
        <w:t xml:space="preserve">Courts </w:t>
      </w:r>
      <w:r>
        <w:t>were funded to a value of $</w:t>
      </w:r>
      <w:r w:rsidRPr="00AB5AA7">
        <w:t xml:space="preserve">1,284,000 in 2022/23 and were allocated a further $6,887,000 for the period 2023/24 to 2026/27 </w:t>
      </w:r>
      <w:r w:rsidRPr="00AB5AA7">
        <w:fldChar w:fldCharType="begin"/>
      </w:r>
      <w:r w:rsidR="00F244F6">
        <w:instrText xml:space="preserve"> ADDIN ZOTERO_ITEM CSL_CITATION {"citationID":"193cgyTo","properties":{"formattedCitation":"(Ministry of Justice 2023a)","plainCitation":"(Ministry of Justice 2023a)","noteIndex":0},"citationItems":[{"id":71361,"uris":["http://zotero.org/groups/4944822/items/TME4XQJ3"],"itemData":{"id":71361,"type":"webpage","container-title":"NZ 2023 Budget","genre":"Text","language":"en-NZ","title":"Courts - Estimates by Vote - Budget 2023 - 18 May 2023","URL":"https://www.budget.govt.nz","author":[{"family":"Ministry of Justice","given":""}],"accessed":{"date-parts":[["2023",12,7]]},"issued":{"date-parts":[["2023"]]}}}],"schema":"https://github.com/citation-style-language/schema/raw/master/csl-citation.json"} </w:instrText>
      </w:r>
      <w:r w:rsidRPr="00AB5AA7">
        <w:fldChar w:fldCharType="separate"/>
      </w:r>
      <w:r w:rsidRPr="00AB5AA7">
        <w:rPr>
          <w:rFonts w:cs="Calibri"/>
        </w:rPr>
        <w:t>(Ministry of Justice 2023a)</w:t>
      </w:r>
      <w:r w:rsidRPr="00AB5AA7">
        <w:fldChar w:fldCharType="end"/>
      </w:r>
      <w:r w:rsidRPr="00AB5AA7">
        <w:t>. An unknown portion</w:t>
      </w:r>
      <w:r>
        <w:t xml:space="preserve"> of this cost is attributable to alcohol, as opposed to other drugs.</w:t>
      </w:r>
      <w:bookmarkStart w:id="164" w:name="_Hlk156155461"/>
    </w:p>
    <w:p w14:paraId="22CEB5CD" w14:textId="783BD5B0" w:rsidR="0094393F" w:rsidRDefault="0094393F" w:rsidP="0094393F">
      <w:pPr>
        <w:pStyle w:val="Heading2"/>
      </w:pPr>
      <w:bookmarkStart w:id="165" w:name="_Toc160633852"/>
      <w:r>
        <w:t>Attribution of crime to alcohol</w:t>
      </w:r>
      <w:bookmarkEnd w:id="165"/>
    </w:p>
    <w:p w14:paraId="6F213B7B" w14:textId="1976ABD5" w:rsidR="0094393F" w:rsidRDefault="0094393F" w:rsidP="0094393F">
      <w:pPr>
        <w:pStyle w:val="USBodyText"/>
      </w:pPr>
      <w:r>
        <w:t>A substantial body of research internationally has explored the question of how much crime is attributable to alcohol. This is challenging to identify at a conceptual level and even more challenging to quantify. While published research has left no doubt that alcohol consumption has often occurred around the time that a crime is committed and that many convicted criminals were under the influence of alcohol at the time they committed the crime for which they have been convicted, the three major difficulties for quantifying costs are:</w:t>
      </w:r>
    </w:p>
    <w:p w14:paraId="68F3DEDC" w14:textId="1A0B392E" w:rsidR="0094393F" w:rsidRDefault="0094393F" w:rsidP="0094393F">
      <w:pPr>
        <w:pStyle w:val="USBullet1"/>
      </w:pPr>
      <w:r>
        <w:t>separating the effects of alcohol from the effect</w:t>
      </w:r>
      <w:r w:rsidR="00860798">
        <w:t>s</w:t>
      </w:r>
      <w:r>
        <w:t xml:space="preserve"> of illicit drugs</w:t>
      </w:r>
      <w:r w:rsidR="00860798">
        <w:t>,</w:t>
      </w:r>
      <w:r>
        <w:t xml:space="preserve"> which may be consumed </w:t>
      </w:r>
      <w:proofErr w:type="gramStart"/>
      <w:r>
        <w:t>concurrently</w:t>
      </w:r>
      <w:proofErr w:type="gramEnd"/>
      <w:r>
        <w:t xml:space="preserve"> </w:t>
      </w:r>
    </w:p>
    <w:p w14:paraId="6EB97D74" w14:textId="77777777" w:rsidR="0094393F" w:rsidRDefault="0094393F" w:rsidP="0094393F">
      <w:pPr>
        <w:pStyle w:val="USBullet1"/>
      </w:pPr>
      <w:r>
        <w:t xml:space="preserve">separating the effects of alcohol from the systemic crime inherent in the illicit drug trade with which many convicted criminals may be </w:t>
      </w:r>
      <w:proofErr w:type="gramStart"/>
      <w:r>
        <w:t>associated</w:t>
      </w:r>
      <w:proofErr w:type="gramEnd"/>
    </w:p>
    <w:p w14:paraId="5D0EBBAE" w14:textId="77777777" w:rsidR="0094393F" w:rsidRDefault="0094393F" w:rsidP="0094393F">
      <w:pPr>
        <w:pStyle w:val="USBullet1"/>
      </w:pPr>
      <w:r>
        <w:t>identifying causality in any criminal conviction where there are likely to be multiple correlated variables, as well as both measurable contributing factors and confounding factors.</w:t>
      </w:r>
    </w:p>
    <w:p w14:paraId="1942FBD2" w14:textId="0206FE27" w:rsidR="0094393F" w:rsidRDefault="0094393F" w:rsidP="0094393F">
      <w:pPr>
        <w:pStyle w:val="USBodyText"/>
      </w:pPr>
      <w:r>
        <w:t xml:space="preserve">To quantify the extent of alcohol’s involvement in crime, many recent reports have relied on self-reported data obtained from convicted offenders through, for example, the Computerized Assessment of Substance Abuse (CASA) data. One example of a study that used this data to determine the proportion of crimes attributable to alcohol </w:t>
      </w:r>
      <w:r w:rsidRPr="00AB5AA7">
        <w:fldChar w:fldCharType="begin"/>
      </w:r>
      <w:r w:rsidR="00F244F6">
        <w:instrText xml:space="preserve"> ADDIN ZOTERO_ITEM CSL_CITATION {"citationID":"775gd66S","properties":{"formattedCitation":"(Young et al. 2021)","plainCitation":"(Young et al. 2021)","noteIndex":0},"citationItems":[{"id":69218,"uris":["http://zotero.org/groups/4944822/items/56UNAMY5"],"itemData":{"id":69218,"type":"article-journal","abstract":"Aims Building upon an existing methodology and conceptual framework for estimating the association between the use of substances and crime, we calculated attributable fractions that estimate the proportion of crimes explained by alcohol and six other categories of psychoactive substances. Design Cross-sectional surveys. Setting Canadian federal correctional institutions. Participants Canadian men (n = 27 803) and women (n = 1335) offenders who began serving a custodial sentence in a Canadian federal correctional institution between 2006 and 2016. Measurements Offenders completed the computerized assessment of substance abuse, a self-report tool designed to assess (1) whether the offence for which they were convicted would have occurred had they not been intoxicated from alcohol or another substance, (2) whether they committed the offence to support their alcohol or other substance use and (3) whether they were dependent on alcohol (alcohol dependence scale) or another substance (drug abuse screening test). Offences were grouped into four mutually exclusive categories: violent crimes, non-violent crimes, impaired driving and substance-defined crimes. This study focused on violent and non-violent crime categories. Substances assessed were: alcohol, cannabis, opioids, other central nervous system (CNS) depressants, cocaine, other CNS stimulants and other substances. Findings According to offender self-report, 42% of all violent and non-violent crime would probably not have occurred if the perpetrator had not been under the influence of, or seeking, alcohol or other substances. Between 2006 and 2016, 20% of violent crimes and 7% of non-violent crimes in Canada were considered attributable to alcohol. In contrast, all other psychoactive substance categories combined were associated with 26% of all violent crime and 25% of non-violent crime during the same time-frame. Conclusions Attributable fraction analyses show that more than 42% of Canadian crime resulting in a custodial sentence between 2006 and 2016 would probably not have occurred if the perpetrator had not been under the influence of or seeking alcohol or other drugs. Attributable fractions for alcohol and substance-related crime are a potentially useful resource for estimating the impact of alcohol and other substances on crime.","container-title":"Addiction","DOI":"10.1111/add.15494","ISSN":"1360-0443","issue":"11","language":"en","license":"© 2021 The Authors. Addiction published by John Wiley &amp; Sons Ltd on behalf of Society for the Study of Addiction.","note":"_eprint: https://onlinelibrary.wiley.com/doi/pdf/10.1111/add.15494","page":"3198-3205","source":"Wiley Online Library","title":"Attributable fractions for substance use in relation to crime","volume":"116","author":[{"family":"Young","given":"Matthew M."},{"family":"De Moor","given":"Chealsea"},{"family":"Kent","given":"Pam"},{"family":"Stockwell","given":"Tim"},{"family":"Sherk","given":"Adam"},{"family":"Zhao","given":"Jinhui"},{"family":"Sorge","given":"Justin T."},{"family":"Farrell MacDonald","given":"Shanna"},{"family":"Weekes","given":"John"},{"family":"Biggar","given":"Emily"},{"family":"Maloney-Hall","given":"Bridget"}],"issued":{"date-parts":[["2021"]]}}}],"schema":"https://github.com/citation-style-language/schema/raw/master/csl-citation.json"} </w:instrText>
      </w:r>
      <w:r w:rsidRPr="00AB5AA7">
        <w:fldChar w:fldCharType="separate"/>
      </w:r>
      <w:r w:rsidRPr="00AB5AA7">
        <w:rPr>
          <w:rFonts w:cs="Calibri"/>
        </w:rPr>
        <w:t>(Young et al. 2021)</w:t>
      </w:r>
      <w:r w:rsidRPr="00AB5AA7">
        <w:fldChar w:fldCharType="end"/>
      </w:r>
      <w:r w:rsidRPr="00AB5AA7">
        <w:t xml:space="preserve"> calculated the number of offenders reporting that the crime of which t</w:t>
      </w:r>
      <w:r>
        <w:t xml:space="preserve">hey were convicted would not have occurred if they had not been intoxicated at the time of their offence. This was determined by a positive response to two questions: </w:t>
      </w:r>
    </w:p>
    <w:p w14:paraId="39C37990" w14:textId="77777777" w:rsidR="0094393F" w:rsidRDefault="0094393F" w:rsidP="0094393F">
      <w:pPr>
        <w:pStyle w:val="USBullet1"/>
      </w:pPr>
      <w:r>
        <w:t xml:space="preserve">‘Were you under the influence of alcohol on the day of the offence?’ </w:t>
      </w:r>
    </w:p>
    <w:p w14:paraId="1B1B4DBA" w14:textId="77777777" w:rsidR="0094393F" w:rsidRDefault="0094393F" w:rsidP="0094393F">
      <w:pPr>
        <w:pStyle w:val="USBullet1"/>
      </w:pPr>
      <w:r>
        <w:t xml:space="preserve">‘Do you think you still would have committed this offence had you not been drinking?’. </w:t>
      </w:r>
    </w:p>
    <w:p w14:paraId="018185D5" w14:textId="77777777" w:rsidR="0094393F" w:rsidRDefault="0094393F" w:rsidP="0094393F">
      <w:pPr>
        <w:pStyle w:val="USBodyText"/>
      </w:pPr>
      <w:r>
        <w:t>Studies that employ such data face a data validity concern due to the potential inclination of convicted offenders to obfuscate responsibility for their criminal actions and the potentially unrealistic assumptions of convicted offenders regarding the counterfactual in which they would not have consumed alcohol (i.e. their ability to be realistic about whether they would have committed the crime whilst sober, or whether consumption of illicit drugs which may occur in the absence of alcohol may have led to criminal activity anyway).</w:t>
      </w:r>
    </w:p>
    <w:p w14:paraId="60F7E4C3" w14:textId="77777777" w:rsidR="0094393F" w:rsidRDefault="0094393F" w:rsidP="0094393F">
      <w:pPr>
        <w:pStyle w:val="USBodyText"/>
      </w:pPr>
      <w:r>
        <w:t>The estimated attributable fractions vary widely by crime and context. For example:</w:t>
      </w:r>
    </w:p>
    <w:p w14:paraId="21100960" w14:textId="6769F921" w:rsidR="0094393F" w:rsidRDefault="0094393F" w:rsidP="0094393F">
      <w:pPr>
        <w:pStyle w:val="USBullet1"/>
      </w:pPr>
      <w:r>
        <w:t xml:space="preserve">A major Canadian study </w:t>
      </w:r>
      <w:r w:rsidRPr="00AB5AA7">
        <w:fldChar w:fldCharType="begin"/>
      </w:r>
      <w:r w:rsidR="00F244F6">
        <w:instrText xml:space="preserve"> ADDIN ZOTERO_ITEM CSL_CITATION {"citationID":"xizk6JBA","properties":{"formattedCitation":"(Young et al. 2021)","plainCitation":"(Young et al. 2021)","noteIndex":0},"citationItems":[{"id":69218,"uris":["http://zotero.org/groups/4944822/items/56UNAMY5"],"itemData":{"id":69218,"type":"article-journal","abstract":"Aims Building upon an existing methodology and conceptual framework for estimating the association between the use of substances and crime, we calculated attributable fractions that estimate the proportion of crimes explained by alcohol and six other categories of psychoactive substances. Design Cross-sectional surveys. Setting Canadian federal correctional institutions. Participants Canadian men (n = 27 803) and women (n = 1335) offenders who began serving a custodial sentence in a Canadian federal correctional institution between 2006 and 2016. Measurements Offenders completed the computerized assessment of substance abuse, a self-report tool designed to assess (1) whether the offence for which they were convicted would have occurred had they not been intoxicated from alcohol or another substance, (2) whether they committed the offence to support their alcohol or other substance use and (3) whether they were dependent on alcohol (alcohol dependence scale) or another substance (drug abuse screening test). Offences were grouped into four mutually exclusive categories: violent crimes, non-violent crimes, impaired driving and substance-defined crimes. This study focused on violent and non-violent crime categories. Substances assessed were: alcohol, cannabis, opioids, other central nervous system (CNS) depressants, cocaine, other CNS stimulants and other substances. Findings According to offender self-report, 42% of all violent and non-violent crime would probably not have occurred if the perpetrator had not been under the influence of, or seeking, alcohol or other substances. Between 2006 and 2016, 20% of violent crimes and 7% of non-violent crimes in Canada were considered attributable to alcohol. In contrast, all other psychoactive substance categories combined were associated with 26% of all violent crime and 25% of non-violent crime during the same time-frame. Conclusions Attributable fraction analyses show that more than 42% of Canadian crime resulting in a custodial sentence between 2006 and 2016 would probably not have occurred if the perpetrator had not been under the influence of or seeking alcohol or other drugs. Attributable fractions for alcohol and substance-related crime are a potentially useful resource for estimating the impact of alcohol and other substances on crime.","container-title":"Addiction","DOI":"10.1111/add.15494","ISSN":"1360-0443","issue":"11","language":"en","license":"© 2021 The Authors. Addiction published by John Wiley &amp; Sons Ltd on behalf of Society for the Study of Addiction.","note":"_eprint: https://onlinelibrary.wiley.com/doi/pdf/10.1111/add.15494","page":"3198-3205","source":"Wiley Online Library","title":"Attributable fractions for substance use in relation to crime","volume":"116","author":[{"family":"Young","given":"Matthew M."},{"family":"De Moor","given":"Chealsea"},{"family":"Kent","given":"Pam"},{"family":"Stockwell","given":"Tim"},{"family":"Sherk","given":"Adam"},{"family":"Zhao","given":"Jinhui"},{"family":"Sorge","given":"Justin T."},{"family":"Farrell MacDonald","given":"Shanna"},{"family":"Weekes","given":"John"},{"family":"Biggar","given":"Emily"},{"family":"Maloney-Hall","given":"Bridget"}],"issued":{"date-parts":[["2021"]]}}}],"schema":"https://github.com/citation-style-language/schema/raw/master/csl-citation.json"} </w:instrText>
      </w:r>
      <w:r w:rsidRPr="00AB5AA7">
        <w:fldChar w:fldCharType="separate"/>
      </w:r>
      <w:r w:rsidRPr="00AB5AA7">
        <w:rPr>
          <w:rFonts w:cs="Calibri"/>
        </w:rPr>
        <w:t>(Young et al. 2021)</w:t>
      </w:r>
      <w:r w:rsidRPr="00AB5AA7">
        <w:fldChar w:fldCharType="end"/>
      </w:r>
      <w:r w:rsidRPr="00AB5AA7">
        <w:t xml:space="preserve"> using data from 2006 to 2016 on nearly 30,000 offenders found that just under 17 percent of all offences were attributable to alcohol, with a higher attributable fraction for violent crime (19.9 percent) than non-violent crime (7.2 percent), while other psychoactive substances were the causal factor in 26 percent of violent crime and 25 percent of non-violent crime.</w:t>
      </w:r>
    </w:p>
    <w:p w14:paraId="7F446277" w14:textId="675E9F74" w:rsidR="0094393F" w:rsidRDefault="0094393F" w:rsidP="0094393F">
      <w:pPr>
        <w:pStyle w:val="USBullet1"/>
      </w:pPr>
      <w:r w:rsidRPr="00AB5AA7">
        <w:lastRenderedPageBreak/>
        <w:t xml:space="preserve">An Australian report </w:t>
      </w:r>
      <w:r w:rsidRPr="00AB5AA7">
        <w:fldChar w:fldCharType="begin"/>
      </w:r>
      <w:r w:rsidR="00F244F6">
        <w:instrText xml:space="preserve"> ADDIN ZOTERO_ITEM CSL_CITATION {"citationID":"C4I5GWog","properties":{"formattedCitation":"(Whetton et al. 2021)","plainCitation":"(Whetton et al. 2021)","noteIndex":0},"citationItems":[{"id":63365,"uris":["http://zotero.org/groups/4944822/items/498Q3C4C"],"itemData":{"id":63365,"type":"report","abstract":"The purpose of this study is to provide an updated estimate of the social and economic costs of alcohol use to Australia in recognition of the: length of time since the last substantive national estimate (Collins and Lapsley, 2008); growing evidence for alcohol as a cause of disease and injury; reinterpretation of previous evidence using new methods in relation to the purported ‘protective’ effects of alcohol on chronic disease risk; new Australian guidelines to reduce health risks from drinking alcohol (National Health and Medical Research Council, 2020); and, changing patterns of alcohol consumption in Australia. The most recent and complete harm and economic data available were applied to quantify costs incurred during the 2017/18 financial year.","event-place":"Pert WA","language":"en","publisher":"National Drug Research Institute, Curtin University","publisher-place":"Pert WA","source":"Zotero","title":"Examining the Social and Economic Costs of Alcohol Use in Australia: 2017/18","author":[{"family":"Whetton","given":"Steve"},{"family":"Tait","given":"Robert J."},{"family":"Gilmore","given":"William"},{"family":"Dey","given":"Tania"},{"family":"Agramunt","given":"Seraina"},{"family":"Halim","given":"Suraya Abdul"},{"family":"McEntee","given":"Alice"},{"family":"Mukhtar","given":"Aqif"},{"family":"Roche","given":"Ann"},{"family":"Allsop","given":"Steve"},{"family":"Chikritzhs","given":"Tanya"}],"issued":{"date-parts":[["2021"]]}}}],"schema":"https://github.com/citation-style-language/schema/raw/master/csl-citation.json"} </w:instrText>
      </w:r>
      <w:r w:rsidRPr="00AB5AA7">
        <w:fldChar w:fldCharType="separate"/>
      </w:r>
      <w:r w:rsidRPr="00AB5AA7">
        <w:rPr>
          <w:rFonts w:cs="Calibri"/>
        </w:rPr>
        <w:t>(</w:t>
      </w:r>
      <w:proofErr w:type="spellStart"/>
      <w:r w:rsidRPr="00AB5AA7">
        <w:rPr>
          <w:rFonts w:cs="Calibri"/>
        </w:rPr>
        <w:t>Whetton</w:t>
      </w:r>
      <w:proofErr w:type="spellEnd"/>
      <w:r w:rsidRPr="00AB5AA7">
        <w:rPr>
          <w:rFonts w:cs="Calibri"/>
        </w:rPr>
        <w:t xml:space="preserve"> et al. 2021)</w:t>
      </w:r>
      <w:r w:rsidRPr="00AB5AA7">
        <w:fldChar w:fldCharType="end"/>
      </w:r>
      <w:r>
        <w:t xml:space="preserve"> identified self-reported alcohol-attributable fractions of crime amongst </w:t>
      </w:r>
      <w:r w:rsidR="001235A3">
        <w:t>P</w:t>
      </w:r>
      <w:r>
        <w:t xml:space="preserve">olice detainees, with attribution to alcohol ranging from 4.4 percent for drug offences to 44.8 percent for driving under the influence (DUI) offences, resulting in an average alcohol attribution of 13.7 percent, with a confidence interval of 12.4 to 15.1 percent (see </w:t>
      </w:r>
      <w:r>
        <w:fldChar w:fldCharType="begin"/>
      </w:r>
      <w:r>
        <w:instrText xml:space="preserve"> REF _Ref149047778 \h </w:instrText>
      </w:r>
      <w:r>
        <w:fldChar w:fldCharType="separate"/>
      </w:r>
      <w:r w:rsidR="00AE166D" w:rsidRPr="00731CA6">
        <w:t xml:space="preserve">Table </w:t>
      </w:r>
      <w:r w:rsidR="00AE166D">
        <w:rPr>
          <w:noProof/>
        </w:rPr>
        <w:t>35</w:t>
      </w:r>
      <w:r>
        <w:fldChar w:fldCharType="end"/>
      </w:r>
      <w:r>
        <w:t xml:space="preserve"> below).</w:t>
      </w:r>
    </w:p>
    <w:p w14:paraId="7D827114" w14:textId="04424CA1" w:rsidR="0094393F" w:rsidRPr="00731CA6" w:rsidRDefault="0094393F" w:rsidP="0094393F">
      <w:pPr>
        <w:pStyle w:val="FigureCaption"/>
      </w:pPr>
      <w:bookmarkStart w:id="166" w:name="_Ref149047778"/>
      <w:bookmarkStart w:id="167" w:name="_Toc160633942"/>
      <w:r w:rsidRPr="00731CA6">
        <w:t xml:space="preserve">Table </w:t>
      </w:r>
      <w:fldSimple w:instr=" SEQ Table \* ARABIC ">
        <w:r w:rsidR="00AE166D">
          <w:rPr>
            <w:noProof/>
          </w:rPr>
          <w:t>35</w:t>
        </w:r>
      </w:fldSimple>
      <w:bookmarkEnd w:id="166"/>
      <w:r w:rsidRPr="00731CA6">
        <w:t xml:space="preserve"> </w:t>
      </w:r>
      <w:r w:rsidRPr="001B1FE5">
        <w:t xml:space="preserve">Self-reported alcohol-attributable fractions of crime amongst </w:t>
      </w:r>
      <w:r w:rsidR="001235A3">
        <w:t>P</w:t>
      </w:r>
      <w:r w:rsidRPr="001B1FE5">
        <w:t>olice detainees</w:t>
      </w:r>
      <w:r>
        <w:t xml:space="preserve"> in Australia</w:t>
      </w:r>
      <w:bookmarkEnd w:id="167"/>
    </w:p>
    <w:tbl>
      <w:tblPr>
        <w:tblStyle w:val="TableDefault"/>
        <w:tblW w:w="8221" w:type="dxa"/>
        <w:tblLook w:val="04A0" w:firstRow="1" w:lastRow="0" w:firstColumn="1" w:lastColumn="0" w:noHBand="0" w:noVBand="1"/>
      </w:tblPr>
      <w:tblGrid>
        <w:gridCol w:w="3544"/>
        <w:gridCol w:w="2693"/>
        <w:gridCol w:w="1984"/>
      </w:tblGrid>
      <w:tr w:rsidR="0094393F" w14:paraId="236C2D88" w14:textId="77777777">
        <w:trPr>
          <w:cnfStyle w:val="100000000000" w:firstRow="1" w:lastRow="0" w:firstColumn="0" w:lastColumn="0" w:oddVBand="0" w:evenVBand="0" w:oddHBand="0" w:evenHBand="0" w:firstRowFirstColumn="0" w:firstRowLastColumn="0" w:lastRowFirstColumn="0" w:lastRowLastColumn="0"/>
        </w:trPr>
        <w:tc>
          <w:tcPr>
            <w:tcW w:w="3544" w:type="dxa"/>
          </w:tcPr>
          <w:p w14:paraId="1039043B" w14:textId="77777777" w:rsidR="0094393F" w:rsidRPr="000E62BE" w:rsidRDefault="0094393F">
            <w:pPr>
              <w:pStyle w:val="TSTableHeadingWhite-TopRow"/>
            </w:pPr>
            <w:r w:rsidRPr="000E62BE">
              <w:t>Category of crime</w:t>
            </w:r>
          </w:p>
        </w:tc>
        <w:tc>
          <w:tcPr>
            <w:tcW w:w="2693" w:type="dxa"/>
          </w:tcPr>
          <w:p w14:paraId="7663F790" w14:textId="77777777" w:rsidR="0094393F" w:rsidRPr="000E62BE" w:rsidRDefault="0094393F">
            <w:pPr>
              <w:pStyle w:val="TSTableHeadingWhite-TopRow"/>
              <w:jc w:val="center"/>
            </w:pPr>
            <w:r w:rsidRPr="000E62BE">
              <w:t>Confidence interval</w:t>
            </w:r>
          </w:p>
        </w:tc>
        <w:tc>
          <w:tcPr>
            <w:tcW w:w="1984" w:type="dxa"/>
          </w:tcPr>
          <w:p w14:paraId="741D4EFD" w14:textId="77777777" w:rsidR="0094393F" w:rsidRPr="000E62BE" w:rsidRDefault="0094393F">
            <w:pPr>
              <w:pStyle w:val="TSTableHeadingWhite-TopRow"/>
              <w:jc w:val="center"/>
            </w:pPr>
            <w:r w:rsidRPr="000E62BE">
              <w:t>Central estimate</w:t>
            </w:r>
          </w:p>
        </w:tc>
      </w:tr>
      <w:tr w:rsidR="0094393F" w14:paraId="7B1BFE10" w14:textId="77777777">
        <w:tc>
          <w:tcPr>
            <w:tcW w:w="3544" w:type="dxa"/>
          </w:tcPr>
          <w:p w14:paraId="081B8A5C" w14:textId="77777777" w:rsidR="0094393F" w:rsidRDefault="0094393F">
            <w:pPr>
              <w:pStyle w:val="TSBodyText"/>
            </w:pPr>
            <w:r>
              <w:t>Violent</w:t>
            </w:r>
          </w:p>
        </w:tc>
        <w:tc>
          <w:tcPr>
            <w:tcW w:w="2693" w:type="dxa"/>
          </w:tcPr>
          <w:p w14:paraId="239797A2" w14:textId="77777777" w:rsidR="0094393F" w:rsidRDefault="0094393F">
            <w:pPr>
              <w:pStyle w:val="TSBodyText"/>
              <w:ind w:right="738"/>
              <w:jc w:val="right"/>
            </w:pPr>
            <w:r>
              <w:t>15.6–20.7</w:t>
            </w:r>
          </w:p>
        </w:tc>
        <w:tc>
          <w:tcPr>
            <w:tcW w:w="1984" w:type="dxa"/>
          </w:tcPr>
          <w:p w14:paraId="09A0DBC6" w14:textId="77777777" w:rsidR="0094393F" w:rsidRDefault="0094393F">
            <w:pPr>
              <w:pStyle w:val="TSBodyText"/>
              <w:ind w:right="738"/>
              <w:jc w:val="right"/>
            </w:pPr>
            <w:r>
              <w:t>18.0</w:t>
            </w:r>
          </w:p>
        </w:tc>
      </w:tr>
      <w:tr w:rsidR="0094393F" w14:paraId="77A6E77C" w14:textId="77777777">
        <w:trPr>
          <w:cnfStyle w:val="000000010000" w:firstRow="0" w:lastRow="0" w:firstColumn="0" w:lastColumn="0" w:oddVBand="0" w:evenVBand="0" w:oddHBand="0" w:evenHBand="1" w:firstRowFirstColumn="0" w:firstRowLastColumn="0" w:lastRowFirstColumn="0" w:lastRowLastColumn="0"/>
        </w:trPr>
        <w:tc>
          <w:tcPr>
            <w:tcW w:w="3544" w:type="dxa"/>
          </w:tcPr>
          <w:p w14:paraId="7BEEA26C" w14:textId="77777777" w:rsidR="0094393F" w:rsidRDefault="0094393F">
            <w:pPr>
              <w:pStyle w:val="TSBodyText"/>
            </w:pPr>
            <w:r>
              <w:t>Property</w:t>
            </w:r>
          </w:p>
        </w:tc>
        <w:tc>
          <w:tcPr>
            <w:tcW w:w="2693" w:type="dxa"/>
          </w:tcPr>
          <w:p w14:paraId="0CD9F7C2" w14:textId="77777777" w:rsidR="0094393F" w:rsidRDefault="0094393F">
            <w:pPr>
              <w:pStyle w:val="TSBodyText"/>
              <w:ind w:right="738"/>
              <w:jc w:val="right"/>
            </w:pPr>
            <w:r>
              <w:t xml:space="preserve">6.4 –11.0 </w:t>
            </w:r>
          </w:p>
        </w:tc>
        <w:tc>
          <w:tcPr>
            <w:tcW w:w="1984" w:type="dxa"/>
          </w:tcPr>
          <w:p w14:paraId="21027DF5" w14:textId="77777777" w:rsidR="0094393F" w:rsidRDefault="0094393F">
            <w:pPr>
              <w:pStyle w:val="TSBodyText"/>
              <w:ind w:right="738"/>
              <w:jc w:val="right"/>
            </w:pPr>
            <w:r>
              <w:t>8.4</w:t>
            </w:r>
          </w:p>
        </w:tc>
      </w:tr>
      <w:tr w:rsidR="0094393F" w14:paraId="7B847C86" w14:textId="77777777">
        <w:tc>
          <w:tcPr>
            <w:tcW w:w="3544" w:type="dxa"/>
          </w:tcPr>
          <w:p w14:paraId="590B64D3" w14:textId="77777777" w:rsidR="0094393F" w:rsidRDefault="0094393F">
            <w:pPr>
              <w:pStyle w:val="TSBodyText"/>
            </w:pPr>
            <w:r>
              <w:t>Drug</w:t>
            </w:r>
          </w:p>
        </w:tc>
        <w:tc>
          <w:tcPr>
            <w:tcW w:w="2693" w:type="dxa"/>
          </w:tcPr>
          <w:p w14:paraId="2527D855" w14:textId="77777777" w:rsidR="0094393F" w:rsidRDefault="0094393F">
            <w:pPr>
              <w:pStyle w:val="TSBodyText"/>
              <w:ind w:right="738"/>
              <w:jc w:val="right"/>
            </w:pPr>
            <w:r>
              <w:t>2.3–8.5</w:t>
            </w:r>
          </w:p>
        </w:tc>
        <w:tc>
          <w:tcPr>
            <w:tcW w:w="1984" w:type="dxa"/>
          </w:tcPr>
          <w:p w14:paraId="04A2FB04" w14:textId="77777777" w:rsidR="0094393F" w:rsidRDefault="0094393F">
            <w:pPr>
              <w:pStyle w:val="TSBodyText"/>
              <w:ind w:right="738"/>
              <w:jc w:val="right"/>
            </w:pPr>
            <w:r>
              <w:t>4.4</w:t>
            </w:r>
          </w:p>
        </w:tc>
      </w:tr>
      <w:tr w:rsidR="0094393F" w14:paraId="1BADCCBD" w14:textId="77777777">
        <w:trPr>
          <w:cnfStyle w:val="000000010000" w:firstRow="0" w:lastRow="0" w:firstColumn="0" w:lastColumn="0" w:oddVBand="0" w:evenVBand="0" w:oddHBand="0" w:evenHBand="1" w:firstRowFirstColumn="0" w:firstRowLastColumn="0" w:lastRowFirstColumn="0" w:lastRowLastColumn="0"/>
        </w:trPr>
        <w:tc>
          <w:tcPr>
            <w:tcW w:w="3544" w:type="dxa"/>
          </w:tcPr>
          <w:p w14:paraId="24AA2A1A" w14:textId="77777777" w:rsidR="0094393F" w:rsidRDefault="0094393F">
            <w:pPr>
              <w:pStyle w:val="TSBodyText"/>
            </w:pPr>
            <w:r>
              <w:t>DUI</w:t>
            </w:r>
          </w:p>
        </w:tc>
        <w:tc>
          <w:tcPr>
            <w:tcW w:w="2693" w:type="dxa"/>
          </w:tcPr>
          <w:p w14:paraId="2F1DE004" w14:textId="77777777" w:rsidR="0094393F" w:rsidRDefault="0094393F">
            <w:pPr>
              <w:pStyle w:val="TSBodyText"/>
              <w:ind w:right="738"/>
              <w:jc w:val="right"/>
            </w:pPr>
            <w:r>
              <w:t>28.4–63.0</w:t>
            </w:r>
          </w:p>
        </w:tc>
        <w:tc>
          <w:tcPr>
            <w:tcW w:w="1984" w:type="dxa"/>
          </w:tcPr>
          <w:p w14:paraId="2827D89D" w14:textId="77777777" w:rsidR="0094393F" w:rsidRDefault="0094393F">
            <w:pPr>
              <w:pStyle w:val="TSBodyText"/>
              <w:ind w:right="738"/>
              <w:jc w:val="right"/>
            </w:pPr>
            <w:r>
              <w:t>44.8</w:t>
            </w:r>
          </w:p>
        </w:tc>
      </w:tr>
      <w:tr w:rsidR="0094393F" w14:paraId="05BF13AC" w14:textId="77777777">
        <w:tc>
          <w:tcPr>
            <w:tcW w:w="3544" w:type="dxa"/>
          </w:tcPr>
          <w:p w14:paraId="75942FFF" w14:textId="77777777" w:rsidR="0094393F" w:rsidRDefault="0094393F">
            <w:pPr>
              <w:pStyle w:val="TSBodyText"/>
            </w:pPr>
            <w:r>
              <w:t>Traffic</w:t>
            </w:r>
          </w:p>
        </w:tc>
        <w:tc>
          <w:tcPr>
            <w:tcW w:w="2693" w:type="dxa"/>
          </w:tcPr>
          <w:p w14:paraId="51023276" w14:textId="77777777" w:rsidR="0094393F" w:rsidRDefault="0094393F">
            <w:pPr>
              <w:pStyle w:val="TSBodyText"/>
              <w:ind w:right="738"/>
              <w:jc w:val="right"/>
            </w:pPr>
            <w:r>
              <w:t>3.2–14.4</w:t>
            </w:r>
          </w:p>
        </w:tc>
        <w:tc>
          <w:tcPr>
            <w:tcW w:w="1984" w:type="dxa"/>
          </w:tcPr>
          <w:p w14:paraId="5C56B733" w14:textId="77777777" w:rsidR="0094393F" w:rsidRDefault="0094393F">
            <w:pPr>
              <w:pStyle w:val="TSBodyText"/>
              <w:ind w:right="738"/>
              <w:jc w:val="right"/>
            </w:pPr>
            <w:r>
              <w:t>7.0</w:t>
            </w:r>
          </w:p>
        </w:tc>
      </w:tr>
      <w:tr w:rsidR="0094393F" w14:paraId="68DA0108" w14:textId="77777777">
        <w:trPr>
          <w:cnfStyle w:val="000000010000" w:firstRow="0" w:lastRow="0" w:firstColumn="0" w:lastColumn="0" w:oddVBand="0" w:evenVBand="0" w:oddHBand="0" w:evenHBand="1" w:firstRowFirstColumn="0" w:firstRowLastColumn="0" w:lastRowFirstColumn="0" w:lastRowLastColumn="0"/>
        </w:trPr>
        <w:tc>
          <w:tcPr>
            <w:tcW w:w="3544" w:type="dxa"/>
          </w:tcPr>
          <w:p w14:paraId="0E624F6E" w14:textId="77777777" w:rsidR="0094393F" w:rsidRDefault="0094393F">
            <w:pPr>
              <w:pStyle w:val="TSBodyText"/>
            </w:pPr>
            <w:r>
              <w:t>Disorder</w:t>
            </w:r>
          </w:p>
        </w:tc>
        <w:tc>
          <w:tcPr>
            <w:tcW w:w="2693" w:type="dxa"/>
          </w:tcPr>
          <w:p w14:paraId="6C8DED4D" w14:textId="77777777" w:rsidR="0094393F" w:rsidRDefault="0094393F">
            <w:pPr>
              <w:pStyle w:val="TSBodyText"/>
              <w:ind w:right="738"/>
              <w:jc w:val="right"/>
            </w:pPr>
            <w:r>
              <w:t>20.1–34.8</w:t>
            </w:r>
          </w:p>
        </w:tc>
        <w:tc>
          <w:tcPr>
            <w:tcW w:w="1984" w:type="dxa"/>
          </w:tcPr>
          <w:p w14:paraId="1BD5819C" w14:textId="77777777" w:rsidR="0094393F" w:rsidRDefault="0094393F">
            <w:pPr>
              <w:pStyle w:val="TSBodyText"/>
              <w:ind w:right="738"/>
              <w:jc w:val="right"/>
            </w:pPr>
            <w:r>
              <w:t>26.8</w:t>
            </w:r>
          </w:p>
        </w:tc>
      </w:tr>
      <w:tr w:rsidR="0094393F" w14:paraId="2F3AD2F3" w14:textId="77777777">
        <w:tc>
          <w:tcPr>
            <w:tcW w:w="3544" w:type="dxa"/>
          </w:tcPr>
          <w:p w14:paraId="0E667510" w14:textId="77777777" w:rsidR="0094393F" w:rsidRDefault="0094393F">
            <w:pPr>
              <w:pStyle w:val="TSBodyText"/>
            </w:pPr>
            <w:r>
              <w:t>Breaches</w:t>
            </w:r>
          </w:p>
        </w:tc>
        <w:tc>
          <w:tcPr>
            <w:tcW w:w="2693" w:type="dxa"/>
          </w:tcPr>
          <w:p w14:paraId="0BA5A289" w14:textId="77777777" w:rsidR="0094393F" w:rsidRDefault="0094393F">
            <w:pPr>
              <w:pStyle w:val="TSBodyText"/>
              <w:ind w:right="738"/>
              <w:jc w:val="right"/>
            </w:pPr>
            <w:r>
              <w:t>8.7–14.3</w:t>
            </w:r>
          </w:p>
        </w:tc>
        <w:tc>
          <w:tcPr>
            <w:tcW w:w="1984" w:type="dxa"/>
          </w:tcPr>
          <w:p w14:paraId="6C590C54" w14:textId="77777777" w:rsidR="0094393F" w:rsidRDefault="0094393F">
            <w:pPr>
              <w:pStyle w:val="TSBodyText"/>
              <w:ind w:right="738"/>
              <w:jc w:val="right"/>
            </w:pPr>
            <w:r>
              <w:t>11.2</w:t>
            </w:r>
          </w:p>
        </w:tc>
      </w:tr>
      <w:tr w:rsidR="0094393F" w14:paraId="6309DA7B" w14:textId="77777777">
        <w:trPr>
          <w:cnfStyle w:val="000000010000" w:firstRow="0" w:lastRow="0" w:firstColumn="0" w:lastColumn="0" w:oddVBand="0" w:evenVBand="0" w:oddHBand="0" w:evenHBand="1" w:firstRowFirstColumn="0" w:firstRowLastColumn="0" w:lastRowFirstColumn="0" w:lastRowLastColumn="0"/>
        </w:trPr>
        <w:tc>
          <w:tcPr>
            <w:tcW w:w="3544" w:type="dxa"/>
          </w:tcPr>
          <w:p w14:paraId="7EBB856C" w14:textId="77777777" w:rsidR="0094393F" w:rsidRDefault="0094393F">
            <w:pPr>
              <w:pStyle w:val="TSBodyText"/>
            </w:pPr>
            <w:r>
              <w:t>Other</w:t>
            </w:r>
          </w:p>
        </w:tc>
        <w:tc>
          <w:tcPr>
            <w:tcW w:w="2693" w:type="dxa"/>
          </w:tcPr>
          <w:p w14:paraId="7AFA7592" w14:textId="77777777" w:rsidR="0094393F" w:rsidRDefault="0094393F">
            <w:pPr>
              <w:pStyle w:val="TSBodyText"/>
              <w:ind w:right="738"/>
              <w:jc w:val="right"/>
            </w:pPr>
            <w:r>
              <w:t>8.5–7.9</w:t>
            </w:r>
          </w:p>
        </w:tc>
        <w:tc>
          <w:tcPr>
            <w:tcW w:w="1984" w:type="dxa"/>
          </w:tcPr>
          <w:p w14:paraId="757D4D42" w14:textId="77777777" w:rsidR="0094393F" w:rsidRDefault="0094393F">
            <w:pPr>
              <w:pStyle w:val="TSBodyText"/>
              <w:ind w:right="738"/>
              <w:jc w:val="right"/>
            </w:pPr>
            <w:r>
              <w:t>19.2</w:t>
            </w:r>
          </w:p>
        </w:tc>
      </w:tr>
      <w:tr w:rsidR="0094393F" w14:paraId="14CD6A2D" w14:textId="77777777">
        <w:tc>
          <w:tcPr>
            <w:tcW w:w="3544" w:type="dxa"/>
          </w:tcPr>
          <w:p w14:paraId="0C0F841E" w14:textId="77777777" w:rsidR="0094393F" w:rsidRDefault="0094393F">
            <w:pPr>
              <w:pStyle w:val="TSBodyText"/>
            </w:pPr>
            <w:r>
              <w:t>Total</w:t>
            </w:r>
          </w:p>
        </w:tc>
        <w:tc>
          <w:tcPr>
            <w:tcW w:w="2693" w:type="dxa"/>
          </w:tcPr>
          <w:p w14:paraId="4A4C27CC" w14:textId="77777777" w:rsidR="0094393F" w:rsidRDefault="0094393F">
            <w:pPr>
              <w:pStyle w:val="TSBodyText"/>
              <w:ind w:right="738"/>
              <w:jc w:val="right"/>
            </w:pPr>
            <w:r>
              <w:t>12.4–15.1</w:t>
            </w:r>
          </w:p>
        </w:tc>
        <w:tc>
          <w:tcPr>
            <w:tcW w:w="1984" w:type="dxa"/>
          </w:tcPr>
          <w:p w14:paraId="669FA016" w14:textId="77777777" w:rsidR="0094393F" w:rsidRDefault="0094393F">
            <w:pPr>
              <w:pStyle w:val="TSBodyText"/>
              <w:ind w:right="738"/>
              <w:jc w:val="right"/>
            </w:pPr>
            <w:r>
              <w:t>13.7</w:t>
            </w:r>
          </w:p>
        </w:tc>
      </w:tr>
    </w:tbl>
    <w:p w14:paraId="276EEF54" w14:textId="77777777" w:rsidR="0094393F" w:rsidRPr="00731CA6" w:rsidRDefault="0094393F" w:rsidP="0094393F">
      <w:pPr>
        <w:pStyle w:val="USSource"/>
      </w:pPr>
      <w:r w:rsidRPr="00731CA6">
        <w:t xml:space="preserve">Source: </w:t>
      </w:r>
      <w:proofErr w:type="spellStart"/>
      <w:r>
        <w:t>Whetton</w:t>
      </w:r>
      <w:proofErr w:type="spellEnd"/>
      <w:r>
        <w:t xml:space="preserve"> et al. (2021) analysis of data from the Australian Institute of Criminology (AIC) </w:t>
      </w:r>
      <w:r w:rsidRPr="00A25918">
        <w:t>Drug Use Monitoring in Australia</w:t>
      </w:r>
      <w:r>
        <w:t xml:space="preserve"> (DUMA) collection (2020)</w:t>
      </w:r>
    </w:p>
    <w:p w14:paraId="65E03F15" w14:textId="77777777" w:rsidR="0094393F" w:rsidRDefault="0094393F" w:rsidP="0094393F">
      <w:pPr>
        <w:pStyle w:val="Heading3"/>
      </w:pPr>
      <w:r>
        <w:t>Recent evidence from New Zealand of causal attribution to alcohol</w:t>
      </w:r>
    </w:p>
    <w:p w14:paraId="66E0F31A" w14:textId="46299C0B" w:rsidR="0094393F" w:rsidRDefault="0094393F" w:rsidP="0094393F">
      <w:pPr>
        <w:pStyle w:val="USBodyText"/>
      </w:pPr>
      <w:r>
        <w:t>Because causal attribution to alcohol is highly dependent on context, New Zealand estimates have been a critical missing element of previous reports on the costs of alcohol harms in New Zealand. However, local evidence is beginning to emerge</w:t>
      </w:r>
      <w:r w:rsidR="004C57E8">
        <w:t>, contributing</w:t>
      </w:r>
      <w:r>
        <w:t xml:space="preserve"> to an increasingly robust and relevant evidence base. </w:t>
      </w:r>
    </w:p>
    <w:p w14:paraId="5EDB0A8E" w14:textId="455436D9" w:rsidR="0094393F" w:rsidRDefault="0094393F" w:rsidP="0094393F">
      <w:pPr>
        <w:pStyle w:val="USBodyText"/>
      </w:pPr>
      <w:r>
        <w:t xml:space="preserve">A major 30-year longitudinal study </w:t>
      </w:r>
      <w:r w:rsidRPr="00AB5AA7">
        <w:fldChar w:fldCharType="begin"/>
      </w:r>
      <w:r w:rsidR="00F244F6">
        <w:instrText xml:space="preserve"> ADDIN ZOTERO_ITEM CSL_CITATION {"citationID":"KaGPPfUM","properties":{"formattedCitation":"(Boden, Fergusson, and Horwood 2013)","plainCitation":"(Boden, Fergusson, and Horwood 2013)","noteIndex":0},"citationItems":[{"id":66495,"uris":["http://zotero.org/groups/4944822/items/69ZNNTAN"],"itemData":{"id":66495,"type":"article-journal","abstract":"Background\nThis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rsidRPr="00AB5AA7">
        <w:fldChar w:fldCharType="separate"/>
      </w:r>
      <w:r w:rsidRPr="00AB5AA7">
        <w:rPr>
          <w:rFonts w:cs="Calibri"/>
        </w:rPr>
        <w:t>(Boden, Fergusson, and Horwood 2013)</w:t>
      </w:r>
      <w:r w:rsidRPr="00AB5AA7">
        <w:fldChar w:fldCharType="end"/>
      </w:r>
      <w:r w:rsidRPr="00AB5AA7">
        <w:t xml:space="preserve"> on</w:t>
      </w:r>
      <w:r>
        <w:t xml:space="preserve"> alcohol misuse and criminal offending in New Zealand indicates a clear causal relationship between alcohol misuse and “impulsive” crimes, such as assault and property damage/vandalism/arson. The estimated causal attribution to alcohol from this study is 9.6 to 9.9 percent of impulsive crimes. This is lower than the total 13.7 percent central estimate reported </w:t>
      </w:r>
      <w:r w:rsidRPr="00550257">
        <w:t xml:space="preserve">by </w:t>
      </w:r>
      <w:r w:rsidRPr="00550257">
        <w:fldChar w:fldCharType="begin"/>
      </w:r>
      <w:r w:rsidR="00F244F6">
        <w:instrText xml:space="preserve"> ADDIN ZOTERO_ITEM CSL_CITATION {"citationID":"uMpwWbds","properties":{"formattedCitation":"(Whetton et al. 2021)","plainCitation":"(Whetton et al. 2021)","dontUpdate":true,"noteIndex":0},"citationItems":[{"id":63365,"uris":["http://zotero.org/groups/4944822/items/498Q3C4C"],"itemData":{"id":63365,"type":"report","abstract":"The purpose of this study is to provide an updated estimate of the social and economic costs of alcohol use to Australia in recognition of the: length of time since the last substantive national estimate (Collins and Lapsley, 2008); growing evidence for alcohol as a cause of disease and injury; reinterpretation of previous evidence using new methods in relation to the purported ‘protective’ effects of alcohol on chronic disease risk; new Australian guidelines to reduce health risks from drinking alcohol (National Health and Medical Research Council, 2020); and, changing patterns of alcohol consumption in Australia. The most recent and complete harm and economic data available were applied to quantify costs incurred during the 2017/18 financial year.","event-place":"Pert WA","language":"en","publisher":"National Drug Research Institute, Curtin University","publisher-place":"Pert WA","source":"Zotero","title":"Examining the Social and Economic Costs of Alcohol Use in Australia: 2017/18","author":[{"family":"Whetton","given":"Steve"},{"family":"Tait","given":"Robert J."},{"family":"Gilmore","given":"William"},{"family":"Dey","given":"Tania"},{"family":"Agramunt","given":"Seraina"},{"family":"Halim","given":"Suraya Abdul"},{"family":"McEntee","given":"Alice"},{"family":"Mukhtar","given":"Aqif"},{"family":"Roche","given":"Ann"},{"family":"Allsop","given":"Steve"},{"family":"Chikritzhs","given":"Tanya"}],"issued":{"date-parts":[["2021"]]}}}],"schema":"https://github.com/citation-style-language/schema/raw/master/csl-citation.json"} </w:instrText>
      </w:r>
      <w:r w:rsidRPr="00550257">
        <w:fldChar w:fldCharType="separate"/>
      </w:r>
      <w:proofErr w:type="spellStart"/>
      <w:r w:rsidRPr="00550257">
        <w:rPr>
          <w:rFonts w:cs="Calibri"/>
        </w:rPr>
        <w:t>Whetton</w:t>
      </w:r>
      <w:proofErr w:type="spellEnd"/>
      <w:r w:rsidRPr="00550257">
        <w:rPr>
          <w:rFonts w:cs="Calibri"/>
        </w:rPr>
        <w:t xml:space="preserve"> et al. (2021)</w:t>
      </w:r>
      <w:r w:rsidRPr="00550257">
        <w:fldChar w:fldCharType="end"/>
      </w:r>
      <w:r w:rsidR="004C57E8">
        <w:t>; however</w:t>
      </w:r>
      <w:r w:rsidRPr="00550257">
        <w:t>,</w:t>
      </w:r>
      <w:r>
        <w:t xml:space="preserve"> the method of estimation is different, with the New Zealand study using econometric techniques to control for confounding factors and avoid relying on offenders’ own assessments. </w:t>
      </w:r>
    </w:p>
    <w:p w14:paraId="7C099655" w14:textId="4AC90F67" w:rsidR="00F27B98" w:rsidRDefault="009714AC" w:rsidP="00F27B98">
      <w:pPr>
        <w:pStyle w:val="Heading2"/>
      </w:pPr>
      <w:bookmarkStart w:id="168" w:name="_Toc160633853"/>
      <w:r>
        <w:t>Evidence of</w:t>
      </w:r>
      <w:r w:rsidR="002039F3">
        <w:t xml:space="preserve"> </w:t>
      </w:r>
      <w:r w:rsidR="004C57E8">
        <w:t>alcohol-</w:t>
      </w:r>
      <w:r w:rsidR="002039F3">
        <w:t>attributable c</w:t>
      </w:r>
      <w:r w:rsidR="00F27B98">
        <w:t>osts of crime</w:t>
      </w:r>
      <w:bookmarkEnd w:id="168"/>
    </w:p>
    <w:p w14:paraId="16D93A1C" w14:textId="77777777" w:rsidR="00F27B98" w:rsidRDefault="00F27B98" w:rsidP="00F27B98">
      <w:pPr>
        <w:pStyle w:val="USBodyText"/>
      </w:pPr>
      <w:r>
        <w:t>The costs of crime are substantial and include a wide range of components, each of which must be estimated based on specific unit costs and resource use. These include:</w:t>
      </w:r>
    </w:p>
    <w:p w14:paraId="26970822" w14:textId="1E60C3D4" w:rsidR="00F27B98" w:rsidRDefault="00DB108A" w:rsidP="00F27B98">
      <w:pPr>
        <w:pStyle w:val="USBullet1"/>
      </w:pPr>
      <w:r>
        <w:t>P</w:t>
      </w:r>
      <w:r w:rsidR="004C57E8">
        <w:t xml:space="preserve">olice </w:t>
      </w:r>
      <w:r w:rsidR="00F27B98">
        <w:t>costs</w:t>
      </w:r>
    </w:p>
    <w:p w14:paraId="0B1FD087" w14:textId="01455497" w:rsidR="00F27B98" w:rsidRDefault="004C57E8" w:rsidP="00F27B98">
      <w:pPr>
        <w:pStyle w:val="USBullet1"/>
      </w:pPr>
      <w:r>
        <w:t xml:space="preserve">court </w:t>
      </w:r>
      <w:r w:rsidR="00F27B98">
        <w:t>costs</w:t>
      </w:r>
    </w:p>
    <w:p w14:paraId="5E8F8C27" w14:textId="5BCADDA6" w:rsidR="00F27B98" w:rsidRDefault="004C57E8" w:rsidP="00F27B98">
      <w:pPr>
        <w:pStyle w:val="USBullet1"/>
      </w:pPr>
      <w:r>
        <w:t xml:space="preserve">costs </w:t>
      </w:r>
      <w:r w:rsidR="00F27B98">
        <w:t xml:space="preserve">associated with sentences, the most significant being the cost of incarceration, but also the costs associated with home detention, parole processes and </w:t>
      </w:r>
      <w:proofErr w:type="gramStart"/>
      <w:r w:rsidR="00F27B98">
        <w:t>monitoring</w:t>
      </w:r>
      <w:proofErr w:type="gramEnd"/>
    </w:p>
    <w:p w14:paraId="4400AE73" w14:textId="10A61D5F" w:rsidR="00F27B98" w:rsidRDefault="004C57E8" w:rsidP="00F27B98">
      <w:pPr>
        <w:pStyle w:val="USBullet1"/>
      </w:pPr>
      <w:r>
        <w:lastRenderedPageBreak/>
        <w:t xml:space="preserve">private </w:t>
      </w:r>
      <w:r w:rsidR="00F27B98">
        <w:t>costs, including costs associated with crime prevention (alarms, security, etc), insurance, and victim impacts, such as stress or pain and suffering and financial costs)</w:t>
      </w:r>
    </w:p>
    <w:p w14:paraId="69315C66" w14:textId="4FC19250" w:rsidR="00F27B98" w:rsidRDefault="004C57E8" w:rsidP="00F27B98">
      <w:pPr>
        <w:pStyle w:val="USBullet1"/>
      </w:pPr>
      <w:r>
        <w:t xml:space="preserve">costs </w:t>
      </w:r>
      <w:r w:rsidR="00F27B98">
        <w:t>of services and programmes to support victims of crime.</w:t>
      </w:r>
    </w:p>
    <w:p w14:paraId="25B2A11A" w14:textId="748931AC" w:rsidR="00F27B98" w:rsidRDefault="00F27B98" w:rsidP="00F27B98">
      <w:pPr>
        <w:pStyle w:val="USBodyText"/>
      </w:pPr>
      <w:r>
        <w:t xml:space="preserve">A major report detailing the costs of crime (all crime, irrespective of attribution to alcohol) in New Zealand was published by The Treasury in 2006, based on 2003/04 </w:t>
      </w:r>
      <w:r w:rsidRPr="00AB5AA7">
        <w:t xml:space="preserve">data </w:t>
      </w:r>
      <w:r w:rsidRPr="00AB5AA7">
        <w:fldChar w:fldCharType="begin"/>
      </w:r>
      <w:r w:rsidR="00F244F6">
        <w:instrText xml:space="preserve"> ADDIN ZOTERO_ITEM CSL_CITATION {"citationID":"sFQZKFDp","properties":{"formattedCitation":"(Roper and Thompson 2006)","plainCitation":"(Roper and Thompson 2006)","noteIndex":0},"citationItems":[{"id":71367,"uris":["http://zotero.org/groups/4944822/items/FQQWX44I"],"itemData":{"id":71367,"type":"report","event-place":"Wellington","genre":"New Zealand Treasury Working Paper 06/04","language":"en","publisher":"The Treasury","publisher-place":"Wellington","source":"Zotero","title":"Estimating the costs of crime in New Zealand in 2003/04","author":[{"family":"Roper","given":"Tim"},{"family":"Thompson","given":"Andrew"}],"issued":{"date-parts":[["2006"]]}}}],"schema":"https://github.com/citation-style-language/schema/raw/master/csl-citation.json"} </w:instrText>
      </w:r>
      <w:r w:rsidRPr="00AB5AA7">
        <w:fldChar w:fldCharType="separate"/>
      </w:r>
      <w:r w:rsidRPr="00AB5AA7">
        <w:rPr>
          <w:rFonts w:cs="Calibri"/>
        </w:rPr>
        <w:t>(Roper and Thompson 2006)</w:t>
      </w:r>
      <w:r w:rsidRPr="00AB5AA7">
        <w:fldChar w:fldCharType="end"/>
      </w:r>
      <w:r w:rsidRPr="00AB5AA7">
        <w:t>. The total</w:t>
      </w:r>
      <w:r>
        <w:t xml:space="preserve"> costs of crime for 2003/04 were estimated to be $9.1 billion, with $7 billion representing private sector costs and $2.1 billion representing public sector costs (2003/04 dollars).</w:t>
      </w:r>
    </w:p>
    <w:p w14:paraId="50DB3970" w14:textId="77777777" w:rsidR="00F27B98" w:rsidRDefault="00F27B98" w:rsidP="00F27B98">
      <w:pPr>
        <w:pStyle w:val="USBodyText"/>
      </w:pPr>
      <w:r>
        <w:t>While the Treasury report represented a significant contribution to the evidence base for many research studies that require justice sector costs, it has not been updated since. With unit costs being 20 years old, this report no longer provides estimates that can be reasonably applied to obtain comprehensive estimates of the costs of alcohol-attributable crime, with the key concerns being:</w:t>
      </w:r>
    </w:p>
    <w:p w14:paraId="0537531C" w14:textId="77777777" w:rsidR="00F27B98" w:rsidRDefault="00F27B98" w:rsidP="00F27B98">
      <w:pPr>
        <w:pStyle w:val="USBullet1"/>
      </w:pPr>
      <w:r>
        <w:t xml:space="preserve">the potential for significant misestimation of current costs due to the use of broad inflation measures to adjust costs over a long period of </w:t>
      </w:r>
      <w:proofErr w:type="gramStart"/>
      <w:r>
        <w:t>time</w:t>
      </w:r>
      <w:proofErr w:type="gramEnd"/>
    </w:p>
    <w:p w14:paraId="367C0F59" w14:textId="77777777" w:rsidR="00F27B98" w:rsidRDefault="00F27B98" w:rsidP="00F27B98">
      <w:pPr>
        <w:pStyle w:val="USBullet1"/>
      </w:pPr>
      <w:r>
        <w:t>the potential for justice sector structures, processes and resource use to have significantly changed over a long period of time, resulting in different cost implications.</w:t>
      </w:r>
    </w:p>
    <w:p w14:paraId="7401B32E" w14:textId="77777777" w:rsidR="009714AC" w:rsidRDefault="00F27B98" w:rsidP="002039F3">
      <w:pPr>
        <w:pStyle w:val="USBodyText"/>
      </w:pPr>
      <w:r>
        <w:t>T</w:t>
      </w:r>
      <w:r w:rsidR="009714AC">
        <w:t>hree</w:t>
      </w:r>
      <w:r>
        <w:t xml:space="preserve"> justice sector costs, however, were able to be informed by recent estimates: </w:t>
      </w:r>
    </w:p>
    <w:p w14:paraId="317EDB6F" w14:textId="5016E7DF" w:rsidR="009714AC" w:rsidRDefault="00F27B98" w:rsidP="009714AC">
      <w:pPr>
        <w:pStyle w:val="USBullet1"/>
      </w:pPr>
      <w:r>
        <w:t xml:space="preserve">the cost of incarceration </w:t>
      </w:r>
      <w:r w:rsidR="009714AC">
        <w:t xml:space="preserve">for </w:t>
      </w:r>
      <w:r w:rsidR="00AD21B3">
        <w:t>alcohol-</w:t>
      </w:r>
      <w:r w:rsidR="009714AC">
        <w:t>attributable crime</w:t>
      </w:r>
    </w:p>
    <w:p w14:paraId="3C6EF378" w14:textId="48250523" w:rsidR="009714AC" w:rsidRDefault="009714AC" w:rsidP="009714AC">
      <w:pPr>
        <w:pStyle w:val="USBullet1"/>
      </w:pPr>
      <w:r>
        <w:t xml:space="preserve">the cost of </w:t>
      </w:r>
      <w:r w:rsidRPr="009714AC">
        <w:t>programmes and services to address family harms</w:t>
      </w:r>
      <w:r>
        <w:t xml:space="preserve"> attributable to </w:t>
      </w:r>
      <w:proofErr w:type="gramStart"/>
      <w:r>
        <w:t>alcohol</w:t>
      </w:r>
      <w:proofErr w:type="gramEnd"/>
    </w:p>
    <w:p w14:paraId="5FE304BA" w14:textId="19CA2391" w:rsidR="00CA56AE" w:rsidRDefault="00CA56AE" w:rsidP="009714AC">
      <w:pPr>
        <w:pStyle w:val="USBullet1"/>
      </w:pPr>
      <w:r>
        <w:t xml:space="preserve">the costs of funeral grants to victims of </w:t>
      </w:r>
      <w:r w:rsidR="00AD21B3">
        <w:t>alcohol-</w:t>
      </w:r>
      <w:r>
        <w:t>attributable homicides</w:t>
      </w:r>
    </w:p>
    <w:p w14:paraId="50658952" w14:textId="584D19AE" w:rsidR="00F27B98" w:rsidRDefault="00F27B98" w:rsidP="009714AC">
      <w:pPr>
        <w:pStyle w:val="USBullet1"/>
      </w:pPr>
      <w:r>
        <w:t xml:space="preserve">the private costs of </w:t>
      </w:r>
      <w:r w:rsidR="00AD21B3">
        <w:t>alcohol-</w:t>
      </w:r>
      <w:r w:rsidR="009714AC">
        <w:t xml:space="preserve">attributable </w:t>
      </w:r>
      <w:r>
        <w:t>crime</w:t>
      </w:r>
      <w:r w:rsidR="00AE1115">
        <w:t xml:space="preserve"> (the latter are estimated </w:t>
      </w:r>
      <w:r w:rsidR="00AE1115" w:rsidRPr="00AE1115">
        <w:t>in</w:t>
      </w:r>
      <w:r w:rsidR="00AE1115">
        <w:t xml:space="preserve"> </w:t>
      </w:r>
      <w:r w:rsidR="00AD21B3">
        <w:t>section</w:t>
      </w:r>
      <w:r w:rsidR="00AD21B3" w:rsidRPr="00AE1115">
        <w:t xml:space="preserve"> </w:t>
      </w:r>
      <w:r w:rsidR="00AE1115" w:rsidRPr="00AE1115">
        <w:t>7</w:t>
      </w:r>
      <w:r w:rsidR="00AE1115">
        <w:t>)</w:t>
      </w:r>
      <w:r>
        <w:t xml:space="preserve">. </w:t>
      </w:r>
    </w:p>
    <w:p w14:paraId="6251ED46" w14:textId="20DEFD08" w:rsidR="00F27B98" w:rsidRDefault="00F27B98" w:rsidP="00F27B98">
      <w:pPr>
        <w:pStyle w:val="USBodyText"/>
      </w:pPr>
      <w:r>
        <w:t xml:space="preserve">Even as a small component of the likely costs of crime (and alcohol-attributable crime), incarceration is a significant fiscal cost, an important area of policy concern, and a particularly poor outcome for many people whose actions leading to incarceration are associated with alcohol. </w:t>
      </w:r>
      <w:r w:rsidRPr="006331B7">
        <w:t>According to the Department of Corrections, the average annual cost of housing a prisoner was $90,977 in 2009 (equivalent to $127,105 in 2023). This is broadly consistent with a statement by the Corrections Minister in 2018 that the cost of housing a prisoner was around $100,000 (equivalent to $121,281 in 2023).</w:t>
      </w:r>
      <w:r w:rsidR="0032639A">
        <w:t xml:space="preserve"> However, where </w:t>
      </w:r>
      <w:r w:rsidR="00F43A0D">
        <w:t xml:space="preserve">costs associated with </w:t>
      </w:r>
      <w:r w:rsidR="0032639A">
        <w:t xml:space="preserve">small changes in </w:t>
      </w:r>
      <w:r w:rsidR="00F43A0D">
        <w:t xml:space="preserve">prison population are being estimated, the Treasury advise that the marginal cost of keeping a person in prison should be used. This is estimated to be </w:t>
      </w:r>
      <w:r w:rsidR="00F43A0D" w:rsidRPr="00F43A0D">
        <w:t>$16,893</w:t>
      </w:r>
      <w:r w:rsidR="00F43A0D">
        <w:t xml:space="preserve"> per annum in 2023 dollars (Treasury 2022).</w:t>
      </w:r>
    </w:p>
    <w:p w14:paraId="35192AC7" w14:textId="262084E2" w:rsidR="00F27B98" w:rsidRDefault="009714AC" w:rsidP="00F27B98">
      <w:pPr>
        <w:pStyle w:val="Heading2"/>
      </w:pPr>
      <w:bookmarkStart w:id="169" w:name="_Toc160633854"/>
      <w:r>
        <w:t>Estimated c</w:t>
      </w:r>
      <w:r w:rsidR="00F27B98">
        <w:t>osts</w:t>
      </w:r>
      <w:r w:rsidR="00AE1115">
        <w:t xml:space="preserve"> to government</w:t>
      </w:r>
      <w:r w:rsidR="00F27B98">
        <w:t xml:space="preserve"> of</w:t>
      </w:r>
      <w:r w:rsidR="00AE1115">
        <w:t xml:space="preserve"> </w:t>
      </w:r>
      <w:r w:rsidR="00F27B98">
        <w:t>incarceration</w:t>
      </w:r>
      <w:r w:rsidR="00AE1115">
        <w:t xml:space="preserve"> for </w:t>
      </w:r>
      <w:r w:rsidR="00AE1115" w:rsidRPr="00AE1115">
        <w:t>alcohol-attributable</w:t>
      </w:r>
      <w:r w:rsidR="00AE1115">
        <w:t xml:space="preserve"> </w:t>
      </w:r>
      <w:proofErr w:type="gramStart"/>
      <w:r w:rsidR="00AE1115">
        <w:t>crime</w:t>
      </w:r>
      <w:bookmarkEnd w:id="169"/>
      <w:proofErr w:type="gramEnd"/>
    </w:p>
    <w:p w14:paraId="218ADA6E" w14:textId="77777777" w:rsidR="00F27B98" w:rsidRDefault="00F27B98" w:rsidP="00F27B98">
      <w:pPr>
        <w:pStyle w:val="USBodyText"/>
      </w:pPr>
      <w:r>
        <w:t>The fiscal costs of incarceration attributable to alcohol are a function of:</w:t>
      </w:r>
    </w:p>
    <w:p w14:paraId="66EA6209" w14:textId="77777777" w:rsidR="00F27B98" w:rsidRPr="00361428" w:rsidRDefault="00F27B98" w:rsidP="00F27B98">
      <w:pPr>
        <w:pStyle w:val="USBullet1"/>
      </w:pPr>
      <w:r w:rsidRPr="00361428">
        <w:t xml:space="preserve">the number of people convicted and sentenced to </w:t>
      </w:r>
      <w:proofErr w:type="gramStart"/>
      <w:r w:rsidRPr="00361428">
        <w:t>prison</w:t>
      </w:r>
      <w:proofErr w:type="gramEnd"/>
    </w:p>
    <w:p w14:paraId="48BFD653" w14:textId="77777777" w:rsidR="00F27B98" w:rsidRDefault="00F27B98" w:rsidP="00F27B98">
      <w:pPr>
        <w:pStyle w:val="USBullet1"/>
      </w:pPr>
      <w:r>
        <w:t xml:space="preserve">the fraction of prison sentences that are attributable to </w:t>
      </w:r>
      <w:proofErr w:type="gramStart"/>
      <w:r>
        <w:t>alcohol</w:t>
      </w:r>
      <w:proofErr w:type="gramEnd"/>
    </w:p>
    <w:p w14:paraId="028E0CF1" w14:textId="77777777" w:rsidR="00F27B98" w:rsidRDefault="00F27B98" w:rsidP="00F27B98">
      <w:pPr>
        <w:pStyle w:val="USBullet1"/>
      </w:pPr>
      <w:r>
        <w:t>the length of prison sentences</w:t>
      </w:r>
    </w:p>
    <w:p w14:paraId="1E93246A" w14:textId="77777777" w:rsidR="00F27B98" w:rsidRDefault="00F27B98" w:rsidP="00F27B98">
      <w:pPr>
        <w:pStyle w:val="USBullet1"/>
      </w:pPr>
      <w:r>
        <w:t xml:space="preserve">the fraction of prison sentences </w:t>
      </w:r>
      <w:proofErr w:type="gramStart"/>
      <w:r>
        <w:t>served</w:t>
      </w:r>
      <w:proofErr w:type="gramEnd"/>
    </w:p>
    <w:p w14:paraId="0DE8A618" w14:textId="77777777" w:rsidR="00F27B98" w:rsidRPr="00465DEF" w:rsidRDefault="00F27B98" w:rsidP="00F27B98">
      <w:pPr>
        <w:pStyle w:val="USBullet1"/>
      </w:pPr>
      <w:r w:rsidRPr="00361428">
        <w:t>the cost per person per year of incarceration</w:t>
      </w:r>
      <w:r>
        <w:t>.</w:t>
      </w:r>
      <w:r w:rsidRPr="00AE5620">
        <w:rPr>
          <w:noProof/>
        </w:rPr>
        <w:t xml:space="preserve"> </w:t>
      </w:r>
    </w:p>
    <w:p w14:paraId="5E2A1F69" w14:textId="259DE710" w:rsidR="00F27B98" w:rsidRDefault="00F27B98" w:rsidP="0055004E">
      <w:pPr>
        <w:pStyle w:val="USBodyText"/>
      </w:pPr>
      <w:r>
        <w:lastRenderedPageBreak/>
        <w:t xml:space="preserve">We estimate the alcohol-attributable fraction using the estimates of </w:t>
      </w:r>
      <w:r>
        <w:fldChar w:fldCharType="begin"/>
      </w:r>
      <w:r w:rsidR="00F244F6">
        <w:instrText xml:space="preserve"> ADDIN ZOTERO_ITEM CSL_CITATION {"citationID":"0oGIggnL","properties":{"formattedCitation":"(Boden, Fergusson, and Horwood 2013)","plainCitation":"(Boden, Fergusson, and Horwood 2013)","dontUpdate":true,"noteIndex":0},"citationItems":[{"id":66495,"uris":["http://zotero.org/groups/4944822/items/69ZNNTAN"],"itemData":{"id":66495,"type":"article-journal","abstract":"Background\nThis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fldChar w:fldCharType="separate"/>
      </w:r>
      <w:r w:rsidRPr="00032AB3">
        <w:rPr>
          <w:rFonts w:cs="Calibri"/>
        </w:rPr>
        <w:t xml:space="preserve">Boden, Fergusson, and Horwood </w:t>
      </w:r>
      <w:r>
        <w:rPr>
          <w:rFonts w:cs="Calibri"/>
        </w:rPr>
        <w:t>(</w:t>
      </w:r>
      <w:r w:rsidRPr="00032AB3">
        <w:rPr>
          <w:rFonts w:cs="Calibri"/>
        </w:rPr>
        <w:t>2013)</w:t>
      </w:r>
      <w:r>
        <w:fldChar w:fldCharType="end"/>
      </w:r>
      <w:r>
        <w:t xml:space="preserve"> applied to crimes that are likely to be impulsive (9.6 to 9.9 percent). This assessment was made based on Ministry of Justice data describing categories of offences using t</w:t>
      </w:r>
      <w:r w:rsidRPr="001D4E76">
        <w:t xml:space="preserve">he Australian and New Zealand </w:t>
      </w:r>
      <w:r>
        <w:t xml:space="preserve">Standard Offence Classification (ANZSOC). We classified each crime at the subdivision level </w:t>
      </w:r>
      <w:r w:rsidR="00AD21B3">
        <w:t>based on</w:t>
      </w:r>
      <w:r>
        <w:t xml:space="preserve"> definitions, inclusions and exclusions, and an assessment of whether such crimes are likely to be committed impulsively, erring on the side of inclusion due to the relatively low attributable fraction and the low number of crimes where impulsivity was less clear (see </w:t>
      </w:r>
      <w:r w:rsidR="002975B7">
        <w:t>Appendix F</w:t>
      </w:r>
      <w:r>
        <w:t>).</w:t>
      </w:r>
    </w:p>
    <w:p w14:paraId="374B6DB0" w14:textId="77777777" w:rsidR="006639E7" w:rsidRDefault="00F43A0D" w:rsidP="00F27B98">
      <w:pPr>
        <w:pStyle w:val="USBodyText"/>
      </w:pPr>
      <w:r>
        <w:t xml:space="preserve">Because it is unclear whether the </w:t>
      </w:r>
      <w:r w:rsidR="006639E7">
        <w:t xml:space="preserve">impact of alcohol on the overall prison population would be considered small enough to warrant the use of marginal costs rather than average costs, we use </w:t>
      </w:r>
      <w:proofErr w:type="gramStart"/>
      <w:r w:rsidR="006639E7">
        <w:t>two unit</w:t>
      </w:r>
      <w:proofErr w:type="gramEnd"/>
      <w:r w:rsidR="006639E7">
        <w:t xml:space="preserve"> costs:</w:t>
      </w:r>
    </w:p>
    <w:p w14:paraId="08C63F7C" w14:textId="77777777" w:rsidR="006639E7" w:rsidRDefault="00F27B98" w:rsidP="006639E7">
      <w:pPr>
        <w:pStyle w:val="USBullet1"/>
      </w:pPr>
      <w:r>
        <w:t xml:space="preserve">a value of $125,000 per year </w:t>
      </w:r>
      <w:r w:rsidR="006639E7">
        <w:t xml:space="preserve">to represent the average </w:t>
      </w:r>
      <w:r>
        <w:t xml:space="preserve">cost of </w:t>
      </w:r>
      <w:r w:rsidRPr="006331B7">
        <w:t>housing a prisoner</w:t>
      </w:r>
      <w:r>
        <w:t xml:space="preserve"> – a round number between the two values described in the previous </w:t>
      </w:r>
      <w:proofErr w:type="gramStart"/>
      <w:r>
        <w:t>section</w:t>
      </w:r>
      <w:proofErr w:type="gramEnd"/>
    </w:p>
    <w:p w14:paraId="1103E87F" w14:textId="5325C817" w:rsidR="00F27B98" w:rsidRDefault="006639E7" w:rsidP="006639E7">
      <w:pPr>
        <w:pStyle w:val="USBullet1"/>
      </w:pPr>
      <w:r>
        <w:t>a value of $16</w:t>
      </w:r>
      <w:r w:rsidR="00550787">
        <w:t>,893 per year to represent the marginal cost of housing an additional prisoner for an additional year (the value proposed by the Treasury)</w:t>
      </w:r>
      <w:r w:rsidR="00F27B98">
        <w:t>.</w:t>
      </w:r>
    </w:p>
    <w:p w14:paraId="5DFB1272" w14:textId="44CC8A16" w:rsidR="00F27B98" w:rsidRDefault="00F27B98" w:rsidP="00F27B98">
      <w:pPr>
        <w:pStyle w:val="USBodyText"/>
      </w:pPr>
      <w:r>
        <w:t>The Ministry of Justice provided a dataset of prison sentences, the number of people sentenced, and the ANZSOC categories and subdivisions for 2022</w:t>
      </w:r>
      <w:r w:rsidR="00BC5D5F">
        <w:t>,</w:t>
      </w:r>
      <w:r>
        <w:t xml:space="preserve"> as well as an estimate of the length of prison sentences served (59 percent) based on the most recent year of prisoners released.</w:t>
      </w:r>
      <w:r w:rsidR="005610BF">
        <w:t xml:space="preserve"> These include </w:t>
      </w:r>
      <w:r w:rsidR="005F43DA">
        <w:t xml:space="preserve">incarcerations for first offences and subsequent offences that occur </w:t>
      </w:r>
      <w:r w:rsidR="0012434A">
        <w:t>each year.</w:t>
      </w:r>
    </w:p>
    <w:p w14:paraId="03FF961B" w14:textId="77777777" w:rsidR="00F27B98" w:rsidRDefault="00F27B98" w:rsidP="00F27B98">
      <w:pPr>
        <w:pStyle w:val="USBodyText"/>
      </w:pPr>
      <w:r>
        <w:t>Consistent with other reports estimating this cost, we estimate the total discounted cost of the entire sentence expected to be served as a cost incurred in 2023.</w:t>
      </w:r>
    </w:p>
    <w:p w14:paraId="7F2E327E" w14:textId="3DF8152D" w:rsidR="00F27B98" w:rsidRDefault="00F27B98" w:rsidP="00F27B98">
      <w:pPr>
        <w:pStyle w:val="USBodyText"/>
      </w:pPr>
      <w:r>
        <w:t xml:space="preserve">The estimated fiscal cost of </w:t>
      </w:r>
      <w:r w:rsidR="007F3650">
        <w:t xml:space="preserve">incarceration for </w:t>
      </w:r>
      <w:r>
        <w:t xml:space="preserve">alcohol-attributable crime is approximately $41.4 million for 2023, based on the midpoint of causal attribution estimated by </w:t>
      </w:r>
      <w:r>
        <w:fldChar w:fldCharType="begin"/>
      </w:r>
      <w:r w:rsidR="00F244F6">
        <w:instrText xml:space="preserve"> ADDIN ZOTERO_ITEM CSL_CITATION {"citationID":"TkGi7mxQ","properties":{"formattedCitation":"(Boden, Fergusson, and Horwood 2013)","plainCitation":"(Boden, Fergusson, and Horwood 2013)","dontUpdate":true,"noteIndex":0},"citationItems":[{"id":66495,"uris":["http://zotero.org/groups/4944822/items/69ZNNTAN"],"itemData":{"id":66495,"type":"article-journal","abstract":"Background\nThis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fldChar w:fldCharType="separate"/>
      </w:r>
      <w:r w:rsidRPr="00032AB3">
        <w:rPr>
          <w:rFonts w:cs="Calibri"/>
        </w:rPr>
        <w:t xml:space="preserve">Boden, Fergusson, and Horwood </w:t>
      </w:r>
      <w:r>
        <w:rPr>
          <w:rFonts w:cs="Calibri"/>
        </w:rPr>
        <w:t>(</w:t>
      </w:r>
      <w:r w:rsidRPr="00032AB3">
        <w:rPr>
          <w:rFonts w:cs="Calibri"/>
        </w:rPr>
        <w:t>2013)</w:t>
      </w:r>
      <w:r>
        <w:fldChar w:fldCharType="end"/>
      </w:r>
      <w:r>
        <w:t xml:space="preserve"> (see </w:t>
      </w:r>
      <w:r>
        <w:fldChar w:fldCharType="begin"/>
      </w:r>
      <w:r>
        <w:instrText xml:space="preserve"> REF _Ref149047841 \h </w:instrText>
      </w:r>
      <w:r>
        <w:fldChar w:fldCharType="separate"/>
      </w:r>
      <w:r w:rsidR="00AE166D" w:rsidRPr="00731CA6">
        <w:t xml:space="preserve">Table </w:t>
      </w:r>
      <w:r w:rsidR="00AE166D">
        <w:rPr>
          <w:noProof/>
        </w:rPr>
        <w:t>36</w:t>
      </w:r>
      <w:r>
        <w:fldChar w:fldCharType="end"/>
      </w:r>
      <w:r>
        <w:t xml:space="preserve"> below).</w:t>
      </w:r>
    </w:p>
    <w:p w14:paraId="2A53FDD1" w14:textId="0EDD254F" w:rsidR="00F27B98" w:rsidRPr="00731CA6" w:rsidRDefault="00F27B98" w:rsidP="00F27B98">
      <w:pPr>
        <w:pStyle w:val="TableCaption"/>
        <w:keepLines/>
      </w:pPr>
      <w:bookmarkStart w:id="170" w:name="_Ref149047841"/>
      <w:bookmarkStart w:id="171" w:name="_Toc160633943"/>
      <w:r w:rsidRPr="00731CA6">
        <w:t xml:space="preserve">Table </w:t>
      </w:r>
      <w:fldSimple w:instr=" SEQ Table \* ARABIC ">
        <w:r w:rsidR="00AE166D">
          <w:rPr>
            <w:noProof/>
          </w:rPr>
          <w:t>36</w:t>
        </w:r>
      </w:fldSimple>
      <w:bookmarkEnd w:id="170"/>
      <w:r w:rsidRPr="00731CA6">
        <w:t xml:space="preserve"> </w:t>
      </w:r>
      <w:r>
        <w:t xml:space="preserve">Estimated fiscal costs of </w:t>
      </w:r>
      <w:r w:rsidR="005340D7">
        <w:t xml:space="preserve">incarceration for </w:t>
      </w:r>
      <w:r>
        <w:t xml:space="preserve">alcohol-attributable </w:t>
      </w:r>
      <w:proofErr w:type="gramStart"/>
      <w:r w:rsidR="005340D7">
        <w:t>crime</w:t>
      </w:r>
      <w:bookmarkEnd w:id="171"/>
      <w:proofErr w:type="gramEnd"/>
      <w:r>
        <w:t xml:space="preserve"> </w:t>
      </w:r>
    </w:p>
    <w:p w14:paraId="733D0015" w14:textId="56930A69" w:rsidR="00F27B98" w:rsidRDefault="00985EF2" w:rsidP="00F27B98">
      <w:pPr>
        <w:pStyle w:val="CaptionSubheading"/>
        <w:keepLines/>
      </w:pPr>
      <w:r>
        <w:t>2023</w:t>
      </w:r>
    </w:p>
    <w:tbl>
      <w:tblPr>
        <w:tblStyle w:val="TableDefault"/>
        <w:tblW w:w="0" w:type="auto"/>
        <w:tblLook w:val="04A0" w:firstRow="1" w:lastRow="0" w:firstColumn="1" w:lastColumn="0" w:noHBand="0" w:noVBand="1"/>
      </w:tblPr>
      <w:tblGrid>
        <w:gridCol w:w="4961"/>
        <w:gridCol w:w="2678"/>
      </w:tblGrid>
      <w:tr w:rsidR="00F27B98" w:rsidRPr="00655EA7" w14:paraId="0DE30B36" w14:textId="77777777">
        <w:trPr>
          <w:cnfStyle w:val="100000000000" w:firstRow="1" w:lastRow="0" w:firstColumn="0" w:lastColumn="0" w:oddVBand="0" w:evenVBand="0" w:oddHBand="0" w:evenHBand="0" w:firstRowFirstColumn="0" w:firstRowLastColumn="0" w:lastRowFirstColumn="0" w:lastRowLastColumn="0"/>
          <w:trHeight w:val="288"/>
        </w:trPr>
        <w:tc>
          <w:tcPr>
            <w:tcW w:w="4961" w:type="dxa"/>
            <w:noWrap/>
            <w:hideMark/>
          </w:tcPr>
          <w:p w14:paraId="06391893" w14:textId="77777777" w:rsidR="00F27B98" w:rsidRPr="00DD64B5" w:rsidRDefault="00F27B98">
            <w:pPr>
              <w:pStyle w:val="TSTableHeadingWhite-TopRow"/>
              <w:rPr>
                <w:b w:val="0"/>
                <w:bCs/>
                <w:color w:val="FFFFFF" w:themeColor="background1"/>
              </w:rPr>
            </w:pPr>
            <w:r w:rsidRPr="00DD64B5">
              <w:t>Parameter</w:t>
            </w:r>
          </w:p>
        </w:tc>
        <w:tc>
          <w:tcPr>
            <w:tcW w:w="2678" w:type="dxa"/>
            <w:noWrap/>
            <w:hideMark/>
          </w:tcPr>
          <w:p w14:paraId="57706517" w14:textId="77777777" w:rsidR="00F27B98" w:rsidRPr="00DD64B5" w:rsidRDefault="00F27B98">
            <w:pPr>
              <w:pStyle w:val="TSTableHeadingWhite-TopRow"/>
              <w:jc w:val="center"/>
              <w:rPr>
                <w:b w:val="0"/>
                <w:bCs/>
                <w:color w:val="FFFFFF" w:themeColor="background1"/>
              </w:rPr>
            </w:pPr>
            <w:r w:rsidRPr="00DD64B5">
              <w:t>Value</w:t>
            </w:r>
          </w:p>
        </w:tc>
      </w:tr>
      <w:tr w:rsidR="00F27B98" w:rsidRPr="00655EA7" w14:paraId="567E0324" w14:textId="77777777">
        <w:trPr>
          <w:trHeight w:val="288"/>
        </w:trPr>
        <w:tc>
          <w:tcPr>
            <w:tcW w:w="4961" w:type="dxa"/>
            <w:noWrap/>
            <w:hideMark/>
          </w:tcPr>
          <w:p w14:paraId="7924B120" w14:textId="71905197" w:rsidR="00F27B98" w:rsidRPr="00225F55" w:rsidRDefault="00F27B98">
            <w:pPr>
              <w:pStyle w:val="TSBodyText"/>
              <w:keepNext/>
              <w:keepLines/>
            </w:pPr>
            <w:r w:rsidRPr="00225F55">
              <w:t xml:space="preserve">Total </w:t>
            </w:r>
            <w:r w:rsidR="009B6A25">
              <w:t xml:space="preserve">discounted </w:t>
            </w:r>
            <w:r w:rsidRPr="00225F55">
              <w:t>years served for impulsive crimes</w:t>
            </w:r>
          </w:p>
        </w:tc>
        <w:tc>
          <w:tcPr>
            <w:tcW w:w="2678" w:type="dxa"/>
            <w:noWrap/>
            <w:hideMark/>
          </w:tcPr>
          <w:p w14:paraId="0FAC0D11" w14:textId="4C8D849A" w:rsidR="00F27B98" w:rsidRPr="00225F55" w:rsidRDefault="00F27B98" w:rsidP="006B0250">
            <w:pPr>
              <w:pStyle w:val="TSBodyText"/>
              <w:keepNext/>
              <w:keepLines/>
              <w:ind w:right="868"/>
              <w:jc w:val="right"/>
            </w:pPr>
            <w:r w:rsidRPr="00225F55">
              <w:t xml:space="preserve"> 3,39</w:t>
            </w:r>
            <w:r w:rsidR="004E5DA0">
              <w:t>8</w:t>
            </w:r>
          </w:p>
        </w:tc>
      </w:tr>
      <w:tr w:rsidR="00F27B98" w:rsidRPr="00655EA7" w14:paraId="04466B41" w14:textId="77777777">
        <w:trPr>
          <w:cnfStyle w:val="000000010000" w:firstRow="0" w:lastRow="0" w:firstColumn="0" w:lastColumn="0" w:oddVBand="0" w:evenVBand="0" w:oddHBand="0" w:evenHBand="1" w:firstRowFirstColumn="0" w:firstRowLastColumn="0" w:lastRowFirstColumn="0" w:lastRowLastColumn="0"/>
          <w:trHeight w:val="288"/>
        </w:trPr>
        <w:tc>
          <w:tcPr>
            <w:tcW w:w="4961" w:type="dxa"/>
            <w:noWrap/>
            <w:hideMark/>
          </w:tcPr>
          <w:p w14:paraId="3B4B5E3C" w14:textId="40E2809F" w:rsidR="00CF0049" w:rsidRPr="00225F55" w:rsidRDefault="00F27B98">
            <w:pPr>
              <w:pStyle w:val="TSBodyText"/>
              <w:keepNext/>
              <w:keepLines/>
            </w:pPr>
            <w:r w:rsidRPr="00225F55">
              <w:t>Fiscal cost per year served in prison</w:t>
            </w:r>
            <w:r w:rsidR="00CF0049">
              <w:t xml:space="preserve"> (average)</w:t>
            </w:r>
          </w:p>
        </w:tc>
        <w:tc>
          <w:tcPr>
            <w:tcW w:w="2678" w:type="dxa"/>
            <w:noWrap/>
            <w:hideMark/>
          </w:tcPr>
          <w:p w14:paraId="556AFBB0" w14:textId="151430E1" w:rsidR="00F27B98" w:rsidRPr="00225F55" w:rsidRDefault="00F27B98" w:rsidP="006B0250">
            <w:pPr>
              <w:pStyle w:val="TSBodyText"/>
              <w:keepNext/>
              <w:keepLines/>
              <w:ind w:right="868"/>
              <w:jc w:val="right"/>
            </w:pPr>
            <w:r w:rsidRPr="00225F55">
              <w:t xml:space="preserve"> $125,000</w:t>
            </w:r>
          </w:p>
        </w:tc>
      </w:tr>
      <w:tr w:rsidR="00CF0049" w:rsidRPr="00655EA7" w14:paraId="7FEFB745" w14:textId="77777777">
        <w:trPr>
          <w:trHeight w:val="288"/>
        </w:trPr>
        <w:tc>
          <w:tcPr>
            <w:tcW w:w="4961" w:type="dxa"/>
            <w:noWrap/>
          </w:tcPr>
          <w:p w14:paraId="64F405DF" w14:textId="5BBE5BF9" w:rsidR="00CF0049" w:rsidRPr="00225F55" w:rsidRDefault="00CF0049">
            <w:pPr>
              <w:pStyle w:val="TSBodyText"/>
              <w:keepNext/>
              <w:keepLines/>
            </w:pPr>
            <w:r>
              <w:t>Fiscal cost per year serviced in prison (marginal)</w:t>
            </w:r>
          </w:p>
        </w:tc>
        <w:tc>
          <w:tcPr>
            <w:tcW w:w="2678" w:type="dxa"/>
            <w:noWrap/>
          </w:tcPr>
          <w:p w14:paraId="009219AD" w14:textId="36CB4FFC" w:rsidR="00CF0049" w:rsidRPr="00225F55" w:rsidRDefault="00CF0049" w:rsidP="006B0250">
            <w:pPr>
              <w:pStyle w:val="TSBodyText"/>
              <w:keepNext/>
              <w:keepLines/>
              <w:ind w:right="868"/>
              <w:jc w:val="right"/>
            </w:pPr>
            <w:r>
              <w:t>$16,</w:t>
            </w:r>
            <w:r w:rsidR="00262317">
              <w:t>893</w:t>
            </w:r>
          </w:p>
        </w:tc>
      </w:tr>
      <w:tr w:rsidR="00F27B98" w:rsidRPr="00655EA7" w14:paraId="0A44162F" w14:textId="77777777">
        <w:trPr>
          <w:cnfStyle w:val="000000010000" w:firstRow="0" w:lastRow="0" w:firstColumn="0" w:lastColumn="0" w:oddVBand="0" w:evenVBand="0" w:oddHBand="0" w:evenHBand="1" w:firstRowFirstColumn="0" w:firstRowLastColumn="0" w:lastRowFirstColumn="0" w:lastRowLastColumn="0"/>
          <w:trHeight w:val="288"/>
        </w:trPr>
        <w:tc>
          <w:tcPr>
            <w:tcW w:w="4961" w:type="dxa"/>
            <w:noWrap/>
            <w:hideMark/>
          </w:tcPr>
          <w:p w14:paraId="1C8D47B3" w14:textId="025638BF" w:rsidR="00F27B98" w:rsidRPr="00225F55" w:rsidRDefault="00AA5E3C">
            <w:pPr>
              <w:pStyle w:val="TSBodyText"/>
              <w:keepNext/>
              <w:keepLines/>
            </w:pPr>
            <w:r>
              <w:t>High f</w:t>
            </w:r>
            <w:r w:rsidR="00F27B98" w:rsidRPr="00225F55">
              <w:t>iscal cost of years served for impulsive crimes</w:t>
            </w:r>
            <w:r w:rsidR="00FD6603">
              <w:t xml:space="preserve"> (based on average cost)</w:t>
            </w:r>
          </w:p>
        </w:tc>
        <w:tc>
          <w:tcPr>
            <w:tcW w:w="2678" w:type="dxa"/>
            <w:noWrap/>
            <w:hideMark/>
          </w:tcPr>
          <w:p w14:paraId="73046282" w14:textId="1F7775A9" w:rsidR="00F27B98" w:rsidRPr="00225F55" w:rsidRDefault="00F27B98" w:rsidP="006B0250">
            <w:pPr>
              <w:pStyle w:val="TSBodyText"/>
              <w:keepNext/>
              <w:keepLines/>
              <w:ind w:right="868"/>
              <w:jc w:val="right"/>
            </w:pPr>
            <w:r w:rsidRPr="00225F55">
              <w:t xml:space="preserve"> $424,717,521 </w:t>
            </w:r>
          </w:p>
        </w:tc>
      </w:tr>
      <w:tr w:rsidR="00FD6603" w:rsidRPr="00655EA7" w14:paraId="3FC92E2A" w14:textId="77777777">
        <w:trPr>
          <w:trHeight w:val="288"/>
        </w:trPr>
        <w:tc>
          <w:tcPr>
            <w:tcW w:w="4961" w:type="dxa"/>
            <w:noWrap/>
          </w:tcPr>
          <w:p w14:paraId="09B6F68E" w14:textId="4C47ABA5" w:rsidR="00FD6603" w:rsidRPr="00225F55" w:rsidRDefault="00AA5E3C">
            <w:pPr>
              <w:pStyle w:val="TSBodyText"/>
              <w:keepNext/>
              <w:keepLines/>
            </w:pPr>
            <w:r>
              <w:t>Low f</w:t>
            </w:r>
            <w:r w:rsidR="00FD6603">
              <w:t>iscal cost of incarceration for impulsive crimes (based on marginal cost)</w:t>
            </w:r>
          </w:p>
        </w:tc>
        <w:tc>
          <w:tcPr>
            <w:tcW w:w="2678" w:type="dxa"/>
            <w:noWrap/>
          </w:tcPr>
          <w:p w14:paraId="4B1D5816" w14:textId="42811E5E" w:rsidR="00FD6603" w:rsidRPr="00225F55" w:rsidRDefault="004E5DA0" w:rsidP="006B0250">
            <w:pPr>
              <w:pStyle w:val="TSBodyText"/>
              <w:keepNext/>
              <w:keepLines/>
              <w:ind w:right="868"/>
              <w:jc w:val="right"/>
            </w:pPr>
            <w:r w:rsidRPr="004E5DA0">
              <w:t>$57,398,02</w:t>
            </w:r>
            <w:r>
              <w:t>2</w:t>
            </w:r>
          </w:p>
        </w:tc>
      </w:tr>
      <w:tr w:rsidR="00F27B98" w:rsidRPr="00655EA7" w14:paraId="1B2B22AB" w14:textId="77777777">
        <w:trPr>
          <w:cnfStyle w:val="000000010000" w:firstRow="0" w:lastRow="0" w:firstColumn="0" w:lastColumn="0" w:oddVBand="0" w:evenVBand="0" w:oddHBand="0" w:evenHBand="1" w:firstRowFirstColumn="0" w:firstRowLastColumn="0" w:lastRowFirstColumn="0" w:lastRowLastColumn="0"/>
          <w:trHeight w:val="288"/>
        </w:trPr>
        <w:tc>
          <w:tcPr>
            <w:tcW w:w="4961" w:type="dxa"/>
            <w:noWrap/>
            <w:hideMark/>
          </w:tcPr>
          <w:p w14:paraId="7113AD69" w14:textId="6F1F31CF" w:rsidR="00F27B98" w:rsidRPr="00225F55" w:rsidRDefault="00717C87">
            <w:pPr>
              <w:pStyle w:val="TSBodyText"/>
              <w:keepNext/>
              <w:keepLines/>
            </w:pPr>
            <w:r>
              <w:t>Midpoint</w:t>
            </w:r>
            <w:r w:rsidR="00F27B98" w:rsidRPr="00225F55">
              <w:t xml:space="preserve"> alcohol</w:t>
            </w:r>
            <w:r w:rsidR="006B0250">
              <w:t>-</w:t>
            </w:r>
            <w:r w:rsidR="00F27B98" w:rsidRPr="00225F55">
              <w:t>attributable fraction</w:t>
            </w:r>
          </w:p>
        </w:tc>
        <w:tc>
          <w:tcPr>
            <w:tcW w:w="2678" w:type="dxa"/>
            <w:noWrap/>
            <w:hideMark/>
          </w:tcPr>
          <w:p w14:paraId="1AF09905" w14:textId="18802076" w:rsidR="00F27B98" w:rsidRPr="00225F55" w:rsidRDefault="00F27B98" w:rsidP="006B0250">
            <w:pPr>
              <w:pStyle w:val="TSBodyText"/>
              <w:keepNext/>
              <w:keepLines/>
              <w:ind w:right="868"/>
              <w:jc w:val="right"/>
            </w:pPr>
            <w:r w:rsidRPr="00225F55">
              <w:t>0.09</w:t>
            </w:r>
            <w:r w:rsidR="008E3248">
              <w:t>75</w:t>
            </w:r>
          </w:p>
        </w:tc>
      </w:tr>
      <w:tr w:rsidR="007110C0" w:rsidRPr="00655EA7" w14:paraId="0C2B8B48" w14:textId="77777777">
        <w:trPr>
          <w:trHeight w:val="288"/>
        </w:trPr>
        <w:tc>
          <w:tcPr>
            <w:tcW w:w="4961" w:type="dxa"/>
            <w:noWrap/>
          </w:tcPr>
          <w:p w14:paraId="6B62233B" w14:textId="53AE82C6" w:rsidR="007110C0" w:rsidRPr="008E3248" w:rsidRDefault="007110C0" w:rsidP="007110C0">
            <w:pPr>
              <w:pStyle w:val="TSBodyText"/>
              <w:keepNext/>
              <w:keepLines/>
            </w:pPr>
            <w:r w:rsidRPr="00886508">
              <w:t xml:space="preserve">High </w:t>
            </w:r>
            <w:r>
              <w:t xml:space="preserve">value of </w:t>
            </w:r>
            <w:r w:rsidRPr="00886508">
              <w:t>alcohol</w:t>
            </w:r>
            <w:r w:rsidR="006B0250">
              <w:t>-</w:t>
            </w:r>
            <w:r w:rsidRPr="00886508">
              <w:t>attributable productive years lost</w:t>
            </w:r>
            <w:r>
              <w:t xml:space="preserve"> (based on average cost)</w:t>
            </w:r>
          </w:p>
        </w:tc>
        <w:tc>
          <w:tcPr>
            <w:tcW w:w="2678" w:type="dxa"/>
            <w:noWrap/>
          </w:tcPr>
          <w:p w14:paraId="2EEE6F2B" w14:textId="5A0F6C2E" w:rsidR="007110C0" w:rsidRPr="00225F55" w:rsidRDefault="007110C0" w:rsidP="006B0250">
            <w:pPr>
              <w:pStyle w:val="TSBodyText"/>
              <w:keepNext/>
              <w:keepLines/>
              <w:ind w:right="868"/>
              <w:jc w:val="right"/>
            </w:pPr>
            <w:r w:rsidRPr="00E773A9">
              <w:t>$41,413,125</w:t>
            </w:r>
          </w:p>
        </w:tc>
      </w:tr>
      <w:tr w:rsidR="00F27B98" w:rsidRPr="00655EA7" w14:paraId="5F3E4470" w14:textId="77777777">
        <w:trPr>
          <w:cnfStyle w:val="000000010000" w:firstRow="0" w:lastRow="0" w:firstColumn="0" w:lastColumn="0" w:oddVBand="0" w:evenVBand="0" w:oddHBand="0" w:evenHBand="1" w:firstRowFirstColumn="0" w:firstRowLastColumn="0" w:lastRowFirstColumn="0" w:lastRowLastColumn="0"/>
          <w:trHeight w:val="288"/>
        </w:trPr>
        <w:tc>
          <w:tcPr>
            <w:tcW w:w="4961" w:type="dxa"/>
            <w:noWrap/>
            <w:hideMark/>
          </w:tcPr>
          <w:p w14:paraId="60DDC965" w14:textId="536C8250" w:rsidR="00F27B98" w:rsidRPr="00225F55" w:rsidRDefault="007110C0">
            <w:pPr>
              <w:pStyle w:val="TSBodyText"/>
              <w:keepNext/>
              <w:keepLines/>
            </w:pPr>
            <w:r w:rsidRPr="008E3248">
              <w:t xml:space="preserve">Low </w:t>
            </w:r>
            <w:r>
              <w:t xml:space="preserve">value of </w:t>
            </w:r>
            <w:r w:rsidRPr="008E3248">
              <w:t>alcohol</w:t>
            </w:r>
            <w:r w:rsidR="006B0250">
              <w:t>-</w:t>
            </w:r>
            <w:r w:rsidRPr="008E3248">
              <w:t>attributable productive years lost</w:t>
            </w:r>
            <w:r>
              <w:t xml:space="preserve"> (based on marginal cost)</w:t>
            </w:r>
          </w:p>
        </w:tc>
        <w:tc>
          <w:tcPr>
            <w:tcW w:w="2678" w:type="dxa"/>
            <w:noWrap/>
            <w:hideMark/>
          </w:tcPr>
          <w:p w14:paraId="37840846" w14:textId="1CB5FF33" w:rsidR="00F27B98" w:rsidRPr="00225F55" w:rsidRDefault="007110C0" w:rsidP="006B0250">
            <w:pPr>
              <w:pStyle w:val="TSBodyText"/>
              <w:keepNext/>
              <w:keepLines/>
              <w:ind w:right="868"/>
              <w:jc w:val="right"/>
            </w:pPr>
            <w:r w:rsidRPr="00E773A9">
              <w:t>$5,596,735</w:t>
            </w:r>
          </w:p>
        </w:tc>
      </w:tr>
    </w:tbl>
    <w:p w14:paraId="0E281469" w14:textId="433E6CCB" w:rsidR="00F27B98" w:rsidRDefault="00F27B98" w:rsidP="00F27B98">
      <w:pPr>
        <w:pStyle w:val="USSource"/>
      </w:pPr>
      <w:r>
        <w:t xml:space="preserve">Source: NZIER, based on </w:t>
      </w:r>
      <w:r>
        <w:fldChar w:fldCharType="begin"/>
      </w:r>
      <w:r w:rsidR="00F244F6">
        <w:instrText xml:space="preserve"> ADDIN ZOTERO_ITEM CSL_CITATION {"citationID":"MGqzZN9U","properties":{"formattedCitation":"(Boden, Fergusson, and Horwood 2013)","plainCitation":"(Boden, Fergusson, and Horwood 2013)","dontUpdate":true,"noteIndex":0},"citationItems":[{"id":66495,"uris":["http://zotero.org/groups/4944822/items/69ZNNTAN"],"itemData":{"id":66495,"type":"article-journal","abstract":"Background\nThis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fldChar w:fldCharType="separate"/>
      </w:r>
      <w:r w:rsidRPr="00032AB3">
        <w:rPr>
          <w:rFonts w:cs="Calibri"/>
        </w:rPr>
        <w:t xml:space="preserve">Boden, Fergusson, and Horwood </w:t>
      </w:r>
      <w:r>
        <w:rPr>
          <w:rFonts w:cs="Calibri"/>
        </w:rPr>
        <w:t>(</w:t>
      </w:r>
      <w:r w:rsidRPr="00032AB3">
        <w:rPr>
          <w:rFonts w:cs="Calibri"/>
        </w:rPr>
        <w:t>2013)</w:t>
      </w:r>
      <w:r>
        <w:fldChar w:fldCharType="end"/>
      </w:r>
      <w:r>
        <w:t xml:space="preserve"> and Ministry of Justice data</w:t>
      </w:r>
    </w:p>
    <w:p w14:paraId="1D65278F" w14:textId="0E58EC62" w:rsidR="00F27B98" w:rsidRDefault="009714AC" w:rsidP="00F27B98">
      <w:pPr>
        <w:pStyle w:val="Heading2"/>
      </w:pPr>
      <w:bookmarkStart w:id="172" w:name="_Toc160633855"/>
      <w:r>
        <w:lastRenderedPageBreak/>
        <w:t>Estimated costs of p</w:t>
      </w:r>
      <w:r w:rsidR="00F27B98">
        <w:t xml:space="preserve">rogrammes and services to address family </w:t>
      </w:r>
      <w:proofErr w:type="gramStart"/>
      <w:r w:rsidR="00F27B98">
        <w:t>harms</w:t>
      </w:r>
      <w:bookmarkEnd w:id="172"/>
      <w:proofErr w:type="gramEnd"/>
    </w:p>
    <w:p w14:paraId="4CAB4827" w14:textId="77777777" w:rsidR="00F27B98" w:rsidRDefault="00F27B98" w:rsidP="00F27B98">
      <w:pPr>
        <w:pStyle w:val="USBodyText"/>
      </w:pPr>
      <w:r>
        <w:t>The Ministry of Justice funds a range of programmes, contracted through 80 service providers of safety and non-violence programmes across the country to address family violence and its impacts. These include:</w:t>
      </w:r>
    </w:p>
    <w:p w14:paraId="61FBEAA4" w14:textId="77777777" w:rsidR="00F27B98" w:rsidRDefault="00F27B98" w:rsidP="00F27B98">
      <w:pPr>
        <w:pStyle w:val="USBullet1"/>
      </w:pPr>
      <w:r>
        <w:t>the Non-Violence Programme</w:t>
      </w:r>
    </w:p>
    <w:p w14:paraId="186573B1" w14:textId="77777777" w:rsidR="00F27B98" w:rsidRDefault="00F27B98" w:rsidP="00F27B98">
      <w:pPr>
        <w:pStyle w:val="USBullet1"/>
      </w:pPr>
      <w:r>
        <w:t>the Adult Safety Programme</w:t>
      </w:r>
    </w:p>
    <w:p w14:paraId="0714062D" w14:textId="77777777" w:rsidR="00F27B98" w:rsidRDefault="00F27B98" w:rsidP="00F27B98">
      <w:pPr>
        <w:pStyle w:val="USBullet1"/>
      </w:pPr>
      <w:r>
        <w:t>the Child Safety Programme</w:t>
      </w:r>
    </w:p>
    <w:p w14:paraId="263D9AA8" w14:textId="77777777" w:rsidR="00F27B98" w:rsidRDefault="00F27B98" w:rsidP="00F27B98">
      <w:pPr>
        <w:pStyle w:val="USBullet1"/>
      </w:pPr>
      <w:r>
        <w:t>the Strengthening Safety Service.</w:t>
      </w:r>
    </w:p>
    <w:p w14:paraId="2462DC40" w14:textId="77777777" w:rsidR="00F27B98" w:rsidRDefault="00F27B98" w:rsidP="00F27B98">
      <w:pPr>
        <w:pStyle w:val="USBullet1"/>
        <w:numPr>
          <w:ilvl w:val="0"/>
          <w:numId w:val="0"/>
        </w:numPr>
        <w:ind w:left="851"/>
      </w:pPr>
      <w:r>
        <w:t>In 2022/23, nearly 13,000 referrals have been made to these programmes (more than one referral per individual or family is possible).</w:t>
      </w:r>
    </w:p>
    <w:p w14:paraId="7FA84615" w14:textId="45DD0878" w:rsidR="00F27B98" w:rsidRDefault="00F27B98" w:rsidP="00F27B98">
      <w:pPr>
        <w:pStyle w:val="USBullet1"/>
        <w:numPr>
          <w:ilvl w:val="0"/>
          <w:numId w:val="0"/>
        </w:numPr>
        <w:ind w:left="851"/>
      </w:pPr>
      <w:r>
        <w:t xml:space="preserve">The cost of these programmes in 2022/23 was $14,503,516 (cost estimate supplied by </w:t>
      </w:r>
      <w:r w:rsidR="00953D58">
        <w:t xml:space="preserve">the </w:t>
      </w:r>
      <w:r>
        <w:t xml:space="preserve">Ministry of Justice). Based on the midpoint of IPV and child maltreatment </w:t>
      </w:r>
      <w:r w:rsidR="00953D58">
        <w:t>alcohol-</w:t>
      </w:r>
      <w:r>
        <w:t>attributable fractions (9.2 percent</w:t>
      </w:r>
      <w:r w:rsidR="009714AC">
        <w:t xml:space="preserve"> – see </w:t>
      </w:r>
      <w:r w:rsidR="00953D58">
        <w:t xml:space="preserve">sections </w:t>
      </w:r>
      <w:r w:rsidR="00F91073">
        <w:fldChar w:fldCharType="begin"/>
      </w:r>
      <w:r w:rsidR="00F91073">
        <w:instrText xml:space="preserve"> REF _Ref156156624 \r \h </w:instrText>
      </w:r>
      <w:r w:rsidR="00F91073">
        <w:fldChar w:fldCharType="separate"/>
      </w:r>
      <w:r w:rsidR="00AE166D">
        <w:t>4.1</w:t>
      </w:r>
      <w:r w:rsidR="00F91073">
        <w:fldChar w:fldCharType="end"/>
      </w:r>
      <w:r w:rsidR="00F91073">
        <w:t xml:space="preserve"> and</w:t>
      </w:r>
      <w:r w:rsidR="009714AC">
        <w:t xml:space="preserve"> </w:t>
      </w:r>
      <w:r w:rsidR="00F91073">
        <w:fldChar w:fldCharType="begin"/>
      </w:r>
      <w:r w:rsidR="00F91073">
        <w:instrText xml:space="preserve"> REF _Ref156156647 \r \h </w:instrText>
      </w:r>
      <w:r w:rsidR="00F91073">
        <w:fldChar w:fldCharType="separate"/>
      </w:r>
      <w:r w:rsidR="00AE166D">
        <w:t>4.2</w:t>
      </w:r>
      <w:r w:rsidR="00F91073">
        <w:fldChar w:fldCharType="end"/>
      </w:r>
      <w:r>
        <w:t>)</w:t>
      </w:r>
      <w:r w:rsidR="00953D58">
        <w:t>,</w:t>
      </w:r>
      <w:r>
        <w:t xml:space="preserve"> the cost attributable to alcohol for these programmes and services is $1,334,323.</w:t>
      </w:r>
    </w:p>
    <w:p w14:paraId="759594BA" w14:textId="77777777" w:rsidR="00F27B98" w:rsidRDefault="00F27B98" w:rsidP="00F27B98">
      <w:pPr>
        <w:pStyle w:val="USBullet1"/>
        <w:numPr>
          <w:ilvl w:val="0"/>
          <w:numId w:val="0"/>
        </w:numPr>
        <w:ind w:left="851"/>
      </w:pPr>
      <w:r>
        <w:t xml:space="preserve">In addition to the programmes above, the Ministry of Justice funds Whānau Protect, </w:t>
      </w:r>
      <w:r w:rsidRPr="00BC708A">
        <w:t>a service designed for people at high risk of experiencing family violence</w:t>
      </w:r>
      <w:r>
        <w:t xml:space="preserve"> that aims</w:t>
      </w:r>
      <w:r w:rsidRPr="00BC708A">
        <w:t xml:space="preserve"> to enhance safety by implementing practical measures </w:t>
      </w:r>
      <w:r>
        <w:t>enabling them</w:t>
      </w:r>
      <w:r w:rsidRPr="00BC708A">
        <w:t xml:space="preserve"> to remain in their homes.</w:t>
      </w:r>
    </w:p>
    <w:p w14:paraId="0677A294" w14:textId="37548ABE" w:rsidR="00F27B98" w:rsidRDefault="00F27B98" w:rsidP="00F27B98">
      <w:pPr>
        <w:pStyle w:val="USBullet1"/>
        <w:numPr>
          <w:ilvl w:val="0"/>
          <w:numId w:val="0"/>
        </w:numPr>
        <w:ind w:left="851"/>
      </w:pPr>
      <w:r>
        <w:t>According to the Ministry of Justice, 998 people or families (</w:t>
      </w:r>
      <w:r w:rsidR="00953D58">
        <w:t xml:space="preserve">the </w:t>
      </w:r>
      <w:r>
        <w:t>number of individuals is not known) have been involved with Whānau Protect in 2022/23</w:t>
      </w:r>
      <w:r w:rsidR="00953D58">
        <w:t>,</w:t>
      </w:r>
      <w:r>
        <w:t xml:space="preserve"> with service costs amounting to $3,547,880.</w:t>
      </w:r>
    </w:p>
    <w:p w14:paraId="36A4B6BF" w14:textId="4997813E" w:rsidR="00F27B98" w:rsidRDefault="00F27B98" w:rsidP="00F27B98">
      <w:pPr>
        <w:pStyle w:val="USBullet1"/>
        <w:numPr>
          <w:ilvl w:val="0"/>
          <w:numId w:val="0"/>
        </w:numPr>
        <w:ind w:left="851"/>
      </w:pPr>
      <w:r>
        <w:t xml:space="preserve">Based on the midpoint of IPV and child maltreatment </w:t>
      </w:r>
      <w:r w:rsidR="00953D58">
        <w:t>alcohol-</w:t>
      </w:r>
      <w:r>
        <w:t>attributable fractions (9.2 percent), the cost attributable to alcohol for Whānau Protect is $326,405.</w:t>
      </w:r>
    </w:p>
    <w:p w14:paraId="57F2FB78" w14:textId="77777777" w:rsidR="00CA56AE" w:rsidRDefault="00CA56AE" w:rsidP="00CA56AE">
      <w:pPr>
        <w:pStyle w:val="Heading2"/>
      </w:pPr>
      <w:bookmarkStart w:id="173" w:name="_Toc160633856"/>
      <w:r>
        <w:t>Funeral grants for victims of homicide</w:t>
      </w:r>
      <w:bookmarkEnd w:id="173"/>
    </w:p>
    <w:p w14:paraId="1FA61239" w14:textId="77777777" w:rsidR="00CA56AE" w:rsidRDefault="00CA56AE" w:rsidP="00CA56AE">
      <w:pPr>
        <w:pStyle w:val="USBodyText"/>
      </w:pPr>
      <w:r>
        <w:t xml:space="preserve">The Ministry of Justice funds funeral grants to help families of homicide victims to cover the costs of a funeral. The grants are administered by ACC on behalf of the Ministry of Justice. </w:t>
      </w:r>
    </w:p>
    <w:p w14:paraId="4115D033" w14:textId="5445F97E" w:rsidR="00CA56AE" w:rsidRDefault="00CA56AE" w:rsidP="00CA56AE">
      <w:pPr>
        <w:pStyle w:val="USBodyText"/>
      </w:pPr>
      <w:r>
        <w:t xml:space="preserve">In 2022/23, the Ministry of Justice funded funeral grants </w:t>
      </w:r>
      <w:r w:rsidR="00953D58">
        <w:t xml:space="preserve">for </w:t>
      </w:r>
      <w:r>
        <w:t>a total of $143,234.</w:t>
      </w:r>
    </w:p>
    <w:p w14:paraId="017A754A" w14:textId="11AA9CD3" w:rsidR="00AF3EA3" w:rsidRDefault="00CA56AE" w:rsidP="00CA56AE">
      <w:pPr>
        <w:pStyle w:val="USBodyText"/>
      </w:pPr>
      <w:r>
        <w:t xml:space="preserve">Based on homicide being a potentially impulsive crime and the alcohol-attributable fraction of impulsive crimes being 9.6 to 9.9 percent (Boden, Fergusson, and Horwood 2013), the annual alcohol-attributable cost of funeral grants to </w:t>
      </w:r>
      <w:r w:rsidR="00953D58">
        <w:t xml:space="preserve">the </w:t>
      </w:r>
      <w:r>
        <w:t>Ministry of Justice is between $13,</w:t>
      </w:r>
      <w:r w:rsidR="00F135F7">
        <w:t>750</w:t>
      </w:r>
      <w:r>
        <w:t xml:space="preserve"> and $14,</w:t>
      </w:r>
      <w:r w:rsidR="00BE42C5">
        <w:t>180</w:t>
      </w:r>
      <w:r>
        <w:t>.</w:t>
      </w:r>
    </w:p>
    <w:p w14:paraId="24C6F594" w14:textId="77777777" w:rsidR="00CA56AE" w:rsidRDefault="001B6C97" w:rsidP="001B6C97">
      <w:pPr>
        <w:pStyle w:val="Heading2"/>
      </w:pPr>
      <w:bookmarkStart w:id="174" w:name="_Toc160633857"/>
      <w:r>
        <w:t xml:space="preserve">Limitations of </w:t>
      </w:r>
      <w:r w:rsidR="00CA56AE">
        <w:t>estimated justice sector costs of alcohol harms</w:t>
      </w:r>
      <w:bookmarkEnd w:id="174"/>
    </w:p>
    <w:p w14:paraId="7BB52BCA" w14:textId="5C29E3CC" w:rsidR="001B6C97" w:rsidRDefault="001B6C97" w:rsidP="001B6C97">
      <w:pPr>
        <w:pStyle w:val="USBodyText"/>
      </w:pPr>
      <w:r>
        <w:t xml:space="preserve">Despite the recent emergence of evidence that provides some degree of confidence in </w:t>
      </w:r>
      <w:r w:rsidR="00E057DC">
        <w:t xml:space="preserve">the </w:t>
      </w:r>
      <w:r>
        <w:t>causal attribution of impulsive crimes to alcohol in New Zealand, the New Zealand evidence base still reflects the same important gaps that affect overseas evidence, including:</w:t>
      </w:r>
    </w:p>
    <w:p w14:paraId="705DCD81" w14:textId="3A287521" w:rsidR="001B6C97" w:rsidRDefault="001B6C97" w:rsidP="001B6C97">
      <w:pPr>
        <w:pStyle w:val="USBullet1"/>
      </w:pPr>
      <w:r>
        <w:t>a lack of granu</w:t>
      </w:r>
      <w:r w:rsidR="003474D1">
        <w:t>larity</w:t>
      </w:r>
      <w:r>
        <w:t xml:space="preserve"> in the alcohol-attributable fraction of impulsive crimes that would allow alcohol’s role in different types of crime to be separately identified and costed with more </w:t>
      </w:r>
      <w:proofErr w:type="gramStart"/>
      <w:r>
        <w:t>confidence</w:t>
      </w:r>
      <w:proofErr w:type="gramEnd"/>
    </w:p>
    <w:p w14:paraId="59A1C812" w14:textId="77777777" w:rsidR="001B6C97" w:rsidRDefault="001B6C97" w:rsidP="001B6C97">
      <w:pPr>
        <w:pStyle w:val="USBullet1"/>
      </w:pPr>
      <w:r>
        <w:lastRenderedPageBreak/>
        <w:t>a lack of evidence regarding alcohol’s role in non-impulsive crimes, which may be less than for impulsive crimes but may also not be negligible (even low attributable fractions for high prevalence, high-cost crimes can translate into high social and economic costs overall)</w:t>
      </w:r>
    </w:p>
    <w:p w14:paraId="2E853E45" w14:textId="1B814C0A" w:rsidR="001B6C97" w:rsidRDefault="001B6C97" w:rsidP="001B6C97">
      <w:pPr>
        <w:pStyle w:val="USBullet1"/>
      </w:pPr>
      <w:r>
        <w:t xml:space="preserve">a lack of evidence regarding the role of crime victims’ and bystanders’/witnesses’ alcohol consumption, which may increase the </w:t>
      </w:r>
      <w:r w:rsidR="00E057DC">
        <w:t>alcohol-</w:t>
      </w:r>
      <w:r>
        <w:t>attributable fraction of crime (and is likely to be associated with under-reporting of crime and may impact on charges and convictions, potentially increasing perpetrators’ opportunities to re-offend by reducing the probability of incarceration).</w:t>
      </w:r>
    </w:p>
    <w:p w14:paraId="3C401CD2" w14:textId="4DF60520" w:rsidR="00551C01" w:rsidRDefault="00551C01" w:rsidP="001B6C97">
      <w:pPr>
        <w:pStyle w:val="USBodyText"/>
      </w:pPr>
      <w:r>
        <w:t xml:space="preserve">Additionally, </w:t>
      </w:r>
      <w:r w:rsidR="00256E4F">
        <w:t>justice sector data does not describe the role of FASD</w:t>
      </w:r>
      <w:r w:rsidR="00264507">
        <w:t xml:space="preserve"> and the associated neurological impairments that may result in non-</w:t>
      </w:r>
      <w:r w:rsidR="00E057DC">
        <w:t>alcohol-</w:t>
      </w:r>
      <w:r w:rsidR="00264507">
        <w:t>induced criminal activity</w:t>
      </w:r>
      <w:r w:rsidR="001D4833">
        <w:t xml:space="preserve"> and consequential justice sector costs. It is believed that a significant fraction of </w:t>
      </w:r>
      <w:r w:rsidR="00007F68">
        <w:t>corrections clients have FASD</w:t>
      </w:r>
      <w:r w:rsidR="003E248B">
        <w:t xml:space="preserve"> (see</w:t>
      </w:r>
      <w:r w:rsidR="00E057DC">
        <w:t>,</w:t>
      </w:r>
      <w:r w:rsidR="003E248B">
        <w:t xml:space="preserve"> for example, </w:t>
      </w:r>
      <w:r w:rsidR="00871BE9">
        <w:fldChar w:fldCharType="begin"/>
      </w:r>
      <w:r w:rsidR="00F244F6">
        <w:instrText xml:space="preserve"> ADDIN ZOTERO_ITEM CSL_CITATION {"citationID":"F11tr6Fr","properties":{"custom":"Butcher 2020)","formattedCitation":"Butcher 2020)","plainCitation":"Butcher 2020)","noteIndex":0},"citationItems":[{"id":73237,"uris":["http://zotero.org/groups/4944822/items/7EN6CPTR"],"itemData":{"id":73237,"type":"article-journal","container-title":"Auckland University Law Review","title":"The Revolving Door: Are We Sentencing People with FASD to a Life Trapped in the Criminal Justice System?","URL":"http://www.nzlii.org/nz/journals/AukULawRw/2020/9.pdff","volume":"26","author":[{"family":"Butcher","given":"Josie"}],"issued":{"date-parts":[["2020"]]}}}],"schema":"https://github.com/citation-style-language/schema/raw/master/csl-citation.json"} </w:instrText>
      </w:r>
      <w:r w:rsidR="00871BE9">
        <w:fldChar w:fldCharType="separate"/>
      </w:r>
      <w:r w:rsidR="00871BE9" w:rsidRPr="00871BE9">
        <w:rPr>
          <w:rFonts w:cs="Calibri"/>
        </w:rPr>
        <w:t>Butcher 2020)</w:t>
      </w:r>
      <w:r w:rsidR="00871BE9">
        <w:fldChar w:fldCharType="end"/>
      </w:r>
      <w:r w:rsidR="00E057DC">
        <w:t xml:space="preserve">; </w:t>
      </w:r>
      <w:r w:rsidR="00007F68">
        <w:t>however</w:t>
      </w:r>
      <w:r w:rsidR="00E057DC">
        <w:t>,</w:t>
      </w:r>
      <w:r w:rsidR="00007F68">
        <w:t xml:space="preserve"> this fraction has not been confirmed in the New Zealand context</w:t>
      </w:r>
      <w:r w:rsidR="00E057DC">
        <w:t>.</w:t>
      </w:r>
      <w:r w:rsidR="00C2640B" w:rsidRPr="00CD19C4">
        <w:rPr>
          <w:rStyle w:val="FootnoteReference"/>
        </w:rPr>
        <w:footnoteReference w:id="12"/>
      </w:r>
      <w:r w:rsidR="00007F68">
        <w:t xml:space="preserve"> </w:t>
      </w:r>
    </w:p>
    <w:p w14:paraId="48B2ADD7" w14:textId="1B197F94" w:rsidR="001B6C97" w:rsidRPr="00FE1FA4" w:rsidRDefault="001B6C97" w:rsidP="001B6C97">
      <w:pPr>
        <w:pStyle w:val="USBodyText"/>
      </w:pPr>
      <w:r>
        <w:t>The current evidence base is lacking in these respects, resulting in any associated costs effectively being ignored and suggesting that what cost estimates are supported by the evidence are likely to be underestimates of the true cost of alcohol-attributable crime.</w:t>
      </w:r>
    </w:p>
    <w:p w14:paraId="58F98E2F" w14:textId="77777777" w:rsidR="00CA56AE" w:rsidRDefault="00CA56AE">
      <w:pPr>
        <w:spacing w:after="160" w:line="259" w:lineRule="auto"/>
        <w:rPr>
          <w:rFonts w:eastAsiaTheme="majorEastAsia" w:cstheme="majorBidi"/>
          <w:b/>
          <w:color w:val="0094C5"/>
          <w:sz w:val="32"/>
          <w:szCs w:val="32"/>
        </w:rPr>
      </w:pPr>
      <w:bookmarkStart w:id="175" w:name="_Ref156156272"/>
      <w:r>
        <w:br w:type="page"/>
      </w:r>
    </w:p>
    <w:p w14:paraId="105646A5" w14:textId="2E3C4396" w:rsidR="00765A12" w:rsidRDefault="00765A12" w:rsidP="00765A12">
      <w:pPr>
        <w:pStyle w:val="Heading1"/>
      </w:pPr>
      <w:bookmarkStart w:id="176" w:name="_Toc160633858"/>
      <w:r>
        <w:lastRenderedPageBreak/>
        <w:t>Victims of crime private costs</w:t>
      </w:r>
      <w:bookmarkEnd w:id="175"/>
      <w:bookmarkEnd w:id="176"/>
    </w:p>
    <w:p w14:paraId="58E0D43A" w14:textId="77777777" w:rsidR="00765A12" w:rsidRDefault="00765A12" w:rsidP="00765A12">
      <w:pPr>
        <w:pStyle w:val="USBodyText"/>
      </w:pPr>
      <w:r>
        <w:t xml:space="preserve">Crime – including alcohol-attributable crime – can have significant costs, not just to those who are arrested and convicted and to the system that bears the administrative costs: </w:t>
      </w:r>
      <w:r w:rsidRPr="009C7F49">
        <w:t xml:space="preserve">The latest New Zealand Crime and Victims Survey (NZCVS), released by the Ministry of Justice </w:t>
      </w:r>
      <w:r>
        <w:t>in</w:t>
      </w:r>
      <w:r w:rsidRPr="009C7F49">
        <w:t xml:space="preserve"> June 2023,</w:t>
      </w:r>
      <w:r>
        <w:t xml:space="preserve"> </w:t>
      </w:r>
      <w:r w:rsidRPr="009C7F49">
        <w:t>found</w:t>
      </w:r>
      <w:r>
        <w:t xml:space="preserve"> that nearly</w:t>
      </w:r>
      <w:r w:rsidRPr="009C7F49">
        <w:t xml:space="preserve"> a third of adults</w:t>
      </w:r>
      <w:r>
        <w:t xml:space="preserve"> (29.93 percent)</w:t>
      </w:r>
      <w:r w:rsidRPr="009C7F49">
        <w:t xml:space="preserve"> have been the victims of personal and household crime</w:t>
      </w:r>
      <w:r>
        <w:t xml:space="preserve"> once or more within the 12 months prior to data collection (which took place between November 2021 and November 2022)</w:t>
      </w:r>
      <w:r w:rsidRPr="009C7F49">
        <w:t>.</w:t>
      </w:r>
    </w:p>
    <w:p w14:paraId="443A8CF6" w14:textId="11131BC0" w:rsidR="00765A12" w:rsidRDefault="00765A12" w:rsidP="00765A12">
      <w:pPr>
        <w:pStyle w:val="USBodyText"/>
      </w:pPr>
      <w:r>
        <w:t>The rate of victimisation varies by ethnicity</w:t>
      </w:r>
      <w:r w:rsidR="00E05CA0">
        <w:t>,</w:t>
      </w:r>
      <w:r>
        <w:t xml:space="preserve"> with Māori being most likely to report being victims of crime.</w:t>
      </w:r>
    </w:p>
    <w:p w14:paraId="153E95AF" w14:textId="096E36F5" w:rsidR="00765A12" w:rsidRDefault="00765A12" w:rsidP="00765A12">
      <w:pPr>
        <w:pStyle w:val="FigureCaption"/>
      </w:pPr>
      <w:bookmarkStart w:id="177" w:name="_Toc160633905"/>
      <w:r w:rsidRPr="00731CA6">
        <w:t>Figure </w:t>
      </w:r>
      <w:fldSimple w:instr=" SEQ Figure \* ARABIC ">
        <w:r w:rsidR="00AE166D">
          <w:rPr>
            <w:noProof/>
          </w:rPr>
          <w:t>17</w:t>
        </w:r>
      </w:fldSimple>
      <w:r w:rsidRPr="00731CA6">
        <w:t xml:space="preserve"> </w:t>
      </w:r>
      <w:r>
        <w:t xml:space="preserve">Percent of adults reporting they have been a victim of crime by </w:t>
      </w:r>
      <w:proofErr w:type="gramStart"/>
      <w:r>
        <w:t>ethnicity</w:t>
      </w:r>
      <w:bookmarkEnd w:id="177"/>
      <w:proofErr w:type="gramEnd"/>
    </w:p>
    <w:p w14:paraId="1D0105A9" w14:textId="42C80B03" w:rsidR="00765A12" w:rsidRDefault="00D2144F" w:rsidP="00765A12">
      <w:pPr>
        <w:pStyle w:val="USBodyText"/>
      </w:pPr>
      <w:r>
        <w:rPr>
          <w:noProof/>
        </w:rPr>
        <w:drawing>
          <wp:inline distT="0" distB="0" distL="0" distR="0" wp14:anchorId="0F5B4856" wp14:editId="173B7CD6">
            <wp:extent cx="4511049" cy="3162306"/>
            <wp:effectExtent l="0" t="0" r="3810" b="0"/>
            <wp:docPr id="7" name="Picture 7" descr="The chart shows bars representing the percentage of adults for each ethnicity (NZ European, Māori, Pacific peoples, Asian, Chinese, Indian, Other Asian ethnicity, and Other ethnicity) who reported they had been a victim of crime in the New Zealand Crime and Victims Survey Cycle 5. Percentages range from approximately 22% for Chinese to approximately 37% for Māori.  NZ European have a rate of approximately 31% and Pacific peoples have a rate of approximately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hart shows bars representing the percentage of adults for each ethnicity (NZ European, Māori, Pacific peoples, Asian, Chinese, Indian, Other Asian ethnicity, and Other ethnicity) who reported they had been a victim of crime in the New Zealand Crime and Victims Survey Cycle 5. Percentages range from approximately 22% for Chinese to approximately 37% for Māori.  NZ European have a rate of approximately 31% and Pacific peoples have a rate of approximately 28%."/>
                    <pic:cNvPicPr/>
                  </pic:nvPicPr>
                  <pic:blipFill>
                    <a:blip r:embed="rId42"/>
                    <a:stretch>
                      <a:fillRect/>
                    </a:stretch>
                  </pic:blipFill>
                  <pic:spPr>
                    <a:xfrm>
                      <a:off x="0" y="0"/>
                      <a:ext cx="4511049" cy="3162306"/>
                    </a:xfrm>
                    <a:prstGeom prst="rect">
                      <a:avLst/>
                    </a:prstGeom>
                  </pic:spPr>
                </pic:pic>
              </a:graphicData>
            </a:graphic>
          </wp:inline>
        </w:drawing>
      </w:r>
    </w:p>
    <w:p w14:paraId="4B42E8E1" w14:textId="77777777" w:rsidR="00765A12" w:rsidRDefault="00765A12" w:rsidP="00765A12">
      <w:pPr>
        <w:pStyle w:val="USSource"/>
      </w:pPr>
      <w:r>
        <w:t>Source: NZIER, based on the New Zealand Crime and Victims Survey Cycle 5</w:t>
      </w:r>
    </w:p>
    <w:p w14:paraId="60ECDA53" w14:textId="5815ADB5" w:rsidR="00765A12" w:rsidRDefault="00765A12" w:rsidP="00765A12">
      <w:pPr>
        <w:pStyle w:val="USBodyText"/>
      </w:pPr>
      <w:r>
        <w:t xml:space="preserve">More than one in ten adults (11 percent) reported they had been a victim of crime more than once </w:t>
      </w:r>
      <w:r w:rsidR="00182176">
        <w:t>for the</w:t>
      </w:r>
      <w:r>
        <w:t xml:space="preserve"> 12 months prior to data collection (see </w:t>
      </w:r>
      <w:r w:rsidR="00CD0BFB">
        <w:fldChar w:fldCharType="begin"/>
      </w:r>
      <w:r w:rsidR="00CD0BFB">
        <w:instrText xml:space="preserve"> REF _Ref156229713 \h </w:instrText>
      </w:r>
      <w:r w:rsidR="00CD0BFB">
        <w:fldChar w:fldCharType="separate"/>
      </w:r>
      <w:r w:rsidR="00AE166D" w:rsidRPr="00731CA6">
        <w:t>Figure </w:t>
      </w:r>
      <w:r w:rsidR="00AE166D">
        <w:rPr>
          <w:noProof/>
        </w:rPr>
        <w:t>18</w:t>
      </w:r>
      <w:r w:rsidR="00CD0BFB">
        <w:fldChar w:fldCharType="end"/>
      </w:r>
      <w:r w:rsidR="00CD0BFB">
        <w:t xml:space="preserve"> </w:t>
      </w:r>
      <w:r>
        <w:t>below).</w:t>
      </w:r>
    </w:p>
    <w:p w14:paraId="79809324" w14:textId="6DD04882" w:rsidR="00765A12" w:rsidRDefault="00765A12" w:rsidP="00765A12">
      <w:pPr>
        <w:pStyle w:val="FigureCaption"/>
      </w:pPr>
      <w:bookmarkStart w:id="178" w:name="_Ref156229713"/>
      <w:bookmarkStart w:id="179" w:name="_Toc160633906"/>
      <w:r w:rsidRPr="00731CA6">
        <w:lastRenderedPageBreak/>
        <w:t>Figure </w:t>
      </w:r>
      <w:fldSimple w:instr=" SEQ Figure \* ARABIC ">
        <w:r w:rsidR="00AE166D">
          <w:rPr>
            <w:noProof/>
          </w:rPr>
          <w:t>18</w:t>
        </w:r>
      </w:fldSimple>
      <w:bookmarkEnd w:id="178"/>
      <w:r w:rsidRPr="00731CA6">
        <w:t xml:space="preserve"> </w:t>
      </w:r>
      <w:r>
        <w:t xml:space="preserve">Percent of adults reporting they have been a victim of crime, by </w:t>
      </w:r>
      <w:r w:rsidR="008E01B9">
        <w:t xml:space="preserve">number of </w:t>
      </w:r>
      <w:proofErr w:type="gramStart"/>
      <w:r w:rsidR="008E01B9">
        <w:t>occurrences</w:t>
      </w:r>
      <w:bookmarkEnd w:id="179"/>
      <w:proofErr w:type="gramEnd"/>
    </w:p>
    <w:p w14:paraId="5499C8FC" w14:textId="3D1957E6" w:rsidR="00765A12" w:rsidRDefault="00D2144F" w:rsidP="00765A12">
      <w:pPr>
        <w:pStyle w:val="USSource"/>
        <w:keepNext/>
        <w:keepLines/>
        <w:spacing w:after="120"/>
      </w:pPr>
      <w:r>
        <w:rPr>
          <w:noProof/>
        </w:rPr>
        <w:drawing>
          <wp:inline distT="0" distB="0" distL="0" distR="0" wp14:anchorId="104DDD56" wp14:editId="28785230">
            <wp:extent cx="4593345" cy="2924562"/>
            <wp:effectExtent l="0" t="0" r="0" b="9525"/>
            <wp:docPr id="8" name="Picture 8" descr="The chart shows bars representing the percentage of adults reporting they had been a victim of crime by number of occurrences with categories from none to five or more. Nearly 70% of adults reported they had no occurrences, approximately 19% reporting they had one occurrence, approximately 6% reporting they had two occurrences, approximately 3% reporting they had three occurrences, approximately 2% reporting they had four occurrences, and approximately 3% reporting they had five or more occur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chart shows bars representing the percentage of adults reporting they had been a victim of crime by number of occurrences with categories from none to five or more. Nearly 70% of adults reported they had no occurrences, approximately 19% reporting they had one occurrence, approximately 6% reporting they had two occurrences, approximately 3% reporting they had three occurrences, approximately 2% reporting they had four occurrences, and approximately 3% reporting they had five or more occurrences."/>
                    <pic:cNvPicPr/>
                  </pic:nvPicPr>
                  <pic:blipFill>
                    <a:blip r:embed="rId43"/>
                    <a:stretch>
                      <a:fillRect/>
                    </a:stretch>
                  </pic:blipFill>
                  <pic:spPr>
                    <a:xfrm>
                      <a:off x="0" y="0"/>
                      <a:ext cx="4593345" cy="2924562"/>
                    </a:xfrm>
                    <a:prstGeom prst="rect">
                      <a:avLst/>
                    </a:prstGeom>
                  </pic:spPr>
                </pic:pic>
              </a:graphicData>
            </a:graphic>
          </wp:inline>
        </w:drawing>
      </w:r>
    </w:p>
    <w:p w14:paraId="2AC03D98" w14:textId="77777777" w:rsidR="00765A12" w:rsidRDefault="00765A12" w:rsidP="00765A12">
      <w:pPr>
        <w:pStyle w:val="USSource"/>
      </w:pPr>
      <w:r>
        <w:t>Source: NZIER, based on the New Zealand Crime and Victims Survey Cycle 5</w:t>
      </w:r>
    </w:p>
    <w:p w14:paraId="414719FA" w14:textId="376C27F3" w:rsidR="00765A12" w:rsidRDefault="00CD0BFB" w:rsidP="00CD0BFB">
      <w:pPr>
        <w:pStyle w:val="USBodyText"/>
      </w:pPr>
      <w:r>
        <w:t>T</w:t>
      </w:r>
      <w:r w:rsidR="00765A12">
        <w:t>he New Zealand Victims of Crime Survey categorises crimes as:</w:t>
      </w:r>
    </w:p>
    <w:p w14:paraId="5FBC5972" w14:textId="77777777" w:rsidR="00765A12" w:rsidRDefault="00765A12" w:rsidP="00E42DFB">
      <w:pPr>
        <w:pStyle w:val="USBullet1"/>
        <w:spacing w:after="60"/>
      </w:pPr>
      <w:r>
        <w:t>Household offences, including:</w:t>
      </w:r>
    </w:p>
    <w:p w14:paraId="57C04B25" w14:textId="77777777" w:rsidR="00765A12" w:rsidRDefault="00765A12" w:rsidP="00E42DFB">
      <w:pPr>
        <w:pStyle w:val="USBullet2"/>
        <w:spacing w:after="60"/>
      </w:pPr>
      <w:r>
        <w:t>Burglary</w:t>
      </w:r>
    </w:p>
    <w:p w14:paraId="070FB764" w14:textId="77777777" w:rsidR="00765A12" w:rsidRDefault="00765A12" w:rsidP="00E42DFB">
      <w:pPr>
        <w:pStyle w:val="USBullet2"/>
        <w:spacing w:after="60"/>
      </w:pPr>
      <w:r>
        <w:t xml:space="preserve">Theft of/unlawful takes/converts motor </w:t>
      </w:r>
      <w:proofErr w:type="gramStart"/>
      <w:r>
        <w:t>vehicle</w:t>
      </w:r>
      <w:proofErr w:type="gramEnd"/>
    </w:p>
    <w:p w14:paraId="00FB2EDB" w14:textId="77777777" w:rsidR="00765A12" w:rsidRDefault="00765A12" w:rsidP="00E42DFB">
      <w:pPr>
        <w:pStyle w:val="USBullet2"/>
        <w:spacing w:after="60"/>
      </w:pPr>
      <w:r>
        <w:t>Theft (from motor vehicle)</w:t>
      </w:r>
    </w:p>
    <w:p w14:paraId="3F412B86" w14:textId="77777777" w:rsidR="00765A12" w:rsidRDefault="00765A12" w:rsidP="00E42DFB">
      <w:pPr>
        <w:pStyle w:val="USBullet2"/>
        <w:spacing w:after="60"/>
      </w:pPr>
      <w:r>
        <w:t xml:space="preserve">Unlawful interference/getting into motor </w:t>
      </w:r>
      <w:proofErr w:type="gramStart"/>
      <w:r>
        <w:t>vehicle</w:t>
      </w:r>
      <w:proofErr w:type="gramEnd"/>
    </w:p>
    <w:p w14:paraId="422F94B7" w14:textId="77777777" w:rsidR="00765A12" w:rsidRDefault="00765A12" w:rsidP="00E42DFB">
      <w:pPr>
        <w:pStyle w:val="USBullet2"/>
        <w:spacing w:after="60"/>
      </w:pPr>
      <w:r>
        <w:t>Damage to motor vehicles</w:t>
      </w:r>
    </w:p>
    <w:p w14:paraId="3668F80A" w14:textId="77777777" w:rsidR="00765A12" w:rsidRDefault="00765A12" w:rsidP="00E42DFB">
      <w:pPr>
        <w:pStyle w:val="USBullet2"/>
        <w:spacing w:after="60"/>
      </w:pPr>
      <w:r>
        <w:t xml:space="preserve">Unlawful takes/converts/interferes with </w:t>
      </w:r>
      <w:proofErr w:type="gramStart"/>
      <w:r>
        <w:t>bicycle</w:t>
      </w:r>
      <w:proofErr w:type="gramEnd"/>
    </w:p>
    <w:p w14:paraId="74005D03" w14:textId="77777777" w:rsidR="00765A12" w:rsidRDefault="00765A12" w:rsidP="00E42DFB">
      <w:pPr>
        <w:pStyle w:val="USBullet2"/>
        <w:spacing w:after="60"/>
      </w:pPr>
      <w:r>
        <w:t>Property damage (household)</w:t>
      </w:r>
    </w:p>
    <w:p w14:paraId="4CFD43EF" w14:textId="77777777" w:rsidR="00765A12" w:rsidRDefault="00765A12" w:rsidP="00E42DFB">
      <w:pPr>
        <w:pStyle w:val="USBullet2"/>
        <w:spacing w:after="60"/>
      </w:pPr>
      <w:r>
        <w:t>Theft (except motor vehicles – household)</w:t>
      </w:r>
    </w:p>
    <w:p w14:paraId="2B240DCE" w14:textId="77777777" w:rsidR="00765A12" w:rsidRDefault="00765A12" w:rsidP="00E42DFB">
      <w:pPr>
        <w:pStyle w:val="USBullet2"/>
        <w:spacing w:after="60"/>
      </w:pPr>
      <w:r>
        <w:t>Trespass</w:t>
      </w:r>
    </w:p>
    <w:p w14:paraId="2132537B" w14:textId="450F492D" w:rsidR="00765A12" w:rsidRDefault="00765A12" w:rsidP="00E42DFB">
      <w:pPr>
        <w:pStyle w:val="USBullet1"/>
        <w:spacing w:after="60"/>
      </w:pPr>
      <w:r>
        <w:t>Personal offences, including</w:t>
      </w:r>
      <w:r w:rsidR="00182176">
        <w:t>:</w:t>
      </w:r>
    </w:p>
    <w:p w14:paraId="22B95FA4" w14:textId="77777777" w:rsidR="00765A12" w:rsidRDefault="00765A12" w:rsidP="00E42DFB">
      <w:pPr>
        <w:pStyle w:val="USBullet2"/>
        <w:spacing w:after="60"/>
      </w:pPr>
      <w:r>
        <w:t>Theft and property damage (personal)</w:t>
      </w:r>
    </w:p>
    <w:p w14:paraId="3C96D4C5" w14:textId="77777777" w:rsidR="00765A12" w:rsidRDefault="00765A12" w:rsidP="00E42DFB">
      <w:pPr>
        <w:pStyle w:val="USBullet2"/>
        <w:spacing w:after="60"/>
      </w:pPr>
      <w:r>
        <w:t>Robbery and assault (except sexual assault)</w:t>
      </w:r>
    </w:p>
    <w:p w14:paraId="016D5A45" w14:textId="77777777" w:rsidR="00765A12" w:rsidRDefault="00765A12" w:rsidP="00E42DFB">
      <w:pPr>
        <w:pStyle w:val="USBullet2"/>
        <w:spacing w:after="60"/>
      </w:pPr>
      <w:r>
        <w:t>Fraud and deception</w:t>
      </w:r>
    </w:p>
    <w:p w14:paraId="5B2CAE3B" w14:textId="77777777" w:rsidR="00765A12" w:rsidRDefault="00765A12" w:rsidP="00E42DFB">
      <w:pPr>
        <w:pStyle w:val="USBullet2"/>
        <w:spacing w:after="60"/>
      </w:pPr>
      <w:r>
        <w:t>Cybercrime</w:t>
      </w:r>
    </w:p>
    <w:p w14:paraId="5C24EADE" w14:textId="77777777" w:rsidR="00765A12" w:rsidRDefault="00765A12" w:rsidP="00E42DFB">
      <w:pPr>
        <w:pStyle w:val="USBullet2"/>
        <w:spacing w:after="60"/>
      </w:pPr>
      <w:r>
        <w:t>Sexual assault</w:t>
      </w:r>
    </w:p>
    <w:p w14:paraId="0F533F5C" w14:textId="77777777" w:rsidR="00765A12" w:rsidRDefault="00765A12" w:rsidP="00765A12">
      <w:pPr>
        <w:pStyle w:val="USBullet2"/>
      </w:pPr>
      <w:r>
        <w:t>Harassment and threatening behaviour.</w:t>
      </w:r>
    </w:p>
    <w:p w14:paraId="07B277CE" w14:textId="77777777" w:rsidR="00765A12" w:rsidRDefault="00765A12" w:rsidP="00765A12">
      <w:pPr>
        <w:pStyle w:val="USBodyText"/>
      </w:pPr>
      <w:r>
        <w:t>Some additional descriptions are provided, but unlike Ministry of Justice data on incarceration, the ANZSOC category and subdivision is not identified, so these data do not align perfectly.</w:t>
      </w:r>
    </w:p>
    <w:p w14:paraId="37C75CF1" w14:textId="77777777" w:rsidR="00765A12" w:rsidRDefault="00765A12" w:rsidP="00765A12">
      <w:pPr>
        <w:pStyle w:val="Heading2"/>
      </w:pPr>
      <w:bookmarkStart w:id="180" w:name="_Toc160633859"/>
      <w:r>
        <w:lastRenderedPageBreak/>
        <w:t>Estimation of victims of crime private costs attributable to alcohol</w:t>
      </w:r>
      <w:bookmarkEnd w:id="180"/>
    </w:p>
    <w:p w14:paraId="764555C0" w14:textId="2DDB8C97" w:rsidR="00765A12" w:rsidRDefault="00182176" w:rsidP="00765A12">
      <w:pPr>
        <w:pStyle w:val="USBodyText"/>
      </w:pPr>
      <w:r>
        <w:t>To estimate</w:t>
      </w:r>
      <w:r w:rsidR="00765A12">
        <w:t xml:space="preserve"> an alcohol-attributable cost of crime, we assume all crimes categorised as household offences are likely to be impulsive crimes and that all crimes categorised as personal offences, </w:t>
      </w:r>
      <w:r>
        <w:t>except for</w:t>
      </w:r>
      <w:r w:rsidR="00765A12">
        <w:t xml:space="preserve"> fraud</w:t>
      </w:r>
      <w:r>
        <w:t>,</w:t>
      </w:r>
      <w:r w:rsidR="00765A12">
        <w:t xml:space="preserve"> deception and cybercrime, are likely to be impulsive crimes. We further assume the number of crimes and crime victims </w:t>
      </w:r>
      <w:r>
        <w:t xml:space="preserve">will remain </w:t>
      </w:r>
      <w:r w:rsidR="00765A12">
        <w:t>the same in 2023.</w:t>
      </w:r>
      <w:r w:rsidR="00CD0BFB">
        <w:t xml:space="preserve"> See </w:t>
      </w:r>
      <w:r w:rsidR="00CB793A">
        <w:fldChar w:fldCharType="begin"/>
      </w:r>
      <w:r w:rsidR="00CB793A">
        <w:instrText xml:space="preserve"> REF _Ref156229840 \h </w:instrText>
      </w:r>
      <w:r w:rsidR="00CB793A">
        <w:fldChar w:fldCharType="separate"/>
      </w:r>
      <w:r w:rsidR="00AE166D" w:rsidRPr="00731CA6">
        <w:t xml:space="preserve">Table </w:t>
      </w:r>
      <w:r w:rsidR="00AE166D">
        <w:rPr>
          <w:noProof/>
        </w:rPr>
        <w:t>37</w:t>
      </w:r>
      <w:r w:rsidR="00CB793A">
        <w:fldChar w:fldCharType="end"/>
      </w:r>
      <w:r w:rsidR="00CB793A">
        <w:t xml:space="preserve"> below.</w:t>
      </w:r>
    </w:p>
    <w:p w14:paraId="5CF79C89" w14:textId="05064468" w:rsidR="00765A12" w:rsidRPr="00731CA6" w:rsidRDefault="00765A12" w:rsidP="00765A12">
      <w:pPr>
        <w:pStyle w:val="TableCaption"/>
        <w:keepLines/>
      </w:pPr>
      <w:bookmarkStart w:id="181" w:name="_Ref156229840"/>
      <w:bookmarkStart w:id="182" w:name="_Toc160633944"/>
      <w:r w:rsidRPr="00731CA6">
        <w:t xml:space="preserve">Table </w:t>
      </w:r>
      <w:fldSimple w:instr=" SEQ Table \* ARABIC ">
        <w:r w:rsidR="00AE166D">
          <w:rPr>
            <w:noProof/>
          </w:rPr>
          <w:t>37</w:t>
        </w:r>
      </w:fldSimple>
      <w:bookmarkEnd w:id="181"/>
      <w:r w:rsidRPr="00731CA6">
        <w:t xml:space="preserve"> </w:t>
      </w:r>
      <w:r>
        <w:t>Number of offences reported in the NZ Crime and Victims Survey</w:t>
      </w:r>
      <w:bookmarkEnd w:id="182"/>
      <w:r>
        <w:t xml:space="preserve"> </w:t>
      </w:r>
    </w:p>
    <w:p w14:paraId="223D224A" w14:textId="77777777" w:rsidR="00765A12" w:rsidRDefault="00765A12" w:rsidP="00765A12">
      <w:pPr>
        <w:pStyle w:val="CaptionSubheading"/>
        <w:keepLines/>
      </w:pPr>
      <w:r>
        <w:t>And estimated number of impulsive offences</w:t>
      </w:r>
    </w:p>
    <w:tbl>
      <w:tblPr>
        <w:tblStyle w:val="TableDefault"/>
        <w:tblW w:w="8505" w:type="dxa"/>
        <w:tblLook w:val="04A0" w:firstRow="1" w:lastRow="0" w:firstColumn="1" w:lastColumn="0" w:noHBand="0" w:noVBand="1"/>
      </w:tblPr>
      <w:tblGrid>
        <w:gridCol w:w="2799"/>
        <w:gridCol w:w="5706"/>
      </w:tblGrid>
      <w:tr w:rsidR="00765A12" w14:paraId="49DAD79C" w14:textId="77777777">
        <w:trPr>
          <w:cnfStyle w:val="100000000000" w:firstRow="1" w:lastRow="0" w:firstColumn="0" w:lastColumn="0" w:oddVBand="0" w:evenVBand="0" w:oddHBand="0" w:evenHBand="0" w:firstRowFirstColumn="0" w:firstRowLastColumn="0" w:lastRowFirstColumn="0" w:lastRowLastColumn="0"/>
        </w:trPr>
        <w:tc>
          <w:tcPr>
            <w:tcW w:w="0" w:type="dxa"/>
          </w:tcPr>
          <w:p w14:paraId="1E5947A7" w14:textId="77777777" w:rsidR="00765A12" w:rsidRPr="00661183" w:rsidRDefault="00765A12">
            <w:pPr>
              <w:pStyle w:val="TSTableHeadingWhite-TopRow"/>
              <w:rPr>
                <w:b w:val="0"/>
                <w:bCs/>
                <w:color w:val="FFFFFF" w:themeColor="background1"/>
              </w:rPr>
            </w:pPr>
            <w:r w:rsidRPr="00661183">
              <w:t xml:space="preserve">Crime </w:t>
            </w:r>
            <w:r w:rsidRPr="00661183">
              <w:rPr>
                <w:bCs/>
                <w:color w:val="FFFFFF" w:themeColor="background1"/>
              </w:rPr>
              <w:t>category</w:t>
            </w:r>
          </w:p>
        </w:tc>
        <w:tc>
          <w:tcPr>
            <w:tcW w:w="4259" w:type="dxa"/>
          </w:tcPr>
          <w:p w14:paraId="621E922E" w14:textId="77777777" w:rsidR="00765A12" w:rsidRPr="00661183" w:rsidRDefault="00765A12">
            <w:pPr>
              <w:pStyle w:val="TSTableHeadingWhite-TopRow"/>
              <w:jc w:val="center"/>
              <w:rPr>
                <w:b w:val="0"/>
                <w:bCs/>
                <w:color w:val="FFFFFF" w:themeColor="background1"/>
              </w:rPr>
            </w:pPr>
            <w:r w:rsidRPr="00661183">
              <w:t>Number of offences</w:t>
            </w:r>
          </w:p>
        </w:tc>
      </w:tr>
      <w:tr w:rsidR="00765A12" w14:paraId="33434743" w14:textId="77777777">
        <w:tc>
          <w:tcPr>
            <w:tcW w:w="0" w:type="dxa"/>
          </w:tcPr>
          <w:p w14:paraId="6B8E60E6" w14:textId="77777777" w:rsidR="00765A12" w:rsidRPr="00182176" w:rsidRDefault="00765A12">
            <w:pPr>
              <w:pStyle w:val="TSBodyText"/>
              <w:rPr>
                <w:b/>
                <w:bCs/>
              </w:rPr>
            </w:pPr>
            <w:r w:rsidRPr="00182176">
              <w:rPr>
                <w:b/>
                <w:bCs/>
              </w:rPr>
              <w:t>Household offences</w:t>
            </w:r>
          </w:p>
        </w:tc>
        <w:tc>
          <w:tcPr>
            <w:tcW w:w="4259" w:type="dxa"/>
          </w:tcPr>
          <w:p w14:paraId="5028409A" w14:textId="77777777" w:rsidR="00765A12" w:rsidRPr="00A90C95" w:rsidRDefault="00765A12">
            <w:pPr>
              <w:pStyle w:val="TSBodyText"/>
              <w:ind w:right="1735"/>
              <w:jc w:val="right"/>
            </w:pPr>
          </w:p>
        </w:tc>
      </w:tr>
      <w:tr w:rsidR="00765A12" w14:paraId="5C47AD77"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37119DB9" w14:textId="77777777" w:rsidR="00765A12" w:rsidRPr="00A90C95" w:rsidRDefault="00765A12">
            <w:pPr>
              <w:pStyle w:val="TSBodyText"/>
            </w:pPr>
            <w:r w:rsidRPr="00A90C95">
              <w:t>Burglary</w:t>
            </w:r>
          </w:p>
        </w:tc>
        <w:tc>
          <w:tcPr>
            <w:tcW w:w="4259" w:type="dxa"/>
          </w:tcPr>
          <w:p w14:paraId="39DC8784" w14:textId="77777777" w:rsidR="00765A12" w:rsidRPr="00A90C95" w:rsidRDefault="00765A12" w:rsidP="00182176">
            <w:pPr>
              <w:pStyle w:val="TSBodyText"/>
              <w:ind w:right="2301"/>
              <w:jc w:val="right"/>
            </w:pPr>
            <w:r w:rsidRPr="00A90C95">
              <w:t>288</w:t>
            </w:r>
          </w:p>
        </w:tc>
      </w:tr>
      <w:tr w:rsidR="00765A12" w14:paraId="2F920564" w14:textId="77777777">
        <w:tc>
          <w:tcPr>
            <w:tcW w:w="0" w:type="dxa"/>
          </w:tcPr>
          <w:p w14:paraId="44D69841" w14:textId="77777777" w:rsidR="00765A12" w:rsidRPr="00A90C95" w:rsidRDefault="00765A12">
            <w:pPr>
              <w:pStyle w:val="TSBodyText"/>
            </w:pPr>
            <w:r w:rsidRPr="00A90C95">
              <w:t>Theft of/unlawful takes/converts motor vehicle</w:t>
            </w:r>
          </w:p>
        </w:tc>
        <w:tc>
          <w:tcPr>
            <w:tcW w:w="4259" w:type="dxa"/>
          </w:tcPr>
          <w:p w14:paraId="779BD046" w14:textId="77777777" w:rsidR="00765A12" w:rsidRPr="00A90C95" w:rsidRDefault="00765A12" w:rsidP="00182176">
            <w:pPr>
              <w:pStyle w:val="TSBodyText"/>
              <w:ind w:right="2301"/>
              <w:jc w:val="right"/>
            </w:pPr>
            <w:r w:rsidRPr="00A90C95">
              <w:t>43</w:t>
            </w:r>
          </w:p>
        </w:tc>
      </w:tr>
      <w:tr w:rsidR="00765A12" w14:paraId="36B0035A"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0FE59FD4" w14:textId="77777777" w:rsidR="00765A12" w:rsidRPr="00A90C95" w:rsidRDefault="00765A12">
            <w:pPr>
              <w:pStyle w:val="TSBodyText"/>
            </w:pPr>
            <w:r w:rsidRPr="00A90C95">
              <w:t>Theft (from motor vehicle)</w:t>
            </w:r>
          </w:p>
        </w:tc>
        <w:tc>
          <w:tcPr>
            <w:tcW w:w="4259" w:type="dxa"/>
          </w:tcPr>
          <w:p w14:paraId="77313AF7" w14:textId="77777777" w:rsidR="00765A12" w:rsidRPr="00A90C95" w:rsidRDefault="00765A12" w:rsidP="00182176">
            <w:pPr>
              <w:pStyle w:val="TSBodyText"/>
              <w:ind w:right="2301"/>
              <w:jc w:val="right"/>
            </w:pPr>
            <w:r w:rsidRPr="00A90C95">
              <w:t>33</w:t>
            </w:r>
          </w:p>
        </w:tc>
      </w:tr>
      <w:tr w:rsidR="00765A12" w14:paraId="7D1618DF" w14:textId="77777777">
        <w:tc>
          <w:tcPr>
            <w:tcW w:w="0" w:type="dxa"/>
          </w:tcPr>
          <w:p w14:paraId="197D63A5" w14:textId="77777777" w:rsidR="00765A12" w:rsidRPr="00A90C95" w:rsidRDefault="00765A12">
            <w:pPr>
              <w:pStyle w:val="TSBodyText"/>
            </w:pPr>
            <w:r w:rsidRPr="00A90C95">
              <w:t>Unlawful interference/getting into motor vehicle</w:t>
            </w:r>
          </w:p>
        </w:tc>
        <w:tc>
          <w:tcPr>
            <w:tcW w:w="4259" w:type="dxa"/>
          </w:tcPr>
          <w:p w14:paraId="7A648382" w14:textId="77777777" w:rsidR="00765A12" w:rsidRPr="00A90C95" w:rsidRDefault="00765A12" w:rsidP="00182176">
            <w:pPr>
              <w:pStyle w:val="TSBodyText"/>
              <w:ind w:right="2301"/>
              <w:jc w:val="right"/>
            </w:pPr>
            <w:r w:rsidRPr="00A90C95">
              <w:t>16</w:t>
            </w:r>
          </w:p>
        </w:tc>
      </w:tr>
      <w:tr w:rsidR="00765A12" w14:paraId="6897C2F2"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53C50C96" w14:textId="77777777" w:rsidR="00765A12" w:rsidRPr="00A90C95" w:rsidRDefault="00765A12">
            <w:pPr>
              <w:pStyle w:val="TSBodyText"/>
            </w:pPr>
            <w:r w:rsidRPr="00A90C95">
              <w:t>Damage to motor vehicles</w:t>
            </w:r>
          </w:p>
        </w:tc>
        <w:tc>
          <w:tcPr>
            <w:tcW w:w="4259" w:type="dxa"/>
          </w:tcPr>
          <w:p w14:paraId="4980ADC9" w14:textId="77777777" w:rsidR="00765A12" w:rsidRPr="00A90C95" w:rsidRDefault="00765A12" w:rsidP="00182176">
            <w:pPr>
              <w:pStyle w:val="TSBodyText"/>
              <w:ind w:right="2301"/>
              <w:jc w:val="right"/>
            </w:pPr>
            <w:r w:rsidRPr="00A90C95">
              <w:t>58</w:t>
            </w:r>
          </w:p>
        </w:tc>
      </w:tr>
      <w:tr w:rsidR="00765A12" w14:paraId="3519DC8C" w14:textId="77777777">
        <w:tc>
          <w:tcPr>
            <w:tcW w:w="0" w:type="dxa"/>
          </w:tcPr>
          <w:p w14:paraId="211EB055" w14:textId="77777777" w:rsidR="00765A12" w:rsidRPr="00A90C95" w:rsidRDefault="00765A12">
            <w:pPr>
              <w:pStyle w:val="TSBodyText"/>
            </w:pPr>
            <w:r w:rsidRPr="00A90C95">
              <w:t>Unlawful takes/converts/interferes with bicycle</w:t>
            </w:r>
          </w:p>
        </w:tc>
        <w:tc>
          <w:tcPr>
            <w:tcW w:w="4259" w:type="dxa"/>
          </w:tcPr>
          <w:p w14:paraId="315F6E5E" w14:textId="77777777" w:rsidR="00765A12" w:rsidRPr="00A90C95" w:rsidRDefault="00765A12" w:rsidP="00182176">
            <w:pPr>
              <w:pStyle w:val="TSBodyText"/>
              <w:ind w:right="2301"/>
              <w:jc w:val="right"/>
            </w:pPr>
            <w:r w:rsidRPr="00A90C95">
              <w:t>11</w:t>
            </w:r>
          </w:p>
        </w:tc>
      </w:tr>
      <w:tr w:rsidR="00765A12" w14:paraId="6753E7FE"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3C2EBCE1" w14:textId="77777777" w:rsidR="00765A12" w:rsidRPr="00A90C95" w:rsidRDefault="00765A12">
            <w:pPr>
              <w:pStyle w:val="TSBodyText"/>
            </w:pPr>
            <w:r w:rsidRPr="00A90C95">
              <w:t>Property damage (household)</w:t>
            </w:r>
          </w:p>
        </w:tc>
        <w:tc>
          <w:tcPr>
            <w:tcW w:w="4259" w:type="dxa"/>
          </w:tcPr>
          <w:p w14:paraId="6810CB4B" w14:textId="77777777" w:rsidR="00765A12" w:rsidRPr="00A90C95" w:rsidRDefault="00765A12" w:rsidP="00182176">
            <w:pPr>
              <w:pStyle w:val="TSBodyText"/>
              <w:ind w:right="2301"/>
              <w:jc w:val="right"/>
            </w:pPr>
            <w:r w:rsidRPr="00A90C95">
              <w:t>64</w:t>
            </w:r>
          </w:p>
        </w:tc>
      </w:tr>
      <w:tr w:rsidR="00765A12" w14:paraId="6A727A7D" w14:textId="77777777">
        <w:tc>
          <w:tcPr>
            <w:tcW w:w="0" w:type="dxa"/>
          </w:tcPr>
          <w:p w14:paraId="18F7DCC2" w14:textId="77777777" w:rsidR="00765A12" w:rsidRPr="00A90C95" w:rsidRDefault="00765A12">
            <w:pPr>
              <w:pStyle w:val="TSBodyText"/>
            </w:pPr>
            <w:r w:rsidRPr="00A90C95">
              <w:t>Theft (except motor vehicles – household)</w:t>
            </w:r>
          </w:p>
        </w:tc>
        <w:tc>
          <w:tcPr>
            <w:tcW w:w="4259" w:type="dxa"/>
          </w:tcPr>
          <w:p w14:paraId="77DCBE03" w14:textId="77777777" w:rsidR="00765A12" w:rsidRPr="00A90C95" w:rsidRDefault="00765A12" w:rsidP="00182176">
            <w:pPr>
              <w:pStyle w:val="TSBodyText"/>
              <w:ind w:right="2301"/>
              <w:jc w:val="right"/>
            </w:pPr>
            <w:r w:rsidRPr="00A90C95">
              <w:t>47</w:t>
            </w:r>
          </w:p>
        </w:tc>
      </w:tr>
      <w:tr w:rsidR="00765A12" w14:paraId="79089F32"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44D201EC" w14:textId="77777777" w:rsidR="00765A12" w:rsidRPr="00A90C95" w:rsidRDefault="00765A12">
            <w:pPr>
              <w:pStyle w:val="TSBodyText"/>
            </w:pPr>
            <w:r w:rsidRPr="00A90C95">
              <w:t>Trespass</w:t>
            </w:r>
          </w:p>
        </w:tc>
        <w:tc>
          <w:tcPr>
            <w:tcW w:w="4259" w:type="dxa"/>
          </w:tcPr>
          <w:p w14:paraId="47A0A5E2" w14:textId="77777777" w:rsidR="00765A12" w:rsidRPr="00A90C95" w:rsidRDefault="00765A12" w:rsidP="00182176">
            <w:pPr>
              <w:pStyle w:val="TSBodyText"/>
              <w:ind w:right="2301"/>
              <w:jc w:val="right"/>
            </w:pPr>
            <w:r w:rsidRPr="00A90C95">
              <w:t>57</w:t>
            </w:r>
          </w:p>
        </w:tc>
      </w:tr>
      <w:tr w:rsidR="00765A12" w14:paraId="553715F2" w14:textId="77777777">
        <w:tc>
          <w:tcPr>
            <w:tcW w:w="0" w:type="dxa"/>
          </w:tcPr>
          <w:p w14:paraId="5AD04809" w14:textId="77777777" w:rsidR="00765A12" w:rsidRPr="00182176" w:rsidRDefault="00765A12">
            <w:pPr>
              <w:pStyle w:val="TSBodyText"/>
              <w:rPr>
                <w:b/>
                <w:bCs/>
              </w:rPr>
            </w:pPr>
            <w:r w:rsidRPr="00182176">
              <w:rPr>
                <w:b/>
                <w:bCs/>
              </w:rPr>
              <w:t>Personal offences</w:t>
            </w:r>
          </w:p>
        </w:tc>
        <w:tc>
          <w:tcPr>
            <w:tcW w:w="4259" w:type="dxa"/>
          </w:tcPr>
          <w:p w14:paraId="03685950" w14:textId="77777777" w:rsidR="00765A12" w:rsidRPr="00A90C95" w:rsidRDefault="00765A12" w:rsidP="00182176">
            <w:pPr>
              <w:pStyle w:val="TSBodyText"/>
              <w:ind w:right="2301"/>
              <w:jc w:val="right"/>
            </w:pPr>
          </w:p>
        </w:tc>
      </w:tr>
      <w:tr w:rsidR="00765A12" w14:paraId="579AC3B3"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3D51D47C" w14:textId="77777777" w:rsidR="00765A12" w:rsidRPr="00A90C95" w:rsidRDefault="00765A12">
            <w:pPr>
              <w:pStyle w:val="TSBodyText"/>
            </w:pPr>
            <w:r w:rsidRPr="00A90C95">
              <w:t>Theft and property damage (personal)</w:t>
            </w:r>
          </w:p>
        </w:tc>
        <w:tc>
          <w:tcPr>
            <w:tcW w:w="4259" w:type="dxa"/>
          </w:tcPr>
          <w:p w14:paraId="07515E49" w14:textId="77777777" w:rsidR="00765A12" w:rsidRPr="00A90C95" w:rsidRDefault="00765A12" w:rsidP="00182176">
            <w:pPr>
              <w:pStyle w:val="TSBodyText"/>
              <w:ind w:right="2301"/>
              <w:jc w:val="right"/>
            </w:pPr>
            <w:r w:rsidRPr="00A90C95">
              <w:t>57</w:t>
            </w:r>
          </w:p>
        </w:tc>
      </w:tr>
      <w:tr w:rsidR="00765A12" w14:paraId="5625148C" w14:textId="77777777">
        <w:tc>
          <w:tcPr>
            <w:tcW w:w="0" w:type="dxa"/>
          </w:tcPr>
          <w:p w14:paraId="6752982B" w14:textId="77777777" w:rsidR="00765A12" w:rsidRPr="00A90C95" w:rsidRDefault="00765A12">
            <w:pPr>
              <w:pStyle w:val="TSBodyText"/>
            </w:pPr>
            <w:r w:rsidRPr="00A90C95">
              <w:t>Robbery and assault (except sexual assault)</w:t>
            </w:r>
          </w:p>
        </w:tc>
        <w:tc>
          <w:tcPr>
            <w:tcW w:w="4259" w:type="dxa"/>
          </w:tcPr>
          <w:p w14:paraId="66A4AA45" w14:textId="77777777" w:rsidR="00765A12" w:rsidRPr="00A90C95" w:rsidRDefault="00765A12" w:rsidP="00182176">
            <w:pPr>
              <w:pStyle w:val="TSBodyText"/>
              <w:ind w:right="2301"/>
              <w:jc w:val="right"/>
            </w:pPr>
            <w:r w:rsidRPr="00A90C95">
              <w:t>253</w:t>
            </w:r>
          </w:p>
        </w:tc>
      </w:tr>
      <w:tr w:rsidR="00765A12" w14:paraId="40BBE52C"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679225E2" w14:textId="77777777" w:rsidR="00765A12" w:rsidRPr="00A90C95" w:rsidRDefault="00765A12">
            <w:pPr>
              <w:pStyle w:val="TSBodyText"/>
            </w:pPr>
            <w:r w:rsidRPr="00A90C95">
              <w:t>Fraud and deception</w:t>
            </w:r>
          </w:p>
        </w:tc>
        <w:tc>
          <w:tcPr>
            <w:tcW w:w="4259" w:type="dxa"/>
          </w:tcPr>
          <w:p w14:paraId="6CC445EF" w14:textId="77777777" w:rsidR="00765A12" w:rsidRPr="00A90C95" w:rsidRDefault="00765A12" w:rsidP="00182176">
            <w:pPr>
              <w:pStyle w:val="TSBodyText"/>
              <w:ind w:right="2301"/>
              <w:jc w:val="right"/>
            </w:pPr>
            <w:r w:rsidRPr="00A90C95">
              <w:t>510</w:t>
            </w:r>
          </w:p>
        </w:tc>
      </w:tr>
      <w:tr w:rsidR="00765A12" w14:paraId="7AFEB025" w14:textId="77777777">
        <w:tc>
          <w:tcPr>
            <w:tcW w:w="0" w:type="dxa"/>
          </w:tcPr>
          <w:p w14:paraId="0353B2DD" w14:textId="77777777" w:rsidR="00765A12" w:rsidRPr="00A90C95" w:rsidRDefault="00765A12">
            <w:pPr>
              <w:pStyle w:val="TSBodyText"/>
            </w:pPr>
            <w:r w:rsidRPr="00A90C95">
              <w:t>Cybercrime</w:t>
            </w:r>
          </w:p>
        </w:tc>
        <w:tc>
          <w:tcPr>
            <w:tcW w:w="4259" w:type="dxa"/>
          </w:tcPr>
          <w:p w14:paraId="3D016EA6" w14:textId="77777777" w:rsidR="00765A12" w:rsidRPr="00A90C95" w:rsidRDefault="00765A12" w:rsidP="00182176">
            <w:pPr>
              <w:pStyle w:val="TSBodyText"/>
              <w:ind w:right="2301"/>
              <w:jc w:val="right"/>
            </w:pPr>
            <w:r w:rsidRPr="00A90C95">
              <w:t>99</w:t>
            </w:r>
          </w:p>
        </w:tc>
      </w:tr>
      <w:tr w:rsidR="00765A12" w14:paraId="5FB670A0"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17B8641E" w14:textId="77777777" w:rsidR="00765A12" w:rsidRPr="00A90C95" w:rsidRDefault="00765A12">
            <w:pPr>
              <w:pStyle w:val="TSBodyText"/>
            </w:pPr>
            <w:r w:rsidRPr="00A90C95">
              <w:t>Sexual assault</w:t>
            </w:r>
          </w:p>
        </w:tc>
        <w:tc>
          <w:tcPr>
            <w:tcW w:w="4259" w:type="dxa"/>
          </w:tcPr>
          <w:p w14:paraId="17E5A34D" w14:textId="77777777" w:rsidR="00765A12" w:rsidRPr="00A90C95" w:rsidRDefault="00765A12" w:rsidP="00182176">
            <w:pPr>
              <w:pStyle w:val="TSBodyText"/>
              <w:ind w:right="2301"/>
              <w:jc w:val="right"/>
            </w:pPr>
            <w:r w:rsidRPr="00A90C95">
              <w:t>Data suppressed</w:t>
            </w:r>
            <w:r>
              <w:t>*</w:t>
            </w:r>
          </w:p>
        </w:tc>
      </w:tr>
      <w:tr w:rsidR="00765A12" w14:paraId="764C5FA7" w14:textId="77777777">
        <w:tc>
          <w:tcPr>
            <w:tcW w:w="0" w:type="dxa"/>
          </w:tcPr>
          <w:p w14:paraId="750B980B" w14:textId="77777777" w:rsidR="00765A12" w:rsidRPr="00A90C95" w:rsidRDefault="00765A12">
            <w:pPr>
              <w:pStyle w:val="TSBodyText"/>
            </w:pPr>
            <w:r w:rsidRPr="00A90C95">
              <w:t>Harassment and threatening behaviour</w:t>
            </w:r>
          </w:p>
        </w:tc>
        <w:tc>
          <w:tcPr>
            <w:tcW w:w="4259" w:type="dxa"/>
          </w:tcPr>
          <w:p w14:paraId="58D4C9BE" w14:textId="77777777" w:rsidR="00765A12" w:rsidRPr="00A90C95" w:rsidRDefault="00765A12" w:rsidP="00182176">
            <w:pPr>
              <w:pStyle w:val="TSBodyText"/>
              <w:ind w:right="2301"/>
              <w:jc w:val="right"/>
            </w:pPr>
            <w:r w:rsidRPr="00A90C95">
              <w:t>Data suppressed</w:t>
            </w:r>
            <w:r>
              <w:t>*</w:t>
            </w:r>
          </w:p>
        </w:tc>
      </w:tr>
      <w:tr w:rsidR="00765A12" w14:paraId="687CEFD2" w14:textId="77777777">
        <w:trPr>
          <w:cnfStyle w:val="000000010000" w:firstRow="0" w:lastRow="0" w:firstColumn="0" w:lastColumn="0" w:oddVBand="0" w:evenVBand="0" w:oddHBand="0" w:evenHBand="1" w:firstRowFirstColumn="0" w:firstRowLastColumn="0" w:lastRowFirstColumn="0" w:lastRowLastColumn="0"/>
        </w:trPr>
        <w:tc>
          <w:tcPr>
            <w:tcW w:w="0" w:type="dxa"/>
          </w:tcPr>
          <w:p w14:paraId="6AFE7D81" w14:textId="77777777" w:rsidR="00765A12" w:rsidRPr="00A90C95" w:rsidRDefault="00765A12">
            <w:pPr>
              <w:pStyle w:val="TSBodyText"/>
            </w:pPr>
            <w:r w:rsidRPr="00A90C95">
              <w:t>Total offences</w:t>
            </w:r>
          </w:p>
        </w:tc>
        <w:tc>
          <w:tcPr>
            <w:tcW w:w="4259" w:type="dxa"/>
          </w:tcPr>
          <w:p w14:paraId="4021B72C" w14:textId="77777777" w:rsidR="00765A12" w:rsidRPr="00A90C95" w:rsidRDefault="00765A12" w:rsidP="00182176">
            <w:pPr>
              <w:pStyle w:val="TSBodyText"/>
              <w:ind w:right="2301"/>
              <w:jc w:val="right"/>
            </w:pPr>
            <w:r w:rsidRPr="00A90C95">
              <w:t>1,536</w:t>
            </w:r>
          </w:p>
        </w:tc>
      </w:tr>
      <w:tr w:rsidR="00765A12" w14:paraId="13783BD6" w14:textId="77777777">
        <w:tc>
          <w:tcPr>
            <w:tcW w:w="0" w:type="dxa"/>
          </w:tcPr>
          <w:p w14:paraId="1C092727" w14:textId="77777777" w:rsidR="00765A12" w:rsidRPr="00A90C95" w:rsidRDefault="00765A12">
            <w:pPr>
              <w:pStyle w:val="TSBodyText"/>
            </w:pPr>
            <w:r w:rsidRPr="00A90C95">
              <w:t>Total impulsive offences</w:t>
            </w:r>
          </w:p>
        </w:tc>
        <w:tc>
          <w:tcPr>
            <w:tcW w:w="4259" w:type="dxa"/>
          </w:tcPr>
          <w:p w14:paraId="262FD12C" w14:textId="77777777" w:rsidR="00765A12" w:rsidRPr="00A90C95" w:rsidRDefault="00765A12" w:rsidP="00182176">
            <w:pPr>
              <w:pStyle w:val="TSBodyText"/>
              <w:ind w:right="2301"/>
              <w:jc w:val="right"/>
            </w:pPr>
            <w:r w:rsidRPr="00A90C95">
              <w:t>927</w:t>
            </w:r>
          </w:p>
        </w:tc>
      </w:tr>
    </w:tbl>
    <w:p w14:paraId="069C32B9" w14:textId="46208A08" w:rsidR="00765A12" w:rsidRDefault="00765A12" w:rsidP="00765A12">
      <w:pPr>
        <w:pStyle w:val="USSource"/>
        <w:spacing w:after="120"/>
      </w:pPr>
      <w:r>
        <w:t>*Value suppressed by the Ministry of Justice due</w:t>
      </w:r>
      <w:r w:rsidR="00182176">
        <w:t xml:space="preserve"> to</w:t>
      </w:r>
      <w:r>
        <w:t xml:space="preserve"> a high level of statistical uncertainty </w:t>
      </w:r>
      <w:r w:rsidRPr="00A368C2">
        <w:t xml:space="preserve">(estimates with a relative sampling error </w:t>
      </w:r>
      <w:r w:rsidR="00182176">
        <w:t xml:space="preserve">of </w:t>
      </w:r>
      <w:r w:rsidRPr="00A368C2">
        <w:t>more than 50</w:t>
      </w:r>
      <w:r>
        <w:t xml:space="preserve"> percent</w:t>
      </w:r>
      <w:r w:rsidRPr="00A368C2">
        <w:t xml:space="preserve"> or a margin of error higher than 20 percentage points)</w:t>
      </w:r>
      <w:r>
        <w:t>.</w:t>
      </w:r>
      <w:r w:rsidR="00AA7BDD">
        <w:t xml:space="preserve"> The implication of this is likely underestimation</w:t>
      </w:r>
      <w:r w:rsidR="003E5636">
        <w:t>. Sexual assault convictions are highly prevalent within the incarcerated population</w:t>
      </w:r>
      <w:r w:rsidR="00284775">
        <w:t xml:space="preserve">, and </w:t>
      </w:r>
      <w:r w:rsidR="001322AC">
        <w:t xml:space="preserve">the </w:t>
      </w:r>
      <w:r w:rsidR="00284775">
        <w:t>under-reporting of this crime is believed to be substantial.</w:t>
      </w:r>
    </w:p>
    <w:p w14:paraId="31529C9A" w14:textId="77777777" w:rsidR="00765A12" w:rsidRDefault="00765A12" w:rsidP="00765A12">
      <w:pPr>
        <w:pStyle w:val="USSource"/>
      </w:pPr>
      <w:r>
        <w:t>Source: NZIER, based on the New Zealand Crime Victims Survey Cycle 5</w:t>
      </w:r>
    </w:p>
    <w:p w14:paraId="494E9F07" w14:textId="2CBD4518" w:rsidR="00765A12" w:rsidRDefault="00765A12" w:rsidP="00765A12">
      <w:pPr>
        <w:pStyle w:val="USBodyText"/>
      </w:pPr>
      <w:r>
        <w:lastRenderedPageBreak/>
        <w:t>The number of adults victimised by crime type is only reported for broad offence groups, but the grouping of fraud and cybercrime offences</w:t>
      </w:r>
      <w:r w:rsidR="00AD68E0">
        <w:t>, which are not typically impulsive crimes,</w:t>
      </w:r>
      <w:r>
        <w:t xml:space="preserve"> means that people victimised by this type of crime can be subtracted from the total number of crime victims. In Cycle 5 of the survey, 500 adults were victims of fraud and cybercrime, leaving 777 adult victims of impulsive crimes, experiencing an average of 1.2 crimes over 12 months.</w:t>
      </w:r>
    </w:p>
    <w:p w14:paraId="3992A3C7" w14:textId="413B60B0" w:rsidR="00AE1115" w:rsidRDefault="00AE1115" w:rsidP="00765A12">
      <w:pPr>
        <w:pStyle w:val="USBodyText"/>
      </w:pPr>
      <w:r>
        <w:t xml:space="preserve">Private costs </w:t>
      </w:r>
      <w:r w:rsidRPr="00AE1115">
        <w:t xml:space="preserve">can be estimated using a range of techniques. One technique known as subjective valuation estimates the amount of annual income required to compensate individuals for the tangible and intangible costs of crime. The Treasury provides </w:t>
      </w:r>
      <w:r w:rsidR="00420CB7">
        <w:t>two alternative</w:t>
      </w:r>
      <w:r w:rsidRPr="00AE1115">
        <w:t xml:space="preserve"> estimate</w:t>
      </w:r>
      <w:r w:rsidR="00420CB7">
        <w:t>s</w:t>
      </w:r>
      <w:r w:rsidRPr="00AE1115">
        <w:t xml:space="preserve"> of the 2023 private cost to victims of crime derived using subjective valuation techniques</w:t>
      </w:r>
      <w:r w:rsidR="00F54ABF">
        <w:t xml:space="preserve">: </w:t>
      </w:r>
      <w:r w:rsidR="00285CE0">
        <w:t xml:space="preserve">a low value of </w:t>
      </w:r>
      <w:r w:rsidR="00F54ABF" w:rsidRPr="00F54ABF">
        <w:t xml:space="preserve">$3,706 </w:t>
      </w:r>
      <w:r w:rsidRPr="00AE1115">
        <w:t xml:space="preserve">and </w:t>
      </w:r>
      <w:r w:rsidR="00285CE0">
        <w:t>a high value of</w:t>
      </w:r>
      <w:r w:rsidRPr="00AE1115">
        <w:t xml:space="preserve"> $8,388 (The Treasury 2022, Smith and Davies 2020)</w:t>
      </w:r>
      <w:r>
        <w:t>.</w:t>
      </w:r>
      <w:r w:rsidR="00F54ABF">
        <w:t xml:space="preserve"> These costs do not represent all private costs</w:t>
      </w:r>
      <w:r w:rsidR="00116E20">
        <w:t xml:space="preserve"> of crime but rather the portion of private costs that people do not expect to receive some form of compensation for (over and above insurance and publicly funded services).</w:t>
      </w:r>
    </w:p>
    <w:p w14:paraId="6837BCA3" w14:textId="7622B2B3" w:rsidR="00765A12" w:rsidRDefault="00CD1E1A" w:rsidP="00765A12">
      <w:pPr>
        <w:pStyle w:val="USBodyText"/>
      </w:pPr>
      <w:r>
        <w:t>For a conservative approach, we use</w:t>
      </w:r>
      <w:r w:rsidR="00765A12">
        <w:t xml:space="preserve"> </w:t>
      </w:r>
      <w:r>
        <w:t>t</w:t>
      </w:r>
      <w:r w:rsidR="00765A12">
        <w:t xml:space="preserve">he Treasury’s </w:t>
      </w:r>
      <w:r>
        <w:t xml:space="preserve">low </w:t>
      </w:r>
      <w:r w:rsidR="00765A12">
        <w:t xml:space="preserve">estimate of </w:t>
      </w:r>
      <w:r w:rsidR="00765A12" w:rsidRPr="00887801">
        <w:t>$3,706</w:t>
      </w:r>
      <w:r w:rsidR="00765A12" w:rsidRPr="00CD19C4">
        <w:rPr>
          <w:rStyle w:val="FootnoteReference"/>
        </w:rPr>
        <w:footnoteReference w:id="13"/>
      </w:r>
      <w:r w:rsidR="00765A12" w:rsidRPr="00887801">
        <w:t xml:space="preserve"> </w:t>
      </w:r>
      <w:r w:rsidR="00765A12">
        <w:fldChar w:fldCharType="begin"/>
      </w:r>
      <w:r w:rsidR="00F244F6">
        <w:instrText xml:space="preserve"> ADDIN ZOTERO_ITEM CSL_CITATION {"citationID":"I7WeG27w","properties":{"formattedCitation":"(The Treasury 2022)","plainCitation":"(The Treasury 2022)","noteIndex":0},"citationItems":[{"id":71335,"uris":["http://zotero.org/groups/4944822/items/VWY2MJIJ"],"itemData":{"id":71335,"type":"webpage","abstract":"CBAx is a spreadsheet model by the Treasury that contains a common database to help agencies monetise impacts and do return on investment","language":"en","title":"CBAX impacts database","URL":"https://www.treasury.govt.nz/information-and-services/state-sector-leadership/investment-management/investment-planning/treasurys-cbax-tool","author":[{"family":"The Treasury","given":""}],"accessed":{"date-parts":[["2023",12,7]]},"issued":{"date-parts":[["2022"]]}}}],"schema":"https://github.com/citation-style-language/schema/raw/master/csl-citation.json"} </w:instrText>
      </w:r>
      <w:r w:rsidR="00765A12">
        <w:fldChar w:fldCharType="separate"/>
      </w:r>
      <w:r w:rsidR="00765A12" w:rsidRPr="00EF3237">
        <w:rPr>
          <w:rFonts w:cs="Calibri"/>
        </w:rPr>
        <w:t>(The Treasury 2022)</w:t>
      </w:r>
      <w:r w:rsidR="00765A12">
        <w:fldChar w:fldCharType="end"/>
      </w:r>
      <w:r w:rsidR="00765A12">
        <w:t xml:space="preserve"> and the midpoint of alcohol attribution estimated by </w:t>
      </w:r>
      <w:r w:rsidR="00765A12">
        <w:fldChar w:fldCharType="begin"/>
      </w:r>
      <w:r w:rsidR="00F244F6">
        <w:instrText xml:space="preserve"> ADDIN ZOTERO_ITEM CSL_CITATION {"citationID":"8Ucuy1fs","properties":{"formattedCitation":"(Boden, Fergusson, and Horwood 2013)","plainCitation":"(Boden, Fergusson, and Horwood 2013)","dontUpdate":true,"noteIndex":0},"citationItems":[{"id":66495,"uris":["http://zotero.org/groups/4944822/items/69ZNNTAN"],"itemData":{"id":66495,"type":"article-journal","abstract":"Background\nThis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rsidR="00765A12">
        <w:fldChar w:fldCharType="separate"/>
      </w:r>
      <w:r w:rsidR="00765A12" w:rsidRPr="00032AB3">
        <w:rPr>
          <w:rFonts w:cs="Calibri"/>
        </w:rPr>
        <w:t xml:space="preserve">Boden, Fergusson, and Horwood </w:t>
      </w:r>
      <w:r w:rsidR="00765A12">
        <w:rPr>
          <w:rFonts w:cs="Calibri"/>
        </w:rPr>
        <w:t>(</w:t>
      </w:r>
      <w:r w:rsidR="00765A12" w:rsidRPr="00032AB3">
        <w:rPr>
          <w:rFonts w:cs="Calibri"/>
        </w:rPr>
        <w:t>2013)</w:t>
      </w:r>
      <w:r w:rsidR="00765A12">
        <w:fldChar w:fldCharType="end"/>
      </w:r>
      <w:r w:rsidR="00C41E7D">
        <w:t xml:space="preserve">. This </w:t>
      </w:r>
      <w:r w:rsidR="00765A12">
        <w:t xml:space="preserve">produces an estimated private cost of </w:t>
      </w:r>
      <w:r w:rsidR="00422407">
        <w:t>alcohol-</w:t>
      </w:r>
      <w:r w:rsidR="00765A12">
        <w:t>attributable crime in 2023 of $280,757.</w:t>
      </w:r>
    </w:p>
    <w:p w14:paraId="3D4CA50A" w14:textId="6F2EEF44" w:rsidR="00765A12" w:rsidRPr="00731CA6" w:rsidRDefault="00765A12" w:rsidP="00765A12">
      <w:pPr>
        <w:pStyle w:val="TableCaption"/>
        <w:keepLines/>
      </w:pPr>
      <w:bookmarkStart w:id="183" w:name="_Toc160633945"/>
      <w:r w:rsidRPr="00731CA6">
        <w:t xml:space="preserve">Table </w:t>
      </w:r>
      <w:fldSimple w:instr=" SEQ Table \* ARABIC ">
        <w:r w:rsidR="00AE166D">
          <w:rPr>
            <w:noProof/>
          </w:rPr>
          <w:t>38</w:t>
        </w:r>
      </w:fldSimple>
      <w:r w:rsidRPr="00731CA6">
        <w:t xml:space="preserve"> </w:t>
      </w:r>
      <w:r>
        <w:t xml:space="preserve">Estimated private </w:t>
      </w:r>
      <w:r w:rsidR="00422407">
        <w:t>alcohol-</w:t>
      </w:r>
      <w:r>
        <w:t xml:space="preserve">attributable cost of impulsive </w:t>
      </w:r>
      <w:proofErr w:type="gramStart"/>
      <w:r>
        <w:t>crimes</w:t>
      </w:r>
      <w:bookmarkEnd w:id="183"/>
      <w:proofErr w:type="gramEnd"/>
      <w:r>
        <w:t xml:space="preserve"> </w:t>
      </w:r>
    </w:p>
    <w:p w14:paraId="406432B8" w14:textId="42AE9468" w:rsidR="00765A12" w:rsidRPr="004C1C1A" w:rsidRDefault="00C41E7D" w:rsidP="00765A12">
      <w:pPr>
        <w:pStyle w:val="CaptionSubheading"/>
      </w:pPr>
      <w:r>
        <w:t xml:space="preserve">(in excess of </w:t>
      </w:r>
      <w:r w:rsidR="00C00756">
        <w:t xml:space="preserve">individuals’ expected compensation from </w:t>
      </w:r>
      <w:r>
        <w:t xml:space="preserve">insurance and </w:t>
      </w:r>
      <w:proofErr w:type="gramStart"/>
      <w:r>
        <w:t>publicly-funded</w:t>
      </w:r>
      <w:proofErr w:type="gramEnd"/>
      <w:r>
        <w:t xml:space="preserve"> services)</w:t>
      </w:r>
    </w:p>
    <w:tbl>
      <w:tblPr>
        <w:tblStyle w:val="TableDefault"/>
        <w:tblW w:w="8107" w:type="dxa"/>
        <w:tblLook w:val="04A0" w:firstRow="1" w:lastRow="0" w:firstColumn="1" w:lastColumn="0" w:noHBand="0" w:noVBand="1"/>
      </w:tblPr>
      <w:tblGrid>
        <w:gridCol w:w="3911"/>
        <w:gridCol w:w="1248"/>
        <w:gridCol w:w="1644"/>
        <w:gridCol w:w="1304"/>
      </w:tblGrid>
      <w:tr w:rsidR="00765A12" w14:paraId="5182E9AF" w14:textId="77777777">
        <w:trPr>
          <w:cnfStyle w:val="100000000000" w:firstRow="1" w:lastRow="0" w:firstColumn="0" w:lastColumn="0" w:oddVBand="0" w:evenVBand="0" w:oddHBand="0" w:evenHBand="0" w:firstRowFirstColumn="0" w:firstRowLastColumn="0" w:lastRowFirstColumn="0" w:lastRowLastColumn="0"/>
        </w:trPr>
        <w:tc>
          <w:tcPr>
            <w:tcW w:w="3912" w:type="dxa"/>
            <w:tcBorders>
              <w:top w:val="single" w:sz="8" w:space="0" w:color="0094C5"/>
              <w:left w:val="nil"/>
              <w:bottom w:val="single" w:sz="8" w:space="0" w:color="0094C5"/>
              <w:right w:val="nil"/>
            </w:tcBorders>
            <w:shd w:val="clear" w:color="000000" w:fill="0094C5"/>
            <w:vAlign w:val="center"/>
          </w:tcPr>
          <w:p w14:paraId="5EFA9EA0" w14:textId="77777777" w:rsidR="00765A12" w:rsidRDefault="00765A12" w:rsidP="006A14F8">
            <w:pPr>
              <w:pStyle w:val="TSTableHeadingWhite-TopRow"/>
            </w:pPr>
            <w:r>
              <w:t> </w:t>
            </w:r>
          </w:p>
        </w:tc>
        <w:tc>
          <w:tcPr>
            <w:tcW w:w="1247" w:type="dxa"/>
            <w:tcBorders>
              <w:top w:val="single" w:sz="8" w:space="0" w:color="0094C5"/>
              <w:left w:val="nil"/>
              <w:bottom w:val="single" w:sz="8" w:space="0" w:color="0094C5"/>
              <w:right w:val="nil"/>
            </w:tcBorders>
            <w:shd w:val="clear" w:color="000000" w:fill="0094C5"/>
            <w:vAlign w:val="center"/>
          </w:tcPr>
          <w:p w14:paraId="4FA43B89" w14:textId="77777777" w:rsidR="00765A12" w:rsidRDefault="00765A12" w:rsidP="006A14F8">
            <w:pPr>
              <w:pStyle w:val="TSTableHeadingWhite-TopRow"/>
            </w:pPr>
            <w:r>
              <w:t>Low estimate</w:t>
            </w:r>
          </w:p>
        </w:tc>
        <w:tc>
          <w:tcPr>
            <w:tcW w:w="1644" w:type="dxa"/>
            <w:tcBorders>
              <w:top w:val="single" w:sz="8" w:space="0" w:color="0094C5"/>
              <w:left w:val="nil"/>
              <w:bottom w:val="single" w:sz="8" w:space="0" w:color="0094C5"/>
              <w:right w:val="nil"/>
            </w:tcBorders>
            <w:shd w:val="clear" w:color="000000" w:fill="0094C5"/>
          </w:tcPr>
          <w:p w14:paraId="6A8CE7AF" w14:textId="77777777" w:rsidR="00765A12" w:rsidRDefault="00765A12" w:rsidP="006A14F8">
            <w:pPr>
              <w:pStyle w:val="TSTableHeadingWhite-TopRow"/>
            </w:pPr>
            <w:r>
              <w:t>Midpoint estimate</w:t>
            </w:r>
          </w:p>
        </w:tc>
        <w:tc>
          <w:tcPr>
            <w:tcW w:w="1304" w:type="dxa"/>
            <w:tcBorders>
              <w:top w:val="single" w:sz="8" w:space="0" w:color="0094C5"/>
              <w:left w:val="nil"/>
              <w:bottom w:val="single" w:sz="8" w:space="0" w:color="0094C5"/>
              <w:right w:val="nil"/>
            </w:tcBorders>
            <w:shd w:val="clear" w:color="000000" w:fill="0094C5"/>
            <w:vAlign w:val="center"/>
          </w:tcPr>
          <w:p w14:paraId="3AA11A83" w14:textId="77777777" w:rsidR="00765A12" w:rsidRDefault="00765A12" w:rsidP="006A14F8">
            <w:pPr>
              <w:pStyle w:val="TSTableHeadingWhite-TopRow"/>
            </w:pPr>
            <w:r>
              <w:t>High estimate</w:t>
            </w:r>
          </w:p>
        </w:tc>
      </w:tr>
      <w:tr w:rsidR="00765A12" w14:paraId="24B97A98" w14:textId="77777777" w:rsidTr="0025087A">
        <w:tc>
          <w:tcPr>
            <w:tcW w:w="3912" w:type="dxa"/>
            <w:tcBorders>
              <w:top w:val="nil"/>
              <w:left w:val="nil"/>
              <w:bottom w:val="single" w:sz="8" w:space="0" w:color="0094C5"/>
              <w:right w:val="nil"/>
            </w:tcBorders>
            <w:shd w:val="clear" w:color="auto" w:fill="auto"/>
            <w:vAlign w:val="center"/>
          </w:tcPr>
          <w:p w14:paraId="264BAD1A" w14:textId="77777777" w:rsidR="00765A12" w:rsidRPr="006A14F8" w:rsidRDefault="00765A12" w:rsidP="006A14F8">
            <w:pPr>
              <w:pStyle w:val="TSBodyText"/>
            </w:pPr>
            <w:r w:rsidRPr="006A14F8">
              <w:t>Victims of impulsive crimes (New Zealand Crime Victims Survey Cycle 5)</w:t>
            </w:r>
          </w:p>
        </w:tc>
        <w:tc>
          <w:tcPr>
            <w:tcW w:w="1247" w:type="dxa"/>
            <w:tcBorders>
              <w:top w:val="nil"/>
              <w:left w:val="nil"/>
              <w:bottom w:val="single" w:sz="8" w:space="0" w:color="0094C5"/>
              <w:right w:val="nil"/>
            </w:tcBorders>
            <w:shd w:val="clear" w:color="auto" w:fill="auto"/>
            <w:vAlign w:val="center"/>
          </w:tcPr>
          <w:p w14:paraId="403C7FB5" w14:textId="77777777" w:rsidR="00765A12" w:rsidRPr="006A14F8" w:rsidRDefault="00765A12" w:rsidP="0020794A">
            <w:pPr>
              <w:pStyle w:val="TSBodyText"/>
              <w:ind w:right="212"/>
              <w:jc w:val="right"/>
            </w:pPr>
            <w:r w:rsidRPr="006A14F8">
              <w:t>777</w:t>
            </w:r>
          </w:p>
        </w:tc>
        <w:tc>
          <w:tcPr>
            <w:tcW w:w="1644" w:type="dxa"/>
            <w:tcBorders>
              <w:top w:val="nil"/>
              <w:left w:val="nil"/>
              <w:bottom w:val="single" w:sz="8" w:space="0" w:color="0094C5"/>
              <w:right w:val="nil"/>
            </w:tcBorders>
            <w:vAlign w:val="center"/>
          </w:tcPr>
          <w:p w14:paraId="6BFC249C" w14:textId="77777777" w:rsidR="00765A12" w:rsidRPr="006A14F8" w:rsidRDefault="00765A12" w:rsidP="0020794A">
            <w:pPr>
              <w:pStyle w:val="TSBodyText"/>
              <w:ind w:right="212"/>
              <w:jc w:val="right"/>
            </w:pPr>
            <w:r w:rsidRPr="006A14F8">
              <w:t>777</w:t>
            </w:r>
          </w:p>
        </w:tc>
        <w:tc>
          <w:tcPr>
            <w:tcW w:w="1304" w:type="dxa"/>
            <w:tcBorders>
              <w:top w:val="nil"/>
              <w:left w:val="nil"/>
              <w:bottom w:val="single" w:sz="8" w:space="0" w:color="0094C5"/>
              <w:right w:val="nil"/>
            </w:tcBorders>
            <w:shd w:val="clear" w:color="auto" w:fill="auto"/>
            <w:vAlign w:val="center"/>
          </w:tcPr>
          <w:p w14:paraId="4315570E" w14:textId="77777777" w:rsidR="00765A12" w:rsidRPr="006A14F8" w:rsidRDefault="00765A12" w:rsidP="0020794A">
            <w:pPr>
              <w:pStyle w:val="TSBodyText"/>
              <w:ind w:right="212"/>
              <w:jc w:val="right"/>
            </w:pPr>
            <w:r w:rsidRPr="006A14F8">
              <w:t>777</w:t>
            </w:r>
          </w:p>
        </w:tc>
      </w:tr>
      <w:tr w:rsidR="00765A12" w14:paraId="3CAB6172" w14:textId="77777777">
        <w:trPr>
          <w:cnfStyle w:val="000000010000" w:firstRow="0" w:lastRow="0" w:firstColumn="0" w:lastColumn="0" w:oddVBand="0" w:evenVBand="0" w:oddHBand="0" w:evenHBand="1" w:firstRowFirstColumn="0" w:firstRowLastColumn="0" w:lastRowFirstColumn="0" w:lastRowLastColumn="0"/>
        </w:trPr>
        <w:tc>
          <w:tcPr>
            <w:tcW w:w="3912" w:type="dxa"/>
            <w:tcBorders>
              <w:top w:val="nil"/>
              <w:left w:val="nil"/>
              <w:bottom w:val="single" w:sz="8" w:space="0" w:color="0094C5"/>
              <w:right w:val="nil"/>
            </w:tcBorders>
            <w:shd w:val="clear" w:color="000000" w:fill="EEECF0"/>
            <w:vAlign w:val="center"/>
          </w:tcPr>
          <w:p w14:paraId="7AA0F022" w14:textId="77777777" w:rsidR="00765A12" w:rsidRPr="006A14F8" w:rsidRDefault="00765A12" w:rsidP="006A14F8">
            <w:pPr>
              <w:pStyle w:val="TSBodyText"/>
            </w:pPr>
            <w:r w:rsidRPr="006A14F8">
              <w:t xml:space="preserve">2023 private annual cost per victim of crime (low and high values, Treasury 2022) </w:t>
            </w:r>
          </w:p>
        </w:tc>
        <w:tc>
          <w:tcPr>
            <w:tcW w:w="1247" w:type="dxa"/>
            <w:tcBorders>
              <w:top w:val="nil"/>
              <w:left w:val="nil"/>
              <w:bottom w:val="single" w:sz="8" w:space="0" w:color="0094C5"/>
              <w:right w:val="nil"/>
            </w:tcBorders>
            <w:shd w:val="clear" w:color="000000" w:fill="EEECF0"/>
            <w:vAlign w:val="center"/>
          </w:tcPr>
          <w:p w14:paraId="0B293D2B" w14:textId="77777777" w:rsidR="00765A12" w:rsidRPr="006A14F8" w:rsidRDefault="00765A12" w:rsidP="0020794A">
            <w:pPr>
              <w:pStyle w:val="TSBodyText"/>
              <w:ind w:right="212"/>
              <w:jc w:val="right"/>
            </w:pPr>
            <w:r w:rsidRPr="006A14F8">
              <w:t>$3,706</w:t>
            </w:r>
          </w:p>
        </w:tc>
        <w:tc>
          <w:tcPr>
            <w:tcW w:w="1644" w:type="dxa"/>
            <w:tcBorders>
              <w:top w:val="nil"/>
              <w:left w:val="nil"/>
              <w:bottom w:val="single" w:sz="8" w:space="0" w:color="0094C5"/>
              <w:right w:val="nil"/>
            </w:tcBorders>
            <w:shd w:val="clear" w:color="000000" w:fill="EEECF0"/>
            <w:vAlign w:val="center"/>
          </w:tcPr>
          <w:p w14:paraId="481C54FD" w14:textId="77777777" w:rsidR="00765A12" w:rsidRPr="006A14F8" w:rsidRDefault="00765A12" w:rsidP="0020794A">
            <w:pPr>
              <w:pStyle w:val="TSBodyText"/>
              <w:ind w:right="212"/>
              <w:jc w:val="right"/>
            </w:pPr>
            <w:r w:rsidRPr="006A14F8">
              <w:t>$6,047</w:t>
            </w:r>
          </w:p>
        </w:tc>
        <w:tc>
          <w:tcPr>
            <w:tcW w:w="1304" w:type="dxa"/>
            <w:tcBorders>
              <w:top w:val="nil"/>
              <w:left w:val="nil"/>
              <w:bottom w:val="single" w:sz="8" w:space="0" w:color="0094C5"/>
              <w:right w:val="nil"/>
            </w:tcBorders>
            <w:shd w:val="clear" w:color="000000" w:fill="EEECF0"/>
            <w:vAlign w:val="center"/>
          </w:tcPr>
          <w:p w14:paraId="01F55ADC" w14:textId="77777777" w:rsidR="00765A12" w:rsidRPr="006A14F8" w:rsidRDefault="00765A12" w:rsidP="0020794A">
            <w:pPr>
              <w:pStyle w:val="TSBodyText"/>
              <w:ind w:right="212"/>
              <w:jc w:val="right"/>
            </w:pPr>
            <w:r w:rsidRPr="006A14F8">
              <w:t>$8,388</w:t>
            </w:r>
          </w:p>
        </w:tc>
      </w:tr>
      <w:tr w:rsidR="00765A12" w14:paraId="7C057F80" w14:textId="77777777">
        <w:tc>
          <w:tcPr>
            <w:tcW w:w="3912" w:type="dxa"/>
            <w:tcBorders>
              <w:top w:val="nil"/>
              <w:left w:val="nil"/>
              <w:bottom w:val="single" w:sz="8" w:space="0" w:color="0094C5"/>
              <w:right w:val="nil"/>
            </w:tcBorders>
            <w:shd w:val="clear" w:color="auto" w:fill="auto"/>
            <w:vAlign w:val="center"/>
          </w:tcPr>
          <w:p w14:paraId="15C61CC0" w14:textId="77777777" w:rsidR="00765A12" w:rsidRPr="006A14F8" w:rsidRDefault="00765A12" w:rsidP="006A14F8">
            <w:pPr>
              <w:pStyle w:val="TSBodyText"/>
            </w:pPr>
            <w:r w:rsidRPr="006A14F8">
              <w:t>Total 2023 private cost of impulsive crimes</w:t>
            </w:r>
          </w:p>
        </w:tc>
        <w:tc>
          <w:tcPr>
            <w:tcW w:w="1247" w:type="dxa"/>
            <w:tcBorders>
              <w:top w:val="nil"/>
              <w:left w:val="nil"/>
              <w:bottom w:val="single" w:sz="8" w:space="0" w:color="0094C5"/>
              <w:right w:val="nil"/>
            </w:tcBorders>
            <w:shd w:val="clear" w:color="auto" w:fill="auto"/>
            <w:vAlign w:val="center"/>
          </w:tcPr>
          <w:p w14:paraId="6C499D0E" w14:textId="77777777" w:rsidR="00765A12" w:rsidRPr="006A14F8" w:rsidRDefault="00765A12" w:rsidP="0020794A">
            <w:pPr>
              <w:pStyle w:val="TSBodyText"/>
              <w:ind w:right="212"/>
              <w:jc w:val="right"/>
            </w:pPr>
            <w:r w:rsidRPr="006A14F8">
              <w:t>$2,879,562</w:t>
            </w:r>
          </w:p>
        </w:tc>
        <w:tc>
          <w:tcPr>
            <w:tcW w:w="1644" w:type="dxa"/>
            <w:tcBorders>
              <w:top w:val="nil"/>
              <w:left w:val="nil"/>
              <w:bottom w:val="single" w:sz="8" w:space="0" w:color="0094C5"/>
              <w:right w:val="nil"/>
            </w:tcBorders>
            <w:shd w:val="clear" w:color="auto" w:fill="auto"/>
            <w:vAlign w:val="center"/>
          </w:tcPr>
          <w:p w14:paraId="5F1B21D6" w14:textId="77777777" w:rsidR="00765A12" w:rsidRPr="006A14F8" w:rsidRDefault="00765A12" w:rsidP="0020794A">
            <w:pPr>
              <w:pStyle w:val="TSBodyText"/>
              <w:ind w:right="212"/>
              <w:jc w:val="right"/>
            </w:pPr>
            <w:r w:rsidRPr="006A14F8">
              <w:t>$4,698,519</w:t>
            </w:r>
          </w:p>
        </w:tc>
        <w:tc>
          <w:tcPr>
            <w:tcW w:w="1304" w:type="dxa"/>
            <w:tcBorders>
              <w:top w:val="nil"/>
              <w:left w:val="nil"/>
              <w:bottom w:val="single" w:sz="8" w:space="0" w:color="0094C5"/>
              <w:right w:val="nil"/>
            </w:tcBorders>
            <w:shd w:val="clear" w:color="auto" w:fill="auto"/>
            <w:vAlign w:val="center"/>
          </w:tcPr>
          <w:p w14:paraId="2EEE0368" w14:textId="77777777" w:rsidR="00765A12" w:rsidRPr="006A14F8" w:rsidRDefault="00765A12" w:rsidP="0020794A">
            <w:pPr>
              <w:pStyle w:val="TSBodyText"/>
              <w:ind w:right="212"/>
              <w:jc w:val="right"/>
            </w:pPr>
            <w:r w:rsidRPr="006A14F8">
              <w:t>$6,517,476</w:t>
            </w:r>
          </w:p>
        </w:tc>
      </w:tr>
      <w:tr w:rsidR="00765A12" w14:paraId="30084030" w14:textId="77777777">
        <w:trPr>
          <w:cnfStyle w:val="000000010000" w:firstRow="0" w:lastRow="0" w:firstColumn="0" w:lastColumn="0" w:oddVBand="0" w:evenVBand="0" w:oddHBand="0" w:evenHBand="1" w:firstRowFirstColumn="0" w:firstRowLastColumn="0" w:lastRowFirstColumn="0" w:lastRowLastColumn="0"/>
        </w:trPr>
        <w:tc>
          <w:tcPr>
            <w:tcW w:w="3912" w:type="dxa"/>
            <w:tcBorders>
              <w:top w:val="nil"/>
              <w:left w:val="nil"/>
              <w:bottom w:val="single" w:sz="8" w:space="0" w:color="0094C5"/>
              <w:right w:val="nil"/>
            </w:tcBorders>
            <w:shd w:val="clear" w:color="auto" w:fill="auto"/>
            <w:vAlign w:val="center"/>
          </w:tcPr>
          <w:p w14:paraId="79F93FB7" w14:textId="3F94EFF5" w:rsidR="00765A12" w:rsidRPr="006A14F8" w:rsidRDefault="00765A12" w:rsidP="006A14F8">
            <w:pPr>
              <w:pStyle w:val="TSBodyText"/>
            </w:pPr>
            <w:r w:rsidRPr="006A14F8">
              <w:t>Alcohol attribution (</w:t>
            </w:r>
            <w:r w:rsidRPr="006A14F8">
              <w:fldChar w:fldCharType="begin"/>
            </w:r>
            <w:r w:rsidR="00F244F6">
              <w:instrText xml:space="preserve"> ADDIN ZOTERO_ITEM CSL_CITATION {"citationID":"EdnosjbL","properties":{"formattedCitation":"(Boden, Fergusson, and Horwood 2013)","plainCitation":"(Boden, Fergusson, and Horwood 2013)","dontUpdate":true,"noteIndex":0},"citationItems":[{"id":66495,"uris":["http://zotero.org/groups/4944822/items/69ZNNTAN"],"itemData":{"id":66495,"type":"article-journal","abstract":"Background\nThis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rsidRPr="006A14F8">
              <w:fldChar w:fldCharType="separate"/>
            </w:r>
            <w:r w:rsidRPr="006A14F8">
              <w:t>Boden, Fergusson, and Horwood 2013)</w:t>
            </w:r>
            <w:r w:rsidRPr="006A14F8">
              <w:fldChar w:fldCharType="end"/>
            </w:r>
          </w:p>
        </w:tc>
        <w:tc>
          <w:tcPr>
            <w:tcW w:w="1247" w:type="dxa"/>
            <w:tcBorders>
              <w:top w:val="nil"/>
              <w:left w:val="nil"/>
              <w:bottom w:val="single" w:sz="8" w:space="0" w:color="0094C5"/>
              <w:right w:val="nil"/>
            </w:tcBorders>
            <w:shd w:val="clear" w:color="auto" w:fill="auto"/>
            <w:vAlign w:val="center"/>
          </w:tcPr>
          <w:p w14:paraId="6A0E572C" w14:textId="77777777" w:rsidR="00765A12" w:rsidRPr="006A14F8" w:rsidRDefault="00765A12" w:rsidP="0020794A">
            <w:pPr>
              <w:pStyle w:val="TSBodyText"/>
              <w:ind w:right="212"/>
              <w:jc w:val="right"/>
            </w:pPr>
            <w:r w:rsidRPr="006A14F8">
              <w:t>9.60%</w:t>
            </w:r>
          </w:p>
        </w:tc>
        <w:tc>
          <w:tcPr>
            <w:tcW w:w="1644" w:type="dxa"/>
            <w:tcBorders>
              <w:top w:val="nil"/>
              <w:left w:val="nil"/>
              <w:bottom w:val="single" w:sz="8" w:space="0" w:color="0094C5"/>
              <w:right w:val="nil"/>
            </w:tcBorders>
            <w:shd w:val="clear" w:color="auto" w:fill="auto"/>
            <w:vAlign w:val="center"/>
          </w:tcPr>
          <w:p w14:paraId="43333163" w14:textId="77777777" w:rsidR="00765A12" w:rsidRPr="006A14F8" w:rsidRDefault="00765A12" w:rsidP="0020794A">
            <w:pPr>
              <w:pStyle w:val="TSBodyText"/>
              <w:ind w:right="212"/>
              <w:jc w:val="right"/>
            </w:pPr>
            <w:r w:rsidRPr="006A14F8">
              <w:t>9.75%</w:t>
            </w:r>
          </w:p>
        </w:tc>
        <w:tc>
          <w:tcPr>
            <w:tcW w:w="1304" w:type="dxa"/>
            <w:tcBorders>
              <w:top w:val="nil"/>
              <w:left w:val="nil"/>
              <w:bottom w:val="single" w:sz="8" w:space="0" w:color="0094C5"/>
              <w:right w:val="nil"/>
            </w:tcBorders>
            <w:shd w:val="clear" w:color="auto" w:fill="auto"/>
            <w:vAlign w:val="center"/>
          </w:tcPr>
          <w:p w14:paraId="1DFA8D37" w14:textId="77777777" w:rsidR="00765A12" w:rsidRPr="006A14F8" w:rsidRDefault="00765A12" w:rsidP="0020794A">
            <w:pPr>
              <w:pStyle w:val="TSBodyText"/>
              <w:ind w:right="212"/>
              <w:jc w:val="right"/>
            </w:pPr>
            <w:r w:rsidRPr="006A14F8">
              <w:t>9.90%</w:t>
            </w:r>
          </w:p>
        </w:tc>
      </w:tr>
      <w:tr w:rsidR="00765A12" w14:paraId="687CB9EE" w14:textId="77777777">
        <w:tc>
          <w:tcPr>
            <w:tcW w:w="3912" w:type="dxa"/>
            <w:tcBorders>
              <w:top w:val="nil"/>
              <w:left w:val="nil"/>
              <w:bottom w:val="single" w:sz="8" w:space="0" w:color="0094C5"/>
              <w:right w:val="nil"/>
            </w:tcBorders>
            <w:shd w:val="clear" w:color="000000" w:fill="EEECF0"/>
            <w:vAlign w:val="center"/>
          </w:tcPr>
          <w:p w14:paraId="479336AC" w14:textId="0AE0DC4A" w:rsidR="00765A12" w:rsidRPr="006A14F8" w:rsidRDefault="00765A12" w:rsidP="006A14F8">
            <w:pPr>
              <w:pStyle w:val="TSBodyText"/>
            </w:pPr>
            <w:r w:rsidRPr="006A14F8">
              <w:t>Alcohol</w:t>
            </w:r>
            <w:r w:rsidR="00955296">
              <w:t>-</w:t>
            </w:r>
            <w:r w:rsidRPr="006A14F8">
              <w:t>attributable cost of impulsive crimes</w:t>
            </w:r>
          </w:p>
        </w:tc>
        <w:tc>
          <w:tcPr>
            <w:tcW w:w="1247" w:type="dxa"/>
            <w:tcBorders>
              <w:top w:val="nil"/>
              <w:left w:val="nil"/>
              <w:bottom w:val="single" w:sz="8" w:space="0" w:color="0094C5"/>
              <w:right w:val="nil"/>
            </w:tcBorders>
            <w:shd w:val="clear" w:color="000000" w:fill="EEECF0"/>
            <w:vAlign w:val="center"/>
          </w:tcPr>
          <w:p w14:paraId="75A53807" w14:textId="77777777" w:rsidR="00765A12" w:rsidRPr="006A14F8" w:rsidRDefault="00765A12" w:rsidP="0020794A">
            <w:pPr>
              <w:pStyle w:val="TSBodyText"/>
              <w:ind w:right="212"/>
              <w:jc w:val="right"/>
            </w:pPr>
            <w:r w:rsidRPr="006A14F8">
              <w:t>$276,438</w:t>
            </w:r>
          </w:p>
        </w:tc>
        <w:tc>
          <w:tcPr>
            <w:tcW w:w="1644" w:type="dxa"/>
            <w:tcBorders>
              <w:top w:val="nil"/>
              <w:left w:val="nil"/>
              <w:bottom w:val="single" w:sz="8" w:space="0" w:color="0094C5"/>
              <w:right w:val="nil"/>
            </w:tcBorders>
            <w:shd w:val="clear" w:color="000000" w:fill="EEECF0"/>
            <w:vAlign w:val="center"/>
          </w:tcPr>
          <w:p w14:paraId="5E6352B0" w14:textId="77777777" w:rsidR="00765A12" w:rsidRPr="006A14F8" w:rsidRDefault="00765A12" w:rsidP="0020794A">
            <w:pPr>
              <w:pStyle w:val="TSBodyText"/>
              <w:ind w:right="212"/>
              <w:jc w:val="right"/>
            </w:pPr>
            <w:r w:rsidRPr="006A14F8">
              <w:t>$458,106</w:t>
            </w:r>
          </w:p>
        </w:tc>
        <w:tc>
          <w:tcPr>
            <w:tcW w:w="1304" w:type="dxa"/>
            <w:tcBorders>
              <w:top w:val="nil"/>
              <w:left w:val="nil"/>
              <w:bottom w:val="single" w:sz="8" w:space="0" w:color="0094C5"/>
              <w:right w:val="nil"/>
            </w:tcBorders>
            <w:shd w:val="clear" w:color="000000" w:fill="EEECF0"/>
            <w:vAlign w:val="center"/>
          </w:tcPr>
          <w:p w14:paraId="23680461" w14:textId="77777777" w:rsidR="00765A12" w:rsidRPr="006A14F8" w:rsidRDefault="00765A12" w:rsidP="0020794A">
            <w:pPr>
              <w:pStyle w:val="TSBodyText"/>
              <w:ind w:right="212"/>
              <w:jc w:val="right"/>
            </w:pPr>
            <w:r w:rsidRPr="006A14F8">
              <w:t>$645,230</w:t>
            </w:r>
          </w:p>
        </w:tc>
      </w:tr>
    </w:tbl>
    <w:p w14:paraId="13F5BE40" w14:textId="536B2042" w:rsidR="00765A12" w:rsidRDefault="00765A12" w:rsidP="00765A12">
      <w:pPr>
        <w:pStyle w:val="USSource"/>
      </w:pPr>
      <w:r>
        <w:t xml:space="preserve">Source: NZIER, based on </w:t>
      </w:r>
      <w:r>
        <w:fldChar w:fldCharType="begin"/>
      </w:r>
      <w:r w:rsidR="00F244F6">
        <w:instrText xml:space="preserve"> ADDIN ZOTERO_ITEM CSL_CITATION {"citationID":"w4s6U7TO","properties":{"formattedCitation":"(Boden, Fergusson, and Horwood 2013)","plainCitation":"(Boden, Fergusson, and Horwood 2013)","dontUpdate":true,"noteIndex":0},"citationItems":[{"id":66495,"uris":["http://zotero.org/groups/4944822/items/69ZNNTAN"],"itemData":{"id":66495,"type":"article-journal","abstract":"Background\nThis study examined the associations between measures of alcohol abuse/dependence (AAD) and several classifications of offending behaviour to age 30 in a New Zealand birth cohort.\nMethods\nOutcomes included: assault; use of a weapon; theft/burglary/vehicle conversion; property damage/vandalism/arson; and fraud/embezzlement/misappropriation of funds. The study also used measures of AAD symptoms; and time-dynamic covariate factors including life stress, other substance use, mental health status, peer and partner substance use and offending, and unemployment. Data were analysed using conditional fixed effects regression modelling augmented by time-dynamic covariate factors to control for confounding.\nResults\nThose with five or more AAD symptoms had unadjusted odds of offending that ranged from 6.23 to 21.25 times higher than those with no symptoms, with little evidence to suggest these associations varied with age. Adjustment for both unobserved fixed effects and time-dynamic covariate factors reduced the magnitude of the associations between AAD and offending, with those with five or more AAD symptoms having odds of offending that were 0.88–4.10 times higher than those with no symptoms. After adjustment, only the associations between AAD and: a) assault (OR=4.10; 95% CI=1.91–8.62; p&lt;0.0001); and b) property damage/vandalism/arson (OR=3.87; 95% CI=1.30–11.39; p&lt;0.0001); remained statistically significant.\nConclusions\nThe results suggest a causal association between alcohol misuse and “impulsive” crimes such as assault and property damage/vandalism/arson, with estimates suggesting that AAD accounted for approximately 9.6–9.9% of these types of reported offending in the cohort.","container-title":"Drug and Alcohol Dependence","DOI":"10.1016/j.drugalcdep.2012.07.014","ISSN":"0376-8716","issue":"1","journalAbbreviation":"Drug and Alcohol Dependence","language":"en","page":"30-36","source":"ScienceDirect","title":"Alcohol misuse and criminal offending: Findings from a 30-year longitudinal study","title-short":"Alcohol misuse and criminal offending","volume":"128","author":[{"family":"Boden","given":"Joseph M."},{"family":"Fergusson","given":"David M."},{"family":"Horwood","given":"L. John"}],"issued":{"date-parts":[["2013",2,1]]}}}],"schema":"https://github.com/citation-style-language/schema/raw/master/csl-citation.json"} </w:instrText>
      </w:r>
      <w:r>
        <w:fldChar w:fldCharType="separate"/>
      </w:r>
      <w:r w:rsidRPr="00EF3237">
        <w:rPr>
          <w:rFonts w:cs="Calibri"/>
        </w:rPr>
        <w:t xml:space="preserve">Boden, Fergusson, and Horwood </w:t>
      </w:r>
      <w:r>
        <w:rPr>
          <w:rFonts w:cs="Calibri"/>
        </w:rPr>
        <w:t>(</w:t>
      </w:r>
      <w:r w:rsidRPr="00EF3237">
        <w:rPr>
          <w:rFonts w:cs="Calibri"/>
        </w:rPr>
        <w:t>2013)</w:t>
      </w:r>
      <w:r>
        <w:fldChar w:fldCharType="end"/>
      </w:r>
      <w:r>
        <w:t xml:space="preserve">, The Treasury (2022), and the </w:t>
      </w:r>
      <w:r w:rsidRPr="006154E8">
        <w:t>New Zealand Crime Victims Survey Cycle 5</w:t>
      </w:r>
    </w:p>
    <w:p w14:paraId="5590481C" w14:textId="0454975C" w:rsidR="00765A12" w:rsidRDefault="00765A12" w:rsidP="00765A12">
      <w:pPr>
        <w:pStyle w:val="Heading2"/>
      </w:pPr>
      <w:bookmarkStart w:id="184" w:name="_Toc160633860"/>
      <w:r>
        <w:t xml:space="preserve">Limitations of the </w:t>
      </w:r>
      <w:r w:rsidR="004E03F6">
        <w:t xml:space="preserve">victims of crime </w:t>
      </w:r>
      <w:r>
        <w:t>private alcohol-attributable costs</w:t>
      </w:r>
      <w:bookmarkEnd w:id="184"/>
      <w:r>
        <w:t xml:space="preserve"> </w:t>
      </w:r>
    </w:p>
    <w:p w14:paraId="1B2B301E" w14:textId="2D37C7A3" w:rsidR="00765A12" w:rsidRDefault="00765A12" w:rsidP="00765A12">
      <w:pPr>
        <w:pStyle w:val="USBodyText"/>
      </w:pPr>
      <w:r>
        <w:t xml:space="preserve">It is important to note that the estimated private </w:t>
      </w:r>
      <w:r w:rsidR="00422407">
        <w:t>alcohol-</w:t>
      </w:r>
      <w:r>
        <w:t>attributable cost of crime presented here represent</w:t>
      </w:r>
      <w:r w:rsidR="00422407">
        <w:t>s</w:t>
      </w:r>
      <w:r>
        <w:t xml:space="preserve"> only a small portion of the total private costs of </w:t>
      </w:r>
      <w:r w:rsidR="00422407">
        <w:t>alcohol-</w:t>
      </w:r>
      <w:r>
        <w:t xml:space="preserve">attributable crime: </w:t>
      </w:r>
      <w:r w:rsidRPr="00912200">
        <w:t xml:space="preserve">the </w:t>
      </w:r>
      <w:r>
        <w:t xml:space="preserve">financial </w:t>
      </w:r>
      <w:r w:rsidRPr="00912200">
        <w:t>compensation that individuals require over and above what they expect to receive from other sources (</w:t>
      </w:r>
      <w:proofErr w:type="gramStart"/>
      <w:r w:rsidRPr="00912200">
        <w:t>e.g.</w:t>
      </w:r>
      <w:proofErr w:type="gramEnd"/>
      <w:r w:rsidRPr="00912200">
        <w:t xml:space="preserve"> publicly-funded services, insurance)</w:t>
      </w:r>
      <w:r>
        <w:t xml:space="preserve"> to cover tangible and intangible costs. Being based on private individual subjective valuation, and the non-suppressed data provided by the New Zealand Victims of Crime Survey, the estimate excludes:</w:t>
      </w:r>
    </w:p>
    <w:p w14:paraId="62E1AF7C" w14:textId="77777777" w:rsidR="00765A12" w:rsidRDefault="00765A12" w:rsidP="00765A12">
      <w:pPr>
        <w:pStyle w:val="USBullet1"/>
      </w:pPr>
      <w:r>
        <w:lastRenderedPageBreak/>
        <w:t>private costs of alcohol-attributable crime to businesses and institutions (including costs of crime prevention such as security systems and staff, insurance, and lost output)</w:t>
      </w:r>
    </w:p>
    <w:p w14:paraId="071617EB" w14:textId="334645C8" w:rsidR="00765A12" w:rsidRDefault="00765A12" w:rsidP="00765A12">
      <w:pPr>
        <w:pStyle w:val="USBullet1"/>
      </w:pPr>
      <w:r>
        <w:t xml:space="preserve">costs of alcohol-attributable crime to local councils (the Treasury </w:t>
      </w:r>
      <w:r w:rsidR="00A5043E">
        <w:t xml:space="preserve">cost of crimes </w:t>
      </w:r>
      <w:r>
        <w:t>report included these as private costs)</w:t>
      </w:r>
    </w:p>
    <w:p w14:paraId="75A04D1D" w14:textId="77777777" w:rsidR="00765A12" w:rsidRDefault="00765A12" w:rsidP="00765A12">
      <w:pPr>
        <w:pStyle w:val="USBullet1"/>
      </w:pPr>
      <w:r>
        <w:t>costs of crime prevention and insurance to individuals and private households</w:t>
      </w:r>
    </w:p>
    <w:p w14:paraId="21BB3AF6" w14:textId="77777777" w:rsidR="00765A12" w:rsidRDefault="00765A12" w:rsidP="00765A12">
      <w:pPr>
        <w:pStyle w:val="USBullet1"/>
      </w:pPr>
      <w:r>
        <w:t>costs of alcohol-attributable sexual assault and alcohol-attributable harassment and threatening behaviour (due to suppression by the Ministry of Justice of the number of victims of these crimes).</w:t>
      </w:r>
    </w:p>
    <w:p w14:paraId="1395CEED" w14:textId="56DFCAF0" w:rsidR="00081B63" w:rsidRDefault="00081B63" w:rsidP="00857A55">
      <w:pPr>
        <w:pStyle w:val="USBodyText"/>
      </w:pPr>
      <w:r>
        <w:t xml:space="preserve">The impact of the above exclusions is likely </w:t>
      </w:r>
      <w:r w:rsidR="00422407">
        <w:t xml:space="preserve">an </w:t>
      </w:r>
      <w:r>
        <w:t>underestimation of the private costs of crime, even with</w:t>
      </w:r>
      <w:r w:rsidR="00857A55">
        <w:t xml:space="preserve"> the definition of these restricted to exclude private costs that will be compensated for. </w:t>
      </w:r>
    </w:p>
    <w:p w14:paraId="26D1B8B9" w14:textId="24E8D6A5" w:rsidR="00765A12" w:rsidRDefault="00765A12" w:rsidP="00765A12">
      <w:pPr>
        <w:pStyle w:val="USBodyText"/>
      </w:pPr>
      <w:r>
        <w:t>While the Treasury’s</w:t>
      </w:r>
      <w:r w:rsidR="00422407">
        <w:t xml:space="preserve"> (2006)</w:t>
      </w:r>
      <w:r>
        <w:t xml:space="preserve"> report on the costs of crime presented estimates of costs of crime based on a more comprehensive list of cost components, the underlying data and evidence </w:t>
      </w:r>
      <w:r w:rsidR="00422407">
        <w:t xml:space="preserve">are </w:t>
      </w:r>
      <w:r>
        <w:t>now over 20 years old</w:t>
      </w:r>
      <w:r w:rsidR="00857A55">
        <w:t>,</w:t>
      </w:r>
      <w:r>
        <w:t xml:space="preserve"> and some </w:t>
      </w:r>
      <w:r w:rsidR="00857A55">
        <w:t xml:space="preserve">of the original </w:t>
      </w:r>
      <w:r>
        <w:t xml:space="preserve">cost data </w:t>
      </w:r>
      <w:r w:rsidR="00857A55">
        <w:t xml:space="preserve">for that report </w:t>
      </w:r>
      <w:r>
        <w:t>was derived from UK sources. These considerations make adapting the published figures inappropriate and highlight the critical gap in evidence that has emerged as this key piece of research has aged.</w:t>
      </w:r>
    </w:p>
    <w:p w14:paraId="56A86460" w14:textId="77777777" w:rsidR="00765A12" w:rsidRDefault="00765A12" w:rsidP="00765A12">
      <w:pPr>
        <w:spacing w:after="160" w:line="259" w:lineRule="auto"/>
        <w:rPr>
          <w:rFonts w:eastAsiaTheme="majorEastAsia" w:cstheme="majorBidi"/>
          <w:b/>
          <w:color w:val="0094C5"/>
          <w:sz w:val="32"/>
          <w:szCs w:val="32"/>
        </w:rPr>
      </w:pPr>
      <w:r>
        <w:br w:type="page"/>
      </w:r>
    </w:p>
    <w:p w14:paraId="09429F28" w14:textId="0011120E" w:rsidR="00D87A95" w:rsidRDefault="00307D53" w:rsidP="000E07C1">
      <w:pPr>
        <w:pStyle w:val="Heading1"/>
      </w:pPr>
      <w:bookmarkStart w:id="185" w:name="_Toc160633861"/>
      <w:bookmarkEnd w:id="164"/>
      <w:r>
        <w:lastRenderedPageBreak/>
        <w:t>Social development sector</w:t>
      </w:r>
      <w:r w:rsidR="000E07C1">
        <w:t xml:space="preserve"> costs</w:t>
      </w:r>
      <w:bookmarkEnd w:id="185"/>
    </w:p>
    <w:p w14:paraId="04AE75B6" w14:textId="7F62B83B" w:rsidR="00C4722F" w:rsidRDefault="00507445" w:rsidP="00D87A95">
      <w:pPr>
        <w:pStyle w:val="Heading2"/>
      </w:pPr>
      <w:bookmarkStart w:id="186" w:name="_Toc160633862"/>
      <w:r>
        <w:t xml:space="preserve">Disability </w:t>
      </w:r>
      <w:r w:rsidR="00806CB5">
        <w:t>benefits</w:t>
      </w:r>
      <w:bookmarkEnd w:id="186"/>
      <w:r w:rsidR="00806CB5">
        <w:t xml:space="preserve"> </w:t>
      </w:r>
    </w:p>
    <w:p w14:paraId="36E99E96" w14:textId="0A8E5A27" w:rsidR="00E2087E" w:rsidRDefault="003B490F" w:rsidP="00E2087E">
      <w:pPr>
        <w:pStyle w:val="USBodyText"/>
      </w:pPr>
      <w:r w:rsidRPr="003B490F">
        <w:t xml:space="preserve">Some </w:t>
      </w:r>
      <w:r w:rsidR="00830E44">
        <w:t xml:space="preserve">people with </w:t>
      </w:r>
      <w:r w:rsidRPr="003B490F">
        <w:t xml:space="preserve">long-term disability </w:t>
      </w:r>
      <w:r w:rsidR="00830E44">
        <w:t xml:space="preserve">attributable to alcohol </w:t>
      </w:r>
      <w:r w:rsidRPr="003B490F">
        <w:t>may</w:t>
      </w:r>
      <w:r w:rsidR="00830E44">
        <w:t xml:space="preserve"> </w:t>
      </w:r>
      <w:r w:rsidRPr="003B490F">
        <w:t xml:space="preserve">be eligible </w:t>
      </w:r>
      <w:r w:rsidR="00830E44">
        <w:t>to receive</w:t>
      </w:r>
      <w:r w:rsidRPr="003B490F">
        <w:t xml:space="preserve"> a disability benefit</w:t>
      </w:r>
      <w:r w:rsidR="00AD6133">
        <w:t>, the two main disability benefits being:</w:t>
      </w:r>
    </w:p>
    <w:p w14:paraId="3CD9D0A9" w14:textId="2EAF42D6" w:rsidR="00AD6133" w:rsidRDefault="00AD6133" w:rsidP="00AD6133">
      <w:pPr>
        <w:pStyle w:val="USBullet1"/>
      </w:pPr>
      <w:r>
        <w:t>The Disability Allowance</w:t>
      </w:r>
      <w:r w:rsidR="00F30503">
        <w:t>, a we</w:t>
      </w:r>
      <w:r w:rsidR="00277DCC">
        <w:t>e</w:t>
      </w:r>
      <w:r w:rsidR="00F30503">
        <w:t xml:space="preserve">kly </w:t>
      </w:r>
      <w:r w:rsidR="00485D03" w:rsidRPr="00485D03">
        <w:t xml:space="preserve">payment for people </w:t>
      </w:r>
      <w:r w:rsidR="00277DCC">
        <w:t xml:space="preserve">of all ages </w:t>
      </w:r>
      <w:r w:rsidR="00485D03" w:rsidRPr="00485D03">
        <w:t>who have regular, ongoing costs because of a disability. These could be visits to the doctor or hospital, medicines, extra clothing or travel</w:t>
      </w:r>
      <w:r w:rsidR="00485D03">
        <w:t xml:space="preserve"> </w:t>
      </w:r>
      <w:r w:rsidR="00AF0ED9" w:rsidRPr="002D608F">
        <w:fldChar w:fldCharType="begin"/>
      </w:r>
      <w:r w:rsidR="00F244F6">
        <w:instrText xml:space="preserve"> ADDIN ZOTERO_ITEM CSL_CITATION {"citationID":"yTHaFpld","properties":{"formattedCitation":"(Work and Income, n.d.)","plainCitation":"(Work and Income, n.d.)","noteIndex":0},"citationItems":[{"id":71337,"uris":["http://zotero.org/groups/4944822/items/PXVT4JUA"],"itemData":{"id":71337,"type":"document","abstract":"Disability Allowance is a weekly payment for people who have regular, ongoing costs because of a disability, such as visits to the doctor or hospital, medicines, extra clothing or travel.","language":"eng","publisher":"MSD","source":"www.workandincome.govt.nz","title":"Disability Allowance","URL":"https://www.workandincome.govt.nz/products/a-z-benefits/disability-allowance.html","author":[{"family":"Work and Income","given":""}],"accessed":{"date-parts":[["2023",12,7]]}}}],"schema":"https://github.com/citation-style-language/schema/raw/master/csl-citation.json"} </w:instrText>
      </w:r>
      <w:r w:rsidR="00AF0ED9" w:rsidRPr="002D608F">
        <w:fldChar w:fldCharType="separate"/>
      </w:r>
      <w:r w:rsidR="00F22D06" w:rsidRPr="00F22D06">
        <w:rPr>
          <w:rFonts w:cs="Calibri"/>
        </w:rPr>
        <w:t>(Work and Income, n.d.)</w:t>
      </w:r>
      <w:r w:rsidR="00AF0ED9" w:rsidRPr="002D608F">
        <w:fldChar w:fldCharType="end"/>
      </w:r>
      <w:r w:rsidR="00610110" w:rsidRPr="002D608F">
        <w:t>.</w:t>
      </w:r>
      <w:r w:rsidR="00610110">
        <w:t xml:space="preserve"> </w:t>
      </w:r>
    </w:p>
    <w:p w14:paraId="0F6109F8" w14:textId="41FB568B" w:rsidR="00610110" w:rsidRDefault="00610110" w:rsidP="00AD6133">
      <w:pPr>
        <w:pStyle w:val="USBullet1"/>
      </w:pPr>
      <w:r>
        <w:t xml:space="preserve">The Child </w:t>
      </w:r>
      <w:r w:rsidR="00E2424D">
        <w:t>Disability Allowance, a fortnightly</w:t>
      </w:r>
      <w:r w:rsidR="00BC6A9A">
        <w:t xml:space="preserve"> payment made to carers of children</w:t>
      </w:r>
      <w:r w:rsidR="00F74539">
        <w:t xml:space="preserve"> (aged under 18) with a serious disability in recognition of the extra care and attention needed for the child. </w:t>
      </w:r>
      <w:r w:rsidR="0000253E">
        <w:t xml:space="preserve">For example, where a child </w:t>
      </w:r>
      <w:r w:rsidR="004974F9">
        <w:t xml:space="preserve">is disabled due to </w:t>
      </w:r>
      <w:r w:rsidR="00E00262">
        <w:t>injuries sustained in a road crash caused by an intoxicated driver</w:t>
      </w:r>
      <w:r w:rsidR="00AC54D9">
        <w:t>, the</w:t>
      </w:r>
      <w:r w:rsidR="00362ECC">
        <w:t xml:space="preserve"> caregivers of </w:t>
      </w:r>
      <w:r w:rsidR="00AC54D9">
        <w:t>the</w:t>
      </w:r>
      <w:r w:rsidR="00362ECC">
        <w:t xml:space="preserve"> child </w:t>
      </w:r>
      <w:r w:rsidR="00AC54D9">
        <w:t>can receive this payment in recognition of the</w:t>
      </w:r>
      <w:r w:rsidR="00B15571">
        <w:t xml:space="preserve"> additional care</w:t>
      </w:r>
      <w:r w:rsidR="00073A82">
        <w:t xml:space="preserve"> </w:t>
      </w:r>
      <w:r w:rsidR="00EE0816">
        <w:t>the child needs.</w:t>
      </w:r>
    </w:p>
    <w:p w14:paraId="078A7195" w14:textId="0D46FB8D" w:rsidR="00CC7080" w:rsidRDefault="00CC7080" w:rsidP="00646C30">
      <w:pPr>
        <w:pStyle w:val="USBodyText"/>
      </w:pPr>
      <w:r>
        <w:t xml:space="preserve">The Disability </w:t>
      </w:r>
      <w:r w:rsidR="00B21CEA">
        <w:t>A</w:t>
      </w:r>
      <w:r>
        <w:t>llowance is based on a needs assessment</w:t>
      </w:r>
      <w:r w:rsidR="00660446">
        <w:t xml:space="preserve">, so </w:t>
      </w:r>
      <w:r w:rsidR="00D00707" w:rsidRPr="002D608F">
        <w:t xml:space="preserve">it </w:t>
      </w:r>
      <w:r w:rsidR="00660446">
        <w:t xml:space="preserve">varies </w:t>
      </w:r>
      <w:r w:rsidR="007E2C45">
        <w:t>according to individuals</w:t>
      </w:r>
      <w:r w:rsidR="007258D2">
        <w:t xml:space="preserve">, </w:t>
      </w:r>
      <w:r w:rsidR="0092523B">
        <w:t xml:space="preserve">their disabilities and their </w:t>
      </w:r>
      <w:r w:rsidR="006A351A">
        <w:t>circumstances</w:t>
      </w:r>
      <w:r w:rsidR="007A0EF7">
        <w:t xml:space="preserve">, whereas the Child </w:t>
      </w:r>
      <w:r w:rsidR="00690FD8">
        <w:t>Disability</w:t>
      </w:r>
      <w:r w:rsidR="007A0EF7">
        <w:t xml:space="preserve"> Allowance is a standard amount of $56.60 per fortnight</w:t>
      </w:r>
      <w:r w:rsidR="00646C30">
        <w:t xml:space="preserve"> for every eligible child.</w:t>
      </w:r>
    </w:p>
    <w:p w14:paraId="15D71524" w14:textId="137F3084" w:rsidR="00DD0B00" w:rsidRDefault="00DD0B00" w:rsidP="00646C30">
      <w:pPr>
        <w:pStyle w:val="USBodyText"/>
      </w:pPr>
      <w:r>
        <w:t xml:space="preserve">To estimate the </w:t>
      </w:r>
      <w:r w:rsidR="00BD33B3">
        <w:t>alcohol-</w:t>
      </w:r>
      <w:r>
        <w:t xml:space="preserve">attributable </w:t>
      </w:r>
      <w:r w:rsidR="00F37567">
        <w:t xml:space="preserve">disability benefit cost, we used data from the </w:t>
      </w:r>
      <w:r w:rsidR="008C405B">
        <w:t xml:space="preserve">Ministry of Social Development identifying the number of disability allowances </w:t>
      </w:r>
      <w:r w:rsidR="00F51DB2">
        <w:t xml:space="preserve">and the average </w:t>
      </w:r>
      <w:r w:rsidR="006148DB">
        <w:t>weekly disability allowance</w:t>
      </w:r>
      <w:r w:rsidR="00260BEE">
        <w:t xml:space="preserve"> </w:t>
      </w:r>
      <w:r w:rsidR="00640931">
        <w:t xml:space="preserve">in September 2022 </w:t>
      </w:r>
      <w:r w:rsidR="00E14931" w:rsidRPr="002D608F">
        <w:fldChar w:fldCharType="begin"/>
      </w:r>
      <w:r w:rsidR="00F244F6">
        <w:instrText xml:space="preserve"> ADDIN ZOTERO_ITEM CSL_CITATION {"citationID":"JneypkXp","properties":{"formattedCitation":"(Ministry of Social Development 2023)","plainCitation":"(Ministry of Social Development 2023)","noteIndex":0},"citationItems":[{"id":71340,"uris":["http://zotero.org/groups/4944822/items/C7VHNJE9"],"itemData":{"id":71340,"type":"personal_communication","title":"Letter requesting a breakdown of Disability Allowance by age group","URL":"https://www.msd.govt.nz/documents/about-msd-and-our-work/publications-resources/official-information-responses/2023/march/22032023-requesting-a-breakdown-of-the-average-and-median-rates-of-disability-allowance-for-the-period-april-2020-to-present-broken-down-by-quarter-age-group-gender-and-ethnicity.pdf","author":[{"family":"Ministry of Social Development","given":""}],"accessed":{"date-parts":[["2023",12,7]]},"issued":{"date-parts":[["2023",3,22]]}}}],"schema":"https://github.com/citation-style-language/schema/raw/master/csl-citation.json"} </w:instrText>
      </w:r>
      <w:r w:rsidR="00E14931" w:rsidRPr="002D608F">
        <w:fldChar w:fldCharType="separate"/>
      </w:r>
      <w:r w:rsidR="00E14931" w:rsidRPr="002D608F">
        <w:rPr>
          <w:rFonts w:cs="Calibri"/>
        </w:rPr>
        <w:t>(Ministry of Social Development 2023)</w:t>
      </w:r>
      <w:r w:rsidR="00E14931" w:rsidRPr="002D608F">
        <w:fldChar w:fldCharType="end"/>
      </w:r>
      <w:r w:rsidR="00DE4C89" w:rsidRPr="002D608F">
        <w:t>,</w:t>
      </w:r>
      <w:r w:rsidR="00DE4C89">
        <w:t xml:space="preserve"> and the </w:t>
      </w:r>
      <w:r w:rsidR="00607714">
        <w:t xml:space="preserve">number of recipients of the child disability allowance </w:t>
      </w:r>
      <w:r w:rsidR="000813AF">
        <w:t>along w</w:t>
      </w:r>
      <w:r w:rsidR="00CC7080">
        <w:t xml:space="preserve">ith the standard </w:t>
      </w:r>
      <w:r w:rsidR="00690FD8">
        <w:t>fortnightly</w:t>
      </w:r>
      <w:r w:rsidR="00CC7080">
        <w:t xml:space="preserve"> payment</w:t>
      </w:r>
      <w:r w:rsidR="00640931">
        <w:t xml:space="preserve"> in September 2022</w:t>
      </w:r>
      <w:r w:rsidR="00E138A7">
        <w:t xml:space="preserve"> (</w:t>
      </w:r>
      <w:r w:rsidR="00682E4F" w:rsidRPr="00E14931">
        <w:rPr>
          <w:rFonts w:cs="Calibri"/>
        </w:rPr>
        <w:t>Ministry of Social Development 2023</w:t>
      </w:r>
      <w:r w:rsidR="00E138A7">
        <w:t>)</w:t>
      </w:r>
      <w:r w:rsidR="00CC7080">
        <w:t xml:space="preserve">. </w:t>
      </w:r>
      <w:r w:rsidR="008860FB">
        <w:t>The data does not indicate that the number of individuals receiving these benefits would be expected to increase year on year with population growth</w:t>
      </w:r>
      <w:r w:rsidR="00CC09EC">
        <w:t>, but we adjust the 2022 values to 2023</w:t>
      </w:r>
      <w:r w:rsidR="00FC0404">
        <w:t xml:space="preserve"> </w:t>
      </w:r>
      <w:r w:rsidR="00AC0F72">
        <w:t xml:space="preserve">to reflect </w:t>
      </w:r>
      <w:r w:rsidR="00926FD1">
        <w:t xml:space="preserve">inflation, except </w:t>
      </w:r>
      <w:r w:rsidR="00A0147F">
        <w:t xml:space="preserve">in the case of </w:t>
      </w:r>
      <w:r w:rsidR="00926FD1">
        <w:t>the Child Disability Allowance</w:t>
      </w:r>
      <w:r w:rsidR="00EC652D">
        <w:t>,</w:t>
      </w:r>
      <w:r w:rsidR="003C33E1">
        <w:t xml:space="preserve"> which is adjusted periodically</w:t>
      </w:r>
      <w:r w:rsidR="00AF07F1">
        <w:t xml:space="preserve"> (the 2023 value remains the same as the 2022 </w:t>
      </w:r>
      <w:r w:rsidR="00BE7A5E">
        <w:t>value).</w:t>
      </w:r>
    </w:p>
    <w:p w14:paraId="001646C4" w14:textId="1174F0C0" w:rsidR="009E225F" w:rsidRDefault="009D444D" w:rsidP="00646C30">
      <w:pPr>
        <w:pStyle w:val="USBodyText"/>
      </w:pPr>
      <w:r>
        <w:t>For attribution to alcohol</w:t>
      </w:r>
      <w:r w:rsidR="00D80255">
        <w:t xml:space="preserve">, </w:t>
      </w:r>
      <w:r w:rsidR="000F1EB1">
        <w:t xml:space="preserve">we focus on </w:t>
      </w:r>
      <w:r w:rsidR="0091288C">
        <w:t>disability allowances paid to people who experience disability due to injury</w:t>
      </w:r>
      <w:r w:rsidR="00890555">
        <w:t xml:space="preserve"> </w:t>
      </w:r>
      <w:r w:rsidR="001C3D58">
        <w:t>based on:</w:t>
      </w:r>
    </w:p>
    <w:p w14:paraId="368DFFE6" w14:textId="62A8FF43" w:rsidR="00D80255" w:rsidRDefault="002956C2" w:rsidP="002956C2">
      <w:pPr>
        <w:pStyle w:val="USBullet1"/>
      </w:pPr>
      <w:r>
        <w:t xml:space="preserve">The New Zealand </w:t>
      </w:r>
      <w:r w:rsidR="002C68E9">
        <w:t>2013 Disability Survey</w:t>
      </w:r>
      <w:r w:rsidR="001C3D58">
        <w:t xml:space="preserve">, which </w:t>
      </w:r>
      <w:r w:rsidR="00990210">
        <w:t xml:space="preserve">identified that in New Zealand, 34 percent of adult disability and </w:t>
      </w:r>
      <w:r w:rsidR="00741ED6">
        <w:t>3 percent of child disability is caused by accident or injury</w:t>
      </w:r>
      <w:r w:rsidR="00060585">
        <w:t>.</w:t>
      </w:r>
    </w:p>
    <w:p w14:paraId="562C8A7E" w14:textId="539F3EB8" w:rsidR="00060585" w:rsidRDefault="00060585" w:rsidP="002956C2">
      <w:pPr>
        <w:pStyle w:val="USBullet1"/>
      </w:pPr>
      <w:r>
        <w:t>The average alcohol-attributable fraction for injuries</w:t>
      </w:r>
      <w:r w:rsidR="00FF7D2A">
        <w:t>: 16.</w:t>
      </w:r>
      <w:r w:rsidR="008F6B06">
        <w:t>2 percent</w:t>
      </w:r>
      <w:r w:rsidR="009F3981">
        <w:t>.</w:t>
      </w:r>
      <w:r w:rsidR="00371DBB">
        <w:t xml:space="preserve"> </w:t>
      </w:r>
      <w:r w:rsidR="009F3981">
        <w:t>W</w:t>
      </w:r>
      <w:r w:rsidR="00371DBB">
        <w:t xml:space="preserve">e apply this fraction to the Child Disability Allowance </w:t>
      </w:r>
      <w:r w:rsidR="004A55BE">
        <w:t>and the Disability Allowance paid to people under 18</w:t>
      </w:r>
      <w:r w:rsidR="00BD33B3">
        <w:t>,</w:t>
      </w:r>
      <w:r w:rsidR="004A55BE">
        <w:t xml:space="preserve"> </w:t>
      </w:r>
      <w:r w:rsidR="00371DBB">
        <w:t xml:space="preserve">as well </w:t>
      </w:r>
      <w:r w:rsidR="004A55BE">
        <w:t>as</w:t>
      </w:r>
      <w:r w:rsidR="00371DBB">
        <w:t xml:space="preserve"> the Disability Allowance</w:t>
      </w:r>
      <w:r w:rsidR="008A5A17">
        <w:t>.</w:t>
      </w:r>
      <w:r w:rsidR="00371DBB">
        <w:t xml:space="preserve"> </w:t>
      </w:r>
      <w:r w:rsidR="009F3981">
        <w:t>A</w:t>
      </w:r>
      <w:r w:rsidR="00371DBB">
        <w:t>lthough</w:t>
      </w:r>
      <w:r w:rsidR="00BD33B3">
        <w:t>,</w:t>
      </w:r>
      <w:r w:rsidR="00371DBB">
        <w:t xml:space="preserve"> the AAF was derived on the basis of people aged </w:t>
      </w:r>
      <w:r w:rsidR="005F0ADB">
        <w:t>15+ only</w:t>
      </w:r>
      <w:r w:rsidR="009F3981">
        <w:t xml:space="preserve">. A </w:t>
      </w:r>
      <w:r w:rsidR="00275CD9">
        <w:t xml:space="preserve">high level of uncertainty </w:t>
      </w:r>
      <w:r w:rsidR="009F3981">
        <w:t xml:space="preserve">regarding the use of the AAFs for this purpose </w:t>
      </w:r>
      <w:r w:rsidR="00275CD9">
        <w:t xml:space="preserve">is of relatively low significance given the very low fraction of </w:t>
      </w:r>
      <w:r w:rsidR="004A55BE">
        <w:t>disability attributable to injury</w:t>
      </w:r>
      <w:r w:rsidR="00BD33B3">
        <w:t>,</w:t>
      </w:r>
      <w:r w:rsidR="004A55BE">
        <w:t xml:space="preserve"> as indicated by the New Zealand Disability Survey</w:t>
      </w:r>
      <w:r w:rsidR="008F6B06">
        <w:t>.</w:t>
      </w:r>
    </w:p>
    <w:p w14:paraId="018EF621" w14:textId="3F0AFA7A" w:rsidR="00CD5F28" w:rsidRDefault="00CD5F28" w:rsidP="0096212F">
      <w:pPr>
        <w:pStyle w:val="USBodyText"/>
      </w:pPr>
      <w:r w:rsidRPr="00CD5F28">
        <w:t xml:space="preserve">Even though </w:t>
      </w:r>
      <w:r w:rsidR="000F60B2">
        <w:t>medical conditions may cause disability</w:t>
      </w:r>
      <w:r w:rsidR="00BD33B3">
        <w:t>,</w:t>
      </w:r>
      <w:r w:rsidRPr="00CD5F28">
        <w:t xml:space="preserve"> </w:t>
      </w:r>
      <w:r>
        <w:t>w</w:t>
      </w:r>
      <w:r w:rsidRPr="00CD5F28">
        <w:t>e do not apply the non-injury AAFs to disability allowances</w:t>
      </w:r>
      <w:r w:rsidR="0093063C">
        <w:t xml:space="preserve"> </w:t>
      </w:r>
      <w:r w:rsidR="00EF11D0">
        <w:t xml:space="preserve">because </w:t>
      </w:r>
      <w:r w:rsidR="00185929">
        <w:t>t</w:t>
      </w:r>
      <w:r w:rsidR="00103445">
        <w:t>he proportion of adult and child disability that is not caused by injury</w:t>
      </w:r>
      <w:r w:rsidR="00185929">
        <w:t xml:space="preserve"> </w:t>
      </w:r>
      <w:r w:rsidR="009F4DC6">
        <w:t xml:space="preserve">includes not just </w:t>
      </w:r>
      <w:r w:rsidR="008D0679">
        <w:t xml:space="preserve">disability caused by medical conditions but </w:t>
      </w:r>
      <w:r w:rsidR="001129EE">
        <w:t>also disability associated with genetic and chromosomal</w:t>
      </w:r>
      <w:r w:rsidR="00A43BB7">
        <w:t xml:space="preserve"> conditions and neurodevelopmental disorders</w:t>
      </w:r>
      <w:r w:rsidR="008405A0">
        <w:t>.</w:t>
      </w:r>
    </w:p>
    <w:p w14:paraId="0E8A3DC5" w14:textId="50D26455" w:rsidR="00312F75" w:rsidRDefault="00312F75" w:rsidP="0096212F">
      <w:pPr>
        <w:pStyle w:val="USBodyText"/>
      </w:pPr>
      <w:r>
        <w:t xml:space="preserve">Based on this </w:t>
      </w:r>
      <w:r w:rsidR="00BE73B7">
        <w:t>approach</w:t>
      </w:r>
      <w:r>
        <w:t xml:space="preserve">, we estimate that the total disability benefits cost attributable to alcohol in 2023 is approximately </w:t>
      </w:r>
      <w:r w:rsidR="00076346">
        <w:t xml:space="preserve">$1.4 million (see </w:t>
      </w:r>
      <w:r w:rsidR="005E1E5F">
        <w:fldChar w:fldCharType="begin"/>
      </w:r>
      <w:r w:rsidR="005E1E5F">
        <w:instrText xml:space="preserve"> REF _Ref149045088 \h </w:instrText>
      </w:r>
      <w:r w:rsidR="005E1E5F">
        <w:fldChar w:fldCharType="separate"/>
      </w:r>
      <w:r w:rsidR="00AE166D" w:rsidRPr="00731CA6">
        <w:t xml:space="preserve">Table </w:t>
      </w:r>
      <w:r w:rsidR="00AE166D">
        <w:rPr>
          <w:noProof/>
        </w:rPr>
        <w:t>39</w:t>
      </w:r>
      <w:r w:rsidR="005E1E5F">
        <w:fldChar w:fldCharType="end"/>
      </w:r>
      <w:r w:rsidR="00076346">
        <w:t xml:space="preserve"> below).</w:t>
      </w:r>
    </w:p>
    <w:p w14:paraId="580B0D8A" w14:textId="61B4C791" w:rsidR="00390CB5" w:rsidRPr="00731CA6" w:rsidRDefault="00390CB5" w:rsidP="00390CB5">
      <w:pPr>
        <w:pStyle w:val="TableCaption"/>
      </w:pPr>
      <w:bookmarkStart w:id="187" w:name="_Ref149045088"/>
      <w:bookmarkStart w:id="188" w:name="_Toc160633946"/>
      <w:r w:rsidRPr="00731CA6">
        <w:lastRenderedPageBreak/>
        <w:t xml:space="preserve">Table </w:t>
      </w:r>
      <w:fldSimple w:instr=" SEQ Table \* ARABIC ">
        <w:r w:rsidR="00AE166D">
          <w:rPr>
            <w:noProof/>
          </w:rPr>
          <w:t>39</w:t>
        </w:r>
      </w:fldSimple>
      <w:bookmarkEnd w:id="187"/>
      <w:r w:rsidRPr="00731CA6">
        <w:t xml:space="preserve"> </w:t>
      </w:r>
      <w:r w:rsidR="006732EC">
        <w:t xml:space="preserve">Estimated </w:t>
      </w:r>
      <w:r w:rsidR="009F2C29">
        <w:t>cost</w:t>
      </w:r>
      <w:r w:rsidR="006732EC">
        <w:t xml:space="preserve"> of disability benefits </w:t>
      </w:r>
      <w:r w:rsidR="009F2C29">
        <w:t xml:space="preserve">attributable </w:t>
      </w:r>
      <w:r w:rsidR="00312F75">
        <w:t xml:space="preserve">to </w:t>
      </w:r>
      <w:proofErr w:type="gramStart"/>
      <w:r w:rsidR="00312F75">
        <w:t>alcohol</w:t>
      </w:r>
      <w:bookmarkEnd w:id="188"/>
      <w:proofErr w:type="gramEnd"/>
    </w:p>
    <w:p w14:paraId="3B134D1C" w14:textId="5D3E4ABC" w:rsidR="00390CB5" w:rsidRPr="00731CA6" w:rsidRDefault="00390CB5" w:rsidP="00390CB5">
      <w:pPr>
        <w:pStyle w:val="CaptionSubheading"/>
      </w:pPr>
    </w:p>
    <w:tbl>
      <w:tblPr>
        <w:tblStyle w:val="TableDefault"/>
        <w:tblW w:w="8220" w:type="dxa"/>
        <w:tblLook w:val="0460" w:firstRow="1" w:lastRow="1" w:firstColumn="0" w:lastColumn="0" w:noHBand="0" w:noVBand="1"/>
      </w:tblPr>
      <w:tblGrid>
        <w:gridCol w:w="4112"/>
        <w:gridCol w:w="1134"/>
        <w:gridCol w:w="1560"/>
        <w:gridCol w:w="1414"/>
      </w:tblGrid>
      <w:tr w:rsidR="00EC6A19" w:rsidRPr="00731CA6" w14:paraId="3F9BB2A2" w14:textId="7B6487AF" w:rsidTr="007D3876">
        <w:trPr>
          <w:cnfStyle w:val="100000000000" w:firstRow="1" w:lastRow="0" w:firstColumn="0" w:lastColumn="0" w:oddVBand="0" w:evenVBand="0" w:oddHBand="0" w:evenHBand="0" w:firstRowFirstColumn="0" w:firstRowLastColumn="0" w:lastRowFirstColumn="0" w:lastRowLastColumn="0"/>
        </w:trPr>
        <w:tc>
          <w:tcPr>
            <w:tcW w:w="2501" w:type="pct"/>
          </w:tcPr>
          <w:p w14:paraId="6E820D2D" w14:textId="2A70A576" w:rsidR="00EC6A19" w:rsidRPr="00F45B11" w:rsidRDefault="00EC6A19">
            <w:pPr>
              <w:pStyle w:val="TSTableHeadingWhite-TopRow"/>
            </w:pPr>
          </w:p>
        </w:tc>
        <w:tc>
          <w:tcPr>
            <w:tcW w:w="690" w:type="pct"/>
          </w:tcPr>
          <w:p w14:paraId="0E4067AB" w14:textId="7FB9B2A3" w:rsidR="00EC6A19" w:rsidRPr="00F45B11" w:rsidRDefault="00EC6A19" w:rsidP="0020794A">
            <w:pPr>
              <w:pStyle w:val="TSTableHeadingWhite-TopRow"/>
              <w:jc w:val="center"/>
            </w:pPr>
            <w:r w:rsidRPr="00F45B11">
              <w:t>Count</w:t>
            </w:r>
          </w:p>
        </w:tc>
        <w:tc>
          <w:tcPr>
            <w:tcW w:w="949" w:type="pct"/>
          </w:tcPr>
          <w:p w14:paraId="57D5C963" w14:textId="4692A704" w:rsidR="00EC6A19" w:rsidRPr="00F45B11" w:rsidRDefault="00EC6A19" w:rsidP="0020794A">
            <w:pPr>
              <w:pStyle w:val="TSTableHeadingWhite-TopRow"/>
              <w:jc w:val="center"/>
            </w:pPr>
            <w:r w:rsidRPr="00F45B11">
              <w:t xml:space="preserve">2022 </w:t>
            </w:r>
            <w:r w:rsidR="00F45B11">
              <w:t>v</w:t>
            </w:r>
            <w:r w:rsidRPr="00F45B11">
              <w:t>alue</w:t>
            </w:r>
            <w:r w:rsidR="00FD1EC8" w:rsidRPr="00F45B11">
              <w:t>*</w:t>
            </w:r>
          </w:p>
        </w:tc>
        <w:tc>
          <w:tcPr>
            <w:tcW w:w="860" w:type="pct"/>
          </w:tcPr>
          <w:p w14:paraId="5AB643BA" w14:textId="36D5E566" w:rsidR="00EC6A19" w:rsidRPr="00F45B11" w:rsidRDefault="00EC6A19" w:rsidP="0020794A">
            <w:pPr>
              <w:pStyle w:val="TSTableHeadingWhite-TopRow"/>
              <w:jc w:val="center"/>
            </w:pPr>
            <w:r w:rsidRPr="00F45B11">
              <w:t xml:space="preserve">2023 </w:t>
            </w:r>
            <w:r w:rsidR="00F45B11">
              <w:t>v</w:t>
            </w:r>
            <w:r w:rsidRPr="00F45B11">
              <w:t>alue</w:t>
            </w:r>
          </w:p>
        </w:tc>
      </w:tr>
      <w:tr w:rsidR="007D3876" w:rsidRPr="00731CA6" w14:paraId="44B9672D" w14:textId="4597128A" w:rsidTr="007D3876">
        <w:tc>
          <w:tcPr>
            <w:tcW w:w="2501" w:type="pct"/>
          </w:tcPr>
          <w:p w14:paraId="5320B842" w14:textId="04C0210A" w:rsidR="007D3876" w:rsidRPr="00F45B11" w:rsidRDefault="007D3876" w:rsidP="007D3876">
            <w:pPr>
              <w:pStyle w:val="TSBodyText"/>
            </w:pPr>
            <w:r w:rsidRPr="00F45B11">
              <w:t>Disability allowance</w:t>
            </w:r>
          </w:p>
        </w:tc>
        <w:tc>
          <w:tcPr>
            <w:tcW w:w="690" w:type="pct"/>
          </w:tcPr>
          <w:p w14:paraId="294999CA" w14:textId="61A239C1" w:rsidR="007D3876" w:rsidRPr="00F45B11" w:rsidRDefault="007D3876" w:rsidP="0020794A">
            <w:pPr>
              <w:pStyle w:val="TSBodyText"/>
              <w:ind w:right="92"/>
              <w:jc w:val="right"/>
            </w:pPr>
            <w:r w:rsidRPr="00F45B11">
              <w:t>219,684</w:t>
            </w:r>
          </w:p>
        </w:tc>
        <w:tc>
          <w:tcPr>
            <w:tcW w:w="949" w:type="pct"/>
          </w:tcPr>
          <w:p w14:paraId="079D9DBF" w14:textId="0167EFB2" w:rsidR="007D3876" w:rsidRPr="00F45B11" w:rsidRDefault="007D3876" w:rsidP="0020794A">
            <w:pPr>
              <w:pStyle w:val="TSBodyText"/>
              <w:ind w:right="92"/>
              <w:jc w:val="right"/>
            </w:pPr>
            <w:r w:rsidRPr="00F45B11">
              <w:t xml:space="preserve"> $22,109,460 </w:t>
            </w:r>
          </w:p>
        </w:tc>
        <w:tc>
          <w:tcPr>
            <w:tcW w:w="860" w:type="pct"/>
          </w:tcPr>
          <w:p w14:paraId="4FAF0F33" w14:textId="27D99F6A" w:rsidR="007D3876" w:rsidRPr="00F45B11" w:rsidRDefault="007D3876" w:rsidP="0020794A">
            <w:pPr>
              <w:pStyle w:val="TSBodyText"/>
              <w:ind w:right="92"/>
              <w:jc w:val="right"/>
            </w:pPr>
            <w:r w:rsidRPr="003072EC">
              <w:t xml:space="preserve"> $23,657,122 </w:t>
            </w:r>
          </w:p>
        </w:tc>
      </w:tr>
      <w:tr w:rsidR="007D3876" w:rsidRPr="00731CA6" w14:paraId="031C4749" w14:textId="2CD685F6" w:rsidTr="007D3876">
        <w:trPr>
          <w:cnfStyle w:val="000000010000" w:firstRow="0" w:lastRow="0" w:firstColumn="0" w:lastColumn="0" w:oddVBand="0" w:evenVBand="0" w:oddHBand="0" w:evenHBand="1" w:firstRowFirstColumn="0" w:firstRowLastColumn="0" w:lastRowFirstColumn="0" w:lastRowLastColumn="0"/>
        </w:trPr>
        <w:tc>
          <w:tcPr>
            <w:tcW w:w="2501" w:type="pct"/>
          </w:tcPr>
          <w:p w14:paraId="11304EDF" w14:textId="68A3F257" w:rsidR="007D3876" w:rsidRPr="00F45B11" w:rsidRDefault="007D3876" w:rsidP="007D3876">
            <w:pPr>
              <w:pStyle w:val="TSBodyText"/>
            </w:pPr>
            <w:r w:rsidRPr="00F45B11">
              <w:t>Child disability allowance**</w:t>
            </w:r>
          </w:p>
        </w:tc>
        <w:tc>
          <w:tcPr>
            <w:tcW w:w="690" w:type="pct"/>
          </w:tcPr>
          <w:p w14:paraId="054E8DAB" w14:textId="3026ECA2" w:rsidR="007D3876" w:rsidRPr="00F45B11" w:rsidRDefault="007D3876" w:rsidP="0020794A">
            <w:pPr>
              <w:pStyle w:val="TSBodyText"/>
              <w:ind w:right="92"/>
              <w:jc w:val="right"/>
            </w:pPr>
            <w:r w:rsidRPr="00F45B11">
              <w:t>44,511</w:t>
            </w:r>
          </w:p>
        </w:tc>
        <w:tc>
          <w:tcPr>
            <w:tcW w:w="949" w:type="pct"/>
          </w:tcPr>
          <w:p w14:paraId="319D85A1" w14:textId="777FBFD1" w:rsidR="007D3876" w:rsidRPr="00F45B11" w:rsidRDefault="007D3876" w:rsidP="0020794A">
            <w:pPr>
              <w:pStyle w:val="TSBodyText"/>
              <w:ind w:right="92"/>
              <w:jc w:val="right"/>
            </w:pPr>
            <w:r w:rsidRPr="00F45B11">
              <w:t xml:space="preserve"> $10,077,290 </w:t>
            </w:r>
          </w:p>
        </w:tc>
        <w:tc>
          <w:tcPr>
            <w:tcW w:w="860" w:type="pct"/>
          </w:tcPr>
          <w:p w14:paraId="3CDE0968" w14:textId="4A241400" w:rsidR="007D3876" w:rsidRPr="00F45B11" w:rsidRDefault="007D3876" w:rsidP="0020794A">
            <w:pPr>
              <w:pStyle w:val="TSBodyText"/>
              <w:ind w:right="92"/>
              <w:jc w:val="right"/>
            </w:pPr>
            <w:r w:rsidRPr="003072EC">
              <w:t xml:space="preserve"> $10,077,290 </w:t>
            </w:r>
          </w:p>
        </w:tc>
      </w:tr>
      <w:tr w:rsidR="00EC6A19" w:rsidRPr="00731CA6" w14:paraId="121513BC" w14:textId="7160CFE0" w:rsidTr="007D3876">
        <w:tc>
          <w:tcPr>
            <w:tcW w:w="2501" w:type="pct"/>
          </w:tcPr>
          <w:p w14:paraId="1EC1A4A6" w14:textId="0DBC1C69" w:rsidR="00EC6A19" w:rsidRPr="00F45B11" w:rsidRDefault="00B70741">
            <w:pPr>
              <w:pStyle w:val="TSBodyText"/>
            </w:pPr>
            <w:r w:rsidRPr="00F45B11">
              <w:t xml:space="preserve">Disability </w:t>
            </w:r>
            <w:r w:rsidR="00C44480" w:rsidRPr="00F45B11">
              <w:t xml:space="preserve">allowance </w:t>
            </w:r>
            <w:r w:rsidR="009F7D12" w:rsidRPr="00F45B11">
              <w:t xml:space="preserve">cost </w:t>
            </w:r>
            <w:r w:rsidR="00C44480" w:rsidRPr="00F45B11">
              <w:t xml:space="preserve">due to </w:t>
            </w:r>
            <w:r w:rsidR="00B61AC5" w:rsidRPr="00F45B11">
              <w:t>injury</w:t>
            </w:r>
            <w:r w:rsidR="00C06C6D" w:rsidRPr="00F45B11">
              <w:t xml:space="preserve"> (34%</w:t>
            </w:r>
            <w:r w:rsidR="004A55BE" w:rsidRPr="00F45B11">
              <w:t xml:space="preserve"> for adults, 3% for children</w:t>
            </w:r>
            <w:r w:rsidR="00C06C6D" w:rsidRPr="00F45B11">
              <w:t>)</w:t>
            </w:r>
          </w:p>
        </w:tc>
        <w:tc>
          <w:tcPr>
            <w:tcW w:w="690" w:type="pct"/>
          </w:tcPr>
          <w:p w14:paraId="05D64143" w14:textId="734E2AA0" w:rsidR="00EC6A19" w:rsidRPr="00F45B11" w:rsidRDefault="00EC6A19" w:rsidP="0020794A">
            <w:pPr>
              <w:pStyle w:val="TSBodyText"/>
              <w:ind w:right="92"/>
              <w:jc w:val="right"/>
            </w:pPr>
          </w:p>
        </w:tc>
        <w:tc>
          <w:tcPr>
            <w:tcW w:w="949" w:type="pct"/>
          </w:tcPr>
          <w:p w14:paraId="0792495C" w14:textId="55CFE446" w:rsidR="00EC6A19" w:rsidRPr="00F45B11" w:rsidRDefault="00C44480" w:rsidP="0020794A">
            <w:pPr>
              <w:pStyle w:val="TSBodyText"/>
              <w:ind w:right="92"/>
              <w:jc w:val="right"/>
            </w:pPr>
            <w:r w:rsidRPr="00F45B11">
              <w:t>$7,510,469</w:t>
            </w:r>
          </w:p>
        </w:tc>
        <w:tc>
          <w:tcPr>
            <w:tcW w:w="860" w:type="pct"/>
          </w:tcPr>
          <w:p w14:paraId="2A13CADF" w14:textId="4D72AB3D" w:rsidR="00EC6A19" w:rsidRPr="00F45B11" w:rsidRDefault="00AB1957" w:rsidP="0020794A">
            <w:pPr>
              <w:pStyle w:val="TSBodyText"/>
              <w:ind w:right="92"/>
              <w:jc w:val="right"/>
            </w:pPr>
            <w:r w:rsidRPr="00F45B11">
              <w:t>$8,036,202</w:t>
            </w:r>
          </w:p>
        </w:tc>
      </w:tr>
      <w:tr w:rsidR="00EC6A19" w:rsidRPr="00731CA6" w14:paraId="696AB360" w14:textId="13706D6B" w:rsidTr="007D3876">
        <w:trPr>
          <w:cnfStyle w:val="000000010000" w:firstRow="0" w:lastRow="0" w:firstColumn="0" w:lastColumn="0" w:oddVBand="0" w:evenVBand="0" w:oddHBand="0" w:evenHBand="1" w:firstRowFirstColumn="0" w:firstRowLastColumn="0" w:lastRowFirstColumn="0" w:lastRowLastColumn="0"/>
        </w:trPr>
        <w:tc>
          <w:tcPr>
            <w:tcW w:w="2501" w:type="pct"/>
          </w:tcPr>
          <w:p w14:paraId="40869F71" w14:textId="7D1E0EF0" w:rsidR="00EC6A19" w:rsidRPr="00F45B11" w:rsidRDefault="00217D62">
            <w:pPr>
              <w:pStyle w:val="TSBodyText"/>
            </w:pPr>
            <w:r w:rsidRPr="00F45B11">
              <w:t>Child disability allowance cost due to injury (3%)</w:t>
            </w:r>
          </w:p>
        </w:tc>
        <w:tc>
          <w:tcPr>
            <w:tcW w:w="690" w:type="pct"/>
          </w:tcPr>
          <w:p w14:paraId="079F926A" w14:textId="77777777" w:rsidR="00EC6A19" w:rsidRPr="00F45B11" w:rsidRDefault="00EC6A19" w:rsidP="0020794A">
            <w:pPr>
              <w:pStyle w:val="TSBodyText"/>
              <w:ind w:right="92"/>
              <w:jc w:val="right"/>
            </w:pPr>
          </w:p>
        </w:tc>
        <w:tc>
          <w:tcPr>
            <w:tcW w:w="949" w:type="pct"/>
          </w:tcPr>
          <w:p w14:paraId="0FC09040" w14:textId="02AB8946" w:rsidR="00EC6A19" w:rsidRPr="00F45B11" w:rsidRDefault="00217D62" w:rsidP="0020794A">
            <w:pPr>
              <w:pStyle w:val="TSBodyText"/>
              <w:ind w:right="92"/>
              <w:jc w:val="right"/>
            </w:pPr>
            <w:r w:rsidRPr="00F45B11">
              <w:t>$302,319</w:t>
            </w:r>
          </w:p>
        </w:tc>
        <w:tc>
          <w:tcPr>
            <w:tcW w:w="860" w:type="pct"/>
          </w:tcPr>
          <w:p w14:paraId="5B2252B9" w14:textId="7780FA4A" w:rsidR="00EC6A19" w:rsidRPr="00F45B11" w:rsidRDefault="008C5843" w:rsidP="0020794A">
            <w:pPr>
              <w:pStyle w:val="TSBodyText"/>
              <w:ind w:right="92"/>
              <w:jc w:val="right"/>
            </w:pPr>
            <w:r w:rsidRPr="00F45B11">
              <w:t>$302,319</w:t>
            </w:r>
            <w:r w:rsidR="00117D76" w:rsidRPr="00F45B11">
              <w:t>*</w:t>
            </w:r>
          </w:p>
        </w:tc>
      </w:tr>
      <w:tr w:rsidR="00EC6A19" w:rsidRPr="00731CA6" w14:paraId="0393805E" w14:textId="0172773F" w:rsidTr="007D3876">
        <w:tc>
          <w:tcPr>
            <w:tcW w:w="2501" w:type="pct"/>
          </w:tcPr>
          <w:p w14:paraId="3D923EF3" w14:textId="23380326" w:rsidR="00EC6A19" w:rsidRPr="00F45B11" w:rsidRDefault="00217D62">
            <w:pPr>
              <w:pStyle w:val="TSBodyText"/>
            </w:pPr>
            <w:r w:rsidRPr="00F45B11">
              <w:t xml:space="preserve">Disability allowance </w:t>
            </w:r>
            <w:r w:rsidR="009F7D12" w:rsidRPr="00F45B11">
              <w:t xml:space="preserve">cost </w:t>
            </w:r>
            <w:r w:rsidRPr="00F45B11">
              <w:t xml:space="preserve">due to </w:t>
            </w:r>
            <w:r w:rsidR="000F60B2" w:rsidRPr="00F45B11">
              <w:t>alcohol</w:t>
            </w:r>
            <w:r w:rsidR="000F60B2">
              <w:t>-</w:t>
            </w:r>
            <w:r w:rsidRPr="00F45B11">
              <w:t>attributable injury (</w:t>
            </w:r>
            <w:r w:rsidR="009F7D12" w:rsidRPr="00F45B11">
              <w:t>16.2%)</w:t>
            </w:r>
          </w:p>
        </w:tc>
        <w:tc>
          <w:tcPr>
            <w:tcW w:w="690" w:type="pct"/>
          </w:tcPr>
          <w:p w14:paraId="2E85C76C" w14:textId="77777777" w:rsidR="00EC6A19" w:rsidRPr="00F45B11" w:rsidRDefault="00EC6A19" w:rsidP="0020794A">
            <w:pPr>
              <w:pStyle w:val="TSBodyText"/>
              <w:ind w:right="92"/>
              <w:jc w:val="right"/>
            </w:pPr>
          </w:p>
        </w:tc>
        <w:tc>
          <w:tcPr>
            <w:tcW w:w="949" w:type="pct"/>
          </w:tcPr>
          <w:p w14:paraId="5D403739" w14:textId="7D588E9E" w:rsidR="00EC6A19" w:rsidRPr="00F45B11" w:rsidRDefault="00924E45" w:rsidP="0020794A">
            <w:pPr>
              <w:pStyle w:val="TSBodyText"/>
              <w:ind w:right="92"/>
              <w:jc w:val="right"/>
            </w:pPr>
            <w:r w:rsidRPr="00F45B11">
              <w:t>$1,218,157</w:t>
            </w:r>
          </w:p>
        </w:tc>
        <w:tc>
          <w:tcPr>
            <w:tcW w:w="860" w:type="pct"/>
          </w:tcPr>
          <w:p w14:paraId="1F555972" w14:textId="4C6BCB22" w:rsidR="00EC6A19" w:rsidRPr="00F45B11" w:rsidRDefault="00E831C3" w:rsidP="0020794A">
            <w:pPr>
              <w:pStyle w:val="TSBodyText"/>
              <w:ind w:right="92"/>
              <w:jc w:val="right"/>
            </w:pPr>
            <w:r w:rsidRPr="00F45B11">
              <w:t>$1,303,428</w:t>
            </w:r>
          </w:p>
        </w:tc>
      </w:tr>
      <w:tr w:rsidR="00EC6A19" w:rsidRPr="00731CA6" w14:paraId="2C9B7E1A" w14:textId="182C3C8D" w:rsidTr="007D3876">
        <w:trPr>
          <w:cnfStyle w:val="000000010000" w:firstRow="0" w:lastRow="0" w:firstColumn="0" w:lastColumn="0" w:oddVBand="0" w:evenVBand="0" w:oddHBand="0" w:evenHBand="1" w:firstRowFirstColumn="0" w:firstRowLastColumn="0" w:lastRowFirstColumn="0" w:lastRowLastColumn="0"/>
        </w:trPr>
        <w:tc>
          <w:tcPr>
            <w:tcW w:w="2501" w:type="pct"/>
          </w:tcPr>
          <w:p w14:paraId="05C71F9E" w14:textId="36DD80B4" w:rsidR="00EC6A19" w:rsidRPr="00F45B11" w:rsidRDefault="00924E45">
            <w:pPr>
              <w:pStyle w:val="TSBodyText"/>
            </w:pPr>
            <w:r w:rsidRPr="00F45B11">
              <w:t xml:space="preserve">Child disability allowance cost due to </w:t>
            </w:r>
            <w:r w:rsidR="000F60B2" w:rsidRPr="00F45B11">
              <w:t>alcohol</w:t>
            </w:r>
            <w:r w:rsidR="000F60B2">
              <w:t>-</w:t>
            </w:r>
            <w:r w:rsidRPr="00F45B11">
              <w:t>attributable injury (16.2%)</w:t>
            </w:r>
          </w:p>
        </w:tc>
        <w:tc>
          <w:tcPr>
            <w:tcW w:w="690" w:type="pct"/>
          </w:tcPr>
          <w:p w14:paraId="4314B2B6" w14:textId="77777777" w:rsidR="00EC6A19" w:rsidRPr="00F45B11" w:rsidRDefault="00EC6A19" w:rsidP="0020794A">
            <w:pPr>
              <w:pStyle w:val="TSBodyText"/>
              <w:ind w:right="92"/>
              <w:jc w:val="right"/>
            </w:pPr>
          </w:p>
        </w:tc>
        <w:tc>
          <w:tcPr>
            <w:tcW w:w="949" w:type="pct"/>
          </w:tcPr>
          <w:p w14:paraId="0C18C072" w14:textId="095E1AD4" w:rsidR="00EC6A19" w:rsidRPr="00F45B11" w:rsidRDefault="00543193" w:rsidP="0020794A">
            <w:pPr>
              <w:pStyle w:val="TSBodyText"/>
              <w:ind w:right="92"/>
              <w:jc w:val="right"/>
            </w:pPr>
            <w:r w:rsidRPr="00F45B11">
              <w:t>$49,034</w:t>
            </w:r>
          </w:p>
        </w:tc>
        <w:tc>
          <w:tcPr>
            <w:tcW w:w="860" w:type="pct"/>
          </w:tcPr>
          <w:p w14:paraId="741B9CB9" w14:textId="43596C09" w:rsidR="00EC6A19" w:rsidRPr="00F45B11" w:rsidRDefault="00573D39" w:rsidP="0020794A">
            <w:pPr>
              <w:pStyle w:val="TSBodyText"/>
              <w:ind w:right="92"/>
              <w:jc w:val="right"/>
            </w:pPr>
            <w:r w:rsidRPr="00F45B11">
              <w:t>$49,034*</w:t>
            </w:r>
          </w:p>
        </w:tc>
      </w:tr>
      <w:tr w:rsidR="00EC6A19" w:rsidRPr="00731CA6" w14:paraId="3F1F7F2F" w14:textId="59027C38" w:rsidTr="007D3876">
        <w:trPr>
          <w:cnfStyle w:val="010000000000" w:firstRow="0" w:lastRow="1" w:firstColumn="0" w:lastColumn="0" w:oddVBand="0" w:evenVBand="0" w:oddHBand="0" w:evenHBand="0" w:firstRowFirstColumn="0" w:firstRowLastColumn="0" w:lastRowFirstColumn="0" w:lastRowLastColumn="0"/>
        </w:trPr>
        <w:tc>
          <w:tcPr>
            <w:tcW w:w="2501" w:type="pct"/>
          </w:tcPr>
          <w:p w14:paraId="5369A7B4" w14:textId="3BA58E24" w:rsidR="00EC6A19" w:rsidRPr="00F45B11" w:rsidRDefault="00573D39">
            <w:pPr>
              <w:pStyle w:val="TSBodyText"/>
            </w:pPr>
            <w:r w:rsidRPr="00F45B11">
              <w:t>Total disability benefits cost attributable to alcohol</w:t>
            </w:r>
          </w:p>
        </w:tc>
        <w:tc>
          <w:tcPr>
            <w:tcW w:w="690" w:type="pct"/>
          </w:tcPr>
          <w:p w14:paraId="17537D8F" w14:textId="77777777" w:rsidR="00EC6A19" w:rsidRPr="00F45B11" w:rsidRDefault="00EC6A19" w:rsidP="0020794A">
            <w:pPr>
              <w:pStyle w:val="TSBodyText"/>
              <w:ind w:right="92"/>
              <w:jc w:val="right"/>
            </w:pPr>
          </w:p>
        </w:tc>
        <w:tc>
          <w:tcPr>
            <w:tcW w:w="949" w:type="pct"/>
          </w:tcPr>
          <w:p w14:paraId="79049044" w14:textId="2142DFB5" w:rsidR="00EC6A19" w:rsidRPr="00F45B11" w:rsidRDefault="006119F1" w:rsidP="0020794A">
            <w:pPr>
              <w:pStyle w:val="TSBodyText"/>
              <w:ind w:right="92"/>
              <w:jc w:val="right"/>
            </w:pPr>
            <w:r w:rsidRPr="00F45B11">
              <w:t>$1,267,191</w:t>
            </w:r>
          </w:p>
        </w:tc>
        <w:tc>
          <w:tcPr>
            <w:tcW w:w="860" w:type="pct"/>
          </w:tcPr>
          <w:p w14:paraId="4F64592B" w14:textId="4E854484" w:rsidR="00EC6A19" w:rsidRPr="00F45B11" w:rsidRDefault="00F73A64" w:rsidP="0020794A">
            <w:pPr>
              <w:pStyle w:val="TSBodyText"/>
              <w:ind w:right="92"/>
              <w:jc w:val="right"/>
            </w:pPr>
            <w:r w:rsidRPr="00F45B11">
              <w:t>$1,352,462</w:t>
            </w:r>
          </w:p>
        </w:tc>
      </w:tr>
    </w:tbl>
    <w:p w14:paraId="3E022830" w14:textId="6A9F4032" w:rsidR="00FC7120" w:rsidRDefault="006F529C" w:rsidP="005F3127">
      <w:pPr>
        <w:pStyle w:val="USSource"/>
        <w:spacing w:after="120"/>
      </w:pPr>
      <w:r>
        <w:t>*</w:t>
      </w:r>
      <w:r w:rsidR="00FC7120">
        <w:t>We estimate the 2022 annual value of the disability allowance and child disability allowance based on the September 2022 quarter cost</w:t>
      </w:r>
      <w:r w:rsidR="007D3876">
        <w:t xml:space="preserve"> by multiplying by 4.</w:t>
      </w:r>
    </w:p>
    <w:p w14:paraId="45A3AD91" w14:textId="4EAFBCFD" w:rsidR="006F529C" w:rsidRDefault="00FC7120" w:rsidP="005F3127">
      <w:pPr>
        <w:pStyle w:val="USSource"/>
        <w:spacing w:after="120"/>
      </w:pPr>
      <w:r>
        <w:t>**</w:t>
      </w:r>
      <w:r w:rsidR="006F529C">
        <w:t xml:space="preserve">The </w:t>
      </w:r>
      <w:r w:rsidR="00962E7F">
        <w:t xml:space="preserve">2023 </w:t>
      </w:r>
      <w:r w:rsidR="006F529C">
        <w:t xml:space="preserve">Child </w:t>
      </w:r>
      <w:r w:rsidR="007D48B3">
        <w:t>D</w:t>
      </w:r>
      <w:r w:rsidR="006F529C">
        <w:t xml:space="preserve">isability </w:t>
      </w:r>
      <w:r w:rsidR="007D48B3">
        <w:t>A</w:t>
      </w:r>
      <w:r w:rsidR="006F529C">
        <w:t>llowance payment</w:t>
      </w:r>
      <w:r w:rsidR="007D3876">
        <w:t>, and therefore cost</w:t>
      </w:r>
      <w:r w:rsidR="00962E7F">
        <w:t xml:space="preserve">, </w:t>
      </w:r>
      <w:r w:rsidR="007D48B3">
        <w:t>remains at the</w:t>
      </w:r>
      <w:r w:rsidR="009E0348">
        <w:t xml:space="preserve"> 2022</w:t>
      </w:r>
      <w:r w:rsidR="007D48B3">
        <w:t xml:space="preserve"> level</w:t>
      </w:r>
      <w:r w:rsidR="009E0348">
        <w:t>.</w:t>
      </w:r>
    </w:p>
    <w:p w14:paraId="17B80B6E" w14:textId="10168CCC" w:rsidR="00390CB5" w:rsidRPr="00731CA6" w:rsidRDefault="00390CB5" w:rsidP="00390CB5">
      <w:pPr>
        <w:pStyle w:val="USSource"/>
      </w:pPr>
      <w:r w:rsidRPr="00731CA6">
        <w:t xml:space="preserve">Source: </w:t>
      </w:r>
      <w:r w:rsidR="00076346">
        <w:t xml:space="preserve">NZIER, based on MSD data, </w:t>
      </w:r>
      <w:r w:rsidR="00683ED0">
        <w:t xml:space="preserve">New Zealand 2013 Disability Survey and </w:t>
      </w:r>
      <w:r w:rsidR="006F1C96">
        <w:t xml:space="preserve">AAFs from Chambers and </w:t>
      </w:r>
      <w:proofErr w:type="spellStart"/>
      <w:r w:rsidR="006F1C96">
        <w:t>Mizdrak</w:t>
      </w:r>
      <w:proofErr w:type="spellEnd"/>
      <w:r w:rsidR="006F1C96">
        <w:t xml:space="preserve"> (</w:t>
      </w:r>
      <w:r w:rsidR="00F45B11">
        <w:t>forthcoming</w:t>
      </w:r>
      <w:r w:rsidR="006F1C96">
        <w:t>).</w:t>
      </w:r>
    </w:p>
    <w:p w14:paraId="0BD1EE59" w14:textId="09A2AAA6" w:rsidR="00390CB5" w:rsidRDefault="00237DF2" w:rsidP="00E2087E">
      <w:pPr>
        <w:pStyle w:val="USBodyText"/>
      </w:pPr>
      <w:r>
        <w:t xml:space="preserve">Because disability benefits are intended to </w:t>
      </w:r>
      <w:r w:rsidR="00E754C3">
        <w:t>compensate for</w:t>
      </w:r>
      <w:r>
        <w:t xml:space="preserve"> some of the </w:t>
      </w:r>
      <w:r w:rsidR="00DA348C">
        <w:t xml:space="preserve">costs associated with living with a disability </w:t>
      </w:r>
      <w:r w:rsidR="0026060F">
        <w:t xml:space="preserve">(extra care and attention for disabled children </w:t>
      </w:r>
      <w:r w:rsidR="0067527F">
        <w:t xml:space="preserve">and ongoing costs of </w:t>
      </w:r>
      <w:r w:rsidR="0094047E">
        <w:t xml:space="preserve">services, </w:t>
      </w:r>
      <w:r w:rsidR="007D0F37">
        <w:t>medicines, personal items or travel for disabled adults)</w:t>
      </w:r>
      <w:r w:rsidR="000D57F2">
        <w:t xml:space="preserve">, </w:t>
      </w:r>
      <w:r w:rsidR="00FC0534">
        <w:t xml:space="preserve">a portion of </w:t>
      </w:r>
      <w:r w:rsidR="000D57F2">
        <w:t>the underlying cost</w:t>
      </w:r>
      <w:r w:rsidR="009E76BE">
        <w:t xml:space="preserve"> </w:t>
      </w:r>
      <w:r w:rsidR="00FC0534">
        <w:t xml:space="preserve">of alcohol-attributable disability </w:t>
      </w:r>
      <w:r w:rsidR="009E76BE">
        <w:t xml:space="preserve">is effectively double counted when this estimate and the estimate of </w:t>
      </w:r>
      <w:r w:rsidR="00C46532">
        <w:t>the value of increased risk of mortality and morbidity</w:t>
      </w:r>
      <w:r w:rsidR="009E76BE">
        <w:t xml:space="preserve"> estimated in</w:t>
      </w:r>
      <w:r w:rsidR="00C46532">
        <w:t xml:space="preserve"> </w:t>
      </w:r>
      <w:r w:rsidR="000A6A47">
        <w:t>s</w:t>
      </w:r>
      <w:r w:rsidR="00C46532">
        <w:t>ection</w:t>
      </w:r>
      <w:r w:rsidR="008C66F9">
        <w:t xml:space="preserve"> </w:t>
      </w:r>
      <w:r w:rsidR="003E3809">
        <w:fldChar w:fldCharType="begin"/>
      </w:r>
      <w:r w:rsidR="003E3809">
        <w:instrText xml:space="preserve"> REF _Ref160456790 \r \h </w:instrText>
      </w:r>
      <w:r w:rsidR="003E3809">
        <w:fldChar w:fldCharType="separate"/>
      </w:r>
      <w:r w:rsidR="00AE166D">
        <w:t>3</w:t>
      </w:r>
      <w:r w:rsidR="003E3809">
        <w:fldChar w:fldCharType="end"/>
      </w:r>
      <w:r w:rsidR="00670FC2">
        <w:t xml:space="preserve"> </w:t>
      </w:r>
      <w:r w:rsidR="00FC0534">
        <w:t xml:space="preserve">are counted together. </w:t>
      </w:r>
      <w:r w:rsidR="00042611">
        <w:t xml:space="preserve">This is because the </w:t>
      </w:r>
      <w:r w:rsidR="00DD1C1C">
        <w:t xml:space="preserve">valuation of </w:t>
      </w:r>
      <w:r w:rsidR="006662B7">
        <w:t>health-adjusted life years</w:t>
      </w:r>
      <w:r w:rsidR="002A21CA">
        <w:t xml:space="preserve"> – the methodology used in </w:t>
      </w:r>
      <w:r w:rsidR="003E3809">
        <w:t>s</w:t>
      </w:r>
      <w:r w:rsidR="002A21CA">
        <w:t>ection</w:t>
      </w:r>
      <w:r w:rsidR="00997AC4">
        <w:t xml:space="preserve"> </w:t>
      </w:r>
      <w:r w:rsidR="00997AC4">
        <w:fldChar w:fldCharType="begin"/>
      </w:r>
      <w:r w:rsidR="00997AC4">
        <w:instrText xml:space="preserve"> REF _Ref160456790 \r \h </w:instrText>
      </w:r>
      <w:r w:rsidR="00997AC4">
        <w:fldChar w:fldCharType="separate"/>
      </w:r>
      <w:r w:rsidR="00AE166D">
        <w:t>3</w:t>
      </w:r>
      <w:r w:rsidR="00997AC4">
        <w:fldChar w:fldCharType="end"/>
      </w:r>
      <w:r w:rsidR="00997AC4">
        <w:t xml:space="preserve"> – typically </w:t>
      </w:r>
      <w:r w:rsidR="00CF5EBB">
        <w:t xml:space="preserve">reflects such considerations. </w:t>
      </w:r>
      <w:r w:rsidR="00FC0534">
        <w:t>Consideration of these estimates</w:t>
      </w:r>
      <w:r w:rsidR="00B900E5">
        <w:t>, therefore,</w:t>
      </w:r>
      <w:r w:rsidR="00FC0534">
        <w:t xml:space="preserve"> should note that </w:t>
      </w:r>
      <w:r w:rsidR="009C4B25">
        <w:t>they represent different perspectives regarding cost burden rather than separate costs amenable to aggregation.</w:t>
      </w:r>
    </w:p>
    <w:p w14:paraId="4656BE2E" w14:textId="3EC22081" w:rsidR="007E14C0" w:rsidRPr="003150A0" w:rsidRDefault="007E14C0" w:rsidP="007E14C0">
      <w:pPr>
        <w:pStyle w:val="Heading2"/>
        <w:rPr>
          <w:color w:val="0094C5"/>
          <w:sz w:val="32"/>
          <w:szCs w:val="32"/>
        </w:rPr>
      </w:pPr>
      <w:bookmarkStart w:id="189" w:name="_Toc160633863"/>
      <w:bookmarkStart w:id="190" w:name="_Hlk156230058"/>
      <w:bookmarkStart w:id="191" w:name="_Ref149046095"/>
      <w:r>
        <w:t>Limitations of estimates of</w:t>
      </w:r>
      <w:r w:rsidR="00EC0628">
        <w:t xml:space="preserve"> social development sector</w:t>
      </w:r>
      <w:r>
        <w:t xml:space="preserve"> costs</w:t>
      </w:r>
      <w:bookmarkEnd w:id="189"/>
    </w:p>
    <w:bookmarkEnd w:id="190"/>
    <w:p w14:paraId="02CCB5DC" w14:textId="5356E208" w:rsidR="007E14C0" w:rsidRDefault="007E14C0" w:rsidP="001744BE">
      <w:pPr>
        <w:pStyle w:val="USBodyText"/>
      </w:pPr>
      <w:r>
        <w:t>We estimated the costs of disability benefits specifically due to the availability of data on payments and beneficiaries</w:t>
      </w:r>
      <w:r w:rsidR="00E6437F">
        <w:t>,</w:t>
      </w:r>
      <w:r>
        <w:t xml:space="preserve"> as well as the fraction of long-term disability caused by injury and the fraction of injuries attributable to alcohol. </w:t>
      </w:r>
    </w:p>
    <w:p w14:paraId="01677724" w14:textId="472A28EB" w:rsidR="001744BE" w:rsidRDefault="001744BE" w:rsidP="001744BE">
      <w:pPr>
        <w:pStyle w:val="USBodyText"/>
      </w:pPr>
      <w:bookmarkStart w:id="192" w:name="_Hlk152753556"/>
      <w:r>
        <w:t xml:space="preserve">It is important to note that disability benefits do not provide a complete cost for benefits associated with disability. Depending on </w:t>
      </w:r>
      <w:r w:rsidR="00E6437F">
        <w:t xml:space="preserve">the </w:t>
      </w:r>
      <w:r>
        <w:t>specific needs of disabled people, they may also receive a range of other benefits for:</w:t>
      </w:r>
    </w:p>
    <w:p w14:paraId="79525A38" w14:textId="77777777" w:rsidR="001744BE" w:rsidRDefault="001744BE" w:rsidP="001744BE">
      <w:pPr>
        <w:pStyle w:val="USBullet1"/>
      </w:pPr>
      <w:r>
        <w:t>home modifications</w:t>
      </w:r>
    </w:p>
    <w:p w14:paraId="675C14BF" w14:textId="77777777" w:rsidR="001744BE" w:rsidRDefault="001744BE" w:rsidP="001744BE">
      <w:pPr>
        <w:pStyle w:val="USBullet1"/>
      </w:pPr>
      <w:r>
        <w:t>modifications at work</w:t>
      </w:r>
    </w:p>
    <w:p w14:paraId="5294D940" w14:textId="77777777" w:rsidR="001744BE" w:rsidRDefault="001744BE" w:rsidP="001744BE">
      <w:pPr>
        <w:pStyle w:val="USBullet1"/>
      </w:pPr>
      <w:r>
        <w:t>transport and mobility</w:t>
      </w:r>
    </w:p>
    <w:p w14:paraId="335F3B60" w14:textId="77777777" w:rsidR="001744BE" w:rsidRDefault="001744BE" w:rsidP="001744BE">
      <w:pPr>
        <w:pStyle w:val="USBullet1"/>
      </w:pPr>
      <w:r>
        <w:t>communication equipment</w:t>
      </w:r>
    </w:p>
    <w:p w14:paraId="6775A485" w14:textId="77777777" w:rsidR="001744BE" w:rsidRDefault="001744BE" w:rsidP="001744BE">
      <w:pPr>
        <w:pStyle w:val="USBullet1"/>
      </w:pPr>
      <w:r>
        <w:t>sole parent support</w:t>
      </w:r>
    </w:p>
    <w:p w14:paraId="27356992" w14:textId="77777777" w:rsidR="001744BE" w:rsidRDefault="001744BE" w:rsidP="001744BE">
      <w:pPr>
        <w:pStyle w:val="USBullet1"/>
      </w:pPr>
      <w:r>
        <w:lastRenderedPageBreak/>
        <w:t>jobseeker support</w:t>
      </w:r>
    </w:p>
    <w:p w14:paraId="471FC50E" w14:textId="77777777" w:rsidR="001744BE" w:rsidRDefault="001744BE" w:rsidP="001744BE">
      <w:pPr>
        <w:pStyle w:val="USBullet1"/>
      </w:pPr>
      <w:r>
        <w:t xml:space="preserve">supported living </w:t>
      </w:r>
      <w:proofErr w:type="gramStart"/>
      <w:r>
        <w:t>payment</w:t>
      </w:r>
      <w:proofErr w:type="gramEnd"/>
    </w:p>
    <w:p w14:paraId="28D77AB6" w14:textId="77777777" w:rsidR="001744BE" w:rsidRDefault="001744BE" w:rsidP="001744BE">
      <w:pPr>
        <w:pStyle w:val="USBullet1"/>
      </w:pPr>
      <w:r>
        <w:t>new employment transition.</w:t>
      </w:r>
    </w:p>
    <w:p w14:paraId="6D8B5CAD" w14:textId="06AEDD03" w:rsidR="001744BE" w:rsidRDefault="001744BE" w:rsidP="001744BE">
      <w:pPr>
        <w:pStyle w:val="USBodyText"/>
      </w:pPr>
      <w:r>
        <w:t>It is not possible to estimate the alcohol-attributable costs of these other benefits because disabled people may receive different combinations of these depending on their circumstances</w:t>
      </w:r>
      <w:r w:rsidR="008B5BB5">
        <w:t>,</w:t>
      </w:r>
      <w:r w:rsidR="009A751A">
        <w:t xml:space="preserve"> and those with alcohol-related disability may have quite different needs and circumstances than other recipients</w:t>
      </w:r>
      <w:r>
        <w:t>. However, the wide range of potential costs associated with alcohol-attributable disability indicates that this cost area is likely to be significantly underestimated.</w:t>
      </w:r>
    </w:p>
    <w:p w14:paraId="32BDB7D3" w14:textId="6EC2394B" w:rsidR="00EC0628" w:rsidRDefault="00EC0628" w:rsidP="001744BE">
      <w:pPr>
        <w:pStyle w:val="USBodyText"/>
      </w:pPr>
      <w:r>
        <w:t xml:space="preserve">Additionally, the Ministry of Social Development funds a range of programmes and services to address family harms, with </w:t>
      </w:r>
      <w:r w:rsidR="009217BB">
        <w:t xml:space="preserve">approximately 10 percent of these being attributable to alcohol use disorders or hazardous drinking (see </w:t>
      </w:r>
      <w:r w:rsidR="006245F0">
        <w:t>s</w:t>
      </w:r>
      <w:r w:rsidR="009217BB">
        <w:t xml:space="preserve">ection 4) and more potentially being attributable to other alcohol consumption. </w:t>
      </w:r>
      <w:r w:rsidR="007927CE">
        <w:t>Costings of these programmes and services were not available for this report</w:t>
      </w:r>
      <w:r w:rsidR="00EA65C9">
        <w:t xml:space="preserve">. </w:t>
      </w:r>
    </w:p>
    <w:bookmarkEnd w:id="192"/>
    <w:p w14:paraId="02695EC4" w14:textId="77777777" w:rsidR="007E14C0" w:rsidRDefault="007E14C0" w:rsidP="007E14C0">
      <w:pPr>
        <w:pStyle w:val="USBodyText"/>
        <w:rPr>
          <w:color w:val="0094C5"/>
          <w:sz w:val="32"/>
          <w:szCs w:val="32"/>
        </w:rPr>
      </w:pPr>
      <w:r>
        <w:br w:type="page"/>
      </w:r>
    </w:p>
    <w:p w14:paraId="288D8A01" w14:textId="363EF62A" w:rsidR="006F6E81" w:rsidRDefault="00E03033" w:rsidP="000577DD">
      <w:pPr>
        <w:pStyle w:val="Heading1"/>
      </w:pPr>
      <w:bookmarkStart w:id="193" w:name="_Toc160633864"/>
      <w:bookmarkEnd w:id="191"/>
      <w:r>
        <w:lastRenderedPageBreak/>
        <w:t>Productivity losses</w:t>
      </w:r>
      <w:bookmarkEnd w:id="193"/>
    </w:p>
    <w:p w14:paraId="724E52AD" w14:textId="6D5759E7" w:rsidR="003C1629" w:rsidRDefault="006F6E81" w:rsidP="003150A0">
      <w:pPr>
        <w:pStyle w:val="USBodyText"/>
      </w:pPr>
      <w:r>
        <w:t xml:space="preserve">Alcohol impacts </w:t>
      </w:r>
      <w:r w:rsidR="006245F0">
        <w:t>productivity in many</w:t>
      </w:r>
      <w:r>
        <w:t xml:space="preserve"> ways, </w:t>
      </w:r>
      <w:r w:rsidR="00EA3A02">
        <w:t>with t</w:t>
      </w:r>
      <w:r w:rsidR="001E5701">
        <w:t>hree</w:t>
      </w:r>
      <w:r w:rsidR="00EA3A02">
        <w:t xml:space="preserve"> major impacts being productivity losses associated with health impacts</w:t>
      </w:r>
      <w:r w:rsidR="001E5701">
        <w:t xml:space="preserve">, </w:t>
      </w:r>
      <w:r w:rsidR="00EA3A02">
        <w:t xml:space="preserve">productivity losses associated with </w:t>
      </w:r>
      <w:r w:rsidR="004D3614">
        <w:t>justice sector impacts</w:t>
      </w:r>
      <w:r w:rsidR="001E5701">
        <w:t>, and workplace pro</w:t>
      </w:r>
      <w:r w:rsidR="00E123C6">
        <w:t>ductivity losses</w:t>
      </w:r>
      <w:r w:rsidR="004D3614">
        <w:t xml:space="preserve">. </w:t>
      </w:r>
    </w:p>
    <w:p w14:paraId="10BC4F1D" w14:textId="4B20F43E" w:rsidR="00CD56A7" w:rsidRDefault="00CD56A7" w:rsidP="00CD56A7">
      <w:pPr>
        <w:pStyle w:val="USBullet1"/>
        <w:numPr>
          <w:ilvl w:val="0"/>
          <w:numId w:val="0"/>
        </w:numPr>
        <w:ind w:left="851"/>
      </w:pPr>
      <w:r>
        <w:t>In this section</w:t>
      </w:r>
      <w:r w:rsidR="006245F0">
        <w:t>,</w:t>
      </w:r>
      <w:r>
        <w:t xml:space="preserve"> we estimate the value of lost productivity associated with these </w:t>
      </w:r>
      <w:r w:rsidR="00CD4DCA">
        <w:t>issues</w:t>
      </w:r>
      <w:r w:rsidR="008675F8">
        <w:t>.</w:t>
      </w:r>
    </w:p>
    <w:p w14:paraId="4F0EC93A" w14:textId="07F3CB9C" w:rsidR="00C35C5C" w:rsidRDefault="00C35C5C" w:rsidP="00C35C5C">
      <w:pPr>
        <w:pStyle w:val="Heading2"/>
      </w:pPr>
      <w:bookmarkStart w:id="194" w:name="_Toc160633865"/>
      <w:r>
        <w:t>Premature deaths attributable to alcohol</w:t>
      </w:r>
      <w:bookmarkEnd w:id="194"/>
    </w:p>
    <w:p w14:paraId="6EF6BA0C" w14:textId="0FA5658A" w:rsidR="00C35C5C" w:rsidRDefault="00CE0460" w:rsidP="00C35C5C">
      <w:pPr>
        <w:pStyle w:val="USBodyText"/>
      </w:pPr>
      <w:r w:rsidRPr="00CE0460">
        <w:t>Alcohol consumption is a</w:t>
      </w:r>
      <w:r>
        <w:t xml:space="preserve"> major </w:t>
      </w:r>
      <w:r w:rsidRPr="00CE0460">
        <w:t>risk factor for premature mortality worldwide.</w:t>
      </w:r>
      <w:r w:rsidR="00BD7919">
        <w:t xml:space="preserve"> Premature mortality attributable to alcohol can be estimated from </w:t>
      </w:r>
      <w:r w:rsidR="00671236">
        <w:t xml:space="preserve">mortality data and </w:t>
      </w:r>
      <w:r w:rsidR="00B06B9A">
        <w:t>t</w:t>
      </w:r>
      <w:r w:rsidR="00671236">
        <w:t xml:space="preserve">he application of </w:t>
      </w:r>
      <w:r w:rsidR="006245F0">
        <w:t>alcohol-</w:t>
      </w:r>
      <w:r w:rsidR="00671236">
        <w:t xml:space="preserve">attributable fractions. </w:t>
      </w:r>
    </w:p>
    <w:p w14:paraId="7D7C09E8" w14:textId="2D48179E" w:rsidR="00050E2D" w:rsidRDefault="006245F0" w:rsidP="00C35C5C">
      <w:pPr>
        <w:pStyle w:val="USBodyText"/>
      </w:pPr>
      <w:r>
        <w:t>When</w:t>
      </w:r>
      <w:r w:rsidR="00050E2D">
        <w:t xml:space="preserve"> writing this report, the latest year for which complete mortality data was available from </w:t>
      </w:r>
      <w:proofErr w:type="spellStart"/>
      <w:r w:rsidR="00050E2D">
        <w:t>Te</w:t>
      </w:r>
      <w:proofErr w:type="spellEnd"/>
      <w:r w:rsidR="00050E2D">
        <w:t xml:space="preserve"> </w:t>
      </w:r>
      <w:proofErr w:type="spellStart"/>
      <w:r w:rsidR="00050E2D">
        <w:t>Whatu</w:t>
      </w:r>
      <w:proofErr w:type="spellEnd"/>
      <w:r w:rsidR="00050E2D">
        <w:t xml:space="preserve"> Ora’s Mortality Collection was 2018</w:t>
      </w:r>
      <w:r w:rsidR="006B1DCF">
        <w:t xml:space="preserve">. </w:t>
      </w:r>
      <w:r w:rsidR="00C31D52">
        <w:t xml:space="preserve">We effectively assume, by using this data, that </w:t>
      </w:r>
      <w:r>
        <w:t>alcohol-</w:t>
      </w:r>
      <w:r w:rsidR="00C31D52">
        <w:t xml:space="preserve">attributable deaths in 2023 are similar in number as well as in </w:t>
      </w:r>
      <w:r w:rsidR="007E1E5B">
        <w:t>age, sex</w:t>
      </w:r>
      <w:r w:rsidR="00D76C75">
        <w:t>,</w:t>
      </w:r>
      <w:r w:rsidR="007E1E5B">
        <w:t xml:space="preserve"> and ethnicity distribution.</w:t>
      </w:r>
    </w:p>
    <w:p w14:paraId="6FB970F2" w14:textId="707ECD4F" w:rsidR="00FB3C4F" w:rsidRDefault="00FB3C4F" w:rsidP="00C35C5C">
      <w:pPr>
        <w:pStyle w:val="USBodyText"/>
      </w:pPr>
      <w:r>
        <w:t>To estimate productivity loss attributable to premature mortality, we impose an age cut-off of 65</w:t>
      </w:r>
      <w:r w:rsidR="008B1D87">
        <w:t>, implicitly assuming people do not work beyond age 65 – a common assumption in the estimation of productivity losses</w:t>
      </w:r>
      <w:r w:rsidR="00560276">
        <w:t xml:space="preserve"> with little likelihood of significant impact due to low labour force participation rates over age 65 and the application of discounting </w:t>
      </w:r>
      <w:r w:rsidR="00817275">
        <w:t xml:space="preserve">to future years of earnings. </w:t>
      </w:r>
    </w:p>
    <w:p w14:paraId="38B70B18" w14:textId="1614076C" w:rsidR="004E5143" w:rsidRDefault="004E5143" w:rsidP="00C35C5C">
      <w:pPr>
        <w:pStyle w:val="USBodyText"/>
      </w:pPr>
      <w:r>
        <w:t xml:space="preserve">As shown in </w:t>
      </w:r>
      <w:r w:rsidR="0073497F">
        <w:t xml:space="preserve">the </w:t>
      </w:r>
      <w:r w:rsidR="00B95577">
        <w:t>t</w:t>
      </w:r>
      <w:r>
        <w:t>able</w:t>
      </w:r>
      <w:r w:rsidR="0073497F">
        <w:t>s</w:t>
      </w:r>
      <w:r>
        <w:t xml:space="preserve"> below, </w:t>
      </w:r>
      <w:r w:rsidR="007B071E">
        <w:t>between 9,</w:t>
      </w:r>
      <w:r w:rsidR="004B6091">
        <w:t>015</w:t>
      </w:r>
      <w:r w:rsidR="007B071E">
        <w:t xml:space="preserve"> and 1</w:t>
      </w:r>
      <w:r w:rsidR="004B6091">
        <w:t>1,132</w:t>
      </w:r>
      <w:r w:rsidR="007B071E">
        <w:t xml:space="preserve"> productive life years were lost </w:t>
      </w:r>
      <w:r w:rsidR="004B6091">
        <w:t xml:space="preserve">due to </w:t>
      </w:r>
      <w:r w:rsidR="00617803">
        <w:t>alcohol-</w:t>
      </w:r>
      <w:r w:rsidR="004B6091">
        <w:t xml:space="preserve">attributable premature mortality </w:t>
      </w:r>
      <w:r w:rsidR="007B071E">
        <w:t>in 2018</w:t>
      </w:r>
      <w:r w:rsidR="007A2FD5">
        <w:t xml:space="preserve">. </w:t>
      </w:r>
      <w:r w:rsidR="00BB273E">
        <w:t xml:space="preserve">The greatest number of lost productive years was </w:t>
      </w:r>
      <w:r w:rsidR="004C798F">
        <w:t xml:space="preserve">in the </w:t>
      </w:r>
      <w:r w:rsidR="00C27349">
        <w:t>45-to-54-year</w:t>
      </w:r>
      <w:r w:rsidR="004C798F">
        <w:t xml:space="preserve"> age group, where </w:t>
      </w:r>
      <w:r w:rsidR="00AA4129">
        <w:t>22 percent of productive years were lost. However, all age groups from 15</w:t>
      </w:r>
      <w:r w:rsidR="00C27349">
        <w:t>-</w:t>
      </w:r>
      <w:r w:rsidR="00AA4129">
        <w:t xml:space="preserve">24 to 45-54 lost substantial </w:t>
      </w:r>
      <w:r w:rsidR="00170634">
        <w:t>amounts of productive years, amounting to between 19 percent and 22 percent of the total.</w:t>
      </w:r>
    </w:p>
    <w:p w14:paraId="3F1D9D76" w14:textId="0C4740E1" w:rsidR="00D2276D" w:rsidRPr="00731CA6" w:rsidRDefault="00D2276D" w:rsidP="00D2276D">
      <w:pPr>
        <w:pStyle w:val="TableCaption"/>
      </w:pPr>
      <w:bookmarkStart w:id="195" w:name="_Toc160633947"/>
      <w:r w:rsidRPr="00731CA6">
        <w:t xml:space="preserve">Table </w:t>
      </w:r>
      <w:fldSimple w:instr=" SEQ Table \* ARABIC ">
        <w:r w:rsidR="00AE166D">
          <w:rPr>
            <w:noProof/>
          </w:rPr>
          <w:t>40</w:t>
        </w:r>
      </w:fldSimple>
      <w:r w:rsidRPr="00731CA6">
        <w:t xml:space="preserve"> </w:t>
      </w:r>
      <w:r w:rsidR="0084201F">
        <w:t>Estim</w:t>
      </w:r>
      <w:r w:rsidR="000B0290">
        <w:t>a</w:t>
      </w:r>
      <w:r w:rsidR="0084201F">
        <w:t xml:space="preserve">ted productive years lost to alcohol-attributable premature </w:t>
      </w:r>
      <w:proofErr w:type="gramStart"/>
      <w:r w:rsidR="0084201F">
        <w:t>mortality</w:t>
      </w:r>
      <w:bookmarkEnd w:id="195"/>
      <w:proofErr w:type="gramEnd"/>
    </w:p>
    <w:p w14:paraId="6E2E8FAE" w14:textId="338CFAF9" w:rsidR="00D2276D" w:rsidRPr="00731CA6" w:rsidRDefault="000B0290" w:rsidP="00D2276D">
      <w:pPr>
        <w:pStyle w:val="CaptionSubheading"/>
      </w:pPr>
      <w:r w:rsidRPr="000B0290">
        <w:t>Based on an assumption of productive years to age 65</w:t>
      </w:r>
    </w:p>
    <w:tbl>
      <w:tblPr>
        <w:tblStyle w:val="TableDefault"/>
        <w:tblW w:w="8220" w:type="dxa"/>
        <w:tblLook w:val="0460" w:firstRow="1" w:lastRow="1" w:firstColumn="0" w:lastColumn="0" w:noHBand="0" w:noVBand="1"/>
      </w:tblPr>
      <w:tblGrid>
        <w:gridCol w:w="2055"/>
        <w:gridCol w:w="2057"/>
        <w:gridCol w:w="2055"/>
        <w:gridCol w:w="2053"/>
      </w:tblGrid>
      <w:tr w:rsidR="00D47FDB" w:rsidRPr="00731CA6" w14:paraId="1568C966" w14:textId="77777777" w:rsidTr="00D47FDB">
        <w:trPr>
          <w:cnfStyle w:val="100000000000" w:firstRow="1" w:lastRow="0" w:firstColumn="0" w:lastColumn="0" w:oddVBand="0" w:evenVBand="0" w:oddHBand="0" w:evenHBand="0" w:firstRowFirstColumn="0" w:firstRowLastColumn="0" w:lastRowFirstColumn="0" w:lastRowLastColumn="0"/>
        </w:trPr>
        <w:tc>
          <w:tcPr>
            <w:tcW w:w="1250" w:type="pct"/>
          </w:tcPr>
          <w:p w14:paraId="0B4B01EC" w14:textId="574797BF" w:rsidR="00D47FDB" w:rsidRPr="00731CA6" w:rsidRDefault="00D47FDB" w:rsidP="00D47FDB">
            <w:pPr>
              <w:pStyle w:val="TSTableHeadingWhite-TopRow"/>
            </w:pPr>
          </w:p>
        </w:tc>
        <w:tc>
          <w:tcPr>
            <w:tcW w:w="1251" w:type="pct"/>
          </w:tcPr>
          <w:p w14:paraId="57956A03" w14:textId="024F5094" w:rsidR="00D47FDB" w:rsidRPr="00731CA6" w:rsidRDefault="00D47FDB" w:rsidP="00B95577">
            <w:pPr>
              <w:pStyle w:val="TSTableHeadingWhite-TopRow"/>
              <w:jc w:val="center"/>
            </w:pPr>
            <w:r w:rsidRPr="00261A08">
              <w:t>Low estimate</w:t>
            </w:r>
          </w:p>
        </w:tc>
        <w:tc>
          <w:tcPr>
            <w:tcW w:w="1250" w:type="pct"/>
          </w:tcPr>
          <w:p w14:paraId="1BDFD96F" w14:textId="37D2EE78" w:rsidR="00D47FDB" w:rsidRPr="00731CA6" w:rsidRDefault="00D47FDB" w:rsidP="00B95577">
            <w:pPr>
              <w:pStyle w:val="TSTableHeadingWhite-TopRow"/>
              <w:jc w:val="center"/>
            </w:pPr>
            <w:r w:rsidRPr="00261A08">
              <w:t>Midpoint estimate</w:t>
            </w:r>
          </w:p>
        </w:tc>
        <w:tc>
          <w:tcPr>
            <w:tcW w:w="1249" w:type="pct"/>
          </w:tcPr>
          <w:p w14:paraId="1A10E689" w14:textId="29A3859B" w:rsidR="00D47FDB" w:rsidRPr="00731CA6" w:rsidRDefault="00D47FDB" w:rsidP="00B95577">
            <w:pPr>
              <w:pStyle w:val="TSTableHeadingWhite-TopRow"/>
              <w:jc w:val="center"/>
            </w:pPr>
            <w:r w:rsidRPr="00261A08">
              <w:t>High estimate</w:t>
            </w:r>
          </w:p>
        </w:tc>
      </w:tr>
      <w:tr w:rsidR="00D47FDB" w:rsidRPr="00731CA6" w14:paraId="007D82BF" w14:textId="77777777" w:rsidTr="00D47FDB">
        <w:trPr>
          <w:cnfStyle w:val="010000000000" w:firstRow="0" w:lastRow="1" w:firstColumn="0" w:lastColumn="0" w:oddVBand="0" w:evenVBand="0" w:oddHBand="0" w:evenHBand="0" w:firstRowFirstColumn="0" w:firstRowLastColumn="0" w:lastRowFirstColumn="0" w:lastRowLastColumn="0"/>
        </w:trPr>
        <w:tc>
          <w:tcPr>
            <w:tcW w:w="1250" w:type="pct"/>
          </w:tcPr>
          <w:p w14:paraId="7003074C" w14:textId="6A099BE7" w:rsidR="00D47FDB" w:rsidRPr="00731CA6" w:rsidRDefault="00D47FDB" w:rsidP="00D47FDB">
            <w:pPr>
              <w:pStyle w:val="TSBodyText"/>
            </w:pPr>
            <w:r>
              <w:t>Total</w:t>
            </w:r>
            <w:r w:rsidR="0084201F">
              <w:t xml:space="preserve"> years</w:t>
            </w:r>
          </w:p>
        </w:tc>
        <w:tc>
          <w:tcPr>
            <w:tcW w:w="1251" w:type="pct"/>
          </w:tcPr>
          <w:p w14:paraId="3F3BE61F" w14:textId="6FF21EE6" w:rsidR="00D47FDB" w:rsidRPr="00731CA6" w:rsidRDefault="00D47FDB" w:rsidP="00B95577">
            <w:pPr>
              <w:pStyle w:val="TSBodyText"/>
              <w:ind w:right="607"/>
              <w:jc w:val="right"/>
            </w:pPr>
            <w:r w:rsidRPr="00A5076D">
              <w:t xml:space="preserve"> 9,015 </w:t>
            </w:r>
          </w:p>
        </w:tc>
        <w:tc>
          <w:tcPr>
            <w:tcW w:w="1250" w:type="pct"/>
          </w:tcPr>
          <w:p w14:paraId="247BA26B" w14:textId="36984209" w:rsidR="00D47FDB" w:rsidRPr="00731CA6" w:rsidRDefault="00D47FDB" w:rsidP="00B95577">
            <w:pPr>
              <w:pStyle w:val="TSBodyText"/>
              <w:ind w:right="607"/>
              <w:jc w:val="right"/>
            </w:pPr>
            <w:r w:rsidRPr="00A5076D">
              <w:t xml:space="preserve"> 10,196 </w:t>
            </w:r>
          </w:p>
        </w:tc>
        <w:tc>
          <w:tcPr>
            <w:tcW w:w="1249" w:type="pct"/>
          </w:tcPr>
          <w:p w14:paraId="77F8024F" w14:textId="0CAA3886" w:rsidR="00D47FDB" w:rsidRPr="00731CA6" w:rsidRDefault="00D47FDB" w:rsidP="00B95577">
            <w:pPr>
              <w:pStyle w:val="TSBodyText"/>
              <w:ind w:right="607"/>
              <w:jc w:val="right"/>
            </w:pPr>
            <w:r w:rsidRPr="00A5076D">
              <w:t xml:space="preserve"> 11,132 </w:t>
            </w:r>
          </w:p>
        </w:tc>
      </w:tr>
    </w:tbl>
    <w:p w14:paraId="6A0D782E" w14:textId="21E566E8" w:rsidR="00D2276D" w:rsidRPr="00731CA6" w:rsidRDefault="00D2276D" w:rsidP="00D2276D">
      <w:pPr>
        <w:pStyle w:val="USSource"/>
      </w:pPr>
      <w:bookmarkStart w:id="196" w:name="_Hlk149061988"/>
      <w:r w:rsidRPr="00731CA6">
        <w:t xml:space="preserve">Source: </w:t>
      </w:r>
      <w:r w:rsidR="0073497F">
        <w:t xml:space="preserve">NZIER, based on Chambers and </w:t>
      </w:r>
      <w:proofErr w:type="spellStart"/>
      <w:r w:rsidR="0073497F">
        <w:t>Mizdrak</w:t>
      </w:r>
      <w:proofErr w:type="spellEnd"/>
      <w:r w:rsidR="0073497F">
        <w:t xml:space="preserve"> (forthcoming) and Mortality Collection data supplied by </w:t>
      </w:r>
      <w:proofErr w:type="spellStart"/>
      <w:r w:rsidR="0073497F">
        <w:t>Te</w:t>
      </w:r>
      <w:proofErr w:type="spellEnd"/>
      <w:r w:rsidR="0073497F">
        <w:t xml:space="preserve"> </w:t>
      </w:r>
      <w:proofErr w:type="spellStart"/>
      <w:r w:rsidR="0073497F">
        <w:t>Whatu</w:t>
      </w:r>
      <w:proofErr w:type="spellEnd"/>
      <w:r w:rsidR="0073497F">
        <w:t xml:space="preserve"> Ora</w:t>
      </w:r>
    </w:p>
    <w:p w14:paraId="6791FB83" w14:textId="5261A6C9" w:rsidR="00170634" w:rsidRDefault="00C8471B" w:rsidP="00E42DFB">
      <w:pPr>
        <w:pStyle w:val="TableCaption"/>
        <w:keepLines/>
      </w:pPr>
      <w:bookmarkStart w:id="197" w:name="_Toc160633948"/>
      <w:bookmarkStart w:id="198" w:name="_Hlk148352629"/>
      <w:bookmarkEnd w:id="196"/>
      <w:r w:rsidRPr="00731CA6">
        <w:lastRenderedPageBreak/>
        <w:t xml:space="preserve">Table </w:t>
      </w:r>
      <w:fldSimple w:instr=" SEQ Table \* ARABIC ">
        <w:r w:rsidR="00AE166D">
          <w:rPr>
            <w:noProof/>
          </w:rPr>
          <w:t>41</w:t>
        </w:r>
      </w:fldSimple>
      <w:r>
        <w:rPr>
          <w:noProof/>
        </w:rPr>
        <w:t xml:space="preserve"> </w:t>
      </w:r>
      <w:r w:rsidR="00D22DE3">
        <w:t xml:space="preserve">Estimated productive life years lost to alcohol-attributable </w:t>
      </w:r>
      <w:r w:rsidR="0084201F">
        <w:t xml:space="preserve">premature </w:t>
      </w:r>
      <w:r w:rsidR="00D22DE3">
        <w:t>mortality</w:t>
      </w:r>
      <w:r w:rsidR="0084201F">
        <w:t xml:space="preserve"> by ethnicity and age </w:t>
      </w:r>
      <w:proofErr w:type="gramStart"/>
      <w:r w:rsidR="0084201F">
        <w:t>group</w:t>
      </w:r>
      <w:bookmarkEnd w:id="197"/>
      <w:proofErr w:type="gramEnd"/>
    </w:p>
    <w:p w14:paraId="1DDE3469" w14:textId="42F61766" w:rsidR="00D22DE3" w:rsidRPr="00D22DE3" w:rsidRDefault="0084201F" w:rsidP="00E42DFB">
      <w:pPr>
        <w:pStyle w:val="CaptionSubheading"/>
        <w:keepLines/>
      </w:pPr>
      <w:bookmarkStart w:id="199" w:name="_Hlk146271687"/>
      <w:r>
        <w:t xml:space="preserve">Based on an assumption of </w:t>
      </w:r>
      <w:r w:rsidR="000B0290">
        <w:t>productive years to age 65</w:t>
      </w:r>
    </w:p>
    <w:tbl>
      <w:tblPr>
        <w:tblStyle w:val="TableDefault"/>
        <w:tblW w:w="8221" w:type="dxa"/>
        <w:tblLook w:val="04A0" w:firstRow="1" w:lastRow="0" w:firstColumn="1" w:lastColumn="0" w:noHBand="0" w:noVBand="1"/>
      </w:tblPr>
      <w:tblGrid>
        <w:gridCol w:w="2126"/>
        <w:gridCol w:w="1985"/>
        <w:gridCol w:w="2126"/>
        <w:gridCol w:w="1984"/>
      </w:tblGrid>
      <w:tr w:rsidR="00100FAB" w:rsidRPr="00100FAB" w14:paraId="3CDD8B11" w14:textId="77777777" w:rsidTr="00100FAB">
        <w:trPr>
          <w:cnfStyle w:val="100000000000" w:firstRow="1" w:lastRow="0" w:firstColumn="0" w:lastColumn="0" w:oddVBand="0" w:evenVBand="0" w:oddHBand="0" w:evenHBand="0" w:firstRowFirstColumn="0" w:firstRowLastColumn="0" w:lastRowFirstColumn="0" w:lastRowLastColumn="0"/>
          <w:trHeight w:val="288"/>
        </w:trPr>
        <w:tc>
          <w:tcPr>
            <w:tcW w:w="2126" w:type="dxa"/>
            <w:noWrap/>
            <w:hideMark/>
          </w:tcPr>
          <w:p w14:paraId="5EBD09F0" w14:textId="1D6242A0" w:rsidR="00100FAB" w:rsidRPr="00100FAB" w:rsidRDefault="00100FAB" w:rsidP="00E42DFB">
            <w:pPr>
              <w:pStyle w:val="TSTableHeadingWhite-TopRow"/>
            </w:pPr>
            <w:bookmarkStart w:id="200" w:name="_Hlk145930741"/>
            <w:bookmarkEnd w:id="198"/>
            <w:bookmarkEnd w:id="199"/>
          </w:p>
        </w:tc>
        <w:tc>
          <w:tcPr>
            <w:tcW w:w="1985" w:type="dxa"/>
            <w:noWrap/>
            <w:hideMark/>
          </w:tcPr>
          <w:p w14:paraId="1533197A" w14:textId="36AE51B9" w:rsidR="00100FAB" w:rsidRPr="00100FAB" w:rsidRDefault="00100FAB" w:rsidP="00E42DFB">
            <w:pPr>
              <w:pStyle w:val="TSTableHeadingWhite-TopRow"/>
              <w:jc w:val="center"/>
              <w:rPr>
                <w:b w:val="0"/>
                <w:bCs/>
                <w:color w:val="FFFFFF" w:themeColor="background1"/>
              </w:rPr>
            </w:pPr>
            <w:r w:rsidRPr="00100FAB">
              <w:t>Low</w:t>
            </w:r>
            <w:r w:rsidR="00D47FDB">
              <w:rPr>
                <w:bCs/>
                <w:color w:val="FFFFFF" w:themeColor="background1"/>
              </w:rPr>
              <w:t xml:space="preserve"> estimate</w:t>
            </w:r>
          </w:p>
        </w:tc>
        <w:tc>
          <w:tcPr>
            <w:tcW w:w="2126" w:type="dxa"/>
            <w:noWrap/>
            <w:hideMark/>
          </w:tcPr>
          <w:p w14:paraId="64651644" w14:textId="64D49555" w:rsidR="00100FAB" w:rsidRPr="00100FAB" w:rsidRDefault="00100FAB" w:rsidP="00E42DFB">
            <w:pPr>
              <w:pStyle w:val="TSTableHeadingWhite-TopRow"/>
              <w:jc w:val="center"/>
              <w:rPr>
                <w:b w:val="0"/>
                <w:bCs/>
                <w:color w:val="FFFFFF" w:themeColor="background1"/>
              </w:rPr>
            </w:pPr>
            <w:r w:rsidRPr="00100FAB">
              <w:t xml:space="preserve">Midpoint </w:t>
            </w:r>
            <w:r w:rsidR="00D47FDB">
              <w:rPr>
                <w:bCs/>
                <w:color w:val="FFFFFF" w:themeColor="background1"/>
              </w:rPr>
              <w:t>estimate</w:t>
            </w:r>
          </w:p>
        </w:tc>
        <w:tc>
          <w:tcPr>
            <w:tcW w:w="1984" w:type="dxa"/>
            <w:noWrap/>
            <w:hideMark/>
          </w:tcPr>
          <w:p w14:paraId="15140A58" w14:textId="652A288B" w:rsidR="00100FAB" w:rsidRPr="00100FAB" w:rsidRDefault="00100FAB" w:rsidP="00E42DFB">
            <w:pPr>
              <w:pStyle w:val="TSTableHeadingWhite-TopRow"/>
              <w:jc w:val="center"/>
              <w:rPr>
                <w:b w:val="0"/>
                <w:bCs/>
                <w:color w:val="FFFFFF" w:themeColor="background1"/>
              </w:rPr>
            </w:pPr>
            <w:r w:rsidRPr="00100FAB">
              <w:t>High</w:t>
            </w:r>
            <w:r w:rsidR="00D47FDB">
              <w:rPr>
                <w:bCs/>
                <w:color w:val="FFFFFF" w:themeColor="background1"/>
              </w:rPr>
              <w:t xml:space="preserve"> estimate</w:t>
            </w:r>
          </w:p>
        </w:tc>
      </w:tr>
      <w:tr w:rsidR="00AF6519" w:rsidRPr="00977E10" w14:paraId="099ABA19" w14:textId="77777777" w:rsidTr="00100FAB">
        <w:trPr>
          <w:trHeight w:val="288"/>
        </w:trPr>
        <w:tc>
          <w:tcPr>
            <w:tcW w:w="2126" w:type="dxa"/>
            <w:noWrap/>
          </w:tcPr>
          <w:p w14:paraId="4D9C68CB" w14:textId="6DC9F99E" w:rsidR="00AF6519" w:rsidRPr="00977E10" w:rsidRDefault="00AF6519" w:rsidP="00E42DFB">
            <w:pPr>
              <w:pStyle w:val="USBodyText"/>
              <w:keepNext/>
              <w:keepLines/>
              <w:spacing w:after="0" w:line="240" w:lineRule="auto"/>
              <w:ind w:left="0"/>
              <w:rPr>
                <w:b/>
                <w:sz w:val="18"/>
                <w:szCs w:val="18"/>
              </w:rPr>
            </w:pPr>
            <w:r w:rsidRPr="00977E10">
              <w:rPr>
                <w:b/>
                <w:sz w:val="18"/>
                <w:szCs w:val="18"/>
              </w:rPr>
              <w:t>By ethnicity</w:t>
            </w:r>
          </w:p>
        </w:tc>
        <w:tc>
          <w:tcPr>
            <w:tcW w:w="1985" w:type="dxa"/>
            <w:noWrap/>
          </w:tcPr>
          <w:p w14:paraId="046D1768" w14:textId="77777777" w:rsidR="00AF6519" w:rsidRPr="00977E10" w:rsidRDefault="00AF6519" w:rsidP="00E42DFB">
            <w:pPr>
              <w:pStyle w:val="USBodyText"/>
              <w:keepNext/>
              <w:keepLines/>
              <w:spacing w:after="0" w:line="240" w:lineRule="auto"/>
              <w:ind w:left="0"/>
              <w:jc w:val="right"/>
              <w:rPr>
                <w:b/>
                <w:sz w:val="18"/>
                <w:szCs w:val="18"/>
              </w:rPr>
            </w:pPr>
          </w:p>
        </w:tc>
        <w:tc>
          <w:tcPr>
            <w:tcW w:w="2126" w:type="dxa"/>
            <w:noWrap/>
          </w:tcPr>
          <w:p w14:paraId="68279438" w14:textId="77777777" w:rsidR="00AF6519" w:rsidRPr="00977E10" w:rsidRDefault="00AF6519" w:rsidP="00E42DFB">
            <w:pPr>
              <w:pStyle w:val="USBodyText"/>
              <w:keepNext/>
              <w:keepLines/>
              <w:spacing w:after="0" w:line="240" w:lineRule="auto"/>
              <w:ind w:left="0"/>
              <w:jc w:val="right"/>
              <w:rPr>
                <w:b/>
                <w:sz w:val="18"/>
                <w:szCs w:val="18"/>
              </w:rPr>
            </w:pPr>
          </w:p>
        </w:tc>
        <w:tc>
          <w:tcPr>
            <w:tcW w:w="1984" w:type="dxa"/>
            <w:noWrap/>
          </w:tcPr>
          <w:p w14:paraId="516E2553" w14:textId="77777777" w:rsidR="00AF6519" w:rsidRPr="00977E10" w:rsidRDefault="00AF6519" w:rsidP="00E42DFB">
            <w:pPr>
              <w:pStyle w:val="USBodyText"/>
              <w:keepNext/>
              <w:keepLines/>
              <w:spacing w:after="0" w:line="240" w:lineRule="auto"/>
              <w:ind w:left="0"/>
              <w:jc w:val="right"/>
              <w:rPr>
                <w:b/>
                <w:sz w:val="18"/>
                <w:szCs w:val="18"/>
              </w:rPr>
            </w:pPr>
          </w:p>
        </w:tc>
      </w:tr>
      <w:tr w:rsidR="00D47FDB" w:rsidRPr="00977E10" w14:paraId="3ED2E404" w14:textId="77777777" w:rsidTr="00100FAB">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76F1826F" w14:textId="34607ECE" w:rsidR="00D47FDB" w:rsidRPr="00977E10" w:rsidRDefault="00C94346" w:rsidP="00E42DFB">
            <w:pPr>
              <w:pStyle w:val="USBodyText"/>
              <w:keepNext/>
              <w:keepLines/>
              <w:spacing w:after="0" w:line="240" w:lineRule="auto"/>
              <w:ind w:left="0"/>
              <w:rPr>
                <w:sz w:val="18"/>
                <w:szCs w:val="18"/>
              </w:rPr>
            </w:pPr>
            <w:r w:rsidRPr="00977E10">
              <w:rPr>
                <w:sz w:val="18"/>
                <w:szCs w:val="18"/>
              </w:rPr>
              <w:t>Māori</w:t>
            </w:r>
          </w:p>
        </w:tc>
        <w:tc>
          <w:tcPr>
            <w:tcW w:w="1985" w:type="dxa"/>
            <w:noWrap/>
          </w:tcPr>
          <w:p w14:paraId="2A25D988" w14:textId="2F4E71DB" w:rsidR="00D47FDB" w:rsidRPr="00977E10" w:rsidRDefault="00D47FDB" w:rsidP="00E42DFB">
            <w:pPr>
              <w:pStyle w:val="USBodyText"/>
              <w:keepNext/>
              <w:keepLines/>
              <w:spacing w:after="0" w:line="240" w:lineRule="auto"/>
              <w:ind w:left="0" w:right="749"/>
              <w:jc w:val="right"/>
              <w:rPr>
                <w:sz w:val="18"/>
                <w:szCs w:val="18"/>
              </w:rPr>
            </w:pPr>
            <w:r w:rsidRPr="00977E10">
              <w:rPr>
                <w:sz w:val="18"/>
                <w:szCs w:val="18"/>
              </w:rPr>
              <w:t xml:space="preserve"> 2,999 </w:t>
            </w:r>
          </w:p>
        </w:tc>
        <w:tc>
          <w:tcPr>
            <w:tcW w:w="2126" w:type="dxa"/>
            <w:noWrap/>
          </w:tcPr>
          <w:p w14:paraId="0916FDF7" w14:textId="1E4FBBC8" w:rsidR="00D47FDB" w:rsidRPr="00977E10" w:rsidRDefault="00D47FDB" w:rsidP="00E42DFB">
            <w:pPr>
              <w:pStyle w:val="USBodyText"/>
              <w:keepNext/>
              <w:keepLines/>
              <w:spacing w:after="0" w:line="240" w:lineRule="auto"/>
              <w:ind w:left="0" w:right="749"/>
              <w:jc w:val="right"/>
              <w:rPr>
                <w:sz w:val="18"/>
                <w:szCs w:val="18"/>
              </w:rPr>
            </w:pPr>
            <w:r w:rsidRPr="00977E10">
              <w:rPr>
                <w:sz w:val="18"/>
                <w:szCs w:val="18"/>
              </w:rPr>
              <w:t xml:space="preserve"> 3,387 </w:t>
            </w:r>
          </w:p>
        </w:tc>
        <w:tc>
          <w:tcPr>
            <w:tcW w:w="1984" w:type="dxa"/>
            <w:noWrap/>
          </w:tcPr>
          <w:p w14:paraId="5219B21D" w14:textId="00AE9767" w:rsidR="00D47FDB" w:rsidRPr="00977E10" w:rsidRDefault="00D47FDB" w:rsidP="00E42DFB">
            <w:pPr>
              <w:pStyle w:val="USBodyText"/>
              <w:keepNext/>
              <w:keepLines/>
              <w:spacing w:after="0" w:line="240" w:lineRule="auto"/>
              <w:ind w:left="0" w:right="749"/>
              <w:jc w:val="right"/>
              <w:rPr>
                <w:sz w:val="18"/>
                <w:szCs w:val="18"/>
              </w:rPr>
            </w:pPr>
            <w:r w:rsidRPr="00977E10">
              <w:rPr>
                <w:sz w:val="18"/>
                <w:szCs w:val="18"/>
              </w:rPr>
              <w:t xml:space="preserve"> 3,693 </w:t>
            </w:r>
          </w:p>
        </w:tc>
      </w:tr>
      <w:tr w:rsidR="00D47FDB" w:rsidRPr="00977E10" w14:paraId="2FB1B843" w14:textId="77777777" w:rsidTr="00100FAB">
        <w:trPr>
          <w:trHeight w:val="288"/>
        </w:trPr>
        <w:tc>
          <w:tcPr>
            <w:tcW w:w="2126" w:type="dxa"/>
            <w:noWrap/>
          </w:tcPr>
          <w:p w14:paraId="1A29437C" w14:textId="5535CF20" w:rsidR="00D47FDB" w:rsidRPr="00977E10" w:rsidRDefault="00D47FDB" w:rsidP="00E42DFB">
            <w:pPr>
              <w:pStyle w:val="USBodyText"/>
              <w:keepNext/>
              <w:keepLines/>
              <w:spacing w:after="0" w:line="240" w:lineRule="auto"/>
              <w:ind w:left="0"/>
              <w:rPr>
                <w:sz w:val="18"/>
                <w:szCs w:val="18"/>
              </w:rPr>
            </w:pPr>
            <w:r w:rsidRPr="00977E10">
              <w:rPr>
                <w:sz w:val="18"/>
                <w:szCs w:val="18"/>
              </w:rPr>
              <w:t>Non-</w:t>
            </w:r>
            <w:r w:rsidR="00C94346" w:rsidRPr="00977E10">
              <w:rPr>
                <w:sz w:val="18"/>
                <w:szCs w:val="18"/>
              </w:rPr>
              <w:t>Māori</w:t>
            </w:r>
          </w:p>
        </w:tc>
        <w:tc>
          <w:tcPr>
            <w:tcW w:w="1985" w:type="dxa"/>
            <w:noWrap/>
          </w:tcPr>
          <w:p w14:paraId="3C0EB0E8" w14:textId="395F07BA" w:rsidR="00D47FDB" w:rsidRPr="00977E10" w:rsidRDefault="00D47FDB" w:rsidP="00E42DFB">
            <w:pPr>
              <w:pStyle w:val="USBodyText"/>
              <w:keepNext/>
              <w:keepLines/>
              <w:spacing w:after="0" w:line="240" w:lineRule="auto"/>
              <w:ind w:left="0" w:right="749"/>
              <w:jc w:val="right"/>
              <w:rPr>
                <w:sz w:val="18"/>
                <w:szCs w:val="18"/>
              </w:rPr>
            </w:pPr>
            <w:r w:rsidRPr="00977E10">
              <w:rPr>
                <w:sz w:val="18"/>
                <w:szCs w:val="18"/>
              </w:rPr>
              <w:t xml:space="preserve"> 6,016 </w:t>
            </w:r>
          </w:p>
        </w:tc>
        <w:tc>
          <w:tcPr>
            <w:tcW w:w="2126" w:type="dxa"/>
            <w:noWrap/>
          </w:tcPr>
          <w:p w14:paraId="1AA58B5A" w14:textId="7047EBC6" w:rsidR="00D47FDB" w:rsidRPr="00977E10" w:rsidRDefault="00D47FDB" w:rsidP="00E42DFB">
            <w:pPr>
              <w:pStyle w:val="USBodyText"/>
              <w:keepNext/>
              <w:keepLines/>
              <w:spacing w:after="0" w:line="240" w:lineRule="auto"/>
              <w:ind w:left="0" w:right="749"/>
              <w:jc w:val="right"/>
              <w:rPr>
                <w:sz w:val="18"/>
                <w:szCs w:val="18"/>
              </w:rPr>
            </w:pPr>
            <w:r w:rsidRPr="00977E10">
              <w:rPr>
                <w:sz w:val="18"/>
                <w:szCs w:val="18"/>
              </w:rPr>
              <w:t xml:space="preserve"> 6,809 </w:t>
            </w:r>
          </w:p>
        </w:tc>
        <w:tc>
          <w:tcPr>
            <w:tcW w:w="1984" w:type="dxa"/>
            <w:noWrap/>
          </w:tcPr>
          <w:p w14:paraId="5BDFB1B8" w14:textId="60CF7A09" w:rsidR="00D47FDB" w:rsidRPr="00977E10" w:rsidRDefault="00D47FDB" w:rsidP="00E42DFB">
            <w:pPr>
              <w:pStyle w:val="USBodyText"/>
              <w:keepNext/>
              <w:keepLines/>
              <w:spacing w:after="0" w:line="240" w:lineRule="auto"/>
              <w:ind w:left="0" w:right="749"/>
              <w:jc w:val="right"/>
              <w:rPr>
                <w:sz w:val="18"/>
                <w:szCs w:val="18"/>
              </w:rPr>
            </w:pPr>
            <w:r w:rsidRPr="00977E10">
              <w:rPr>
                <w:sz w:val="18"/>
                <w:szCs w:val="18"/>
              </w:rPr>
              <w:t xml:space="preserve"> 7,438 </w:t>
            </w:r>
          </w:p>
        </w:tc>
      </w:tr>
      <w:tr w:rsidR="00AF6519" w:rsidRPr="00977E10" w14:paraId="6E503A81" w14:textId="77777777" w:rsidTr="00100FAB">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0F2B58A5" w14:textId="3EFCF898" w:rsidR="00AF6519" w:rsidRPr="00977E10" w:rsidRDefault="00AF6519" w:rsidP="00E42DFB">
            <w:pPr>
              <w:pStyle w:val="USBodyText"/>
              <w:keepNext/>
              <w:keepLines/>
              <w:spacing w:after="0" w:line="240" w:lineRule="auto"/>
              <w:ind w:left="0"/>
              <w:rPr>
                <w:b/>
                <w:sz w:val="18"/>
                <w:szCs w:val="18"/>
              </w:rPr>
            </w:pPr>
            <w:r w:rsidRPr="00977E10">
              <w:rPr>
                <w:b/>
                <w:sz w:val="18"/>
                <w:szCs w:val="18"/>
              </w:rPr>
              <w:t>By age group</w:t>
            </w:r>
          </w:p>
        </w:tc>
        <w:tc>
          <w:tcPr>
            <w:tcW w:w="1985" w:type="dxa"/>
            <w:noWrap/>
          </w:tcPr>
          <w:p w14:paraId="0CF47B86" w14:textId="77777777" w:rsidR="00AF6519" w:rsidRPr="00977E10" w:rsidRDefault="00AF6519" w:rsidP="00E42DFB">
            <w:pPr>
              <w:pStyle w:val="USBodyText"/>
              <w:keepNext/>
              <w:keepLines/>
              <w:spacing w:after="0" w:line="240" w:lineRule="auto"/>
              <w:ind w:left="0" w:right="749"/>
              <w:jc w:val="right"/>
              <w:rPr>
                <w:b/>
                <w:sz w:val="18"/>
                <w:szCs w:val="18"/>
              </w:rPr>
            </w:pPr>
          </w:p>
        </w:tc>
        <w:tc>
          <w:tcPr>
            <w:tcW w:w="2126" w:type="dxa"/>
            <w:noWrap/>
          </w:tcPr>
          <w:p w14:paraId="1A338565" w14:textId="77777777" w:rsidR="00AF6519" w:rsidRPr="00977E10" w:rsidRDefault="00AF6519" w:rsidP="00E42DFB">
            <w:pPr>
              <w:pStyle w:val="USBodyText"/>
              <w:keepNext/>
              <w:keepLines/>
              <w:spacing w:after="0" w:line="240" w:lineRule="auto"/>
              <w:ind w:left="0" w:right="749"/>
              <w:jc w:val="right"/>
              <w:rPr>
                <w:b/>
                <w:sz w:val="18"/>
                <w:szCs w:val="18"/>
              </w:rPr>
            </w:pPr>
          </w:p>
        </w:tc>
        <w:tc>
          <w:tcPr>
            <w:tcW w:w="1984" w:type="dxa"/>
            <w:noWrap/>
          </w:tcPr>
          <w:p w14:paraId="459132A2" w14:textId="77777777" w:rsidR="00AF6519" w:rsidRPr="00977E10" w:rsidRDefault="00AF6519" w:rsidP="00E42DFB">
            <w:pPr>
              <w:pStyle w:val="USBodyText"/>
              <w:keepNext/>
              <w:keepLines/>
              <w:spacing w:after="0" w:line="240" w:lineRule="auto"/>
              <w:ind w:left="0" w:right="749"/>
              <w:jc w:val="right"/>
              <w:rPr>
                <w:b/>
                <w:sz w:val="18"/>
                <w:szCs w:val="18"/>
              </w:rPr>
            </w:pPr>
          </w:p>
        </w:tc>
      </w:tr>
      <w:tr w:rsidR="00A1139A" w:rsidRPr="00977E10" w14:paraId="3FE1D187" w14:textId="77777777" w:rsidTr="00847D67">
        <w:trPr>
          <w:trHeight w:val="288"/>
        </w:trPr>
        <w:tc>
          <w:tcPr>
            <w:tcW w:w="2126" w:type="dxa"/>
            <w:noWrap/>
          </w:tcPr>
          <w:p w14:paraId="1A2CCE64" w14:textId="4806205C" w:rsidR="00A1139A" w:rsidRPr="00977E10" w:rsidRDefault="00A1139A" w:rsidP="00E42DFB">
            <w:pPr>
              <w:pStyle w:val="USBodyText"/>
              <w:keepNext/>
              <w:keepLines/>
              <w:spacing w:after="0" w:line="240" w:lineRule="auto"/>
              <w:ind w:left="0"/>
              <w:rPr>
                <w:sz w:val="18"/>
                <w:szCs w:val="18"/>
              </w:rPr>
            </w:pPr>
            <w:r w:rsidRPr="00977E10">
              <w:rPr>
                <w:sz w:val="18"/>
                <w:szCs w:val="18"/>
              </w:rPr>
              <w:t>15</w:t>
            </w:r>
            <w:r w:rsidR="009D6751" w:rsidRPr="00977E10">
              <w:rPr>
                <w:sz w:val="18"/>
                <w:szCs w:val="18"/>
              </w:rPr>
              <w:t>–</w:t>
            </w:r>
            <w:r w:rsidRPr="00977E10">
              <w:rPr>
                <w:sz w:val="18"/>
                <w:szCs w:val="18"/>
              </w:rPr>
              <w:t>24</w:t>
            </w:r>
          </w:p>
        </w:tc>
        <w:tc>
          <w:tcPr>
            <w:tcW w:w="1985" w:type="dxa"/>
            <w:noWrap/>
          </w:tcPr>
          <w:p w14:paraId="43F6832E" w14:textId="7123E2EA"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1,630 </w:t>
            </w:r>
          </w:p>
        </w:tc>
        <w:tc>
          <w:tcPr>
            <w:tcW w:w="2126" w:type="dxa"/>
            <w:noWrap/>
          </w:tcPr>
          <w:p w14:paraId="63136608" w14:textId="08C52C56"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1,924 </w:t>
            </w:r>
          </w:p>
        </w:tc>
        <w:tc>
          <w:tcPr>
            <w:tcW w:w="1984" w:type="dxa"/>
            <w:noWrap/>
          </w:tcPr>
          <w:p w14:paraId="7A3E3771" w14:textId="0F42A681"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2,170 </w:t>
            </w:r>
          </w:p>
        </w:tc>
      </w:tr>
      <w:tr w:rsidR="00A1139A" w:rsidRPr="00977E10" w14:paraId="5586276C" w14:textId="77777777" w:rsidTr="00847D67">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552FFC09" w14:textId="33EBC8AF" w:rsidR="00A1139A" w:rsidRPr="00977E10" w:rsidRDefault="00A1139A" w:rsidP="00E42DFB">
            <w:pPr>
              <w:pStyle w:val="USBodyText"/>
              <w:keepNext/>
              <w:keepLines/>
              <w:spacing w:after="0" w:line="240" w:lineRule="auto"/>
              <w:ind w:left="0"/>
              <w:rPr>
                <w:sz w:val="18"/>
                <w:szCs w:val="18"/>
              </w:rPr>
            </w:pPr>
            <w:r w:rsidRPr="00977E10">
              <w:rPr>
                <w:sz w:val="18"/>
                <w:szCs w:val="18"/>
              </w:rPr>
              <w:t>25</w:t>
            </w:r>
            <w:r w:rsidR="009D6751" w:rsidRPr="00977E10">
              <w:rPr>
                <w:sz w:val="18"/>
                <w:szCs w:val="18"/>
              </w:rPr>
              <w:t>–</w:t>
            </w:r>
            <w:r w:rsidRPr="00977E10">
              <w:rPr>
                <w:sz w:val="18"/>
                <w:szCs w:val="18"/>
              </w:rPr>
              <w:t>34</w:t>
            </w:r>
          </w:p>
        </w:tc>
        <w:tc>
          <w:tcPr>
            <w:tcW w:w="1985" w:type="dxa"/>
            <w:noWrap/>
          </w:tcPr>
          <w:p w14:paraId="2CE4D6DD" w14:textId="0AFA4C61"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1,935 </w:t>
            </w:r>
          </w:p>
        </w:tc>
        <w:tc>
          <w:tcPr>
            <w:tcW w:w="2126" w:type="dxa"/>
            <w:noWrap/>
          </w:tcPr>
          <w:p w14:paraId="62139DD8" w14:textId="3F50CA7A"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2,205 </w:t>
            </w:r>
          </w:p>
        </w:tc>
        <w:tc>
          <w:tcPr>
            <w:tcW w:w="1984" w:type="dxa"/>
            <w:noWrap/>
          </w:tcPr>
          <w:p w14:paraId="259B6533" w14:textId="19748EBA"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2,428 </w:t>
            </w:r>
          </w:p>
        </w:tc>
      </w:tr>
      <w:tr w:rsidR="00A1139A" w:rsidRPr="00977E10" w14:paraId="2AEB2306" w14:textId="77777777" w:rsidTr="00847D67">
        <w:trPr>
          <w:trHeight w:val="288"/>
        </w:trPr>
        <w:tc>
          <w:tcPr>
            <w:tcW w:w="2126" w:type="dxa"/>
            <w:noWrap/>
          </w:tcPr>
          <w:p w14:paraId="16A34888" w14:textId="3F11D366" w:rsidR="00A1139A" w:rsidRPr="00977E10" w:rsidRDefault="00A1139A" w:rsidP="00E42DFB">
            <w:pPr>
              <w:pStyle w:val="USBodyText"/>
              <w:keepNext/>
              <w:keepLines/>
              <w:spacing w:after="0" w:line="240" w:lineRule="auto"/>
              <w:ind w:left="0"/>
              <w:rPr>
                <w:sz w:val="18"/>
                <w:szCs w:val="18"/>
              </w:rPr>
            </w:pPr>
            <w:r w:rsidRPr="00977E10">
              <w:rPr>
                <w:sz w:val="18"/>
                <w:szCs w:val="18"/>
              </w:rPr>
              <w:t>35</w:t>
            </w:r>
            <w:r w:rsidR="009D6751" w:rsidRPr="00977E10">
              <w:rPr>
                <w:sz w:val="18"/>
                <w:szCs w:val="18"/>
              </w:rPr>
              <w:t>–</w:t>
            </w:r>
            <w:r w:rsidRPr="00977E10">
              <w:rPr>
                <w:sz w:val="18"/>
                <w:szCs w:val="18"/>
              </w:rPr>
              <w:t>44</w:t>
            </w:r>
          </w:p>
        </w:tc>
        <w:tc>
          <w:tcPr>
            <w:tcW w:w="1985" w:type="dxa"/>
            <w:noWrap/>
          </w:tcPr>
          <w:p w14:paraId="11224B45" w14:textId="27943855"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1,945 </w:t>
            </w:r>
          </w:p>
        </w:tc>
        <w:tc>
          <w:tcPr>
            <w:tcW w:w="2126" w:type="dxa"/>
            <w:noWrap/>
          </w:tcPr>
          <w:p w14:paraId="6BAE62F1" w14:textId="7C41E8A5"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2,184 </w:t>
            </w:r>
          </w:p>
        </w:tc>
        <w:tc>
          <w:tcPr>
            <w:tcW w:w="1984" w:type="dxa"/>
            <w:noWrap/>
          </w:tcPr>
          <w:p w14:paraId="1C169F54" w14:textId="078704FF"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2,372 </w:t>
            </w:r>
          </w:p>
        </w:tc>
      </w:tr>
      <w:tr w:rsidR="00A1139A" w:rsidRPr="00977E10" w14:paraId="2E965AA6" w14:textId="77777777" w:rsidTr="00847D67">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19AB57ED" w14:textId="15C9C72E" w:rsidR="00A1139A" w:rsidRPr="00977E10" w:rsidRDefault="00A1139A" w:rsidP="00E42DFB">
            <w:pPr>
              <w:pStyle w:val="USBodyText"/>
              <w:keepNext/>
              <w:keepLines/>
              <w:spacing w:after="0" w:line="240" w:lineRule="auto"/>
              <w:ind w:left="0"/>
              <w:rPr>
                <w:sz w:val="18"/>
                <w:szCs w:val="18"/>
              </w:rPr>
            </w:pPr>
            <w:r w:rsidRPr="00977E10">
              <w:rPr>
                <w:sz w:val="18"/>
                <w:szCs w:val="18"/>
              </w:rPr>
              <w:t>45</w:t>
            </w:r>
            <w:r w:rsidR="009D6751" w:rsidRPr="00977E10">
              <w:rPr>
                <w:sz w:val="18"/>
                <w:szCs w:val="18"/>
              </w:rPr>
              <w:t>–</w:t>
            </w:r>
            <w:r w:rsidRPr="00977E10">
              <w:rPr>
                <w:sz w:val="18"/>
                <w:szCs w:val="18"/>
              </w:rPr>
              <w:t>54</w:t>
            </w:r>
          </w:p>
        </w:tc>
        <w:tc>
          <w:tcPr>
            <w:tcW w:w="1985" w:type="dxa"/>
            <w:noWrap/>
          </w:tcPr>
          <w:p w14:paraId="5D58E228" w14:textId="61D75246"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2,090 </w:t>
            </w:r>
          </w:p>
        </w:tc>
        <w:tc>
          <w:tcPr>
            <w:tcW w:w="2126" w:type="dxa"/>
            <w:noWrap/>
          </w:tcPr>
          <w:p w14:paraId="35E9082D" w14:textId="1C7C24A5"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2,325 </w:t>
            </w:r>
          </w:p>
        </w:tc>
        <w:tc>
          <w:tcPr>
            <w:tcW w:w="1984" w:type="dxa"/>
            <w:noWrap/>
          </w:tcPr>
          <w:p w14:paraId="47EB728D" w14:textId="61967FEB"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2,500 </w:t>
            </w:r>
          </w:p>
        </w:tc>
      </w:tr>
      <w:tr w:rsidR="00A1139A" w:rsidRPr="00977E10" w14:paraId="6228F0D2" w14:textId="77777777" w:rsidTr="00847D67">
        <w:trPr>
          <w:trHeight w:val="288"/>
        </w:trPr>
        <w:tc>
          <w:tcPr>
            <w:tcW w:w="2126" w:type="dxa"/>
            <w:noWrap/>
          </w:tcPr>
          <w:p w14:paraId="59205A76" w14:textId="1ED70BB3" w:rsidR="00A1139A" w:rsidRPr="00977E10" w:rsidRDefault="00A1139A" w:rsidP="00E42DFB">
            <w:pPr>
              <w:pStyle w:val="USBodyText"/>
              <w:keepNext/>
              <w:keepLines/>
              <w:spacing w:after="0" w:line="240" w:lineRule="auto"/>
              <w:ind w:left="0"/>
              <w:rPr>
                <w:sz w:val="18"/>
                <w:szCs w:val="18"/>
              </w:rPr>
            </w:pPr>
            <w:r w:rsidRPr="00977E10">
              <w:rPr>
                <w:sz w:val="18"/>
                <w:szCs w:val="18"/>
              </w:rPr>
              <w:t>55</w:t>
            </w:r>
            <w:r w:rsidR="009D6751" w:rsidRPr="00977E10">
              <w:rPr>
                <w:sz w:val="18"/>
                <w:szCs w:val="18"/>
              </w:rPr>
              <w:t>–</w:t>
            </w:r>
            <w:r w:rsidRPr="00977E10">
              <w:rPr>
                <w:sz w:val="18"/>
                <w:szCs w:val="18"/>
              </w:rPr>
              <w:t>64</w:t>
            </w:r>
          </w:p>
        </w:tc>
        <w:tc>
          <w:tcPr>
            <w:tcW w:w="1985" w:type="dxa"/>
            <w:noWrap/>
          </w:tcPr>
          <w:p w14:paraId="493B37A2" w14:textId="65B63A21"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1,416 </w:t>
            </w:r>
          </w:p>
        </w:tc>
        <w:tc>
          <w:tcPr>
            <w:tcW w:w="2126" w:type="dxa"/>
            <w:noWrap/>
          </w:tcPr>
          <w:p w14:paraId="7FD228B9" w14:textId="1AE0E313"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1,557 </w:t>
            </w:r>
          </w:p>
        </w:tc>
        <w:tc>
          <w:tcPr>
            <w:tcW w:w="1984" w:type="dxa"/>
            <w:noWrap/>
          </w:tcPr>
          <w:p w14:paraId="3C715078" w14:textId="407416A3" w:rsidR="00A1139A" w:rsidRPr="00977E10" w:rsidRDefault="00A1139A" w:rsidP="00E42DFB">
            <w:pPr>
              <w:pStyle w:val="USBodyText"/>
              <w:keepNext/>
              <w:keepLines/>
              <w:spacing w:after="0" w:line="240" w:lineRule="auto"/>
              <w:ind w:left="0" w:right="749"/>
              <w:jc w:val="right"/>
              <w:rPr>
                <w:sz w:val="18"/>
                <w:szCs w:val="18"/>
              </w:rPr>
            </w:pPr>
            <w:r w:rsidRPr="00977E10">
              <w:rPr>
                <w:sz w:val="18"/>
                <w:szCs w:val="18"/>
              </w:rPr>
              <w:t xml:space="preserve"> 1,661 </w:t>
            </w:r>
          </w:p>
        </w:tc>
      </w:tr>
    </w:tbl>
    <w:p w14:paraId="0C829159" w14:textId="28BB6329" w:rsidR="00BA547D" w:rsidRDefault="0073497F" w:rsidP="00E42DFB">
      <w:pPr>
        <w:pStyle w:val="USSource"/>
        <w:keepNext/>
        <w:keepLines/>
      </w:pPr>
      <w:r w:rsidRPr="0073497F">
        <w:t xml:space="preserve">Source: NZIER, based on Chambers and </w:t>
      </w:r>
      <w:proofErr w:type="spellStart"/>
      <w:r w:rsidRPr="0073497F">
        <w:t>Mizdrak</w:t>
      </w:r>
      <w:proofErr w:type="spellEnd"/>
      <w:r w:rsidRPr="0073497F">
        <w:t xml:space="preserve"> (forthcoming) and Mortality Collection data supplied by </w:t>
      </w:r>
      <w:proofErr w:type="spellStart"/>
      <w:r w:rsidRPr="0073497F">
        <w:t>Te</w:t>
      </w:r>
      <w:proofErr w:type="spellEnd"/>
      <w:r w:rsidRPr="0073497F">
        <w:t xml:space="preserve"> </w:t>
      </w:r>
      <w:proofErr w:type="spellStart"/>
      <w:r w:rsidRPr="0073497F">
        <w:t>Whatu</w:t>
      </w:r>
      <w:proofErr w:type="spellEnd"/>
      <w:r w:rsidRPr="0073497F">
        <w:t xml:space="preserve"> Ora</w:t>
      </w:r>
    </w:p>
    <w:p w14:paraId="5852D40C" w14:textId="585C4DE1" w:rsidR="00235D71" w:rsidRDefault="00CD3516" w:rsidP="004017CC">
      <w:pPr>
        <w:pStyle w:val="Heading2"/>
      </w:pPr>
      <w:bookmarkStart w:id="201" w:name="_Toc160633866"/>
      <w:bookmarkEnd w:id="200"/>
      <w:r>
        <w:t>Costs associated with lost</w:t>
      </w:r>
      <w:r w:rsidR="00E03033">
        <w:t xml:space="preserve"> productivity due to </w:t>
      </w:r>
      <w:r w:rsidR="00617803">
        <w:t>alcohol-</w:t>
      </w:r>
      <w:r w:rsidR="00E03033">
        <w:t xml:space="preserve">attributable premature </w:t>
      </w:r>
      <w:proofErr w:type="gramStart"/>
      <w:r w:rsidR="00E03033">
        <w:t>death</w:t>
      </w:r>
      <w:bookmarkEnd w:id="201"/>
      <w:proofErr w:type="gramEnd"/>
    </w:p>
    <w:p w14:paraId="04BEFB3E" w14:textId="44710ADE" w:rsidR="00817275" w:rsidRDefault="0088025D" w:rsidP="00C35C5C">
      <w:pPr>
        <w:pStyle w:val="USBodyText"/>
      </w:pPr>
      <w:r>
        <w:t xml:space="preserve">On the assumption that the counterfactual for people who experience alcohol-attributable premature mortality would </w:t>
      </w:r>
      <w:r w:rsidR="006D6636">
        <w:t>include</w:t>
      </w:r>
      <w:r>
        <w:t xml:space="preserve"> average labour </w:t>
      </w:r>
      <w:r w:rsidR="00ED2D11">
        <w:t>force participation, employment rate and employment earnings</w:t>
      </w:r>
      <w:r>
        <w:t>, w</w:t>
      </w:r>
      <w:r w:rsidR="00613392">
        <w:t xml:space="preserve">e calculate the value of lost productivity by applying </w:t>
      </w:r>
      <w:r w:rsidR="005F34B9">
        <w:t xml:space="preserve">average </w:t>
      </w:r>
      <w:r w:rsidR="00D43537">
        <w:t>labour force participation rates and earnings from wages, salaries and self-employment to each 5-year age</w:t>
      </w:r>
      <w:r w:rsidR="00B668FC">
        <w:t>-sex</w:t>
      </w:r>
      <w:r w:rsidR="00D43537">
        <w:t xml:space="preserve"> group</w:t>
      </w:r>
      <w:r w:rsidR="00B668FC">
        <w:t xml:space="preserve"> across the remaining lifetime of individuals until age 65</w:t>
      </w:r>
      <w:r w:rsidR="007E1E5B">
        <w:t xml:space="preserve">, using </w:t>
      </w:r>
      <w:r w:rsidR="00397550">
        <w:t>2022 data (</w:t>
      </w:r>
      <w:r w:rsidR="007E1E5B">
        <w:t>the most up</w:t>
      </w:r>
      <w:r w:rsidR="00617803">
        <w:t>-</w:t>
      </w:r>
      <w:r w:rsidR="007E1E5B">
        <w:t xml:space="preserve">to-date </w:t>
      </w:r>
      <w:r w:rsidR="00397550">
        <w:t xml:space="preserve">labour market </w:t>
      </w:r>
      <w:r w:rsidR="007E1E5B">
        <w:t>values</w:t>
      </w:r>
      <w:r w:rsidR="00397550">
        <w:t xml:space="preserve"> available)</w:t>
      </w:r>
      <w:r w:rsidR="00402914">
        <w:t xml:space="preserve">. </w:t>
      </w:r>
      <w:r w:rsidR="00617803">
        <w:t>Stats NZ</w:t>
      </w:r>
      <w:r w:rsidR="00402914">
        <w:t xml:space="preserve"> publishes these for interactions between two demographic variables only</w:t>
      </w:r>
      <w:r w:rsidR="006D6636">
        <w:t>. O</w:t>
      </w:r>
      <w:r w:rsidR="005F2E56">
        <w:t xml:space="preserve">ur calculations use the age-sex interactions and apply these </w:t>
      </w:r>
      <w:r w:rsidR="006D6636">
        <w:t xml:space="preserve">labour market outcomes </w:t>
      </w:r>
      <w:r w:rsidR="005F2E56">
        <w:t>regardless of ethnicity</w:t>
      </w:r>
      <w:r w:rsidR="00EB0385">
        <w:t>.</w:t>
      </w:r>
    </w:p>
    <w:p w14:paraId="3B7D4F89" w14:textId="7D098F77" w:rsidR="00361988" w:rsidRPr="00E03033" w:rsidRDefault="00266DED" w:rsidP="00C35C5C">
      <w:pPr>
        <w:pStyle w:val="USBodyText"/>
      </w:pPr>
      <w:r w:rsidRPr="00E03033">
        <w:t xml:space="preserve">To obtain the value of lost productivity in the year that all future productivity </w:t>
      </w:r>
      <w:r w:rsidR="006D6636">
        <w:t xml:space="preserve">of the individual </w:t>
      </w:r>
      <w:r w:rsidRPr="00E03033">
        <w:t xml:space="preserve">is lost </w:t>
      </w:r>
      <w:r w:rsidR="00617803">
        <w:t>due to</w:t>
      </w:r>
      <w:r w:rsidRPr="00E03033">
        <w:t xml:space="preserve"> death, </w:t>
      </w:r>
      <w:r w:rsidR="002F60E4" w:rsidRPr="00E03033">
        <w:t xml:space="preserve">we discount the estimated </w:t>
      </w:r>
      <w:r w:rsidR="005D7F38">
        <w:t xml:space="preserve">expected </w:t>
      </w:r>
      <w:r w:rsidR="002F60E4" w:rsidRPr="00E03033">
        <w:t xml:space="preserve">productivity in future years at a rate of </w:t>
      </w:r>
      <w:r w:rsidR="009E7499">
        <w:t>5</w:t>
      </w:r>
      <w:r w:rsidR="009E7499" w:rsidRPr="00E03033">
        <w:t xml:space="preserve"> </w:t>
      </w:r>
      <w:r w:rsidR="002F60E4" w:rsidRPr="00E03033">
        <w:t>percent per annum.</w:t>
      </w:r>
      <w:r w:rsidR="00227C2D" w:rsidRPr="00E03033">
        <w:t xml:space="preserve"> We then inflate the 2022 values to 2023.</w:t>
      </w:r>
    </w:p>
    <w:p w14:paraId="1013EEF4" w14:textId="104412CC" w:rsidR="007A2196" w:rsidRDefault="005D7F38" w:rsidP="00C35C5C">
      <w:pPr>
        <w:pStyle w:val="USBodyText"/>
      </w:pPr>
      <w:r>
        <w:fldChar w:fldCharType="begin"/>
      </w:r>
      <w:r>
        <w:instrText xml:space="preserve"> REF _Hlk149062030 \h </w:instrText>
      </w:r>
      <w:r>
        <w:fldChar w:fldCharType="separate"/>
      </w:r>
      <w:r w:rsidR="00AE166D" w:rsidRPr="00731CA6">
        <w:t xml:space="preserve">Table </w:t>
      </w:r>
      <w:r w:rsidR="00AE166D">
        <w:rPr>
          <w:noProof/>
        </w:rPr>
        <w:t>42</w:t>
      </w:r>
      <w:r>
        <w:fldChar w:fldCharType="end"/>
      </w:r>
      <w:r w:rsidR="007A2196" w:rsidRPr="00E03033">
        <w:t xml:space="preserve"> below</w:t>
      </w:r>
      <w:r w:rsidR="002F60E4" w:rsidRPr="00E03033">
        <w:t xml:space="preserve"> shows</w:t>
      </w:r>
      <w:r w:rsidR="002F60E4">
        <w:t xml:space="preserve"> the discounted </w:t>
      </w:r>
      <w:r w:rsidR="007A2196">
        <w:t>value of lost productivity due to alcohol-attributable mortality</w:t>
      </w:r>
      <w:r w:rsidR="00617803">
        <w:t>, which</w:t>
      </w:r>
      <w:r w:rsidR="007A2196">
        <w:t xml:space="preserve"> is estimated </w:t>
      </w:r>
      <w:r w:rsidR="005E3F5C">
        <w:t>to be between $3</w:t>
      </w:r>
      <w:r w:rsidR="00BA3C17">
        <w:t>44</w:t>
      </w:r>
      <w:r w:rsidR="005E3F5C">
        <w:t xml:space="preserve"> million and</w:t>
      </w:r>
      <w:r w:rsidR="00B01659">
        <w:t xml:space="preserve"> $</w:t>
      </w:r>
      <w:r w:rsidR="00BA3C17">
        <w:t>417</w:t>
      </w:r>
      <w:r w:rsidR="00332A6E">
        <w:t xml:space="preserve"> million </w:t>
      </w:r>
      <w:r w:rsidR="0024761B">
        <w:t>(</w:t>
      </w:r>
      <w:r w:rsidR="007A2196">
        <w:t>midpoint</w:t>
      </w:r>
      <w:r w:rsidR="0024761B">
        <w:t xml:space="preserve"> $</w:t>
      </w:r>
      <w:r w:rsidR="00BA3C17">
        <w:t>385</w:t>
      </w:r>
      <w:r w:rsidR="009E7499">
        <w:t xml:space="preserve"> </w:t>
      </w:r>
      <w:r w:rsidR="00BA3C17">
        <w:t>m</w:t>
      </w:r>
      <w:r w:rsidR="009E7499">
        <w:t>illion</w:t>
      </w:r>
      <w:r w:rsidR="00B01659">
        <w:t>)</w:t>
      </w:r>
      <w:r w:rsidR="00332A6E">
        <w:t>.</w:t>
      </w:r>
    </w:p>
    <w:p w14:paraId="167EEAD9" w14:textId="6F903E1C" w:rsidR="00D2276D" w:rsidRPr="00731CA6" w:rsidRDefault="00D2276D" w:rsidP="00D2276D">
      <w:pPr>
        <w:pStyle w:val="TableCaption"/>
      </w:pPr>
      <w:bookmarkStart w:id="202" w:name="_Hlk149062030"/>
      <w:bookmarkStart w:id="203" w:name="_Toc160633949"/>
      <w:r w:rsidRPr="00731CA6">
        <w:t xml:space="preserve">Table </w:t>
      </w:r>
      <w:fldSimple w:instr=" SEQ Table \* ARABIC ">
        <w:r w:rsidR="00AE166D">
          <w:rPr>
            <w:noProof/>
          </w:rPr>
          <w:t>42</w:t>
        </w:r>
      </w:fldSimple>
      <w:bookmarkEnd w:id="202"/>
      <w:r w:rsidRPr="00731CA6">
        <w:t xml:space="preserve"> </w:t>
      </w:r>
      <w:r w:rsidR="002F5039">
        <w:t>Estimated t</w:t>
      </w:r>
      <w:r w:rsidR="005D7F38">
        <w:t>otal cost</w:t>
      </w:r>
      <w:r w:rsidR="004B0B31">
        <w:t xml:space="preserve"> of lost productivity due to alcohol-attributable premature </w:t>
      </w:r>
      <w:proofErr w:type="gramStart"/>
      <w:r w:rsidR="004B0B31">
        <w:t>mortality</w:t>
      </w:r>
      <w:bookmarkEnd w:id="203"/>
      <w:proofErr w:type="gramEnd"/>
    </w:p>
    <w:p w14:paraId="1E043A9C" w14:textId="63E3B254" w:rsidR="00D2276D" w:rsidRPr="00731CA6" w:rsidRDefault="00F15E59" w:rsidP="00D2276D">
      <w:pPr>
        <w:pStyle w:val="CaptionSubheading"/>
      </w:pPr>
      <w:r>
        <w:t>Based on an assumption of average productivity</w:t>
      </w:r>
    </w:p>
    <w:tbl>
      <w:tblPr>
        <w:tblStyle w:val="TableDefault"/>
        <w:tblW w:w="8220" w:type="dxa"/>
        <w:tblLook w:val="0460" w:firstRow="1" w:lastRow="1" w:firstColumn="0" w:lastColumn="0" w:noHBand="0" w:noVBand="1"/>
      </w:tblPr>
      <w:tblGrid>
        <w:gridCol w:w="2055"/>
        <w:gridCol w:w="2057"/>
        <w:gridCol w:w="2055"/>
        <w:gridCol w:w="2053"/>
      </w:tblGrid>
      <w:tr w:rsidR="009043AF" w:rsidRPr="00731CA6" w14:paraId="49210FAB" w14:textId="2535FF3F" w:rsidTr="009043AF">
        <w:trPr>
          <w:cnfStyle w:val="100000000000" w:firstRow="1" w:lastRow="0" w:firstColumn="0" w:lastColumn="0" w:oddVBand="0" w:evenVBand="0" w:oddHBand="0" w:evenHBand="0" w:firstRowFirstColumn="0" w:firstRowLastColumn="0" w:lastRowFirstColumn="0" w:lastRowLastColumn="0"/>
        </w:trPr>
        <w:tc>
          <w:tcPr>
            <w:tcW w:w="1250" w:type="pct"/>
          </w:tcPr>
          <w:p w14:paraId="234939DB" w14:textId="2249CA6D" w:rsidR="009043AF" w:rsidRPr="00FD4479" w:rsidRDefault="009043AF" w:rsidP="009043AF">
            <w:pPr>
              <w:pStyle w:val="TSTableHeadingWhite-TopRow"/>
              <w:rPr>
                <w:sz w:val="20"/>
                <w:szCs w:val="20"/>
              </w:rPr>
            </w:pPr>
          </w:p>
        </w:tc>
        <w:tc>
          <w:tcPr>
            <w:tcW w:w="1251" w:type="pct"/>
          </w:tcPr>
          <w:p w14:paraId="4B3D4F77" w14:textId="065B27EE" w:rsidR="009043AF" w:rsidRPr="00FD4479" w:rsidRDefault="009043AF" w:rsidP="009043AF">
            <w:pPr>
              <w:pStyle w:val="TSTableHeadingWhite-TopRow"/>
              <w:rPr>
                <w:sz w:val="20"/>
                <w:szCs w:val="20"/>
              </w:rPr>
            </w:pPr>
            <w:r w:rsidRPr="00FD4479">
              <w:rPr>
                <w:sz w:val="20"/>
                <w:szCs w:val="20"/>
              </w:rPr>
              <w:t>Low estimate</w:t>
            </w:r>
          </w:p>
        </w:tc>
        <w:tc>
          <w:tcPr>
            <w:tcW w:w="1250" w:type="pct"/>
          </w:tcPr>
          <w:p w14:paraId="0A1E57F5" w14:textId="0BE1B161" w:rsidR="009043AF" w:rsidRPr="00FD4479" w:rsidRDefault="009043AF" w:rsidP="009043AF">
            <w:pPr>
              <w:pStyle w:val="TSTableHeadingWhite-TopRow"/>
              <w:rPr>
                <w:sz w:val="20"/>
                <w:szCs w:val="20"/>
              </w:rPr>
            </w:pPr>
            <w:r w:rsidRPr="00FD4479">
              <w:rPr>
                <w:sz w:val="20"/>
                <w:szCs w:val="20"/>
              </w:rPr>
              <w:t xml:space="preserve">Midpoint estimate </w:t>
            </w:r>
          </w:p>
        </w:tc>
        <w:tc>
          <w:tcPr>
            <w:tcW w:w="1249" w:type="pct"/>
          </w:tcPr>
          <w:p w14:paraId="238DEB2E" w14:textId="6C5E99E5" w:rsidR="009043AF" w:rsidRPr="00FD4479" w:rsidRDefault="009043AF" w:rsidP="009043AF">
            <w:pPr>
              <w:pStyle w:val="TSTableHeadingWhite-TopRow"/>
              <w:rPr>
                <w:sz w:val="20"/>
                <w:szCs w:val="20"/>
              </w:rPr>
            </w:pPr>
            <w:r w:rsidRPr="00FD4479">
              <w:rPr>
                <w:sz w:val="20"/>
                <w:szCs w:val="20"/>
              </w:rPr>
              <w:t>High estimate</w:t>
            </w:r>
          </w:p>
        </w:tc>
      </w:tr>
      <w:tr w:rsidR="009043AF" w:rsidRPr="00977E10" w14:paraId="17D0AF4D" w14:textId="21D78957" w:rsidTr="009043AF">
        <w:trPr>
          <w:cnfStyle w:val="010000000000" w:firstRow="0" w:lastRow="1" w:firstColumn="0" w:lastColumn="0" w:oddVBand="0" w:evenVBand="0" w:oddHBand="0" w:evenHBand="0" w:firstRowFirstColumn="0" w:firstRowLastColumn="0" w:lastRowFirstColumn="0" w:lastRowLastColumn="0"/>
        </w:trPr>
        <w:tc>
          <w:tcPr>
            <w:tcW w:w="1250" w:type="pct"/>
          </w:tcPr>
          <w:p w14:paraId="1462FFC5" w14:textId="1DA6B5C8" w:rsidR="009043AF" w:rsidRPr="00977E10" w:rsidRDefault="009043AF" w:rsidP="009043AF">
            <w:pPr>
              <w:pStyle w:val="TSBodyText"/>
              <w:rPr>
                <w:szCs w:val="18"/>
              </w:rPr>
            </w:pPr>
            <w:r w:rsidRPr="00977E10">
              <w:rPr>
                <w:szCs w:val="18"/>
              </w:rPr>
              <w:t>Total</w:t>
            </w:r>
          </w:p>
        </w:tc>
        <w:tc>
          <w:tcPr>
            <w:tcW w:w="1251" w:type="pct"/>
          </w:tcPr>
          <w:p w14:paraId="34FAEA94" w14:textId="19812F05" w:rsidR="009043AF" w:rsidRPr="00977E10" w:rsidRDefault="009043AF" w:rsidP="009043AF">
            <w:pPr>
              <w:pStyle w:val="TSBodyText"/>
              <w:rPr>
                <w:szCs w:val="18"/>
              </w:rPr>
            </w:pPr>
            <w:r w:rsidRPr="00977E10">
              <w:rPr>
                <w:szCs w:val="18"/>
              </w:rPr>
              <w:t xml:space="preserve"> $343,840,396 </w:t>
            </w:r>
          </w:p>
        </w:tc>
        <w:tc>
          <w:tcPr>
            <w:tcW w:w="1250" w:type="pct"/>
          </w:tcPr>
          <w:p w14:paraId="19060A95" w14:textId="6527FD2D" w:rsidR="009043AF" w:rsidRPr="00977E10" w:rsidRDefault="009043AF" w:rsidP="009043AF">
            <w:pPr>
              <w:pStyle w:val="TSBodyText"/>
              <w:rPr>
                <w:szCs w:val="18"/>
              </w:rPr>
            </w:pPr>
            <w:r w:rsidRPr="00977E10">
              <w:rPr>
                <w:szCs w:val="18"/>
              </w:rPr>
              <w:t xml:space="preserve"> $385,015,333 </w:t>
            </w:r>
          </w:p>
        </w:tc>
        <w:tc>
          <w:tcPr>
            <w:tcW w:w="1249" w:type="pct"/>
          </w:tcPr>
          <w:p w14:paraId="64BC9F00" w14:textId="4A2888FB" w:rsidR="009043AF" w:rsidRPr="00977E10" w:rsidRDefault="009043AF" w:rsidP="009043AF">
            <w:pPr>
              <w:pStyle w:val="TSBodyText"/>
              <w:rPr>
                <w:szCs w:val="18"/>
              </w:rPr>
            </w:pPr>
            <w:r w:rsidRPr="00977E10">
              <w:rPr>
                <w:szCs w:val="18"/>
              </w:rPr>
              <w:t xml:space="preserve"> $416,715,189 </w:t>
            </w:r>
          </w:p>
        </w:tc>
      </w:tr>
    </w:tbl>
    <w:p w14:paraId="7721553F" w14:textId="7727B2DE" w:rsidR="00E03033" w:rsidRDefault="00D2276D" w:rsidP="00E03033">
      <w:pPr>
        <w:pStyle w:val="USSource"/>
      </w:pPr>
      <w:r w:rsidRPr="00731CA6">
        <w:t xml:space="preserve">Source: </w:t>
      </w:r>
      <w:bookmarkStart w:id="204" w:name="_Hlk149062048"/>
      <w:r w:rsidR="00E03033">
        <w:t xml:space="preserve">NZIER, based on Chambers and </w:t>
      </w:r>
      <w:proofErr w:type="spellStart"/>
      <w:r w:rsidR="00E03033">
        <w:t>Mizdrak</w:t>
      </w:r>
      <w:proofErr w:type="spellEnd"/>
      <w:r w:rsidR="00E03033">
        <w:t xml:space="preserve"> (forthcoming) and Mortality Collection data supplied by </w:t>
      </w:r>
      <w:proofErr w:type="spellStart"/>
      <w:r w:rsidR="00E03033">
        <w:t>Te</w:t>
      </w:r>
      <w:proofErr w:type="spellEnd"/>
      <w:r w:rsidR="00E03033">
        <w:t xml:space="preserve"> </w:t>
      </w:r>
      <w:proofErr w:type="spellStart"/>
      <w:r w:rsidR="00E03033">
        <w:t>Whatu</w:t>
      </w:r>
      <w:proofErr w:type="spellEnd"/>
      <w:r w:rsidR="00E03033">
        <w:t xml:space="preserve"> Ora</w:t>
      </w:r>
      <w:bookmarkEnd w:id="204"/>
    </w:p>
    <w:p w14:paraId="33E70E80" w14:textId="3F076D88" w:rsidR="002F5039" w:rsidRPr="00731CA6" w:rsidRDefault="00ED0EEC" w:rsidP="00BA3C17">
      <w:pPr>
        <w:pStyle w:val="USBodyText"/>
      </w:pPr>
      <w:r>
        <w:t xml:space="preserve">Applying the value of lost productivity by sex and age group to each ethnicity, we obtain </w:t>
      </w:r>
      <w:r w:rsidR="00BA3C17">
        <w:t xml:space="preserve">estimates of the value of lost productivity for Māori and non-Māori (see </w:t>
      </w:r>
      <w:r w:rsidR="00BA3C17">
        <w:fldChar w:fldCharType="begin"/>
      </w:r>
      <w:r w:rsidR="00BA3C17">
        <w:instrText xml:space="preserve"> REF _Ref149069905 \h </w:instrText>
      </w:r>
      <w:r w:rsidR="00BA3C17">
        <w:fldChar w:fldCharType="separate"/>
      </w:r>
      <w:r w:rsidR="00AE166D" w:rsidRPr="00731CA6">
        <w:t xml:space="preserve">Table </w:t>
      </w:r>
      <w:r w:rsidR="00AE166D">
        <w:rPr>
          <w:noProof/>
        </w:rPr>
        <w:t>43</w:t>
      </w:r>
      <w:r w:rsidR="00BA3C17">
        <w:fldChar w:fldCharType="end"/>
      </w:r>
      <w:r w:rsidR="00BA3C17">
        <w:t xml:space="preserve"> below).</w:t>
      </w:r>
    </w:p>
    <w:p w14:paraId="0DEAF567" w14:textId="1585C3F3" w:rsidR="00EB0385" w:rsidRDefault="00E03033" w:rsidP="00B9092F">
      <w:pPr>
        <w:pStyle w:val="TableCaption"/>
      </w:pPr>
      <w:bookmarkStart w:id="205" w:name="_Ref149069905"/>
      <w:bookmarkStart w:id="206" w:name="_Toc160633950"/>
      <w:r w:rsidRPr="00731CA6">
        <w:lastRenderedPageBreak/>
        <w:t xml:space="preserve">Table </w:t>
      </w:r>
      <w:fldSimple w:instr=" SEQ Table \* ARABIC ">
        <w:r w:rsidR="00AE166D">
          <w:rPr>
            <w:noProof/>
          </w:rPr>
          <w:t>43</w:t>
        </w:r>
      </w:fldSimple>
      <w:bookmarkEnd w:id="205"/>
      <w:r w:rsidR="00024F01" w:rsidRPr="00E03033">
        <w:t xml:space="preserve"> </w:t>
      </w:r>
      <w:r w:rsidR="002F5039">
        <w:t>Estimated t</w:t>
      </w:r>
      <w:r w:rsidR="005D7F38">
        <w:t>otal cost of</w:t>
      </w:r>
      <w:r w:rsidR="00024F01" w:rsidRPr="00E03033">
        <w:t xml:space="preserve"> lost productivity due to alcohol-attributable </w:t>
      </w:r>
      <w:r w:rsidR="00970B33" w:rsidRPr="00E03033">
        <w:t>premature</w:t>
      </w:r>
      <w:r w:rsidR="00970B33">
        <w:t xml:space="preserve"> </w:t>
      </w:r>
      <w:r w:rsidR="00024F01">
        <w:t>mortality</w:t>
      </w:r>
      <w:r w:rsidR="002F5039">
        <w:t xml:space="preserve"> by ethnicity and age </w:t>
      </w:r>
      <w:proofErr w:type="gramStart"/>
      <w:r w:rsidR="002F5039">
        <w:t>group</w:t>
      </w:r>
      <w:bookmarkEnd w:id="206"/>
      <w:proofErr w:type="gramEnd"/>
      <w:r w:rsidR="00024F01">
        <w:t xml:space="preserve"> </w:t>
      </w:r>
    </w:p>
    <w:p w14:paraId="21703109" w14:textId="43D4F509" w:rsidR="00D2276D" w:rsidRPr="00024F01" w:rsidRDefault="00024F01" w:rsidP="00E03033">
      <w:pPr>
        <w:pStyle w:val="CaptionSubheading"/>
      </w:pPr>
      <w:r>
        <w:t>By ethnicity</w:t>
      </w:r>
      <w:r w:rsidR="00E03033">
        <w:t xml:space="preserve"> and age group</w:t>
      </w:r>
    </w:p>
    <w:tbl>
      <w:tblPr>
        <w:tblStyle w:val="TableDefault"/>
        <w:tblW w:w="8221" w:type="dxa"/>
        <w:tblLook w:val="04A0" w:firstRow="1" w:lastRow="0" w:firstColumn="1" w:lastColumn="0" w:noHBand="0" w:noVBand="1"/>
      </w:tblPr>
      <w:tblGrid>
        <w:gridCol w:w="2126"/>
        <w:gridCol w:w="1985"/>
        <w:gridCol w:w="2126"/>
        <w:gridCol w:w="1984"/>
      </w:tblGrid>
      <w:tr w:rsidR="00EC3964" w:rsidRPr="00100FAB" w14:paraId="25A85EA1" w14:textId="77777777">
        <w:trPr>
          <w:cnfStyle w:val="100000000000" w:firstRow="1" w:lastRow="0" w:firstColumn="0" w:lastColumn="0" w:oddVBand="0" w:evenVBand="0" w:oddHBand="0" w:evenHBand="0" w:firstRowFirstColumn="0" w:firstRowLastColumn="0" w:lastRowFirstColumn="0" w:lastRowLastColumn="0"/>
          <w:trHeight w:val="288"/>
        </w:trPr>
        <w:tc>
          <w:tcPr>
            <w:tcW w:w="2126" w:type="dxa"/>
            <w:noWrap/>
            <w:hideMark/>
          </w:tcPr>
          <w:p w14:paraId="7229780B" w14:textId="77777777" w:rsidR="00EC3964" w:rsidRPr="00100FAB" w:rsidRDefault="00EC3964" w:rsidP="00403C34">
            <w:pPr>
              <w:pStyle w:val="TSTableHeadingWhite-TopRow"/>
            </w:pPr>
            <w:r w:rsidRPr="00100FAB">
              <w:t>Age group</w:t>
            </w:r>
          </w:p>
        </w:tc>
        <w:tc>
          <w:tcPr>
            <w:tcW w:w="1985" w:type="dxa"/>
            <w:noWrap/>
            <w:hideMark/>
          </w:tcPr>
          <w:p w14:paraId="3BEF41F2" w14:textId="6CC1D8BD" w:rsidR="00EC3964" w:rsidRPr="00100FAB" w:rsidRDefault="00EC3964" w:rsidP="00403C34">
            <w:pPr>
              <w:pStyle w:val="TSTableHeadingWhite-TopRow"/>
              <w:jc w:val="center"/>
            </w:pPr>
            <w:r w:rsidRPr="00100FAB">
              <w:t>Low</w:t>
            </w:r>
            <w:r w:rsidR="009043AF">
              <w:t xml:space="preserve"> estimate</w:t>
            </w:r>
          </w:p>
        </w:tc>
        <w:tc>
          <w:tcPr>
            <w:tcW w:w="2126" w:type="dxa"/>
            <w:noWrap/>
            <w:hideMark/>
          </w:tcPr>
          <w:p w14:paraId="64C1B5CE" w14:textId="18C0834B" w:rsidR="00EC3964" w:rsidRPr="00100FAB" w:rsidRDefault="00EC3964" w:rsidP="00403C34">
            <w:pPr>
              <w:pStyle w:val="TSTableHeadingWhite-TopRow"/>
              <w:jc w:val="center"/>
            </w:pPr>
            <w:r w:rsidRPr="00100FAB">
              <w:t>Midpoint</w:t>
            </w:r>
            <w:r w:rsidR="009043AF">
              <w:t xml:space="preserve"> estimate</w:t>
            </w:r>
          </w:p>
        </w:tc>
        <w:tc>
          <w:tcPr>
            <w:tcW w:w="1984" w:type="dxa"/>
            <w:noWrap/>
            <w:hideMark/>
          </w:tcPr>
          <w:p w14:paraId="76689851" w14:textId="5986F8B0" w:rsidR="00EC3964" w:rsidRPr="00100FAB" w:rsidRDefault="00EC3964" w:rsidP="00403C34">
            <w:pPr>
              <w:pStyle w:val="TSTableHeadingWhite-TopRow"/>
              <w:jc w:val="center"/>
            </w:pPr>
            <w:r w:rsidRPr="00100FAB">
              <w:t>High</w:t>
            </w:r>
            <w:r w:rsidR="009043AF">
              <w:t xml:space="preserve"> estimate</w:t>
            </w:r>
          </w:p>
        </w:tc>
      </w:tr>
      <w:tr w:rsidR="00EC3964" w:rsidRPr="00977E10" w14:paraId="37C5FB88" w14:textId="77777777">
        <w:trPr>
          <w:trHeight w:val="288"/>
        </w:trPr>
        <w:tc>
          <w:tcPr>
            <w:tcW w:w="2126" w:type="dxa"/>
            <w:noWrap/>
          </w:tcPr>
          <w:p w14:paraId="7C467DF1" w14:textId="77777777" w:rsidR="00EC3964" w:rsidRPr="00977E10" w:rsidRDefault="00EC3964">
            <w:pPr>
              <w:pStyle w:val="USBodyText"/>
              <w:spacing w:after="0" w:line="240" w:lineRule="auto"/>
              <w:ind w:left="0"/>
              <w:rPr>
                <w:b/>
                <w:sz w:val="18"/>
                <w:szCs w:val="18"/>
              </w:rPr>
            </w:pPr>
            <w:r w:rsidRPr="00977E10">
              <w:rPr>
                <w:b/>
                <w:sz w:val="18"/>
                <w:szCs w:val="18"/>
              </w:rPr>
              <w:t>By ethnicity</w:t>
            </w:r>
          </w:p>
        </w:tc>
        <w:tc>
          <w:tcPr>
            <w:tcW w:w="1985" w:type="dxa"/>
            <w:noWrap/>
          </w:tcPr>
          <w:p w14:paraId="375A75E5" w14:textId="77777777" w:rsidR="00EC3964" w:rsidRPr="00977E10" w:rsidRDefault="00EC3964">
            <w:pPr>
              <w:pStyle w:val="USBodyText"/>
              <w:spacing w:after="0" w:line="240" w:lineRule="auto"/>
              <w:ind w:left="0"/>
              <w:jc w:val="right"/>
              <w:rPr>
                <w:sz w:val="18"/>
                <w:szCs w:val="18"/>
              </w:rPr>
            </w:pPr>
          </w:p>
        </w:tc>
        <w:tc>
          <w:tcPr>
            <w:tcW w:w="2126" w:type="dxa"/>
            <w:noWrap/>
          </w:tcPr>
          <w:p w14:paraId="2469A909" w14:textId="77777777" w:rsidR="00EC3964" w:rsidRPr="00977E10" w:rsidRDefault="00EC3964">
            <w:pPr>
              <w:pStyle w:val="USBodyText"/>
              <w:spacing w:after="0" w:line="240" w:lineRule="auto"/>
              <w:ind w:left="0"/>
              <w:jc w:val="right"/>
              <w:rPr>
                <w:sz w:val="18"/>
                <w:szCs w:val="18"/>
              </w:rPr>
            </w:pPr>
          </w:p>
        </w:tc>
        <w:tc>
          <w:tcPr>
            <w:tcW w:w="1984" w:type="dxa"/>
            <w:noWrap/>
          </w:tcPr>
          <w:p w14:paraId="048685C1" w14:textId="77777777" w:rsidR="00EC3964" w:rsidRPr="00977E10" w:rsidRDefault="00EC3964">
            <w:pPr>
              <w:pStyle w:val="USBodyText"/>
              <w:spacing w:after="0" w:line="240" w:lineRule="auto"/>
              <w:ind w:left="0"/>
              <w:jc w:val="right"/>
              <w:rPr>
                <w:sz w:val="18"/>
                <w:szCs w:val="18"/>
              </w:rPr>
            </w:pPr>
          </w:p>
        </w:tc>
      </w:tr>
      <w:tr w:rsidR="00933FA4" w:rsidRPr="00977E10" w14:paraId="043EBD24" w14:textId="77777777">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414F4FA5" w14:textId="28E13A84" w:rsidR="00933FA4" w:rsidRPr="00977E10" w:rsidRDefault="00E03033" w:rsidP="00403C34">
            <w:pPr>
              <w:pStyle w:val="USBodyText"/>
              <w:spacing w:after="0" w:line="240" w:lineRule="auto"/>
              <w:ind w:left="0"/>
              <w:rPr>
                <w:sz w:val="18"/>
                <w:szCs w:val="18"/>
              </w:rPr>
            </w:pPr>
            <w:r w:rsidRPr="00977E10">
              <w:rPr>
                <w:sz w:val="18"/>
                <w:szCs w:val="18"/>
              </w:rPr>
              <w:t>Māori</w:t>
            </w:r>
          </w:p>
        </w:tc>
        <w:tc>
          <w:tcPr>
            <w:tcW w:w="1985" w:type="dxa"/>
            <w:noWrap/>
          </w:tcPr>
          <w:p w14:paraId="1AAF5279" w14:textId="33441774" w:rsidR="00933FA4" w:rsidRPr="00977E10" w:rsidRDefault="00933FA4" w:rsidP="00403C34">
            <w:pPr>
              <w:pStyle w:val="USBodyText"/>
              <w:spacing w:after="0" w:line="240" w:lineRule="auto"/>
              <w:ind w:left="0" w:right="324"/>
              <w:jc w:val="right"/>
              <w:rPr>
                <w:sz w:val="18"/>
                <w:szCs w:val="18"/>
              </w:rPr>
            </w:pPr>
            <w:r w:rsidRPr="00977E10">
              <w:rPr>
                <w:sz w:val="18"/>
                <w:szCs w:val="18"/>
              </w:rPr>
              <w:t xml:space="preserve"> $107,435,165 </w:t>
            </w:r>
          </w:p>
        </w:tc>
        <w:tc>
          <w:tcPr>
            <w:tcW w:w="2126" w:type="dxa"/>
            <w:noWrap/>
          </w:tcPr>
          <w:p w14:paraId="52FBA427" w14:textId="56448A17" w:rsidR="00933FA4" w:rsidRPr="00977E10" w:rsidRDefault="00933FA4" w:rsidP="00403C34">
            <w:pPr>
              <w:pStyle w:val="USBodyText"/>
              <w:spacing w:after="0" w:line="240" w:lineRule="auto"/>
              <w:ind w:left="0" w:right="324"/>
              <w:jc w:val="right"/>
              <w:rPr>
                <w:sz w:val="18"/>
                <w:szCs w:val="18"/>
              </w:rPr>
            </w:pPr>
            <w:r w:rsidRPr="00977E10">
              <w:rPr>
                <w:sz w:val="18"/>
                <w:szCs w:val="18"/>
              </w:rPr>
              <w:t xml:space="preserve"> $119,904,334 </w:t>
            </w:r>
          </w:p>
        </w:tc>
        <w:tc>
          <w:tcPr>
            <w:tcW w:w="1984" w:type="dxa"/>
            <w:noWrap/>
          </w:tcPr>
          <w:p w14:paraId="1AD54EDA" w14:textId="1E72831A" w:rsidR="00933FA4" w:rsidRPr="00977E10" w:rsidRDefault="00933FA4" w:rsidP="00403C34">
            <w:pPr>
              <w:pStyle w:val="USBodyText"/>
              <w:spacing w:after="0" w:line="240" w:lineRule="auto"/>
              <w:ind w:left="0" w:right="324"/>
              <w:jc w:val="right"/>
              <w:rPr>
                <w:sz w:val="18"/>
                <w:szCs w:val="18"/>
              </w:rPr>
            </w:pPr>
            <w:r w:rsidRPr="00977E10">
              <w:rPr>
                <w:sz w:val="18"/>
                <w:szCs w:val="18"/>
              </w:rPr>
              <w:t xml:space="preserve"> $129,515,386 </w:t>
            </w:r>
          </w:p>
        </w:tc>
      </w:tr>
      <w:tr w:rsidR="00933FA4" w:rsidRPr="00977E10" w14:paraId="22AFE473" w14:textId="77777777">
        <w:trPr>
          <w:trHeight w:val="288"/>
        </w:trPr>
        <w:tc>
          <w:tcPr>
            <w:tcW w:w="2126" w:type="dxa"/>
            <w:noWrap/>
          </w:tcPr>
          <w:p w14:paraId="75EACD8A" w14:textId="70139846" w:rsidR="00933FA4" w:rsidRPr="00977E10" w:rsidRDefault="00933FA4" w:rsidP="00403C34">
            <w:pPr>
              <w:pStyle w:val="USBodyText"/>
              <w:spacing w:after="0" w:line="240" w:lineRule="auto"/>
              <w:ind w:left="0"/>
              <w:rPr>
                <w:sz w:val="18"/>
                <w:szCs w:val="18"/>
              </w:rPr>
            </w:pPr>
            <w:r w:rsidRPr="00977E10">
              <w:rPr>
                <w:sz w:val="18"/>
                <w:szCs w:val="18"/>
              </w:rPr>
              <w:t>Non-</w:t>
            </w:r>
            <w:r w:rsidR="00E03033" w:rsidRPr="00977E10">
              <w:rPr>
                <w:sz w:val="18"/>
                <w:szCs w:val="18"/>
              </w:rPr>
              <w:t>Māori</w:t>
            </w:r>
          </w:p>
        </w:tc>
        <w:tc>
          <w:tcPr>
            <w:tcW w:w="1985" w:type="dxa"/>
            <w:noWrap/>
          </w:tcPr>
          <w:p w14:paraId="4BDC2191" w14:textId="2A1C41C1" w:rsidR="00933FA4" w:rsidRPr="00977E10" w:rsidRDefault="00933FA4" w:rsidP="00403C34">
            <w:pPr>
              <w:pStyle w:val="USBodyText"/>
              <w:spacing w:after="0" w:line="240" w:lineRule="auto"/>
              <w:ind w:left="0" w:right="324"/>
              <w:jc w:val="right"/>
              <w:rPr>
                <w:sz w:val="18"/>
                <w:szCs w:val="18"/>
              </w:rPr>
            </w:pPr>
            <w:r w:rsidRPr="00977E10">
              <w:rPr>
                <w:sz w:val="18"/>
                <w:szCs w:val="18"/>
              </w:rPr>
              <w:t xml:space="preserve"> $236,405,231 </w:t>
            </w:r>
          </w:p>
        </w:tc>
        <w:tc>
          <w:tcPr>
            <w:tcW w:w="2126" w:type="dxa"/>
            <w:noWrap/>
          </w:tcPr>
          <w:p w14:paraId="57008A05" w14:textId="191363A1" w:rsidR="00933FA4" w:rsidRPr="00977E10" w:rsidRDefault="00933FA4" w:rsidP="00403C34">
            <w:pPr>
              <w:pStyle w:val="USBodyText"/>
              <w:spacing w:after="0" w:line="240" w:lineRule="auto"/>
              <w:ind w:left="0" w:right="324"/>
              <w:jc w:val="right"/>
              <w:rPr>
                <w:sz w:val="18"/>
                <w:szCs w:val="18"/>
              </w:rPr>
            </w:pPr>
            <w:r w:rsidRPr="00977E10">
              <w:rPr>
                <w:sz w:val="18"/>
                <w:szCs w:val="18"/>
              </w:rPr>
              <w:t xml:space="preserve"> $265,110,998 </w:t>
            </w:r>
          </w:p>
        </w:tc>
        <w:tc>
          <w:tcPr>
            <w:tcW w:w="1984" w:type="dxa"/>
            <w:noWrap/>
          </w:tcPr>
          <w:p w14:paraId="4ABBD38F" w14:textId="17E1DB27" w:rsidR="00933FA4" w:rsidRPr="00977E10" w:rsidRDefault="00933FA4" w:rsidP="00403C34">
            <w:pPr>
              <w:pStyle w:val="USBodyText"/>
              <w:spacing w:after="0" w:line="240" w:lineRule="auto"/>
              <w:ind w:left="0" w:right="324"/>
              <w:jc w:val="right"/>
              <w:rPr>
                <w:sz w:val="18"/>
                <w:szCs w:val="18"/>
              </w:rPr>
            </w:pPr>
            <w:r w:rsidRPr="00977E10">
              <w:rPr>
                <w:sz w:val="18"/>
                <w:szCs w:val="18"/>
              </w:rPr>
              <w:t xml:space="preserve"> $287,199,803 </w:t>
            </w:r>
          </w:p>
        </w:tc>
      </w:tr>
      <w:tr w:rsidR="00933FA4" w:rsidRPr="00977E10" w14:paraId="3DC44D00" w14:textId="77777777">
        <w:trPr>
          <w:cnfStyle w:val="000000010000" w:firstRow="0" w:lastRow="0" w:firstColumn="0" w:lastColumn="0" w:oddVBand="0" w:evenVBand="0" w:oddHBand="0" w:evenHBand="1" w:firstRowFirstColumn="0" w:firstRowLastColumn="0" w:lastRowFirstColumn="0" w:lastRowLastColumn="0"/>
          <w:trHeight w:val="288"/>
        </w:trPr>
        <w:tc>
          <w:tcPr>
            <w:tcW w:w="2126" w:type="dxa"/>
            <w:noWrap/>
          </w:tcPr>
          <w:p w14:paraId="50DBDEE7" w14:textId="77777777" w:rsidR="00933FA4" w:rsidRPr="00977E10" w:rsidRDefault="00933FA4" w:rsidP="00933FA4">
            <w:pPr>
              <w:pStyle w:val="USBodyText"/>
              <w:spacing w:after="0" w:line="240" w:lineRule="auto"/>
              <w:ind w:left="0"/>
              <w:rPr>
                <w:b/>
                <w:sz w:val="18"/>
                <w:szCs w:val="18"/>
              </w:rPr>
            </w:pPr>
            <w:r w:rsidRPr="00977E10">
              <w:rPr>
                <w:b/>
                <w:sz w:val="18"/>
                <w:szCs w:val="18"/>
              </w:rPr>
              <w:t>By age group</w:t>
            </w:r>
          </w:p>
        </w:tc>
        <w:tc>
          <w:tcPr>
            <w:tcW w:w="1985" w:type="dxa"/>
            <w:noWrap/>
          </w:tcPr>
          <w:p w14:paraId="1E031691" w14:textId="036944C8" w:rsidR="00933FA4" w:rsidRPr="00977E10" w:rsidRDefault="00933FA4" w:rsidP="00403C34">
            <w:pPr>
              <w:pStyle w:val="USBodyText"/>
              <w:spacing w:after="0" w:line="240" w:lineRule="auto"/>
              <w:ind w:left="0" w:right="324"/>
              <w:jc w:val="right"/>
              <w:rPr>
                <w:sz w:val="18"/>
                <w:szCs w:val="18"/>
              </w:rPr>
            </w:pPr>
          </w:p>
        </w:tc>
        <w:tc>
          <w:tcPr>
            <w:tcW w:w="2126" w:type="dxa"/>
            <w:noWrap/>
          </w:tcPr>
          <w:p w14:paraId="77857990" w14:textId="75CAE2BC" w:rsidR="00933FA4" w:rsidRPr="00977E10" w:rsidRDefault="00933FA4" w:rsidP="00403C34">
            <w:pPr>
              <w:pStyle w:val="USBodyText"/>
              <w:spacing w:after="0" w:line="240" w:lineRule="auto"/>
              <w:ind w:left="0" w:right="324"/>
              <w:jc w:val="right"/>
              <w:rPr>
                <w:sz w:val="18"/>
                <w:szCs w:val="18"/>
              </w:rPr>
            </w:pPr>
          </w:p>
        </w:tc>
        <w:tc>
          <w:tcPr>
            <w:tcW w:w="1984" w:type="dxa"/>
            <w:noWrap/>
          </w:tcPr>
          <w:p w14:paraId="56956EB0" w14:textId="19CA0267" w:rsidR="00933FA4" w:rsidRPr="00977E10" w:rsidRDefault="00933FA4" w:rsidP="00403C34">
            <w:pPr>
              <w:pStyle w:val="USBodyText"/>
              <w:spacing w:after="0" w:line="240" w:lineRule="auto"/>
              <w:ind w:left="0" w:right="324"/>
              <w:jc w:val="right"/>
              <w:rPr>
                <w:sz w:val="18"/>
                <w:szCs w:val="18"/>
              </w:rPr>
            </w:pPr>
          </w:p>
        </w:tc>
      </w:tr>
      <w:tr w:rsidR="00B412CA" w:rsidRPr="00977E10" w14:paraId="4995295A" w14:textId="77777777" w:rsidTr="00421CD8">
        <w:trPr>
          <w:trHeight w:val="288"/>
        </w:trPr>
        <w:tc>
          <w:tcPr>
            <w:tcW w:w="2126" w:type="dxa"/>
            <w:noWrap/>
            <w:hideMark/>
          </w:tcPr>
          <w:p w14:paraId="02CD1EEC" w14:textId="17D02F2E" w:rsidR="00B412CA" w:rsidRPr="00977E10" w:rsidRDefault="00B412CA" w:rsidP="00403C34">
            <w:pPr>
              <w:pStyle w:val="USBodyText"/>
              <w:spacing w:after="0" w:line="240" w:lineRule="auto"/>
              <w:ind w:left="0"/>
              <w:rPr>
                <w:sz w:val="18"/>
                <w:szCs w:val="18"/>
              </w:rPr>
            </w:pPr>
            <w:r w:rsidRPr="00977E10">
              <w:rPr>
                <w:sz w:val="18"/>
                <w:szCs w:val="18"/>
              </w:rPr>
              <w:t>15</w:t>
            </w:r>
            <w:r w:rsidR="009D6751" w:rsidRPr="00977E10">
              <w:rPr>
                <w:sz w:val="18"/>
                <w:szCs w:val="18"/>
              </w:rPr>
              <w:t>–</w:t>
            </w:r>
            <w:r w:rsidRPr="00977E10">
              <w:rPr>
                <w:sz w:val="18"/>
                <w:szCs w:val="18"/>
              </w:rPr>
              <w:t>24</w:t>
            </w:r>
          </w:p>
        </w:tc>
        <w:tc>
          <w:tcPr>
            <w:tcW w:w="1985" w:type="dxa"/>
            <w:noWrap/>
          </w:tcPr>
          <w:p w14:paraId="1227F1D2" w14:textId="1B2736C6"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$38,898,979 </w:t>
            </w:r>
          </w:p>
        </w:tc>
        <w:tc>
          <w:tcPr>
            <w:tcW w:w="2126" w:type="dxa"/>
            <w:noWrap/>
          </w:tcPr>
          <w:p w14:paraId="2174AD9B" w14:textId="52F4886F"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$45,830,545 </w:t>
            </w:r>
          </w:p>
        </w:tc>
        <w:tc>
          <w:tcPr>
            <w:tcW w:w="1984" w:type="dxa"/>
            <w:noWrap/>
          </w:tcPr>
          <w:p w14:paraId="1434D327" w14:textId="797ADB33"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$51,548,233 </w:t>
            </w:r>
          </w:p>
        </w:tc>
      </w:tr>
      <w:tr w:rsidR="00B412CA" w:rsidRPr="00977E10" w14:paraId="3B910540" w14:textId="77777777" w:rsidTr="00421CD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7A6045A5" w14:textId="5A4B32D5" w:rsidR="00B412CA" w:rsidRPr="00977E10" w:rsidRDefault="00B412CA" w:rsidP="00403C34">
            <w:pPr>
              <w:pStyle w:val="USBodyText"/>
              <w:spacing w:after="0" w:line="240" w:lineRule="auto"/>
              <w:ind w:left="0"/>
              <w:rPr>
                <w:sz w:val="18"/>
                <w:szCs w:val="18"/>
              </w:rPr>
            </w:pPr>
            <w:r w:rsidRPr="00977E10">
              <w:rPr>
                <w:sz w:val="18"/>
                <w:szCs w:val="18"/>
              </w:rPr>
              <w:t>25</w:t>
            </w:r>
            <w:r w:rsidR="009D6751" w:rsidRPr="00977E10">
              <w:rPr>
                <w:sz w:val="18"/>
                <w:szCs w:val="18"/>
              </w:rPr>
              <w:t>–</w:t>
            </w:r>
            <w:r w:rsidRPr="00977E10">
              <w:rPr>
                <w:sz w:val="18"/>
                <w:szCs w:val="18"/>
              </w:rPr>
              <w:t>34</w:t>
            </w:r>
          </w:p>
        </w:tc>
        <w:tc>
          <w:tcPr>
            <w:tcW w:w="1985" w:type="dxa"/>
            <w:noWrap/>
          </w:tcPr>
          <w:p w14:paraId="5A5CD6FB" w14:textId="7BCF228F"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$64,996,698 </w:t>
            </w:r>
          </w:p>
        </w:tc>
        <w:tc>
          <w:tcPr>
            <w:tcW w:w="2126" w:type="dxa"/>
            <w:noWrap/>
          </w:tcPr>
          <w:p w14:paraId="36B047C1" w14:textId="0F293A02"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$73,939,817 </w:t>
            </w:r>
          </w:p>
        </w:tc>
        <w:tc>
          <w:tcPr>
            <w:tcW w:w="1984" w:type="dxa"/>
            <w:noWrap/>
          </w:tcPr>
          <w:p w14:paraId="23BD9886" w14:textId="7CB2E764"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$81,232,348 </w:t>
            </w:r>
          </w:p>
        </w:tc>
      </w:tr>
      <w:tr w:rsidR="00B412CA" w:rsidRPr="00977E10" w14:paraId="7D103FAC" w14:textId="77777777" w:rsidTr="00421CD8">
        <w:trPr>
          <w:trHeight w:val="288"/>
        </w:trPr>
        <w:tc>
          <w:tcPr>
            <w:tcW w:w="2126" w:type="dxa"/>
            <w:noWrap/>
            <w:hideMark/>
          </w:tcPr>
          <w:p w14:paraId="45834769" w14:textId="33E89ED4" w:rsidR="00B412CA" w:rsidRPr="00977E10" w:rsidRDefault="00B412CA" w:rsidP="00403C34">
            <w:pPr>
              <w:pStyle w:val="USBodyText"/>
              <w:spacing w:after="0" w:line="240" w:lineRule="auto"/>
              <w:ind w:left="0"/>
              <w:rPr>
                <w:sz w:val="18"/>
                <w:szCs w:val="18"/>
              </w:rPr>
            </w:pPr>
            <w:r w:rsidRPr="00977E10">
              <w:rPr>
                <w:sz w:val="18"/>
                <w:szCs w:val="18"/>
              </w:rPr>
              <w:t>35</w:t>
            </w:r>
            <w:r w:rsidR="009D6751" w:rsidRPr="00977E10">
              <w:rPr>
                <w:sz w:val="18"/>
                <w:szCs w:val="18"/>
              </w:rPr>
              <w:t>–</w:t>
            </w:r>
            <w:r w:rsidRPr="00977E10">
              <w:rPr>
                <w:sz w:val="18"/>
                <w:szCs w:val="18"/>
              </w:rPr>
              <w:t>44</w:t>
            </w:r>
          </w:p>
        </w:tc>
        <w:tc>
          <w:tcPr>
            <w:tcW w:w="1985" w:type="dxa"/>
            <w:noWrap/>
          </w:tcPr>
          <w:p w14:paraId="585754D8" w14:textId="7248B7A1"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$79,588,256 </w:t>
            </w:r>
          </w:p>
        </w:tc>
        <w:tc>
          <w:tcPr>
            <w:tcW w:w="2126" w:type="dxa"/>
            <w:noWrap/>
          </w:tcPr>
          <w:p w14:paraId="295ECA2C" w14:textId="6CDEAF52"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$88,999,044 </w:t>
            </w:r>
          </w:p>
        </w:tc>
        <w:tc>
          <w:tcPr>
            <w:tcW w:w="1984" w:type="dxa"/>
            <w:noWrap/>
          </w:tcPr>
          <w:p w14:paraId="347EBC72" w14:textId="2784EB1F"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$96,271,606 </w:t>
            </w:r>
          </w:p>
        </w:tc>
      </w:tr>
      <w:tr w:rsidR="00B412CA" w:rsidRPr="00977E10" w14:paraId="7938B1C0" w14:textId="77777777" w:rsidTr="00421CD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736796A7" w14:textId="7782DF93" w:rsidR="00B412CA" w:rsidRPr="00977E10" w:rsidRDefault="00B412CA" w:rsidP="00403C34">
            <w:pPr>
              <w:pStyle w:val="USBodyText"/>
              <w:spacing w:after="0" w:line="240" w:lineRule="auto"/>
              <w:ind w:left="0"/>
              <w:rPr>
                <w:sz w:val="18"/>
                <w:szCs w:val="18"/>
              </w:rPr>
            </w:pPr>
            <w:r w:rsidRPr="00977E10">
              <w:rPr>
                <w:sz w:val="18"/>
                <w:szCs w:val="18"/>
              </w:rPr>
              <w:t>45</w:t>
            </w:r>
            <w:r w:rsidR="009D6751" w:rsidRPr="00977E10">
              <w:rPr>
                <w:sz w:val="18"/>
                <w:szCs w:val="18"/>
              </w:rPr>
              <w:t>–</w:t>
            </w:r>
            <w:r w:rsidRPr="00977E10">
              <w:rPr>
                <w:sz w:val="18"/>
                <w:szCs w:val="18"/>
              </w:rPr>
              <w:t>54</w:t>
            </w:r>
          </w:p>
        </w:tc>
        <w:tc>
          <w:tcPr>
            <w:tcW w:w="1985" w:type="dxa"/>
            <w:noWrap/>
          </w:tcPr>
          <w:p w14:paraId="680B7788" w14:textId="06720503"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$95,385,983 </w:t>
            </w:r>
          </w:p>
        </w:tc>
        <w:tc>
          <w:tcPr>
            <w:tcW w:w="2126" w:type="dxa"/>
            <w:noWrap/>
          </w:tcPr>
          <w:p w14:paraId="1AF587C8" w14:textId="5820C5BD"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$105,382,382 </w:t>
            </w:r>
          </w:p>
        </w:tc>
        <w:tc>
          <w:tcPr>
            <w:tcW w:w="1984" w:type="dxa"/>
            <w:noWrap/>
          </w:tcPr>
          <w:p w14:paraId="5866C24C" w14:textId="751EB9C7"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$112,638,027 </w:t>
            </w:r>
          </w:p>
        </w:tc>
      </w:tr>
      <w:tr w:rsidR="00B412CA" w:rsidRPr="00977E10" w14:paraId="28FD01FD" w14:textId="77777777" w:rsidTr="00421CD8">
        <w:trPr>
          <w:trHeight w:val="288"/>
        </w:trPr>
        <w:tc>
          <w:tcPr>
            <w:tcW w:w="2126" w:type="dxa"/>
            <w:noWrap/>
            <w:hideMark/>
          </w:tcPr>
          <w:p w14:paraId="0F081248" w14:textId="6FF67D0F" w:rsidR="00B412CA" w:rsidRPr="00977E10" w:rsidRDefault="00B412CA" w:rsidP="00403C34">
            <w:pPr>
              <w:pStyle w:val="USBodyText"/>
              <w:spacing w:after="0" w:line="240" w:lineRule="auto"/>
              <w:ind w:left="0"/>
              <w:rPr>
                <w:sz w:val="18"/>
                <w:szCs w:val="18"/>
              </w:rPr>
            </w:pPr>
            <w:r w:rsidRPr="00977E10">
              <w:rPr>
                <w:sz w:val="18"/>
                <w:szCs w:val="18"/>
              </w:rPr>
              <w:t>55</w:t>
            </w:r>
            <w:r w:rsidR="009D6751" w:rsidRPr="00977E10">
              <w:rPr>
                <w:sz w:val="18"/>
                <w:szCs w:val="18"/>
              </w:rPr>
              <w:t>–</w:t>
            </w:r>
            <w:r w:rsidRPr="00977E10">
              <w:rPr>
                <w:sz w:val="18"/>
                <w:szCs w:val="18"/>
              </w:rPr>
              <w:t>64</w:t>
            </w:r>
          </w:p>
        </w:tc>
        <w:tc>
          <w:tcPr>
            <w:tcW w:w="1985" w:type="dxa"/>
            <w:noWrap/>
          </w:tcPr>
          <w:p w14:paraId="43B20DA0" w14:textId="00BF172E"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$64,970,481 </w:t>
            </w:r>
          </w:p>
        </w:tc>
        <w:tc>
          <w:tcPr>
            <w:tcW w:w="2126" w:type="dxa"/>
            <w:noWrap/>
          </w:tcPr>
          <w:p w14:paraId="20C1992E" w14:textId="2B873878"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$70,863,544 </w:t>
            </w:r>
          </w:p>
        </w:tc>
        <w:tc>
          <w:tcPr>
            <w:tcW w:w="1984" w:type="dxa"/>
            <w:noWrap/>
          </w:tcPr>
          <w:p w14:paraId="3E1E3C53" w14:textId="4DE8813E" w:rsidR="00B412CA" w:rsidRPr="00977E10" w:rsidRDefault="00B412CA" w:rsidP="00403C34">
            <w:pPr>
              <w:pStyle w:val="USBodyText"/>
              <w:spacing w:after="0" w:line="240" w:lineRule="auto"/>
              <w:ind w:left="0" w:right="324"/>
              <w:jc w:val="right"/>
              <w:rPr>
                <w:sz w:val="18"/>
                <w:szCs w:val="18"/>
              </w:rPr>
            </w:pPr>
            <w:r w:rsidRPr="00977E10">
              <w:rPr>
                <w:sz w:val="18"/>
                <w:szCs w:val="18"/>
              </w:rPr>
              <w:t xml:space="preserve"> $75,024,975 </w:t>
            </w:r>
          </w:p>
        </w:tc>
      </w:tr>
    </w:tbl>
    <w:p w14:paraId="0D42057B" w14:textId="7F8E0386" w:rsidR="00EC3964" w:rsidRDefault="00EC3964" w:rsidP="00EC3964">
      <w:pPr>
        <w:pStyle w:val="USSource"/>
      </w:pPr>
      <w:r>
        <w:t xml:space="preserve">Source: </w:t>
      </w:r>
      <w:r w:rsidR="00E03033">
        <w:t xml:space="preserve">NZIER, based on Chambers and </w:t>
      </w:r>
      <w:proofErr w:type="spellStart"/>
      <w:r w:rsidR="00E03033">
        <w:t>Mizdrak</w:t>
      </w:r>
      <w:proofErr w:type="spellEnd"/>
      <w:r w:rsidR="00E03033">
        <w:t xml:space="preserve"> (forthcoming) and Mortality Collection data supplied by </w:t>
      </w:r>
      <w:proofErr w:type="spellStart"/>
      <w:r w:rsidR="00E03033">
        <w:t>Te</w:t>
      </w:r>
      <w:proofErr w:type="spellEnd"/>
      <w:r w:rsidR="00E03033">
        <w:t xml:space="preserve"> </w:t>
      </w:r>
      <w:proofErr w:type="spellStart"/>
      <w:r w:rsidR="00E03033">
        <w:t>Whatu</w:t>
      </w:r>
      <w:proofErr w:type="spellEnd"/>
      <w:r w:rsidR="00E03033">
        <w:t xml:space="preserve"> Ora</w:t>
      </w:r>
    </w:p>
    <w:p w14:paraId="0A7E6E39" w14:textId="77777777" w:rsidR="00506847" w:rsidRDefault="00506847" w:rsidP="00A456FB">
      <w:pPr>
        <w:pStyle w:val="Heading2"/>
      </w:pPr>
      <w:bookmarkStart w:id="207" w:name="_Toc160633867"/>
      <w:r>
        <w:t xml:space="preserve">Lost productivity associated with hospitalisation for alcohol-related </w:t>
      </w:r>
      <w:proofErr w:type="gramStart"/>
      <w:r>
        <w:t>conditions</w:t>
      </w:r>
      <w:bookmarkEnd w:id="207"/>
      <w:proofErr w:type="gramEnd"/>
    </w:p>
    <w:p w14:paraId="78A36915" w14:textId="5F1DD6E4" w:rsidR="00BA3C17" w:rsidRDefault="00617803" w:rsidP="00506847">
      <w:pPr>
        <w:pStyle w:val="USBodyText"/>
      </w:pPr>
      <w:r>
        <w:t>Working-</w:t>
      </w:r>
      <w:r w:rsidR="00040717">
        <w:t xml:space="preserve">age New Zealanders </w:t>
      </w:r>
      <w:r w:rsidR="00A4667E">
        <w:t xml:space="preserve">(aged 15 to 64) </w:t>
      </w:r>
      <w:r>
        <w:t>admitted to hospital lose some amount of potential working hours, which</w:t>
      </w:r>
      <w:r w:rsidR="00DB17F6">
        <w:t xml:space="preserve"> may translate into productivity loss</w:t>
      </w:r>
      <w:r w:rsidR="00B0147D">
        <w:t>. We estimate the potential value of productivity loss associated with time spent in hospital</w:t>
      </w:r>
      <w:r w:rsidR="000C2876">
        <w:t xml:space="preserve"> </w:t>
      </w:r>
      <w:r w:rsidR="000044FE">
        <w:t xml:space="preserve">on the assumption that people hospitalised for </w:t>
      </w:r>
      <w:r>
        <w:t>alcohol-</w:t>
      </w:r>
      <w:r w:rsidR="000044FE">
        <w:t>attributable</w:t>
      </w:r>
      <w:r w:rsidR="003E208E">
        <w:t xml:space="preserve"> conditions and injuries have average labour force participation, employment rate and employment earnings</w:t>
      </w:r>
      <w:r w:rsidR="00423841">
        <w:t>, using the same data as previously described</w:t>
      </w:r>
      <w:r w:rsidR="00312EE9">
        <w:t xml:space="preserve">. </w:t>
      </w:r>
    </w:p>
    <w:p w14:paraId="2F573C47" w14:textId="504E4C44" w:rsidR="00506847" w:rsidRDefault="00312EE9" w:rsidP="00506847">
      <w:pPr>
        <w:pStyle w:val="USBodyText"/>
      </w:pPr>
      <w:r>
        <w:t xml:space="preserve">We further assume that days spent in hospital are all potentially productive days. The implication of this assumption </w:t>
      </w:r>
      <w:r w:rsidR="00B10159">
        <w:t>is</w:t>
      </w:r>
      <w:r>
        <w:t xml:space="preserve"> that </w:t>
      </w:r>
      <w:r w:rsidR="00E974BF">
        <w:t>estimates represent some combination of paid and unpaid production</w:t>
      </w:r>
      <w:r w:rsidR="00136E00">
        <w:t xml:space="preserve"> due to the inclusion of days when individuals may not have engaged in paid work (</w:t>
      </w:r>
      <w:proofErr w:type="gramStart"/>
      <w:r w:rsidR="00136E00">
        <w:t>e.g.</w:t>
      </w:r>
      <w:proofErr w:type="gramEnd"/>
      <w:r w:rsidR="00136E00">
        <w:t xml:space="preserve"> Saturdays and Sundays)</w:t>
      </w:r>
      <w:r w:rsidR="00A4667E">
        <w:t>.</w:t>
      </w:r>
      <w:r w:rsidR="00B629F9">
        <w:t xml:space="preserve"> This assumption was preferred to one where Saturdays and Sundays are assumed not to be productive because </w:t>
      </w:r>
      <w:r w:rsidR="00771F95">
        <w:t>many people work these days and/or work more than five days a week.</w:t>
      </w:r>
      <w:r w:rsidR="00621B4E">
        <w:t xml:space="preserve"> As in previous calculations, because the labour market data we use is 2022 data, we inflate the values to 2023</w:t>
      </w:r>
      <w:r w:rsidR="00561F92">
        <w:t>.</w:t>
      </w:r>
    </w:p>
    <w:p w14:paraId="23FE0229" w14:textId="12711B8B" w:rsidR="008A4917" w:rsidRDefault="00704BF0" w:rsidP="00506847">
      <w:pPr>
        <w:pStyle w:val="USBodyText"/>
      </w:pPr>
      <w:r>
        <w:t xml:space="preserve">As shown in </w:t>
      </w:r>
      <w:r w:rsidR="00B672A3">
        <w:fldChar w:fldCharType="begin"/>
      </w:r>
      <w:r w:rsidR="00B672A3">
        <w:instrText xml:space="preserve"> REF _Ref149070112 \h </w:instrText>
      </w:r>
      <w:r w:rsidR="00B672A3">
        <w:fldChar w:fldCharType="separate"/>
      </w:r>
      <w:r w:rsidR="00AE166D" w:rsidRPr="00731CA6">
        <w:t xml:space="preserve">Table </w:t>
      </w:r>
      <w:r w:rsidR="00AE166D">
        <w:rPr>
          <w:noProof/>
        </w:rPr>
        <w:t>44</w:t>
      </w:r>
      <w:r w:rsidR="00B672A3">
        <w:fldChar w:fldCharType="end"/>
      </w:r>
      <w:r>
        <w:t xml:space="preserve"> and</w:t>
      </w:r>
      <w:r w:rsidR="00E51554">
        <w:t xml:space="preserve"> </w:t>
      </w:r>
      <w:r w:rsidR="00ED1DEA">
        <w:fldChar w:fldCharType="begin"/>
      </w:r>
      <w:r w:rsidR="00ED1DEA">
        <w:instrText xml:space="preserve"> REF _Ref149070364 \h </w:instrText>
      </w:r>
      <w:r w:rsidR="00ED1DEA">
        <w:fldChar w:fldCharType="separate"/>
      </w:r>
      <w:r w:rsidR="00AE166D" w:rsidRPr="00731CA6">
        <w:t xml:space="preserve">Table </w:t>
      </w:r>
      <w:r w:rsidR="00AE166D">
        <w:rPr>
          <w:noProof/>
        </w:rPr>
        <w:t>45</w:t>
      </w:r>
      <w:r w:rsidR="00ED1DEA">
        <w:fldChar w:fldCharType="end"/>
      </w:r>
      <w:r>
        <w:t xml:space="preserve"> below, the total value of lost productivity is estimated to be between $12 million and $14 million</w:t>
      </w:r>
      <w:r w:rsidR="00561F92">
        <w:t xml:space="preserve"> </w:t>
      </w:r>
      <w:r w:rsidR="009A769E">
        <w:t xml:space="preserve">(midpoint $13 million) </w:t>
      </w:r>
      <w:r w:rsidR="00423841">
        <w:t>in 2023.</w:t>
      </w:r>
    </w:p>
    <w:p w14:paraId="40B032C7" w14:textId="176C10A2" w:rsidR="00506847" w:rsidRDefault="00D2276D" w:rsidP="00E03033">
      <w:pPr>
        <w:pStyle w:val="TableCaption"/>
      </w:pPr>
      <w:bookmarkStart w:id="208" w:name="_Ref149070112"/>
      <w:bookmarkStart w:id="209" w:name="_Toc160633951"/>
      <w:r w:rsidRPr="00731CA6">
        <w:t xml:space="preserve">Table </w:t>
      </w:r>
      <w:fldSimple w:instr=" SEQ Table \* ARABIC ">
        <w:r w:rsidR="00AE166D">
          <w:rPr>
            <w:noProof/>
          </w:rPr>
          <w:t>44</w:t>
        </w:r>
      </w:fldSimple>
      <w:bookmarkEnd w:id="208"/>
      <w:r w:rsidRPr="00731CA6">
        <w:t xml:space="preserve"> </w:t>
      </w:r>
      <w:bookmarkStart w:id="210" w:name="_Hlk143604462"/>
      <w:r w:rsidR="00E03033">
        <w:t>E</w:t>
      </w:r>
      <w:r w:rsidR="00854399">
        <w:t xml:space="preserve">stimated </w:t>
      </w:r>
      <w:r w:rsidR="00B672A3">
        <w:t>total cost of</w:t>
      </w:r>
      <w:r w:rsidR="00561F92">
        <w:t xml:space="preserve"> lost productivity associated with time spent in </w:t>
      </w:r>
      <w:proofErr w:type="gramStart"/>
      <w:r w:rsidR="00561F92">
        <w:t>hospital</w:t>
      </w:r>
      <w:bookmarkEnd w:id="209"/>
      <w:bookmarkEnd w:id="210"/>
      <w:proofErr w:type="gramEnd"/>
    </w:p>
    <w:tbl>
      <w:tblPr>
        <w:tblStyle w:val="TableDefault"/>
        <w:tblW w:w="8220" w:type="dxa"/>
        <w:tblLook w:val="0460" w:firstRow="1" w:lastRow="1" w:firstColumn="0" w:lastColumn="0" w:noHBand="0" w:noVBand="1"/>
      </w:tblPr>
      <w:tblGrid>
        <w:gridCol w:w="2055"/>
        <w:gridCol w:w="2057"/>
        <w:gridCol w:w="2055"/>
        <w:gridCol w:w="2053"/>
      </w:tblGrid>
      <w:tr w:rsidR="00B672A3" w:rsidRPr="00FD4479" w14:paraId="46284296" w14:textId="77777777">
        <w:trPr>
          <w:cnfStyle w:val="100000000000" w:firstRow="1" w:lastRow="0" w:firstColumn="0" w:lastColumn="0" w:oddVBand="0" w:evenVBand="0" w:oddHBand="0" w:evenHBand="0" w:firstRowFirstColumn="0" w:firstRowLastColumn="0" w:lastRowFirstColumn="0" w:lastRowLastColumn="0"/>
        </w:trPr>
        <w:tc>
          <w:tcPr>
            <w:tcW w:w="1250" w:type="pct"/>
          </w:tcPr>
          <w:p w14:paraId="74C0430F" w14:textId="77777777" w:rsidR="00B672A3" w:rsidRPr="00FD4479" w:rsidRDefault="00B672A3">
            <w:pPr>
              <w:pStyle w:val="TSTableHeadingWhite-TopRow"/>
              <w:rPr>
                <w:sz w:val="20"/>
                <w:szCs w:val="20"/>
              </w:rPr>
            </w:pPr>
          </w:p>
        </w:tc>
        <w:tc>
          <w:tcPr>
            <w:tcW w:w="1251" w:type="pct"/>
          </w:tcPr>
          <w:p w14:paraId="0ED99229" w14:textId="77777777" w:rsidR="00B672A3" w:rsidRPr="00FD4479" w:rsidRDefault="00B672A3">
            <w:pPr>
              <w:pStyle w:val="TSTableHeadingWhite-TopRow"/>
              <w:rPr>
                <w:sz w:val="20"/>
                <w:szCs w:val="20"/>
              </w:rPr>
            </w:pPr>
            <w:r w:rsidRPr="00FD4479">
              <w:rPr>
                <w:sz w:val="20"/>
                <w:szCs w:val="20"/>
              </w:rPr>
              <w:t>Low estimate</w:t>
            </w:r>
          </w:p>
        </w:tc>
        <w:tc>
          <w:tcPr>
            <w:tcW w:w="1250" w:type="pct"/>
          </w:tcPr>
          <w:p w14:paraId="4BC8DE2D" w14:textId="77777777" w:rsidR="00B672A3" w:rsidRPr="00FD4479" w:rsidRDefault="00B672A3">
            <w:pPr>
              <w:pStyle w:val="TSTableHeadingWhite-TopRow"/>
              <w:rPr>
                <w:sz w:val="20"/>
                <w:szCs w:val="20"/>
              </w:rPr>
            </w:pPr>
            <w:r w:rsidRPr="00FD4479">
              <w:rPr>
                <w:sz w:val="20"/>
                <w:szCs w:val="20"/>
              </w:rPr>
              <w:t xml:space="preserve">Midpoint estimate </w:t>
            </w:r>
          </w:p>
        </w:tc>
        <w:tc>
          <w:tcPr>
            <w:tcW w:w="1249" w:type="pct"/>
          </w:tcPr>
          <w:p w14:paraId="74002F6C" w14:textId="77777777" w:rsidR="00B672A3" w:rsidRPr="00FD4479" w:rsidRDefault="00B672A3">
            <w:pPr>
              <w:pStyle w:val="TSTableHeadingWhite-TopRow"/>
              <w:rPr>
                <w:sz w:val="20"/>
                <w:szCs w:val="20"/>
              </w:rPr>
            </w:pPr>
            <w:r w:rsidRPr="00FD4479">
              <w:rPr>
                <w:sz w:val="20"/>
                <w:szCs w:val="20"/>
              </w:rPr>
              <w:t>High estimate</w:t>
            </w:r>
          </w:p>
        </w:tc>
      </w:tr>
      <w:tr w:rsidR="00B672A3" w:rsidRPr="00977E10" w14:paraId="10F913E1" w14:textId="77777777">
        <w:trPr>
          <w:cnfStyle w:val="010000000000" w:firstRow="0" w:lastRow="1" w:firstColumn="0" w:lastColumn="0" w:oddVBand="0" w:evenVBand="0" w:oddHBand="0" w:evenHBand="0" w:firstRowFirstColumn="0" w:firstRowLastColumn="0" w:lastRowFirstColumn="0" w:lastRowLastColumn="0"/>
        </w:trPr>
        <w:tc>
          <w:tcPr>
            <w:tcW w:w="1250" w:type="pct"/>
          </w:tcPr>
          <w:p w14:paraId="118F542E" w14:textId="77777777" w:rsidR="00B672A3" w:rsidRPr="00977E10" w:rsidRDefault="00B672A3" w:rsidP="00B672A3">
            <w:pPr>
              <w:pStyle w:val="TSBodyText"/>
              <w:rPr>
                <w:szCs w:val="18"/>
              </w:rPr>
            </w:pPr>
            <w:r w:rsidRPr="00977E10">
              <w:rPr>
                <w:szCs w:val="18"/>
              </w:rPr>
              <w:t>Total</w:t>
            </w:r>
          </w:p>
        </w:tc>
        <w:tc>
          <w:tcPr>
            <w:tcW w:w="1251" w:type="pct"/>
          </w:tcPr>
          <w:p w14:paraId="429D1A77" w14:textId="2F483D97" w:rsidR="00B672A3" w:rsidRPr="00977E10" w:rsidRDefault="00B672A3" w:rsidP="00B672A3">
            <w:pPr>
              <w:pStyle w:val="TSBodyText"/>
              <w:rPr>
                <w:szCs w:val="18"/>
              </w:rPr>
            </w:pPr>
            <w:r w:rsidRPr="00977E10">
              <w:rPr>
                <w:szCs w:val="18"/>
              </w:rPr>
              <w:t>$11,940,177</w:t>
            </w:r>
          </w:p>
        </w:tc>
        <w:tc>
          <w:tcPr>
            <w:tcW w:w="1250" w:type="pct"/>
          </w:tcPr>
          <w:p w14:paraId="200D1216" w14:textId="322CDDBE" w:rsidR="00B672A3" w:rsidRPr="00977E10" w:rsidRDefault="00B672A3" w:rsidP="00B672A3">
            <w:pPr>
              <w:pStyle w:val="TSBodyText"/>
              <w:rPr>
                <w:szCs w:val="18"/>
              </w:rPr>
            </w:pPr>
            <w:r w:rsidRPr="00977E10">
              <w:rPr>
                <w:szCs w:val="18"/>
              </w:rPr>
              <w:t>$13,097,390</w:t>
            </w:r>
          </w:p>
        </w:tc>
        <w:tc>
          <w:tcPr>
            <w:tcW w:w="1249" w:type="pct"/>
          </w:tcPr>
          <w:p w14:paraId="307B9B14" w14:textId="02942C67" w:rsidR="00B672A3" w:rsidRPr="00977E10" w:rsidRDefault="00B672A3" w:rsidP="00B672A3">
            <w:pPr>
              <w:pStyle w:val="TSBodyText"/>
              <w:rPr>
                <w:szCs w:val="18"/>
              </w:rPr>
            </w:pPr>
            <w:r w:rsidRPr="00977E10">
              <w:rPr>
                <w:szCs w:val="18"/>
              </w:rPr>
              <w:t>$13,917,231</w:t>
            </w:r>
          </w:p>
        </w:tc>
      </w:tr>
    </w:tbl>
    <w:p w14:paraId="387A14C7" w14:textId="77777777" w:rsidR="00B672A3" w:rsidRDefault="00B672A3" w:rsidP="00B672A3">
      <w:pPr>
        <w:pStyle w:val="USSource"/>
      </w:pPr>
      <w:bookmarkStart w:id="211" w:name="_Hlk149070382"/>
      <w:r>
        <w:t xml:space="preserve">Source: NZIER, based on Chambers and </w:t>
      </w:r>
      <w:proofErr w:type="spellStart"/>
      <w:r>
        <w:t>Mizdrak</w:t>
      </w:r>
      <w:proofErr w:type="spellEnd"/>
      <w:r>
        <w:t xml:space="preserve"> (forthcoming) and Mortality Collection data supplied by </w:t>
      </w:r>
      <w:proofErr w:type="spellStart"/>
      <w:r>
        <w:t>Te</w:t>
      </w:r>
      <w:proofErr w:type="spellEnd"/>
      <w:r>
        <w:t xml:space="preserve"> </w:t>
      </w:r>
      <w:proofErr w:type="spellStart"/>
      <w:r>
        <w:t>Whatu</w:t>
      </w:r>
      <w:proofErr w:type="spellEnd"/>
      <w:r>
        <w:t xml:space="preserve"> Ora</w:t>
      </w:r>
    </w:p>
    <w:bookmarkEnd w:id="211"/>
    <w:p w14:paraId="4508B6BC" w14:textId="4571A0FA" w:rsidR="009A769E" w:rsidRDefault="00B1078B" w:rsidP="00274904">
      <w:pPr>
        <w:pStyle w:val="USBodyText"/>
      </w:pPr>
      <w:r>
        <w:fldChar w:fldCharType="begin"/>
      </w:r>
      <w:r>
        <w:instrText xml:space="preserve"> REF _Ref149070364 \h </w:instrText>
      </w:r>
      <w:r>
        <w:fldChar w:fldCharType="separate"/>
      </w:r>
      <w:r w:rsidR="00AE166D" w:rsidRPr="00731CA6">
        <w:t xml:space="preserve">Table </w:t>
      </w:r>
      <w:r w:rsidR="00AE166D">
        <w:rPr>
          <w:noProof/>
        </w:rPr>
        <w:t>45</w:t>
      </w:r>
      <w:r>
        <w:fldChar w:fldCharType="end"/>
      </w:r>
      <w:r>
        <w:t xml:space="preserve"> </w:t>
      </w:r>
      <w:r w:rsidR="00274904">
        <w:t xml:space="preserve">below shows these results when productivity costs are calculated by </w:t>
      </w:r>
      <w:r w:rsidR="007E0E63">
        <w:t xml:space="preserve">Māori/non-Māori </w:t>
      </w:r>
      <w:r w:rsidR="00274904">
        <w:t>ethnicity and age group.</w:t>
      </w:r>
    </w:p>
    <w:p w14:paraId="68FC63BB" w14:textId="2E747C82" w:rsidR="00506847" w:rsidRDefault="00D2276D" w:rsidP="00327663">
      <w:pPr>
        <w:pStyle w:val="TableCaption"/>
      </w:pPr>
      <w:bookmarkStart w:id="212" w:name="_Ref149070364"/>
      <w:bookmarkStart w:id="213" w:name="_Toc160633952"/>
      <w:r w:rsidRPr="00731CA6">
        <w:lastRenderedPageBreak/>
        <w:t xml:space="preserve">Table </w:t>
      </w:r>
      <w:fldSimple w:instr=" SEQ Table \* ARABIC ">
        <w:r w:rsidR="00AE166D">
          <w:rPr>
            <w:noProof/>
          </w:rPr>
          <w:t>45</w:t>
        </w:r>
      </w:fldSimple>
      <w:bookmarkEnd w:id="212"/>
      <w:r w:rsidRPr="00731CA6">
        <w:t xml:space="preserve"> </w:t>
      </w:r>
      <w:r w:rsidR="00854399">
        <w:t>Estimated</w:t>
      </w:r>
      <w:r w:rsidR="00AB29C9">
        <w:t xml:space="preserve"> cost</w:t>
      </w:r>
      <w:r w:rsidR="00327663">
        <w:t xml:space="preserve"> of lost productivity in 2023 associated with time spent in hospital b</w:t>
      </w:r>
      <w:r w:rsidR="00506847">
        <w:t xml:space="preserve">y </w:t>
      </w:r>
      <w:r w:rsidR="007E0E63">
        <w:t xml:space="preserve">ethnicity and </w:t>
      </w:r>
      <w:r w:rsidR="00506847">
        <w:t xml:space="preserve">age </w:t>
      </w:r>
      <w:proofErr w:type="gramStart"/>
      <w:r w:rsidR="00506847">
        <w:t>group</w:t>
      </w:r>
      <w:bookmarkEnd w:id="213"/>
      <w:proofErr w:type="gramEnd"/>
    </w:p>
    <w:tbl>
      <w:tblPr>
        <w:tblStyle w:val="TableDefault"/>
        <w:tblW w:w="0" w:type="auto"/>
        <w:tblLook w:val="04A0" w:firstRow="1" w:lastRow="0" w:firstColumn="1" w:lastColumn="0" w:noHBand="0" w:noVBand="1"/>
      </w:tblPr>
      <w:tblGrid>
        <w:gridCol w:w="2055"/>
        <w:gridCol w:w="2055"/>
        <w:gridCol w:w="2055"/>
        <w:gridCol w:w="2055"/>
      </w:tblGrid>
      <w:tr w:rsidR="000C5468" w14:paraId="2602AFCC" w14:textId="77777777">
        <w:trPr>
          <w:cnfStyle w:val="100000000000" w:firstRow="1" w:lastRow="0" w:firstColumn="0" w:lastColumn="0" w:oddVBand="0" w:evenVBand="0" w:oddHBand="0" w:evenHBand="0" w:firstRowFirstColumn="0" w:firstRowLastColumn="0" w:lastRowFirstColumn="0" w:lastRowLastColumn="0"/>
        </w:trPr>
        <w:tc>
          <w:tcPr>
            <w:tcW w:w="2055" w:type="dxa"/>
          </w:tcPr>
          <w:p w14:paraId="358AFCD6" w14:textId="77777777" w:rsidR="000C5468" w:rsidRPr="00066CE0" w:rsidRDefault="000C5468" w:rsidP="0020553A">
            <w:pPr>
              <w:pStyle w:val="TSTableHeadingWhite-TopRow"/>
            </w:pPr>
          </w:p>
        </w:tc>
        <w:tc>
          <w:tcPr>
            <w:tcW w:w="2055" w:type="dxa"/>
          </w:tcPr>
          <w:p w14:paraId="301279E8" w14:textId="1E93C3D9" w:rsidR="000C5468" w:rsidRPr="00066CE0" w:rsidRDefault="000C5468" w:rsidP="0012013C">
            <w:pPr>
              <w:pStyle w:val="TSTableHeadingWhite-TopRow"/>
              <w:jc w:val="center"/>
            </w:pPr>
            <w:r w:rsidRPr="00B9092F">
              <w:t>Low</w:t>
            </w:r>
          </w:p>
        </w:tc>
        <w:tc>
          <w:tcPr>
            <w:tcW w:w="2055" w:type="dxa"/>
          </w:tcPr>
          <w:p w14:paraId="4FDB7CCA" w14:textId="4BEA20A8" w:rsidR="000C5468" w:rsidRPr="00223805" w:rsidRDefault="000C5468" w:rsidP="0012013C">
            <w:pPr>
              <w:pStyle w:val="TSTableHeadingWhite-TopRow"/>
              <w:jc w:val="center"/>
            </w:pPr>
            <w:r w:rsidRPr="00B9092F">
              <w:t>Midpoint</w:t>
            </w:r>
          </w:p>
        </w:tc>
        <w:tc>
          <w:tcPr>
            <w:tcW w:w="2055" w:type="dxa"/>
          </w:tcPr>
          <w:p w14:paraId="324F4479" w14:textId="72977C32" w:rsidR="000C5468" w:rsidRPr="00E12293" w:rsidRDefault="000C5468" w:rsidP="0012013C">
            <w:pPr>
              <w:pStyle w:val="TSTableHeadingWhite-TopRow"/>
              <w:jc w:val="center"/>
            </w:pPr>
            <w:r w:rsidRPr="00B9092F">
              <w:t>High</w:t>
            </w:r>
          </w:p>
        </w:tc>
      </w:tr>
      <w:tr w:rsidR="00274904" w14:paraId="3E9E8D52" w14:textId="77777777" w:rsidTr="00970B33">
        <w:tc>
          <w:tcPr>
            <w:tcW w:w="2055" w:type="dxa"/>
            <w:vAlign w:val="center"/>
          </w:tcPr>
          <w:p w14:paraId="38E4725F" w14:textId="0FBC4D3A" w:rsidR="00274904" w:rsidRPr="0012013C" w:rsidRDefault="00274904" w:rsidP="0012013C">
            <w:pPr>
              <w:pStyle w:val="TSBodyText"/>
              <w:rPr>
                <w:b/>
              </w:rPr>
            </w:pPr>
            <w:r w:rsidRPr="0012013C">
              <w:rPr>
                <w:b/>
              </w:rPr>
              <w:t>By ethnicity</w:t>
            </w:r>
          </w:p>
        </w:tc>
        <w:tc>
          <w:tcPr>
            <w:tcW w:w="2055" w:type="dxa"/>
          </w:tcPr>
          <w:p w14:paraId="2F047483" w14:textId="77777777" w:rsidR="00274904" w:rsidRPr="0012013C" w:rsidRDefault="00274904" w:rsidP="0012013C">
            <w:pPr>
              <w:pStyle w:val="TSBodyText"/>
              <w:rPr>
                <w:b/>
              </w:rPr>
            </w:pPr>
          </w:p>
        </w:tc>
        <w:tc>
          <w:tcPr>
            <w:tcW w:w="2055" w:type="dxa"/>
          </w:tcPr>
          <w:p w14:paraId="58F6A2CD" w14:textId="77777777" w:rsidR="00274904" w:rsidRPr="0012013C" w:rsidRDefault="00274904" w:rsidP="0012013C">
            <w:pPr>
              <w:pStyle w:val="TSBodyText"/>
              <w:rPr>
                <w:b/>
              </w:rPr>
            </w:pPr>
          </w:p>
        </w:tc>
        <w:tc>
          <w:tcPr>
            <w:tcW w:w="2055" w:type="dxa"/>
          </w:tcPr>
          <w:p w14:paraId="08D06AD1" w14:textId="77777777" w:rsidR="00274904" w:rsidRPr="0012013C" w:rsidRDefault="00274904" w:rsidP="0012013C">
            <w:pPr>
              <w:pStyle w:val="TSBodyText"/>
              <w:rPr>
                <w:b/>
              </w:rPr>
            </w:pPr>
          </w:p>
        </w:tc>
      </w:tr>
      <w:tr w:rsidR="00274904" w14:paraId="314C4EA5" w14:textId="77777777">
        <w:trPr>
          <w:cnfStyle w:val="000000010000" w:firstRow="0" w:lastRow="0" w:firstColumn="0" w:lastColumn="0" w:oddVBand="0" w:evenVBand="0" w:oddHBand="0" w:evenHBand="1" w:firstRowFirstColumn="0" w:firstRowLastColumn="0" w:lastRowFirstColumn="0" w:lastRowLastColumn="0"/>
        </w:trPr>
        <w:tc>
          <w:tcPr>
            <w:tcW w:w="2055" w:type="dxa"/>
          </w:tcPr>
          <w:p w14:paraId="19BB02D8" w14:textId="00BAC67E" w:rsidR="00274904" w:rsidRPr="00B1078B" w:rsidRDefault="00274904" w:rsidP="0012013C">
            <w:pPr>
              <w:pStyle w:val="TSBodyText"/>
            </w:pPr>
            <w:r w:rsidRPr="00B1078B">
              <w:t>Māori</w:t>
            </w:r>
          </w:p>
        </w:tc>
        <w:tc>
          <w:tcPr>
            <w:tcW w:w="2055" w:type="dxa"/>
          </w:tcPr>
          <w:p w14:paraId="3668D490" w14:textId="185D7DA2" w:rsidR="00274904" w:rsidRPr="00B1078B" w:rsidRDefault="00274904" w:rsidP="0012013C">
            <w:pPr>
              <w:pStyle w:val="TSBodyText"/>
              <w:ind w:right="749"/>
              <w:jc w:val="right"/>
            </w:pPr>
            <w:r w:rsidRPr="00B1078B">
              <w:t xml:space="preserve"> $2,775,180 </w:t>
            </w:r>
          </w:p>
        </w:tc>
        <w:tc>
          <w:tcPr>
            <w:tcW w:w="2055" w:type="dxa"/>
          </w:tcPr>
          <w:p w14:paraId="6EAF65B6" w14:textId="55A9699F" w:rsidR="00274904" w:rsidRPr="00B1078B" w:rsidRDefault="00274904" w:rsidP="0012013C">
            <w:pPr>
              <w:pStyle w:val="TSBodyText"/>
              <w:ind w:right="749"/>
              <w:jc w:val="right"/>
            </w:pPr>
            <w:r w:rsidRPr="00B1078B">
              <w:t xml:space="preserve"> $3,051,167 </w:t>
            </w:r>
          </w:p>
        </w:tc>
        <w:tc>
          <w:tcPr>
            <w:tcW w:w="2055" w:type="dxa"/>
          </w:tcPr>
          <w:p w14:paraId="59DDE94F" w14:textId="5F45DFD3" w:rsidR="00274904" w:rsidRPr="00B1078B" w:rsidRDefault="00274904" w:rsidP="0012013C">
            <w:pPr>
              <w:pStyle w:val="TSBodyText"/>
              <w:ind w:right="749"/>
              <w:jc w:val="right"/>
            </w:pPr>
            <w:r w:rsidRPr="00B1078B">
              <w:t xml:space="preserve"> $3,243,298 </w:t>
            </w:r>
          </w:p>
        </w:tc>
      </w:tr>
      <w:tr w:rsidR="00274904" w14:paraId="66B9E4ED" w14:textId="77777777">
        <w:tc>
          <w:tcPr>
            <w:tcW w:w="2055" w:type="dxa"/>
          </w:tcPr>
          <w:p w14:paraId="20F90F1F" w14:textId="16A888C2" w:rsidR="00274904" w:rsidRPr="00B1078B" w:rsidRDefault="00274904" w:rsidP="0012013C">
            <w:pPr>
              <w:pStyle w:val="TSBodyText"/>
            </w:pPr>
            <w:r w:rsidRPr="00B1078B">
              <w:t>Non-Māori</w:t>
            </w:r>
          </w:p>
        </w:tc>
        <w:tc>
          <w:tcPr>
            <w:tcW w:w="2055" w:type="dxa"/>
          </w:tcPr>
          <w:p w14:paraId="0DC5E5D1" w14:textId="5A932B8E" w:rsidR="00274904" w:rsidRPr="00B1078B" w:rsidRDefault="00274904" w:rsidP="0012013C">
            <w:pPr>
              <w:pStyle w:val="TSBodyText"/>
              <w:ind w:right="749"/>
              <w:jc w:val="right"/>
            </w:pPr>
            <w:r w:rsidRPr="00B1078B">
              <w:t xml:space="preserve"> $9,164,997 </w:t>
            </w:r>
          </w:p>
        </w:tc>
        <w:tc>
          <w:tcPr>
            <w:tcW w:w="2055" w:type="dxa"/>
          </w:tcPr>
          <w:p w14:paraId="7C0E3653" w14:textId="5AFABF73" w:rsidR="00274904" w:rsidRPr="00B1078B" w:rsidRDefault="00274904" w:rsidP="0012013C">
            <w:pPr>
              <w:pStyle w:val="TSBodyText"/>
              <w:ind w:right="749"/>
              <w:jc w:val="right"/>
            </w:pPr>
            <w:r w:rsidRPr="00B1078B">
              <w:t xml:space="preserve"> $10,046,223 </w:t>
            </w:r>
          </w:p>
        </w:tc>
        <w:tc>
          <w:tcPr>
            <w:tcW w:w="2055" w:type="dxa"/>
          </w:tcPr>
          <w:p w14:paraId="4846FF38" w14:textId="608F88F3" w:rsidR="00274904" w:rsidRPr="00B1078B" w:rsidRDefault="00274904" w:rsidP="0012013C">
            <w:pPr>
              <w:pStyle w:val="TSBodyText"/>
              <w:ind w:right="749"/>
              <w:jc w:val="right"/>
            </w:pPr>
            <w:r w:rsidRPr="00B1078B">
              <w:t xml:space="preserve"> $10,673,933 </w:t>
            </w:r>
          </w:p>
        </w:tc>
      </w:tr>
      <w:tr w:rsidR="00274904" w14:paraId="66FE951A" w14:textId="77777777" w:rsidTr="00970B33">
        <w:trPr>
          <w:cnfStyle w:val="000000010000" w:firstRow="0" w:lastRow="0" w:firstColumn="0" w:lastColumn="0" w:oddVBand="0" w:evenVBand="0" w:oddHBand="0" w:evenHBand="1" w:firstRowFirstColumn="0" w:firstRowLastColumn="0" w:lastRowFirstColumn="0" w:lastRowLastColumn="0"/>
        </w:trPr>
        <w:tc>
          <w:tcPr>
            <w:tcW w:w="2055" w:type="dxa"/>
            <w:vAlign w:val="center"/>
          </w:tcPr>
          <w:p w14:paraId="4C51224D" w14:textId="6029DC00" w:rsidR="00274904" w:rsidRPr="0012013C" w:rsidRDefault="00274904" w:rsidP="0012013C">
            <w:pPr>
              <w:pStyle w:val="TSBodyText"/>
              <w:rPr>
                <w:b/>
              </w:rPr>
            </w:pPr>
            <w:r w:rsidRPr="0012013C">
              <w:rPr>
                <w:b/>
              </w:rPr>
              <w:t xml:space="preserve">By age </w:t>
            </w:r>
            <w:r w:rsidRPr="0012013C">
              <w:rPr>
                <w:b/>
                <w:bCs/>
              </w:rPr>
              <w:t>group</w:t>
            </w:r>
          </w:p>
        </w:tc>
        <w:tc>
          <w:tcPr>
            <w:tcW w:w="2055" w:type="dxa"/>
          </w:tcPr>
          <w:p w14:paraId="5F9DB98A" w14:textId="77777777" w:rsidR="00274904" w:rsidRPr="0012013C" w:rsidRDefault="00274904" w:rsidP="0012013C">
            <w:pPr>
              <w:pStyle w:val="TSBodyText"/>
              <w:ind w:right="749"/>
              <w:jc w:val="right"/>
              <w:rPr>
                <w:b/>
              </w:rPr>
            </w:pPr>
          </w:p>
        </w:tc>
        <w:tc>
          <w:tcPr>
            <w:tcW w:w="2055" w:type="dxa"/>
          </w:tcPr>
          <w:p w14:paraId="40E3CD9B" w14:textId="77777777" w:rsidR="00274904" w:rsidRPr="0012013C" w:rsidRDefault="00274904" w:rsidP="0012013C">
            <w:pPr>
              <w:pStyle w:val="TSBodyText"/>
              <w:ind w:right="749"/>
              <w:jc w:val="right"/>
              <w:rPr>
                <w:b/>
              </w:rPr>
            </w:pPr>
          </w:p>
        </w:tc>
        <w:tc>
          <w:tcPr>
            <w:tcW w:w="2055" w:type="dxa"/>
          </w:tcPr>
          <w:p w14:paraId="7E53916A" w14:textId="77777777" w:rsidR="00274904" w:rsidRPr="0012013C" w:rsidRDefault="00274904" w:rsidP="0012013C">
            <w:pPr>
              <w:pStyle w:val="TSBodyText"/>
              <w:ind w:right="749"/>
              <w:jc w:val="right"/>
              <w:rPr>
                <w:b/>
              </w:rPr>
            </w:pPr>
          </w:p>
        </w:tc>
      </w:tr>
      <w:tr w:rsidR="00C473C8" w14:paraId="4F9A84DD" w14:textId="77777777" w:rsidTr="00970B33">
        <w:tc>
          <w:tcPr>
            <w:tcW w:w="2055" w:type="dxa"/>
            <w:vAlign w:val="center"/>
          </w:tcPr>
          <w:p w14:paraId="501EF6C8" w14:textId="61106B00" w:rsidR="00C473C8" w:rsidRPr="00B1078B" w:rsidRDefault="00C473C8" w:rsidP="0012013C">
            <w:pPr>
              <w:pStyle w:val="TSBodyText"/>
            </w:pPr>
            <w:r w:rsidRPr="00B1078B">
              <w:t>0</w:t>
            </w:r>
            <w:r w:rsidR="009D6751">
              <w:rPr>
                <w:sz w:val="20"/>
                <w:szCs w:val="20"/>
              </w:rPr>
              <w:t>–</w:t>
            </w:r>
            <w:r w:rsidRPr="00B1078B">
              <w:t>14</w:t>
            </w:r>
          </w:p>
        </w:tc>
        <w:tc>
          <w:tcPr>
            <w:tcW w:w="2055" w:type="dxa"/>
          </w:tcPr>
          <w:p w14:paraId="4EEE300C" w14:textId="06466B7D" w:rsidR="00C473C8" w:rsidRPr="00B1078B" w:rsidRDefault="00C473C8" w:rsidP="0012013C">
            <w:pPr>
              <w:pStyle w:val="TSBodyText"/>
              <w:ind w:right="749"/>
              <w:jc w:val="right"/>
            </w:pPr>
            <w:r w:rsidRPr="00B1078B">
              <w:t xml:space="preserve">    </w:t>
            </w:r>
            <w:proofErr w:type="spellStart"/>
            <w:r w:rsidR="002F74DC" w:rsidRPr="00B1078B">
              <w:t>n.a.</w:t>
            </w:r>
            <w:proofErr w:type="spellEnd"/>
          </w:p>
        </w:tc>
        <w:tc>
          <w:tcPr>
            <w:tcW w:w="2055" w:type="dxa"/>
          </w:tcPr>
          <w:p w14:paraId="22B60A96" w14:textId="6AFE02B3" w:rsidR="00C473C8" w:rsidRPr="00B1078B" w:rsidRDefault="00C473C8" w:rsidP="0012013C">
            <w:pPr>
              <w:pStyle w:val="TSBodyText"/>
              <w:ind w:right="749"/>
              <w:jc w:val="right"/>
            </w:pPr>
            <w:r w:rsidRPr="00B1078B">
              <w:t xml:space="preserve"> </w:t>
            </w:r>
            <w:proofErr w:type="spellStart"/>
            <w:r w:rsidR="002F74DC" w:rsidRPr="00B1078B">
              <w:t>n.a.</w:t>
            </w:r>
            <w:proofErr w:type="spellEnd"/>
          </w:p>
        </w:tc>
        <w:tc>
          <w:tcPr>
            <w:tcW w:w="2055" w:type="dxa"/>
          </w:tcPr>
          <w:p w14:paraId="3CC0E83F" w14:textId="46BF4BBC" w:rsidR="00C473C8" w:rsidRPr="00B1078B" w:rsidRDefault="00C473C8" w:rsidP="0012013C">
            <w:pPr>
              <w:pStyle w:val="TSBodyText"/>
              <w:ind w:right="749"/>
              <w:jc w:val="right"/>
            </w:pPr>
            <w:r w:rsidRPr="00B1078B">
              <w:t xml:space="preserve">    </w:t>
            </w:r>
            <w:proofErr w:type="spellStart"/>
            <w:r w:rsidR="002F74DC" w:rsidRPr="00B1078B">
              <w:t>n.a.</w:t>
            </w:r>
            <w:proofErr w:type="spellEnd"/>
          </w:p>
        </w:tc>
      </w:tr>
      <w:tr w:rsidR="00C473C8" w14:paraId="35BC09A9" w14:textId="77777777" w:rsidTr="00970B33">
        <w:trPr>
          <w:cnfStyle w:val="000000010000" w:firstRow="0" w:lastRow="0" w:firstColumn="0" w:lastColumn="0" w:oddVBand="0" w:evenVBand="0" w:oddHBand="0" w:evenHBand="1" w:firstRowFirstColumn="0" w:firstRowLastColumn="0" w:lastRowFirstColumn="0" w:lastRowLastColumn="0"/>
        </w:trPr>
        <w:tc>
          <w:tcPr>
            <w:tcW w:w="2055" w:type="dxa"/>
            <w:vAlign w:val="center"/>
          </w:tcPr>
          <w:p w14:paraId="75E7F32A" w14:textId="700A5E24" w:rsidR="00C473C8" w:rsidRPr="00B1078B" w:rsidRDefault="00C473C8" w:rsidP="0012013C">
            <w:pPr>
              <w:pStyle w:val="TSBodyText"/>
            </w:pPr>
            <w:r w:rsidRPr="00B1078B">
              <w:t>15</w:t>
            </w:r>
            <w:r w:rsidR="009D6751">
              <w:t>–</w:t>
            </w:r>
            <w:r w:rsidRPr="00B1078B">
              <w:t>24</w:t>
            </w:r>
          </w:p>
        </w:tc>
        <w:tc>
          <w:tcPr>
            <w:tcW w:w="2055" w:type="dxa"/>
          </w:tcPr>
          <w:p w14:paraId="5E688D24" w14:textId="18529585" w:rsidR="00C473C8" w:rsidRPr="00B1078B" w:rsidRDefault="00C473C8" w:rsidP="0012013C">
            <w:pPr>
              <w:pStyle w:val="TSBodyText"/>
              <w:ind w:right="749"/>
              <w:jc w:val="right"/>
            </w:pPr>
            <w:r w:rsidRPr="00B1078B">
              <w:t xml:space="preserve"> $492,312 </w:t>
            </w:r>
          </w:p>
        </w:tc>
        <w:tc>
          <w:tcPr>
            <w:tcW w:w="2055" w:type="dxa"/>
          </w:tcPr>
          <w:p w14:paraId="6BFB73B8" w14:textId="0A2B32C4" w:rsidR="00C473C8" w:rsidRPr="00B1078B" w:rsidRDefault="00C473C8" w:rsidP="0012013C">
            <w:pPr>
              <w:pStyle w:val="TSBodyText"/>
              <w:ind w:right="749"/>
              <w:jc w:val="right"/>
            </w:pPr>
            <w:r w:rsidRPr="00B1078B">
              <w:t xml:space="preserve"> $550,515 </w:t>
            </w:r>
          </w:p>
        </w:tc>
        <w:tc>
          <w:tcPr>
            <w:tcW w:w="2055" w:type="dxa"/>
          </w:tcPr>
          <w:p w14:paraId="28934B49" w14:textId="66A1E8DD" w:rsidR="00C473C8" w:rsidRPr="00B1078B" w:rsidRDefault="00C473C8" w:rsidP="0012013C">
            <w:pPr>
              <w:pStyle w:val="TSBodyText"/>
              <w:ind w:right="749"/>
              <w:jc w:val="right"/>
            </w:pPr>
            <w:r w:rsidRPr="00B1078B">
              <w:t xml:space="preserve"> $596,797 </w:t>
            </w:r>
          </w:p>
        </w:tc>
      </w:tr>
      <w:tr w:rsidR="00C473C8" w14:paraId="0D713ACE" w14:textId="77777777" w:rsidTr="00970B33">
        <w:tc>
          <w:tcPr>
            <w:tcW w:w="2055" w:type="dxa"/>
            <w:vAlign w:val="center"/>
          </w:tcPr>
          <w:p w14:paraId="09CB5F94" w14:textId="0D4536FD" w:rsidR="00C473C8" w:rsidRPr="00B1078B" w:rsidRDefault="00C473C8" w:rsidP="0012013C">
            <w:pPr>
              <w:pStyle w:val="TSBodyText"/>
            </w:pPr>
            <w:r w:rsidRPr="00B1078B">
              <w:t>25</w:t>
            </w:r>
            <w:r w:rsidR="009D6751">
              <w:t>–</w:t>
            </w:r>
            <w:r w:rsidRPr="00B1078B">
              <w:t>34</w:t>
            </w:r>
          </w:p>
        </w:tc>
        <w:tc>
          <w:tcPr>
            <w:tcW w:w="2055" w:type="dxa"/>
          </w:tcPr>
          <w:p w14:paraId="5A1E79AB" w14:textId="04DEC793" w:rsidR="00C473C8" w:rsidRPr="00B1078B" w:rsidRDefault="00C473C8" w:rsidP="0012013C">
            <w:pPr>
              <w:pStyle w:val="TSBodyText"/>
              <w:ind w:right="749"/>
              <w:jc w:val="right"/>
            </w:pPr>
            <w:r w:rsidRPr="00B1078B">
              <w:t xml:space="preserve"> $1,623,524 </w:t>
            </w:r>
          </w:p>
        </w:tc>
        <w:tc>
          <w:tcPr>
            <w:tcW w:w="2055" w:type="dxa"/>
          </w:tcPr>
          <w:p w14:paraId="5E2E8B35" w14:textId="62ECDE08" w:rsidR="00C473C8" w:rsidRPr="00B1078B" w:rsidRDefault="00C473C8" w:rsidP="0012013C">
            <w:pPr>
              <w:pStyle w:val="TSBodyText"/>
              <w:ind w:right="749"/>
              <w:jc w:val="right"/>
            </w:pPr>
            <w:r w:rsidRPr="00B1078B">
              <w:t xml:space="preserve"> $1,800,747 </w:t>
            </w:r>
          </w:p>
        </w:tc>
        <w:tc>
          <w:tcPr>
            <w:tcW w:w="2055" w:type="dxa"/>
          </w:tcPr>
          <w:p w14:paraId="3A9F5449" w14:textId="32EC1B0F" w:rsidR="00C473C8" w:rsidRPr="00B1078B" w:rsidRDefault="00C473C8" w:rsidP="0012013C">
            <w:pPr>
              <w:pStyle w:val="TSBodyText"/>
              <w:ind w:right="749"/>
              <w:jc w:val="right"/>
            </w:pPr>
            <w:r w:rsidRPr="00B1078B">
              <w:t xml:space="preserve"> $1,938,161 </w:t>
            </w:r>
          </w:p>
        </w:tc>
      </w:tr>
      <w:tr w:rsidR="00C473C8" w14:paraId="5312D998" w14:textId="77777777" w:rsidTr="00970B33">
        <w:trPr>
          <w:cnfStyle w:val="000000010000" w:firstRow="0" w:lastRow="0" w:firstColumn="0" w:lastColumn="0" w:oddVBand="0" w:evenVBand="0" w:oddHBand="0" w:evenHBand="1" w:firstRowFirstColumn="0" w:firstRowLastColumn="0" w:lastRowFirstColumn="0" w:lastRowLastColumn="0"/>
        </w:trPr>
        <w:tc>
          <w:tcPr>
            <w:tcW w:w="2055" w:type="dxa"/>
            <w:vAlign w:val="center"/>
          </w:tcPr>
          <w:p w14:paraId="4BE9B2D9" w14:textId="43816F54" w:rsidR="00C473C8" w:rsidRPr="00B1078B" w:rsidRDefault="00C473C8" w:rsidP="0012013C">
            <w:pPr>
              <w:pStyle w:val="TSBodyText"/>
            </w:pPr>
            <w:r w:rsidRPr="00B1078B">
              <w:t>35</w:t>
            </w:r>
            <w:r w:rsidR="009D6751">
              <w:t>–</w:t>
            </w:r>
            <w:r w:rsidRPr="00B1078B">
              <w:t>44</w:t>
            </w:r>
          </w:p>
        </w:tc>
        <w:tc>
          <w:tcPr>
            <w:tcW w:w="2055" w:type="dxa"/>
          </w:tcPr>
          <w:p w14:paraId="5F7F09A5" w14:textId="1D88F155" w:rsidR="00C473C8" w:rsidRPr="00B1078B" w:rsidRDefault="00C473C8" w:rsidP="0012013C">
            <w:pPr>
              <w:pStyle w:val="TSBodyText"/>
              <w:ind w:right="749"/>
              <w:jc w:val="right"/>
            </w:pPr>
            <w:r w:rsidRPr="00B1078B">
              <w:t xml:space="preserve"> $2,185,787 </w:t>
            </w:r>
          </w:p>
        </w:tc>
        <w:tc>
          <w:tcPr>
            <w:tcW w:w="2055" w:type="dxa"/>
          </w:tcPr>
          <w:p w14:paraId="27A1DE7A" w14:textId="570DB3D4" w:rsidR="00C473C8" w:rsidRPr="00B1078B" w:rsidRDefault="00C473C8" w:rsidP="0012013C">
            <w:pPr>
              <w:pStyle w:val="TSBodyText"/>
              <w:ind w:right="749"/>
              <w:jc w:val="right"/>
            </w:pPr>
            <w:r w:rsidRPr="00B1078B">
              <w:t xml:space="preserve"> $2,394,683 </w:t>
            </w:r>
          </w:p>
        </w:tc>
        <w:tc>
          <w:tcPr>
            <w:tcW w:w="2055" w:type="dxa"/>
          </w:tcPr>
          <w:p w14:paraId="07E0B881" w14:textId="1ECDC813" w:rsidR="00C473C8" w:rsidRPr="00B1078B" w:rsidRDefault="00C473C8" w:rsidP="0012013C">
            <w:pPr>
              <w:pStyle w:val="TSBodyText"/>
              <w:ind w:right="749"/>
              <w:jc w:val="right"/>
            </w:pPr>
            <w:r w:rsidRPr="00B1078B">
              <w:t xml:space="preserve"> $2,547,398 </w:t>
            </w:r>
          </w:p>
        </w:tc>
      </w:tr>
      <w:tr w:rsidR="00C473C8" w14:paraId="40C403F8" w14:textId="77777777" w:rsidTr="00970B33">
        <w:tc>
          <w:tcPr>
            <w:tcW w:w="2055" w:type="dxa"/>
            <w:vAlign w:val="center"/>
          </w:tcPr>
          <w:p w14:paraId="153286EB" w14:textId="1A33866B" w:rsidR="00C473C8" w:rsidRPr="00B1078B" w:rsidRDefault="00C473C8" w:rsidP="0012013C">
            <w:pPr>
              <w:pStyle w:val="TSBodyText"/>
            </w:pPr>
            <w:r w:rsidRPr="00B1078B">
              <w:t>45</w:t>
            </w:r>
            <w:r w:rsidR="009D6751">
              <w:t>–</w:t>
            </w:r>
            <w:r w:rsidRPr="00B1078B">
              <w:t>54</w:t>
            </w:r>
          </w:p>
        </w:tc>
        <w:tc>
          <w:tcPr>
            <w:tcW w:w="2055" w:type="dxa"/>
          </w:tcPr>
          <w:p w14:paraId="4E6EB206" w14:textId="17E203F1" w:rsidR="00C473C8" w:rsidRPr="00B1078B" w:rsidRDefault="00C473C8" w:rsidP="0012013C">
            <w:pPr>
              <w:pStyle w:val="TSBodyText"/>
              <w:ind w:right="749"/>
              <w:jc w:val="right"/>
            </w:pPr>
            <w:r w:rsidRPr="00B1078B">
              <w:t xml:space="preserve"> $3,661,458 </w:t>
            </w:r>
          </w:p>
        </w:tc>
        <w:tc>
          <w:tcPr>
            <w:tcW w:w="2055" w:type="dxa"/>
          </w:tcPr>
          <w:p w14:paraId="07B0630E" w14:textId="1480E5F6" w:rsidR="00C473C8" w:rsidRPr="00B1078B" w:rsidRDefault="00C473C8" w:rsidP="0012013C">
            <w:pPr>
              <w:pStyle w:val="TSBodyText"/>
              <w:ind w:right="749"/>
              <w:jc w:val="right"/>
            </w:pPr>
            <w:r w:rsidRPr="00B1078B">
              <w:t xml:space="preserve"> $4,005,269 </w:t>
            </w:r>
          </w:p>
        </w:tc>
        <w:tc>
          <w:tcPr>
            <w:tcW w:w="2055" w:type="dxa"/>
          </w:tcPr>
          <w:p w14:paraId="14D4BF85" w14:textId="7385DC24" w:rsidR="00C473C8" w:rsidRPr="00B1078B" w:rsidRDefault="00C473C8" w:rsidP="0012013C">
            <w:pPr>
              <w:pStyle w:val="TSBodyText"/>
              <w:ind w:right="749"/>
              <w:jc w:val="right"/>
            </w:pPr>
            <w:r w:rsidRPr="00B1078B">
              <w:t xml:space="preserve"> $4,242,153 </w:t>
            </w:r>
          </w:p>
        </w:tc>
      </w:tr>
      <w:tr w:rsidR="00C473C8" w14:paraId="76EE98F7" w14:textId="77777777" w:rsidTr="00970B33">
        <w:trPr>
          <w:cnfStyle w:val="000000010000" w:firstRow="0" w:lastRow="0" w:firstColumn="0" w:lastColumn="0" w:oddVBand="0" w:evenVBand="0" w:oddHBand="0" w:evenHBand="1" w:firstRowFirstColumn="0" w:firstRowLastColumn="0" w:lastRowFirstColumn="0" w:lastRowLastColumn="0"/>
        </w:trPr>
        <w:tc>
          <w:tcPr>
            <w:tcW w:w="2055" w:type="dxa"/>
            <w:vAlign w:val="center"/>
          </w:tcPr>
          <w:p w14:paraId="3AD912D7" w14:textId="1804CF02" w:rsidR="00C473C8" w:rsidRPr="00B1078B" w:rsidRDefault="00C473C8" w:rsidP="0012013C">
            <w:pPr>
              <w:pStyle w:val="TSBodyText"/>
            </w:pPr>
            <w:r w:rsidRPr="00B1078B">
              <w:t>55</w:t>
            </w:r>
            <w:r w:rsidR="009D6751">
              <w:t>–</w:t>
            </w:r>
            <w:r w:rsidRPr="00B1078B">
              <w:t>64</w:t>
            </w:r>
          </w:p>
        </w:tc>
        <w:tc>
          <w:tcPr>
            <w:tcW w:w="2055" w:type="dxa"/>
          </w:tcPr>
          <w:p w14:paraId="34B4A277" w14:textId="541F6D5F" w:rsidR="00C473C8" w:rsidRPr="00B1078B" w:rsidRDefault="00C473C8" w:rsidP="0012013C">
            <w:pPr>
              <w:pStyle w:val="TSBodyText"/>
              <w:ind w:right="749"/>
              <w:jc w:val="right"/>
            </w:pPr>
            <w:r w:rsidRPr="00B1078B">
              <w:t xml:space="preserve"> $3,977,095 </w:t>
            </w:r>
          </w:p>
        </w:tc>
        <w:tc>
          <w:tcPr>
            <w:tcW w:w="2055" w:type="dxa"/>
          </w:tcPr>
          <w:p w14:paraId="10C97956" w14:textId="0F070297" w:rsidR="00C473C8" w:rsidRPr="00B1078B" w:rsidRDefault="00C473C8" w:rsidP="0012013C">
            <w:pPr>
              <w:pStyle w:val="TSBodyText"/>
              <w:ind w:right="749"/>
              <w:jc w:val="right"/>
            </w:pPr>
            <w:r w:rsidRPr="00B1078B">
              <w:t xml:space="preserve"> $4,346,177 </w:t>
            </w:r>
          </w:p>
        </w:tc>
        <w:tc>
          <w:tcPr>
            <w:tcW w:w="2055" w:type="dxa"/>
          </w:tcPr>
          <w:p w14:paraId="1C40A45F" w14:textId="2ECE889E" w:rsidR="00C473C8" w:rsidRPr="00B1078B" w:rsidRDefault="00C473C8" w:rsidP="0012013C">
            <w:pPr>
              <w:pStyle w:val="TSBodyText"/>
              <w:ind w:right="749"/>
              <w:jc w:val="right"/>
            </w:pPr>
            <w:r w:rsidRPr="00B1078B">
              <w:t xml:space="preserve"> $4,592,722 </w:t>
            </w:r>
          </w:p>
        </w:tc>
      </w:tr>
      <w:tr w:rsidR="002F74DC" w14:paraId="4A81C070" w14:textId="77777777" w:rsidTr="00970B33">
        <w:tc>
          <w:tcPr>
            <w:tcW w:w="2055" w:type="dxa"/>
            <w:vAlign w:val="center"/>
          </w:tcPr>
          <w:p w14:paraId="3A6F2E5F" w14:textId="524BC0E4" w:rsidR="002F74DC" w:rsidRPr="00B1078B" w:rsidRDefault="002F74DC" w:rsidP="0012013C">
            <w:pPr>
              <w:pStyle w:val="TSBodyText"/>
            </w:pPr>
            <w:r w:rsidRPr="00B1078B">
              <w:t>65</w:t>
            </w:r>
            <w:r w:rsidR="009D6751">
              <w:t>–</w:t>
            </w:r>
            <w:r w:rsidRPr="00B1078B">
              <w:t>74</w:t>
            </w:r>
          </w:p>
        </w:tc>
        <w:tc>
          <w:tcPr>
            <w:tcW w:w="2055" w:type="dxa"/>
          </w:tcPr>
          <w:p w14:paraId="5652C90E" w14:textId="5E0730E1" w:rsidR="002F74DC" w:rsidRPr="00B1078B" w:rsidRDefault="002F74DC" w:rsidP="0012013C">
            <w:pPr>
              <w:pStyle w:val="TSBodyText"/>
              <w:ind w:right="749"/>
              <w:jc w:val="right"/>
            </w:pPr>
            <w:r w:rsidRPr="00B1078B">
              <w:t xml:space="preserve">    </w:t>
            </w:r>
            <w:proofErr w:type="spellStart"/>
            <w:r w:rsidRPr="00B1078B">
              <w:t>n.a.</w:t>
            </w:r>
            <w:proofErr w:type="spellEnd"/>
          </w:p>
        </w:tc>
        <w:tc>
          <w:tcPr>
            <w:tcW w:w="2055" w:type="dxa"/>
          </w:tcPr>
          <w:p w14:paraId="40F7F00F" w14:textId="5BAD42A1" w:rsidR="002F74DC" w:rsidRPr="00B1078B" w:rsidRDefault="002F74DC" w:rsidP="0012013C">
            <w:pPr>
              <w:pStyle w:val="TSBodyText"/>
              <w:ind w:right="749"/>
              <w:jc w:val="right"/>
            </w:pPr>
            <w:r w:rsidRPr="00B1078B">
              <w:t xml:space="preserve"> </w:t>
            </w:r>
            <w:proofErr w:type="spellStart"/>
            <w:r w:rsidRPr="00B1078B">
              <w:t>n.a.</w:t>
            </w:r>
            <w:proofErr w:type="spellEnd"/>
          </w:p>
        </w:tc>
        <w:tc>
          <w:tcPr>
            <w:tcW w:w="2055" w:type="dxa"/>
          </w:tcPr>
          <w:p w14:paraId="02C13E5A" w14:textId="173BEE21" w:rsidR="002F74DC" w:rsidRPr="00B1078B" w:rsidRDefault="002F74DC" w:rsidP="0012013C">
            <w:pPr>
              <w:pStyle w:val="TSBodyText"/>
              <w:ind w:right="749"/>
              <w:jc w:val="right"/>
            </w:pPr>
            <w:r w:rsidRPr="00B1078B">
              <w:t xml:space="preserve">    </w:t>
            </w:r>
            <w:proofErr w:type="spellStart"/>
            <w:r w:rsidRPr="00B1078B">
              <w:t>n.a.</w:t>
            </w:r>
            <w:proofErr w:type="spellEnd"/>
          </w:p>
        </w:tc>
      </w:tr>
      <w:tr w:rsidR="002F74DC" w14:paraId="38A65210" w14:textId="77777777" w:rsidTr="00970B33">
        <w:trPr>
          <w:cnfStyle w:val="000000010000" w:firstRow="0" w:lastRow="0" w:firstColumn="0" w:lastColumn="0" w:oddVBand="0" w:evenVBand="0" w:oddHBand="0" w:evenHBand="1" w:firstRowFirstColumn="0" w:firstRowLastColumn="0" w:lastRowFirstColumn="0" w:lastRowLastColumn="0"/>
        </w:trPr>
        <w:tc>
          <w:tcPr>
            <w:tcW w:w="2055" w:type="dxa"/>
            <w:vAlign w:val="center"/>
          </w:tcPr>
          <w:p w14:paraId="6EC055F0" w14:textId="0AC6B726" w:rsidR="002F74DC" w:rsidRPr="00B1078B" w:rsidRDefault="002F74DC" w:rsidP="0012013C">
            <w:pPr>
              <w:pStyle w:val="TSBodyText"/>
            </w:pPr>
            <w:r w:rsidRPr="00B1078B">
              <w:t>75</w:t>
            </w:r>
            <w:r w:rsidR="009D6751">
              <w:t>–</w:t>
            </w:r>
            <w:r w:rsidRPr="00B1078B">
              <w:t>99</w:t>
            </w:r>
          </w:p>
        </w:tc>
        <w:tc>
          <w:tcPr>
            <w:tcW w:w="2055" w:type="dxa"/>
          </w:tcPr>
          <w:p w14:paraId="63ADD371" w14:textId="213BEE34" w:rsidR="002F74DC" w:rsidRPr="00B1078B" w:rsidRDefault="002F74DC" w:rsidP="0012013C">
            <w:pPr>
              <w:pStyle w:val="TSBodyText"/>
              <w:ind w:right="749"/>
              <w:jc w:val="right"/>
            </w:pPr>
            <w:r w:rsidRPr="00B1078B">
              <w:t xml:space="preserve">    </w:t>
            </w:r>
            <w:proofErr w:type="spellStart"/>
            <w:r w:rsidRPr="00B1078B">
              <w:t>n.a.</w:t>
            </w:r>
            <w:proofErr w:type="spellEnd"/>
          </w:p>
        </w:tc>
        <w:tc>
          <w:tcPr>
            <w:tcW w:w="2055" w:type="dxa"/>
          </w:tcPr>
          <w:p w14:paraId="1E958E9D" w14:textId="6515CB0B" w:rsidR="002F74DC" w:rsidRPr="00B1078B" w:rsidRDefault="002F74DC" w:rsidP="0012013C">
            <w:pPr>
              <w:pStyle w:val="TSBodyText"/>
              <w:ind w:right="749"/>
              <w:jc w:val="right"/>
            </w:pPr>
            <w:r w:rsidRPr="00B1078B">
              <w:t xml:space="preserve"> </w:t>
            </w:r>
            <w:proofErr w:type="spellStart"/>
            <w:r w:rsidRPr="00B1078B">
              <w:t>n.a.</w:t>
            </w:r>
            <w:proofErr w:type="spellEnd"/>
          </w:p>
        </w:tc>
        <w:tc>
          <w:tcPr>
            <w:tcW w:w="2055" w:type="dxa"/>
          </w:tcPr>
          <w:p w14:paraId="6A8CDA79" w14:textId="024052A8" w:rsidR="002F74DC" w:rsidRPr="00B1078B" w:rsidRDefault="002F74DC" w:rsidP="0012013C">
            <w:pPr>
              <w:pStyle w:val="TSBodyText"/>
              <w:ind w:right="749"/>
              <w:jc w:val="right"/>
            </w:pPr>
            <w:r w:rsidRPr="00B1078B">
              <w:t xml:space="preserve">    </w:t>
            </w:r>
            <w:proofErr w:type="spellStart"/>
            <w:r w:rsidRPr="00B1078B">
              <w:t>n.a.</w:t>
            </w:r>
            <w:proofErr w:type="spellEnd"/>
          </w:p>
        </w:tc>
      </w:tr>
    </w:tbl>
    <w:p w14:paraId="3D3A2BA5" w14:textId="0823885E" w:rsidR="00B1078B" w:rsidRDefault="00B1078B" w:rsidP="00B1078B">
      <w:pPr>
        <w:pStyle w:val="USSource"/>
      </w:pPr>
      <w:bookmarkStart w:id="214" w:name="_Hlk149070628"/>
      <w:r>
        <w:t xml:space="preserve">Source: NZIER, based on Chambers and </w:t>
      </w:r>
      <w:proofErr w:type="spellStart"/>
      <w:r>
        <w:t>Mizdrak</w:t>
      </w:r>
      <w:proofErr w:type="spellEnd"/>
      <w:r>
        <w:t xml:space="preserve"> (forthcoming) and </w:t>
      </w:r>
      <w:r w:rsidR="00723256">
        <w:t>NMDS</w:t>
      </w:r>
      <w:r>
        <w:t xml:space="preserve"> data supplied by </w:t>
      </w:r>
      <w:proofErr w:type="spellStart"/>
      <w:r>
        <w:t>Te</w:t>
      </w:r>
      <w:proofErr w:type="spellEnd"/>
      <w:r>
        <w:t xml:space="preserve"> </w:t>
      </w:r>
      <w:proofErr w:type="spellStart"/>
      <w:r>
        <w:t>Whatu</w:t>
      </w:r>
      <w:proofErr w:type="spellEnd"/>
      <w:r>
        <w:t xml:space="preserve"> Ora</w:t>
      </w:r>
    </w:p>
    <w:p w14:paraId="74C027DE" w14:textId="5023473D" w:rsidR="00506847" w:rsidRPr="008630AB" w:rsidRDefault="004B0159" w:rsidP="004B0159">
      <w:pPr>
        <w:pStyle w:val="Heading2"/>
      </w:pPr>
      <w:bookmarkStart w:id="215" w:name="_Toc160633868"/>
      <w:bookmarkEnd w:id="214"/>
      <w:r>
        <w:t xml:space="preserve">Lost productivity associated with </w:t>
      </w:r>
      <w:r w:rsidR="00503AF0">
        <w:t xml:space="preserve">alcohol-attributable injuries and </w:t>
      </w:r>
      <w:proofErr w:type="gramStart"/>
      <w:r>
        <w:t>disability</w:t>
      </w:r>
      <w:bookmarkEnd w:id="215"/>
      <w:proofErr w:type="gramEnd"/>
      <w:r>
        <w:t xml:space="preserve"> </w:t>
      </w:r>
    </w:p>
    <w:p w14:paraId="0AC66763" w14:textId="12E6754B" w:rsidR="00506847" w:rsidRDefault="00503AF0" w:rsidP="00B82011">
      <w:pPr>
        <w:pStyle w:val="USBodyText"/>
      </w:pPr>
      <w:r>
        <w:t xml:space="preserve">In section </w:t>
      </w:r>
      <w:r w:rsidR="008740D2">
        <w:fldChar w:fldCharType="begin"/>
      </w:r>
      <w:r w:rsidR="008740D2">
        <w:instrText xml:space="preserve"> REF _Ref152851717 \n \h </w:instrText>
      </w:r>
      <w:r w:rsidR="008740D2">
        <w:fldChar w:fldCharType="separate"/>
      </w:r>
      <w:r w:rsidR="00AE166D">
        <w:t>5.4</w:t>
      </w:r>
      <w:r w:rsidR="008740D2">
        <w:fldChar w:fldCharType="end"/>
      </w:r>
      <w:r w:rsidR="00617803">
        <w:t>,</w:t>
      </w:r>
      <w:r w:rsidR="002E54C1">
        <w:t xml:space="preserve"> we estimated the cost to ACC of paying income compensation for people who are </w:t>
      </w:r>
      <w:r w:rsidR="00B731CD">
        <w:t xml:space="preserve">unable to work due to alcohol-attributable injuries. As ACC pays up to 80 percent of a person’s usual income in weekly compensation, </w:t>
      </w:r>
      <w:r w:rsidR="00AF626A">
        <w:t xml:space="preserve">it is possible to estimate the value of productivity loss associated with these injury cases. </w:t>
      </w:r>
      <w:r w:rsidR="00A81939">
        <w:t>For 202</w:t>
      </w:r>
      <w:r w:rsidR="00155222">
        <w:t>2, the most recent year of ACC claims available</w:t>
      </w:r>
      <w:r w:rsidR="00FF5E44">
        <w:t>, we estimated the total weekly compensation costs attributable to alcohol to be $</w:t>
      </w:r>
      <w:r w:rsidR="00966C09">
        <w:t>339 million</w:t>
      </w:r>
      <w:r w:rsidR="001C33F2">
        <w:t>. Based on this figure representing 80 percent of the income that would have been earned in the absence of alcohol-attributable injury, the estimated productivity loss is $</w:t>
      </w:r>
      <w:r w:rsidR="00966C09">
        <w:t>424 million</w:t>
      </w:r>
      <w:r w:rsidR="00DF4748">
        <w:t xml:space="preserve"> (See </w:t>
      </w:r>
      <w:r w:rsidR="00966C09">
        <w:fldChar w:fldCharType="begin"/>
      </w:r>
      <w:r w:rsidR="00966C09">
        <w:instrText xml:space="preserve"> REF _Ref149070573 \h </w:instrText>
      </w:r>
      <w:r w:rsidR="00966C09">
        <w:fldChar w:fldCharType="separate"/>
      </w:r>
      <w:r w:rsidR="00AE166D" w:rsidRPr="00731CA6">
        <w:t xml:space="preserve">Table </w:t>
      </w:r>
      <w:r w:rsidR="00AE166D">
        <w:rPr>
          <w:noProof/>
        </w:rPr>
        <w:t>46</w:t>
      </w:r>
      <w:r w:rsidR="00966C09">
        <w:fldChar w:fldCharType="end"/>
      </w:r>
      <w:r w:rsidR="00DF4748">
        <w:t xml:space="preserve"> below).</w:t>
      </w:r>
    </w:p>
    <w:p w14:paraId="63A0AB72" w14:textId="410943C6" w:rsidR="00DF4748" w:rsidRPr="00731CA6" w:rsidRDefault="00DF4748" w:rsidP="00966C09">
      <w:pPr>
        <w:pStyle w:val="TableCaption"/>
        <w:keepLines/>
      </w:pPr>
      <w:bookmarkStart w:id="216" w:name="_Ref149070573"/>
      <w:bookmarkStart w:id="217" w:name="_Toc160633953"/>
      <w:r w:rsidRPr="00731CA6">
        <w:t xml:space="preserve">Table </w:t>
      </w:r>
      <w:fldSimple w:instr=" SEQ Table \* ARABIC ">
        <w:r w:rsidR="00AE166D">
          <w:rPr>
            <w:noProof/>
          </w:rPr>
          <w:t>46</w:t>
        </w:r>
      </w:fldSimple>
      <w:bookmarkEnd w:id="216"/>
      <w:r w:rsidRPr="00731CA6">
        <w:t xml:space="preserve"> </w:t>
      </w:r>
      <w:r w:rsidR="00726D9C">
        <w:t xml:space="preserve">Estimated </w:t>
      </w:r>
      <w:r w:rsidR="00AB29C9">
        <w:t xml:space="preserve">cost </w:t>
      </w:r>
      <w:r w:rsidR="00726D9C">
        <w:t xml:space="preserve">of productivity loss associated with alcohol-attributable injuries and </w:t>
      </w:r>
      <w:proofErr w:type="gramStart"/>
      <w:r w:rsidR="00726D9C">
        <w:t>disability</w:t>
      </w:r>
      <w:bookmarkEnd w:id="217"/>
      <w:proofErr w:type="gramEnd"/>
    </w:p>
    <w:p w14:paraId="25DE239C" w14:textId="1E788AE1" w:rsidR="00DF4748" w:rsidRPr="00731CA6" w:rsidRDefault="00DF4748" w:rsidP="00966C09">
      <w:pPr>
        <w:pStyle w:val="CaptionSubheading"/>
        <w:keepLines/>
      </w:pPr>
    </w:p>
    <w:tbl>
      <w:tblPr>
        <w:tblStyle w:val="TableDefault"/>
        <w:tblW w:w="8220" w:type="dxa"/>
        <w:tblLook w:val="0460" w:firstRow="1" w:lastRow="1" w:firstColumn="0" w:lastColumn="0" w:noHBand="0" w:noVBand="1"/>
      </w:tblPr>
      <w:tblGrid>
        <w:gridCol w:w="4961"/>
        <w:gridCol w:w="1559"/>
        <w:gridCol w:w="1700"/>
      </w:tblGrid>
      <w:tr w:rsidR="00DF4748" w:rsidRPr="00731CA6" w14:paraId="4409DCEE" w14:textId="77777777" w:rsidTr="00966C09">
        <w:trPr>
          <w:cnfStyle w:val="100000000000" w:firstRow="1" w:lastRow="0" w:firstColumn="0" w:lastColumn="0" w:oddVBand="0" w:evenVBand="0" w:oddHBand="0" w:evenHBand="0" w:firstRowFirstColumn="0" w:firstRowLastColumn="0" w:lastRowFirstColumn="0" w:lastRowLastColumn="0"/>
        </w:trPr>
        <w:tc>
          <w:tcPr>
            <w:tcW w:w="3018" w:type="pct"/>
          </w:tcPr>
          <w:p w14:paraId="5608E06D" w14:textId="0A5F796A" w:rsidR="00DF4748" w:rsidRPr="00731CA6" w:rsidRDefault="00DF4748" w:rsidP="00966C09">
            <w:pPr>
              <w:pStyle w:val="TSTableHeadingWhite-TopRow"/>
            </w:pPr>
          </w:p>
        </w:tc>
        <w:tc>
          <w:tcPr>
            <w:tcW w:w="948" w:type="pct"/>
          </w:tcPr>
          <w:p w14:paraId="2D969DC0" w14:textId="723C06E1" w:rsidR="00DF4748" w:rsidRPr="00731CA6" w:rsidRDefault="00692BAE" w:rsidP="00284FB2">
            <w:pPr>
              <w:pStyle w:val="TSTableHeadingWhite-TopRow"/>
              <w:jc w:val="center"/>
            </w:pPr>
            <w:r>
              <w:t xml:space="preserve">2022 </w:t>
            </w:r>
            <w:r w:rsidR="00284FB2">
              <w:t>v</w:t>
            </w:r>
            <w:r>
              <w:t>alue</w:t>
            </w:r>
          </w:p>
        </w:tc>
        <w:tc>
          <w:tcPr>
            <w:tcW w:w="1034" w:type="pct"/>
          </w:tcPr>
          <w:p w14:paraId="062E94A9" w14:textId="6407D5B6" w:rsidR="00DF4748" w:rsidRPr="00731CA6" w:rsidRDefault="00692BAE" w:rsidP="00284FB2">
            <w:pPr>
              <w:pStyle w:val="TSTableHeadingWhite-TopRow"/>
              <w:jc w:val="center"/>
            </w:pPr>
            <w:r>
              <w:t xml:space="preserve">2023 </w:t>
            </w:r>
            <w:r w:rsidR="00284FB2">
              <w:t>e</w:t>
            </w:r>
            <w:r>
              <w:t>stimate</w:t>
            </w:r>
          </w:p>
        </w:tc>
      </w:tr>
      <w:tr w:rsidR="00DF4748" w:rsidRPr="00731CA6" w14:paraId="0DBD67B0" w14:textId="77777777" w:rsidTr="00966C09">
        <w:tc>
          <w:tcPr>
            <w:tcW w:w="3018" w:type="pct"/>
          </w:tcPr>
          <w:p w14:paraId="496D5F84" w14:textId="47050632" w:rsidR="00DF4748" w:rsidRPr="00731CA6" w:rsidRDefault="003768C4" w:rsidP="00966C09">
            <w:pPr>
              <w:pStyle w:val="TSBodyText"/>
              <w:keepNext/>
              <w:keepLines/>
            </w:pPr>
            <w:r>
              <w:t>ACC weekly compensation claims</w:t>
            </w:r>
          </w:p>
        </w:tc>
        <w:tc>
          <w:tcPr>
            <w:tcW w:w="948" w:type="pct"/>
          </w:tcPr>
          <w:p w14:paraId="03F6289E" w14:textId="501F5A4C" w:rsidR="00DF4748" w:rsidRPr="00731CA6" w:rsidRDefault="008A51E3" w:rsidP="00284FB2">
            <w:pPr>
              <w:pStyle w:val="TSBodyText"/>
              <w:keepNext/>
              <w:keepLines/>
              <w:ind w:right="172"/>
              <w:jc w:val="right"/>
            </w:pPr>
            <w:r w:rsidRPr="008A51E3">
              <w:t>$316,567,142</w:t>
            </w:r>
          </w:p>
        </w:tc>
        <w:tc>
          <w:tcPr>
            <w:tcW w:w="1034" w:type="pct"/>
          </w:tcPr>
          <w:p w14:paraId="1580EAD3" w14:textId="6F0F7C34" w:rsidR="00DF4748" w:rsidRPr="00731CA6" w:rsidRDefault="0029129A" w:rsidP="00284FB2">
            <w:pPr>
              <w:pStyle w:val="TSBodyText"/>
              <w:keepNext/>
              <w:keepLines/>
              <w:ind w:right="172"/>
              <w:jc w:val="right"/>
            </w:pPr>
            <w:r>
              <w:t>$338,726,842</w:t>
            </w:r>
          </w:p>
        </w:tc>
      </w:tr>
      <w:tr w:rsidR="003768C4" w:rsidRPr="00731CA6" w14:paraId="348BB80B" w14:textId="77777777" w:rsidTr="00966C09">
        <w:trPr>
          <w:cnfStyle w:val="000000010000" w:firstRow="0" w:lastRow="0" w:firstColumn="0" w:lastColumn="0" w:oddVBand="0" w:evenVBand="0" w:oddHBand="0" w:evenHBand="1" w:firstRowFirstColumn="0" w:firstRowLastColumn="0" w:lastRowFirstColumn="0" w:lastRowLastColumn="0"/>
        </w:trPr>
        <w:tc>
          <w:tcPr>
            <w:tcW w:w="3018" w:type="pct"/>
          </w:tcPr>
          <w:p w14:paraId="4DE4487C" w14:textId="6448091F" w:rsidR="003768C4" w:rsidRDefault="008A51E3" w:rsidP="00966C09">
            <w:pPr>
              <w:pStyle w:val="TSBodyText"/>
              <w:keepNext/>
              <w:keepLines/>
            </w:pPr>
            <w:r>
              <w:t>C</w:t>
            </w:r>
            <w:r w:rsidR="00DF4B13">
              <w:t xml:space="preserve">ompensation </w:t>
            </w:r>
            <w:r>
              <w:t xml:space="preserve">fraction of </w:t>
            </w:r>
            <w:r w:rsidR="00BC51A5">
              <w:t>earnings</w:t>
            </w:r>
          </w:p>
        </w:tc>
        <w:tc>
          <w:tcPr>
            <w:tcW w:w="948" w:type="pct"/>
          </w:tcPr>
          <w:p w14:paraId="49BD9430" w14:textId="5CE16CB5" w:rsidR="003768C4" w:rsidRPr="00731CA6" w:rsidRDefault="003768C4" w:rsidP="00284FB2">
            <w:pPr>
              <w:pStyle w:val="TSBodyText"/>
              <w:keepNext/>
              <w:keepLines/>
              <w:ind w:right="172"/>
              <w:jc w:val="right"/>
            </w:pPr>
          </w:p>
        </w:tc>
        <w:tc>
          <w:tcPr>
            <w:tcW w:w="1034" w:type="pct"/>
          </w:tcPr>
          <w:p w14:paraId="08EAD8CC" w14:textId="33DDCF87" w:rsidR="003768C4" w:rsidRPr="00731CA6" w:rsidRDefault="00692BAE" w:rsidP="00284FB2">
            <w:pPr>
              <w:pStyle w:val="TSBodyText"/>
              <w:keepNext/>
              <w:keepLines/>
              <w:ind w:right="172"/>
              <w:jc w:val="right"/>
            </w:pPr>
            <w:r>
              <w:t>80%</w:t>
            </w:r>
          </w:p>
        </w:tc>
      </w:tr>
      <w:tr w:rsidR="003768C4" w:rsidRPr="00731CA6" w14:paraId="6E00DFC4" w14:textId="77777777" w:rsidTr="00966C09">
        <w:trPr>
          <w:cnfStyle w:val="010000000000" w:firstRow="0" w:lastRow="1" w:firstColumn="0" w:lastColumn="0" w:oddVBand="0" w:evenVBand="0" w:oddHBand="0" w:evenHBand="0" w:firstRowFirstColumn="0" w:firstRowLastColumn="0" w:lastRowFirstColumn="0" w:lastRowLastColumn="0"/>
        </w:trPr>
        <w:tc>
          <w:tcPr>
            <w:tcW w:w="3018" w:type="pct"/>
          </w:tcPr>
          <w:p w14:paraId="62F60EB9" w14:textId="573E4FE7" w:rsidR="003768C4" w:rsidRDefault="008A51E3" w:rsidP="00966C09">
            <w:pPr>
              <w:pStyle w:val="TSBodyText"/>
              <w:keepNext/>
              <w:keepLines/>
            </w:pPr>
            <w:r>
              <w:t xml:space="preserve">Value of productivity loss </w:t>
            </w:r>
            <w:r w:rsidR="00107CCD">
              <w:t xml:space="preserve">associated with </w:t>
            </w:r>
            <w:r w:rsidR="00617803">
              <w:t>alcohol-</w:t>
            </w:r>
            <w:r w:rsidR="00454690">
              <w:t>attributable injuries disability</w:t>
            </w:r>
          </w:p>
        </w:tc>
        <w:tc>
          <w:tcPr>
            <w:tcW w:w="948" w:type="pct"/>
          </w:tcPr>
          <w:p w14:paraId="149FB3B0" w14:textId="4F1447F3" w:rsidR="003768C4" w:rsidRPr="00731CA6" w:rsidRDefault="003768C4" w:rsidP="00284FB2">
            <w:pPr>
              <w:pStyle w:val="TSBodyText"/>
              <w:keepNext/>
              <w:keepLines/>
              <w:ind w:right="172"/>
              <w:jc w:val="right"/>
            </w:pPr>
          </w:p>
        </w:tc>
        <w:tc>
          <w:tcPr>
            <w:tcW w:w="1034" w:type="pct"/>
          </w:tcPr>
          <w:p w14:paraId="4DBD30AB" w14:textId="745F2DE1" w:rsidR="003768C4" w:rsidRPr="00731CA6" w:rsidRDefault="00C44535" w:rsidP="00284FB2">
            <w:pPr>
              <w:pStyle w:val="TSBodyText"/>
              <w:keepNext/>
              <w:keepLines/>
              <w:ind w:right="172"/>
              <w:jc w:val="right"/>
            </w:pPr>
            <w:r>
              <w:t>$423,408,522</w:t>
            </w:r>
          </w:p>
        </w:tc>
      </w:tr>
    </w:tbl>
    <w:p w14:paraId="2EAFAB8E" w14:textId="77DBF12E" w:rsidR="00506847" w:rsidRDefault="00723256" w:rsidP="00284FB2">
      <w:pPr>
        <w:pStyle w:val="USSource"/>
      </w:pPr>
      <w:r w:rsidRPr="00723256">
        <w:t xml:space="preserve">Source: NZIER, based on Chambers and </w:t>
      </w:r>
      <w:proofErr w:type="spellStart"/>
      <w:r w:rsidRPr="00723256">
        <w:t>Mizdrak</w:t>
      </w:r>
      <w:proofErr w:type="spellEnd"/>
      <w:r w:rsidRPr="00723256">
        <w:t xml:space="preserve"> (forthcoming) and data supplied by </w:t>
      </w:r>
      <w:r>
        <w:t>ACC</w:t>
      </w:r>
    </w:p>
    <w:p w14:paraId="3CCC27C3" w14:textId="7811E8FE" w:rsidR="004D6C17" w:rsidRDefault="00DD2008" w:rsidP="004D6C17">
      <w:pPr>
        <w:pStyle w:val="USBodyText"/>
      </w:pPr>
      <w:r>
        <w:t>It is important to note that</w:t>
      </w:r>
      <w:r w:rsidR="00CE23F5">
        <w:t>, like the weekly compensation claims costs to ACC, the productivity loss estimate derived from these c</w:t>
      </w:r>
      <w:r w:rsidR="003231C9">
        <w:t>laims</w:t>
      </w:r>
      <w:r w:rsidR="00FE65B1">
        <w:t xml:space="preserve"> only represents the </w:t>
      </w:r>
      <w:r w:rsidR="009E5B6A">
        <w:t>value of los</w:t>
      </w:r>
      <w:r w:rsidR="00D33327">
        <w:t xml:space="preserve">t </w:t>
      </w:r>
      <w:r w:rsidR="009E5B6A">
        <w:t xml:space="preserve">production that would have been </w:t>
      </w:r>
      <w:r w:rsidR="0060142C">
        <w:t>paid for by employers of people who</w:t>
      </w:r>
      <w:r w:rsidR="00C352FE">
        <w:t xml:space="preserve"> experience short-term disability</w:t>
      </w:r>
      <w:r w:rsidR="00D33327">
        <w:t xml:space="preserve">. It excludes any </w:t>
      </w:r>
      <w:r w:rsidR="00872E47">
        <w:t xml:space="preserve">productivity impairment that may affect non-market </w:t>
      </w:r>
      <w:r w:rsidR="00872E47">
        <w:lastRenderedPageBreak/>
        <w:t>activity/production</w:t>
      </w:r>
      <w:r w:rsidR="00D33963">
        <w:t xml:space="preserve"> and therefore </w:t>
      </w:r>
      <w:r w:rsidR="00131706">
        <w:t>under-represents lost productivity</w:t>
      </w:r>
      <w:r w:rsidR="000458C7">
        <w:t xml:space="preserve"> overall as well as </w:t>
      </w:r>
      <w:r w:rsidR="000D6563">
        <w:t xml:space="preserve">for population groups that are </w:t>
      </w:r>
      <w:r w:rsidR="004D6C17">
        <w:t xml:space="preserve">less likely to be in paid employment, including children, </w:t>
      </w:r>
      <w:r w:rsidR="000C1A55">
        <w:t xml:space="preserve">young adults, </w:t>
      </w:r>
      <w:r w:rsidR="004D6C17">
        <w:t xml:space="preserve">older people, women and </w:t>
      </w:r>
      <w:r w:rsidR="00ED1DEA">
        <w:t>Māori</w:t>
      </w:r>
      <w:r w:rsidR="004D6C17">
        <w:t xml:space="preserve">. </w:t>
      </w:r>
    </w:p>
    <w:p w14:paraId="01E2BB69" w14:textId="23A8BD01" w:rsidR="009D6B93" w:rsidRPr="00F143AD" w:rsidRDefault="009D6B93" w:rsidP="00506847">
      <w:pPr>
        <w:pStyle w:val="USBodyText"/>
      </w:pPr>
      <w:r w:rsidRPr="009D6B93">
        <w:t xml:space="preserve">For children and adults receiving the disability allowance or disability benefit, we do not estimate lost productivity as their receipt of a disability benefit does not mean the individual is not working or that their productivity is impaired. These benefits are paid to compensate for additional costs faced by disabled people and/or their </w:t>
      </w:r>
      <w:proofErr w:type="spellStart"/>
      <w:r w:rsidRPr="009D6B93">
        <w:t>carers</w:t>
      </w:r>
      <w:proofErr w:type="spellEnd"/>
      <w:r w:rsidRPr="009D6B93">
        <w:t>, not to compensate for lost income. Many people receiving the disability benefit are in employment</w:t>
      </w:r>
      <w:r w:rsidR="00907AB1">
        <w:t>,</w:t>
      </w:r>
      <w:r w:rsidRPr="009D6B93">
        <w:t xml:space="preserve"> and many disabled people do not experience productivity impairment as a result of their disability. The available data does not </w:t>
      </w:r>
      <w:r w:rsidR="00907AB1">
        <w:t>indicate</w:t>
      </w:r>
      <w:r w:rsidRPr="009D6B93">
        <w:t xml:space="preserve"> the proportions of employed and unemployed recipients of disability benefits.</w:t>
      </w:r>
    </w:p>
    <w:p w14:paraId="6D7A9865" w14:textId="77777777" w:rsidR="006C4C80" w:rsidRDefault="006C4C80" w:rsidP="006C4C80">
      <w:pPr>
        <w:pStyle w:val="Heading2"/>
      </w:pPr>
      <w:bookmarkStart w:id="218" w:name="_Toc160633869"/>
      <w:r>
        <w:t>Productivity losses due to incarceration</w:t>
      </w:r>
      <w:bookmarkEnd w:id="218"/>
    </w:p>
    <w:p w14:paraId="1335477E" w14:textId="33C132B2" w:rsidR="006C4C80" w:rsidRDefault="000C5468" w:rsidP="006C4C80">
      <w:pPr>
        <w:pStyle w:val="USBodyText"/>
      </w:pPr>
      <w:r>
        <w:t>P</w:t>
      </w:r>
      <w:r w:rsidR="006411CF">
        <w:t>roductivity losses experienced by p</w:t>
      </w:r>
      <w:r>
        <w:t xml:space="preserve">eople who are incarcerated as a result of </w:t>
      </w:r>
      <w:r w:rsidR="00907AB1">
        <w:t>alcohol-</w:t>
      </w:r>
      <w:r>
        <w:t>attributable crime</w:t>
      </w:r>
      <w:r w:rsidR="006411CF">
        <w:t xml:space="preserve"> should be counted as </w:t>
      </w:r>
      <w:r w:rsidR="00907AB1">
        <w:t>alcohol-</w:t>
      </w:r>
      <w:r w:rsidR="006411CF">
        <w:t>attributable.</w:t>
      </w:r>
      <w:r>
        <w:t xml:space="preserve"> </w:t>
      </w:r>
      <w:r w:rsidR="006C4C80">
        <w:t>Most reports that estimate the costs of alcohol harms make a broad assumption that people who are incarcerated are unproductive due to their incarceration.</w:t>
      </w:r>
      <w:r w:rsidR="006411CF">
        <w:t xml:space="preserve"> However, t</w:t>
      </w:r>
      <w:r w:rsidR="006C4C80">
        <w:t>his assumption does not hold in reality. Many prisoners are</w:t>
      </w:r>
      <w:r w:rsidR="009D6751">
        <w:t>,</w:t>
      </w:r>
      <w:r w:rsidR="006C4C80">
        <w:t xml:space="preserve"> in fact</w:t>
      </w:r>
      <w:r w:rsidR="00907AB1">
        <w:t>,</w:t>
      </w:r>
      <w:r w:rsidR="006C4C80">
        <w:t xml:space="preserve"> productively employed, including in some cases in paid employment outside of prisons while serving their sentence. There are three different types of work that may be performed by prisoners:</w:t>
      </w:r>
    </w:p>
    <w:p w14:paraId="7E04565B" w14:textId="16A9637B" w:rsidR="006C4C80" w:rsidRDefault="006C4C80" w:rsidP="006C4C80">
      <w:pPr>
        <w:pStyle w:val="USBullet1"/>
      </w:pPr>
      <w:r>
        <w:t>general prison maintenance, like cooking and cleaning (prisoners may be required to do this work</w:t>
      </w:r>
      <w:r w:rsidR="009D6751">
        <w:t>,</w:t>
      </w:r>
      <w:r>
        <w:t xml:space="preserve"> and it provides value to the corrections system by reducing the operational costs of prisons)</w:t>
      </w:r>
      <w:r w:rsidRPr="0050693C">
        <w:t xml:space="preserve"> </w:t>
      </w:r>
      <w:r w:rsidR="00D747B9">
        <w:fldChar w:fldCharType="begin"/>
      </w:r>
      <w:r w:rsidR="00F244F6">
        <w:instrText xml:space="preserve"> ADDIN ZOTERO_ITEM CSL_CITATION {"citationID":"5UKpq7rW","properties":{"formattedCitation":"(Community Law 2023)","plainCitation":"(Community Law 2023)","noteIndex":0},"citationItems":[{"id":71379,"uris":["http://zotero.org/groups/4944822/items/I46FHV75"],"itemData":{"id":71379,"type":"webpage","abstract":"Working, studying and other activities on the inside Working while in prison What types of work are there in prison? Corrections Act 2004, ss 62, 66, 66A; Corrections Regulations 2005, reg 27 There are three different types of work within the prison:…","container-title":"Community Law","language":"en","title":"Working while in prison","URL":"https://communitylaw.org.nz/community-law-manual/test/working-studying-and-other-activities-on-the-inside/working-while-in-prison/","author":[{"family":"Community Law","given":""}],"accessed":{"date-parts":[["2023",12,7]]},"issued":{"date-parts":[["2023"]]}}}],"schema":"https://github.com/citation-style-language/schema/raw/master/csl-citation.json"} </w:instrText>
      </w:r>
      <w:r w:rsidR="00D747B9">
        <w:fldChar w:fldCharType="separate"/>
      </w:r>
      <w:r w:rsidR="00D747B9" w:rsidRPr="00D747B9">
        <w:rPr>
          <w:rFonts w:cs="Calibri"/>
        </w:rPr>
        <w:t>(Community Law 2023)</w:t>
      </w:r>
      <w:r w:rsidR="00D747B9">
        <w:fldChar w:fldCharType="end"/>
      </w:r>
      <w:r w:rsidRPr="0050693C">
        <w:t xml:space="preserve">. </w:t>
      </w:r>
    </w:p>
    <w:p w14:paraId="0771D9FF" w14:textId="06F0A598" w:rsidR="006C4C80" w:rsidRPr="0050693C" w:rsidRDefault="006C4C80" w:rsidP="006C4C80">
      <w:pPr>
        <w:pStyle w:val="USBullet1"/>
      </w:pPr>
      <w:r>
        <w:t>industry work experience, such as construction, farming or engineering (prisoners cannot be required to undertake this work, but is often performed on a voluntary basis)</w:t>
      </w:r>
      <w:r w:rsidRPr="0050693C">
        <w:t xml:space="preserve"> (Community Law 2023). </w:t>
      </w:r>
    </w:p>
    <w:p w14:paraId="35C4C5B5" w14:textId="15C2AEB5" w:rsidR="006C4C80" w:rsidRDefault="006C4C80" w:rsidP="006C4C80">
      <w:pPr>
        <w:pStyle w:val="USBullet1"/>
      </w:pPr>
      <w:r>
        <w:t xml:space="preserve">work release programmes, which allow minimum security prisoners and some low and </w:t>
      </w:r>
      <w:r w:rsidR="00907AB1">
        <w:t>medium-</w:t>
      </w:r>
      <w:r>
        <w:t>security prisoners to work for employers outside of the prison (</w:t>
      </w:r>
      <w:r w:rsidRPr="00BC25AF">
        <w:t>prisoners cannot be required to undertake this work, but is often performed on a voluntary basis</w:t>
      </w:r>
      <w:r>
        <w:t xml:space="preserve"> and </w:t>
      </w:r>
      <w:r w:rsidR="00FC1CFA">
        <w:t>prisoners</w:t>
      </w:r>
      <w:r>
        <w:t xml:space="preserve"> are paid wages from which the prison may deduct costs for housing and food, as well as any money owed for property damage, unpaid fines or reparation, child support, and costs of travel to and from work) </w:t>
      </w:r>
      <w:r w:rsidR="005448F1">
        <w:fldChar w:fldCharType="begin"/>
      </w:r>
      <w:r w:rsidR="00F244F6">
        <w:instrText xml:space="preserve"> ADDIN ZOTERO_ITEM CSL_CITATION {"citationID":"BkPB32hn","properties":{"formattedCitation":"(Department of Corrections 2022)","plainCitation":"(Department of Corrections 2022)","noteIndex":0},"citationItems":[{"id":71381,"uris":["http://zotero.org/groups/4944822/items/WKSMNJJK"],"itemData":{"id":71381,"type":"webpage","abstract":"Release to work is a type of temporary release. The purpose of release to work is to assist prisoners in their reintegration by maintaining, developing or re-establishing work skills and habits, providing contact with the wider community, and providing the opportunity to save money for re-establishment on release.","language":"en-NZ","title":"M.04.07 Release to work","URL":"https://www.corrections.govt.nz/resources/policy_and_legislation/Prison-Operations-Manual/Movement/M.04-External-movement-transportation-of-prisoners/M.04.07-release-to-work-RTW","author":[{"family":"Department of Corrections","given":""}],"accessed":{"date-parts":[["2023",12,7]]},"issued":{"date-parts":[["2022",2,21]]}}}],"schema":"https://github.com/citation-style-language/schema/raw/master/csl-citation.json"} </w:instrText>
      </w:r>
      <w:r w:rsidR="005448F1">
        <w:fldChar w:fldCharType="separate"/>
      </w:r>
      <w:r w:rsidR="005448F1" w:rsidRPr="005448F1">
        <w:rPr>
          <w:rFonts w:cs="Calibri"/>
        </w:rPr>
        <w:t>(Department of Corrections 2022)</w:t>
      </w:r>
      <w:r w:rsidR="005448F1">
        <w:fldChar w:fldCharType="end"/>
      </w:r>
      <w:r>
        <w:t xml:space="preserve">. </w:t>
      </w:r>
    </w:p>
    <w:p w14:paraId="04229E77" w14:textId="1469AC91" w:rsidR="007B7EBB" w:rsidRDefault="007B7EBB" w:rsidP="007B7EBB">
      <w:pPr>
        <w:pStyle w:val="Heading4"/>
      </w:pPr>
      <w:r>
        <w:t xml:space="preserve">Estimating </w:t>
      </w:r>
      <w:r w:rsidR="00FC1CFA">
        <w:t>the productive prison workforce</w:t>
      </w:r>
    </w:p>
    <w:p w14:paraId="7CF6AEDC" w14:textId="11B91335" w:rsidR="00983ED8" w:rsidRDefault="00983ED8" w:rsidP="00983ED8">
      <w:pPr>
        <w:pStyle w:val="USBodyText"/>
      </w:pPr>
      <w:r>
        <w:t>According to the Department of Corrections, of the 8,294 on-site prison population:</w:t>
      </w:r>
    </w:p>
    <w:p w14:paraId="1E9F1BD8" w14:textId="4C7C180E" w:rsidR="00983ED8" w:rsidRDefault="00983ED8" w:rsidP="007B73EE">
      <w:pPr>
        <w:pStyle w:val="USBullet1"/>
      </w:pPr>
      <w:r>
        <w:t xml:space="preserve">36 percent are classified as minimum security (source) </w:t>
      </w:r>
    </w:p>
    <w:p w14:paraId="58FBF2ED" w14:textId="3E266FF0" w:rsidR="00983ED8" w:rsidRDefault="00983ED8" w:rsidP="007B73EE">
      <w:pPr>
        <w:pStyle w:val="USBullet1"/>
      </w:pPr>
      <w:r>
        <w:t xml:space="preserve">20.4 percent are classified as low </w:t>
      </w:r>
      <w:proofErr w:type="gramStart"/>
      <w:r>
        <w:t>security</w:t>
      </w:r>
      <w:proofErr w:type="gramEnd"/>
    </w:p>
    <w:p w14:paraId="54A3568C" w14:textId="245FE5A1" w:rsidR="00983ED8" w:rsidRDefault="00983ED8" w:rsidP="007B73EE">
      <w:pPr>
        <w:pStyle w:val="USBullet1"/>
      </w:pPr>
      <w:r>
        <w:t>25.1 percent are classified as low medium security</w:t>
      </w:r>
      <w:r w:rsidR="002C3605">
        <w:t>.</w:t>
      </w:r>
    </w:p>
    <w:p w14:paraId="660DF26D" w14:textId="58EFA455" w:rsidR="007B73EE" w:rsidRDefault="00983ED8" w:rsidP="00983ED8">
      <w:pPr>
        <w:pStyle w:val="USBodyText"/>
      </w:pPr>
      <w:r>
        <w:t>The Department of Corrections (202</w:t>
      </w:r>
      <w:r w:rsidR="005448F1">
        <w:t>2</w:t>
      </w:r>
      <w:r>
        <w:t xml:space="preserve">) indicates that over 59 percent of prisoners participate in employment or industry training, </w:t>
      </w:r>
      <w:r w:rsidR="007B77A2">
        <w:t>tra</w:t>
      </w:r>
      <w:r w:rsidR="00BF62F8">
        <w:t>n</w:t>
      </w:r>
      <w:r w:rsidR="007B77A2">
        <w:t xml:space="preserve">slating into </w:t>
      </w:r>
      <w:r w:rsidR="00CE1DB1">
        <w:t>4,893</w:t>
      </w:r>
      <w:r w:rsidR="00366262">
        <w:t xml:space="preserve"> people</w:t>
      </w:r>
      <w:r w:rsidR="0030527E">
        <w:t xml:space="preserve">, </w:t>
      </w:r>
      <w:r>
        <w:t>but does not provide a breakdown</w:t>
      </w:r>
      <w:r w:rsidR="00366262">
        <w:t xml:space="preserve"> that would allow employment to be separately identified from training</w:t>
      </w:r>
      <w:r>
        <w:t xml:space="preserve">. </w:t>
      </w:r>
      <w:r w:rsidR="00DC6DC6">
        <w:t>W</w:t>
      </w:r>
      <w:r w:rsidR="007B73EE">
        <w:t>e make the following assumptions:</w:t>
      </w:r>
    </w:p>
    <w:p w14:paraId="71E81E18" w14:textId="05BF14D1" w:rsidR="003A65CC" w:rsidRDefault="00D251AE" w:rsidP="007B73EE">
      <w:pPr>
        <w:pStyle w:val="USBullet1"/>
      </w:pPr>
      <w:r>
        <w:lastRenderedPageBreak/>
        <w:t>l</w:t>
      </w:r>
      <w:r w:rsidR="00FE4F4A">
        <w:t>abour force participation and employment in the</w:t>
      </w:r>
      <w:r w:rsidR="003A65CC">
        <w:t xml:space="preserve"> 36 percent of prisoners classified as </w:t>
      </w:r>
      <w:proofErr w:type="gramStart"/>
      <w:r w:rsidR="003A65CC">
        <w:t>minimum security</w:t>
      </w:r>
      <w:proofErr w:type="gramEnd"/>
      <w:r w:rsidR="00FE4F4A">
        <w:t xml:space="preserve"> mirrors the general population’s average labour force participation and employment</w:t>
      </w:r>
      <w:r w:rsidR="00C34164">
        <w:t xml:space="preserve">, resulting in </w:t>
      </w:r>
      <w:r w:rsidR="00FB3550">
        <w:t>2,986</w:t>
      </w:r>
      <w:r w:rsidR="007745BA">
        <w:t xml:space="preserve"> prisoners employed on work release programmes</w:t>
      </w:r>
      <w:r w:rsidR="00FE4F4A">
        <w:t xml:space="preserve"> </w:t>
      </w:r>
    </w:p>
    <w:p w14:paraId="46BB936D" w14:textId="6007BBF4" w:rsidR="007B73EE" w:rsidRDefault="00A56078" w:rsidP="007B73EE">
      <w:pPr>
        <w:pStyle w:val="USBullet1"/>
      </w:pPr>
      <w:r>
        <w:t>1,907</w:t>
      </w:r>
      <w:r w:rsidR="0094735E">
        <w:t xml:space="preserve"> other prisoners </w:t>
      </w:r>
      <w:r w:rsidR="00275EDC">
        <w:t xml:space="preserve">(the remaining prisoners participating in employment or industry training) </w:t>
      </w:r>
      <w:r w:rsidR="00F005EF">
        <w:t xml:space="preserve">are productively employed either within the prison or </w:t>
      </w:r>
      <w:r w:rsidR="00576132">
        <w:t>in voluntary work experience programmes</w:t>
      </w:r>
      <w:r w:rsidR="00D64F2E">
        <w:t xml:space="preserve">, with an </w:t>
      </w:r>
      <w:r w:rsidR="00C47913">
        <w:t xml:space="preserve">assumed </w:t>
      </w:r>
      <w:r w:rsidR="00D64F2E">
        <w:t>average of</w:t>
      </w:r>
      <w:r w:rsidR="002C3E72">
        <w:t xml:space="preserve"> half the productivity of the average minimum</w:t>
      </w:r>
      <w:r w:rsidR="00471EA4">
        <w:t>-</w:t>
      </w:r>
      <w:r w:rsidR="002C3E72">
        <w:t>security prisoner</w:t>
      </w:r>
      <w:r w:rsidR="002C3605">
        <w:t>,</w:t>
      </w:r>
      <w:r w:rsidR="00C47913">
        <w:t xml:space="preserve"> reflecting the reduced but not </w:t>
      </w:r>
      <w:r w:rsidR="00471EA4">
        <w:t>unavailable work opportunities for this group</w:t>
      </w:r>
      <w:r w:rsidR="002C3E72">
        <w:t xml:space="preserve">, equivalent to </w:t>
      </w:r>
      <w:r w:rsidR="00BE7321">
        <w:t xml:space="preserve">954 prisoners </w:t>
      </w:r>
      <w:r w:rsidR="007C3FE6">
        <w:t>employed full time</w:t>
      </w:r>
      <w:r w:rsidR="00BE7321">
        <w:t>.</w:t>
      </w:r>
    </w:p>
    <w:p w14:paraId="1C9B1A8C" w14:textId="68B519A3" w:rsidR="00BE7321" w:rsidRDefault="00BE7321" w:rsidP="008454EC">
      <w:pPr>
        <w:pStyle w:val="USBodyText"/>
      </w:pPr>
      <w:r>
        <w:t xml:space="preserve">As a result of these assumptions, </w:t>
      </w:r>
      <w:r w:rsidR="00444D38">
        <w:t xml:space="preserve">52.5 percent of </w:t>
      </w:r>
      <w:r w:rsidR="002C3605">
        <w:t xml:space="preserve">the </w:t>
      </w:r>
      <w:r w:rsidR="00444D38">
        <w:t xml:space="preserve">time in prison is estimated to be </w:t>
      </w:r>
      <w:r w:rsidR="001A7FD1">
        <w:t>unproductive</w:t>
      </w:r>
      <w:r w:rsidR="001E454F">
        <w:t xml:space="preserve">, with prisoners </w:t>
      </w:r>
      <w:r w:rsidR="00FC7D4B">
        <w:t>engaged</w:t>
      </w:r>
      <w:r w:rsidR="0052599E">
        <w:t xml:space="preserve"> in training with no immediate production value (</w:t>
      </w:r>
      <w:proofErr w:type="gramStart"/>
      <w:r w:rsidR="0052599E">
        <w:t>e</w:t>
      </w:r>
      <w:r w:rsidR="00D00ADE">
        <w:t>.</w:t>
      </w:r>
      <w:r w:rsidR="0052599E">
        <w:t>g.</w:t>
      </w:r>
      <w:proofErr w:type="gramEnd"/>
      <w:r w:rsidR="0052599E">
        <w:t xml:space="preserve"> education programmes) or not engaged in any training or employment</w:t>
      </w:r>
      <w:r w:rsidR="008454EC">
        <w:t>.</w:t>
      </w:r>
    </w:p>
    <w:p w14:paraId="703FE017" w14:textId="3FD74D12" w:rsidR="00FC7D4B" w:rsidRDefault="00FC7D4B" w:rsidP="00FC7D4B">
      <w:pPr>
        <w:pStyle w:val="Heading4"/>
      </w:pPr>
      <w:r>
        <w:t>The counterfactual</w:t>
      </w:r>
    </w:p>
    <w:p w14:paraId="4D896B9C" w14:textId="02D61E2A" w:rsidR="00A12894" w:rsidRDefault="009F49C7" w:rsidP="006C4C80">
      <w:pPr>
        <w:pStyle w:val="USBodyText"/>
      </w:pPr>
      <w:r>
        <w:t xml:space="preserve">The counterfactual employment scenario for </w:t>
      </w:r>
      <w:r w:rsidR="002E2DDC">
        <w:t>incarcerated individuals is not known</w:t>
      </w:r>
      <w:r w:rsidR="00B66E80">
        <w:t xml:space="preserve">. It is </w:t>
      </w:r>
      <w:r w:rsidR="00B93ADD">
        <w:t>not even known</w:t>
      </w:r>
      <w:r w:rsidR="00B66E80">
        <w:t xml:space="preserve"> that </w:t>
      </w:r>
      <w:r w:rsidR="00B93ADD">
        <w:t>productivity is lower in prison than out of prison</w:t>
      </w:r>
      <w:r w:rsidR="00621221">
        <w:t>. W</w:t>
      </w:r>
      <w:r w:rsidR="00B66E80">
        <w:t xml:space="preserve">ith a high level of employment through prison programmes, the productivity of this group </w:t>
      </w:r>
      <w:r w:rsidR="00621221">
        <w:t>could</w:t>
      </w:r>
      <w:r w:rsidR="009D6751">
        <w:t>,</w:t>
      </w:r>
      <w:r w:rsidR="00621221">
        <w:t xml:space="preserve"> in fact</w:t>
      </w:r>
      <w:r w:rsidR="009D6751">
        <w:t>,</w:t>
      </w:r>
      <w:r w:rsidR="00621221">
        <w:t xml:space="preserve"> be</w:t>
      </w:r>
      <w:r w:rsidR="00B66E80">
        <w:t xml:space="preserve"> higher than in the counterfactual</w:t>
      </w:r>
      <w:r w:rsidR="002C3605">
        <w:t xml:space="preserve">. </w:t>
      </w:r>
      <w:r w:rsidR="00D142B6">
        <w:t xml:space="preserve">For example, </w:t>
      </w:r>
      <w:r w:rsidR="005C24CF">
        <w:t xml:space="preserve">an Australian study (Giles and Le 2007) found that people who were incarcerated had </w:t>
      </w:r>
      <w:r w:rsidR="002C3605">
        <w:t>a very</w:t>
      </w:r>
      <w:r w:rsidR="0041686E">
        <w:t xml:space="preserve"> </w:t>
      </w:r>
      <w:r w:rsidR="005C24CF">
        <w:t xml:space="preserve">low </w:t>
      </w:r>
      <w:r w:rsidR="0041686E">
        <w:t>employment rate</w:t>
      </w:r>
      <w:r w:rsidR="005C24CF">
        <w:t xml:space="preserve"> pre-incarceration (</w:t>
      </w:r>
      <w:r w:rsidR="00FC7D4B">
        <w:t>44 percent)</w:t>
      </w:r>
      <w:r w:rsidR="002C3605">
        <w:t>,</w:t>
      </w:r>
      <w:r w:rsidR="00FC7D4B">
        <w:t xml:space="preserve"> indicating that the counterfactual is not likely to be an average labour market scenario</w:t>
      </w:r>
      <w:r w:rsidR="000803E5">
        <w:t>.</w:t>
      </w:r>
      <w:r w:rsidR="007E160D">
        <w:t xml:space="preserve"> </w:t>
      </w:r>
    </w:p>
    <w:p w14:paraId="655A27CA" w14:textId="6B4FD2AC" w:rsidR="00A12894" w:rsidRDefault="00FC7D4B" w:rsidP="00A12894">
      <w:pPr>
        <w:pStyle w:val="USBodyText"/>
      </w:pPr>
      <w:r>
        <w:t>W</w:t>
      </w:r>
      <w:r w:rsidR="000B5464">
        <w:t xml:space="preserve">e </w:t>
      </w:r>
      <w:r w:rsidR="006F7640">
        <w:t xml:space="preserve">calculate productivity loss values based on two </w:t>
      </w:r>
      <w:r w:rsidR="00F04ABA">
        <w:t>possible counterfactuals</w:t>
      </w:r>
      <w:r w:rsidR="00A12894">
        <w:t xml:space="preserve"> for </w:t>
      </w:r>
      <w:r w:rsidR="004A36DE">
        <w:t xml:space="preserve">people incarcerated for </w:t>
      </w:r>
      <w:r w:rsidR="002C3605">
        <w:t>alcohol-</w:t>
      </w:r>
      <w:r w:rsidR="004A36DE">
        <w:t>attributable crimes</w:t>
      </w:r>
      <w:r w:rsidR="00A12894">
        <w:t>:</w:t>
      </w:r>
    </w:p>
    <w:p w14:paraId="2CCA205E" w14:textId="0928C362" w:rsidR="00F04ABA" w:rsidRDefault="00566A22" w:rsidP="00F04ABA">
      <w:pPr>
        <w:pStyle w:val="USBullet1"/>
      </w:pPr>
      <w:r>
        <w:t>High productive value scenario</w:t>
      </w:r>
      <w:r w:rsidR="00F04ABA">
        <w:t>:</w:t>
      </w:r>
    </w:p>
    <w:p w14:paraId="666A0C5D" w14:textId="1632661A" w:rsidR="00A12894" w:rsidRDefault="00A12894" w:rsidP="00566A22">
      <w:pPr>
        <w:pStyle w:val="USBullet2"/>
      </w:pPr>
      <w:r>
        <w:t>average employment rate</w:t>
      </w:r>
    </w:p>
    <w:p w14:paraId="25EC2349" w14:textId="2FDCB862" w:rsidR="00A12894" w:rsidRDefault="00E929A2" w:rsidP="00566A22">
      <w:pPr>
        <w:pStyle w:val="USBullet2"/>
      </w:pPr>
      <w:r>
        <w:t xml:space="preserve">total earnings based on full-time employment at </w:t>
      </w:r>
      <w:r w:rsidR="00604A0E">
        <w:t>median earnings</w:t>
      </w:r>
      <w:r w:rsidR="00D85A4A">
        <w:t>.</w:t>
      </w:r>
    </w:p>
    <w:p w14:paraId="5779E1AD" w14:textId="5F5C0193" w:rsidR="00604A0E" w:rsidRDefault="00604A0E" w:rsidP="00604A0E">
      <w:pPr>
        <w:pStyle w:val="USBullet1"/>
      </w:pPr>
      <w:r>
        <w:t>Low productive value scenario:</w:t>
      </w:r>
    </w:p>
    <w:p w14:paraId="2FA8D31F" w14:textId="6B923CFB" w:rsidR="00604A0E" w:rsidRDefault="0041686E" w:rsidP="00604A0E">
      <w:pPr>
        <w:pStyle w:val="USBullet2"/>
      </w:pPr>
      <w:r>
        <w:t>l</w:t>
      </w:r>
      <w:r w:rsidR="003E3385">
        <w:t xml:space="preserve">ow </w:t>
      </w:r>
      <w:r>
        <w:t>employment rate</w:t>
      </w:r>
      <w:r w:rsidR="003E3385">
        <w:t xml:space="preserve"> (44 percent, based on Giles and Le 2007)</w:t>
      </w:r>
    </w:p>
    <w:p w14:paraId="38E4DF67" w14:textId="7F2F4294" w:rsidR="003E3385" w:rsidRDefault="0041686E" w:rsidP="00604A0E">
      <w:pPr>
        <w:pStyle w:val="USBullet2"/>
      </w:pPr>
      <w:r>
        <w:t>minimum wage earnings</w:t>
      </w:r>
      <w:r w:rsidR="00274B8F">
        <w:t>.</w:t>
      </w:r>
    </w:p>
    <w:p w14:paraId="37E8CA25" w14:textId="42DE3B97" w:rsidR="00D85A4A" w:rsidRDefault="00D85A4A" w:rsidP="00D85A4A">
      <w:pPr>
        <w:pStyle w:val="Heading4"/>
      </w:pPr>
      <w:r>
        <w:t>Cost estimation</w:t>
      </w:r>
    </w:p>
    <w:p w14:paraId="541ACD59" w14:textId="2AFCAB12" w:rsidR="00D85A4A" w:rsidRPr="00D85A4A" w:rsidRDefault="006C29BA" w:rsidP="00D85A4A">
      <w:pPr>
        <w:pStyle w:val="USBodyText"/>
      </w:pPr>
      <w:r>
        <w:fldChar w:fldCharType="begin"/>
      </w:r>
      <w:r>
        <w:instrText xml:space="preserve"> REF _Ref156231196 \h </w:instrText>
      </w:r>
      <w:r>
        <w:fldChar w:fldCharType="separate"/>
      </w:r>
      <w:r w:rsidR="00AE166D" w:rsidRPr="00731CA6">
        <w:t xml:space="preserve">Table </w:t>
      </w:r>
      <w:r w:rsidR="00AE166D">
        <w:rPr>
          <w:noProof/>
        </w:rPr>
        <w:t>47</w:t>
      </w:r>
      <w:r>
        <w:fldChar w:fldCharType="end"/>
      </w:r>
      <w:r w:rsidR="00D85A4A">
        <w:t xml:space="preserve"> below</w:t>
      </w:r>
      <w:r w:rsidR="00D74827">
        <w:t xml:space="preserve"> </w:t>
      </w:r>
      <w:r w:rsidR="002C3605">
        <w:t>compares</w:t>
      </w:r>
      <w:r w:rsidR="00D74827">
        <w:t xml:space="preserve"> the estimated cost of productivity lost due to </w:t>
      </w:r>
      <w:r w:rsidR="002C3605">
        <w:t>alcohol-</w:t>
      </w:r>
      <w:r w:rsidR="00D74827">
        <w:t>attributable incarceration</w:t>
      </w:r>
      <w:r w:rsidR="004E3FE7">
        <w:t xml:space="preserve"> based on Ministry of Justice data</w:t>
      </w:r>
      <w:r w:rsidR="0041686E">
        <w:t xml:space="preserve"> under the two counterfactual productivity scenarios</w:t>
      </w:r>
      <w:r w:rsidR="004E3FE7">
        <w:t>.</w:t>
      </w:r>
      <w:r w:rsidR="00D10687">
        <w:t xml:space="preserve"> These result in a range of $</w:t>
      </w:r>
      <w:r w:rsidR="00AF7346">
        <w:t>3.4 million to $7.4 million in lost productivity for 2023</w:t>
      </w:r>
      <w:r w:rsidR="00DC2BBC">
        <w:t xml:space="preserve">, with a midpoint of </w:t>
      </w:r>
      <w:r w:rsidR="00526659">
        <w:t>$5.4 million.</w:t>
      </w:r>
    </w:p>
    <w:p w14:paraId="53A1D2D6" w14:textId="68643053" w:rsidR="00D2276D" w:rsidRPr="00731CA6" w:rsidRDefault="00D2276D" w:rsidP="00526659">
      <w:pPr>
        <w:pStyle w:val="TableCaption"/>
        <w:keepLines/>
      </w:pPr>
      <w:bookmarkStart w:id="219" w:name="_Ref156231196"/>
      <w:bookmarkStart w:id="220" w:name="_Toc160633954"/>
      <w:r w:rsidRPr="00731CA6">
        <w:t xml:space="preserve">Table </w:t>
      </w:r>
      <w:fldSimple w:instr=" SEQ Table \* ARABIC ">
        <w:r w:rsidR="00AE166D">
          <w:rPr>
            <w:noProof/>
          </w:rPr>
          <w:t>47</w:t>
        </w:r>
      </w:fldSimple>
      <w:bookmarkEnd w:id="219"/>
      <w:r w:rsidRPr="00731CA6">
        <w:t xml:space="preserve"> </w:t>
      </w:r>
      <w:r w:rsidR="00BD40CF">
        <w:t xml:space="preserve">Estimated cost of productivity lost due to alcohol-attributable </w:t>
      </w:r>
      <w:proofErr w:type="gramStart"/>
      <w:r w:rsidR="00BD40CF">
        <w:t>incarceration</w:t>
      </w:r>
      <w:bookmarkEnd w:id="220"/>
      <w:proofErr w:type="gramEnd"/>
    </w:p>
    <w:tbl>
      <w:tblPr>
        <w:tblStyle w:val="TableDefault"/>
        <w:tblW w:w="0" w:type="auto"/>
        <w:tblLook w:val="04A0" w:firstRow="1" w:lastRow="0" w:firstColumn="1" w:lastColumn="0" w:noHBand="0" w:noVBand="1"/>
      </w:tblPr>
      <w:tblGrid>
        <w:gridCol w:w="6237"/>
        <w:gridCol w:w="1983"/>
      </w:tblGrid>
      <w:tr w:rsidR="003F1C1E" w14:paraId="2AB60B1B" w14:textId="77777777" w:rsidTr="00DC2BBC">
        <w:trPr>
          <w:cnfStyle w:val="100000000000" w:firstRow="1" w:lastRow="0" w:firstColumn="0" w:lastColumn="0" w:oddVBand="0" w:evenVBand="0" w:oddHBand="0" w:evenHBand="0" w:firstRowFirstColumn="0" w:firstRowLastColumn="0" w:lastRowFirstColumn="0" w:lastRowLastColumn="0"/>
        </w:trPr>
        <w:tc>
          <w:tcPr>
            <w:tcW w:w="6237" w:type="dxa"/>
          </w:tcPr>
          <w:p w14:paraId="5C391852" w14:textId="1BF745A7" w:rsidR="003F1C1E" w:rsidRPr="00BD40CF" w:rsidRDefault="00BD40CF" w:rsidP="006E1A42">
            <w:pPr>
              <w:pStyle w:val="TSTableHeadingWhite-TopRow"/>
              <w:rPr>
                <w:b w:val="0"/>
                <w:bCs/>
                <w:color w:val="FFFFFF" w:themeColor="background1"/>
              </w:rPr>
            </w:pPr>
            <w:r w:rsidRPr="00BD40CF">
              <w:t>Parameter</w:t>
            </w:r>
          </w:p>
        </w:tc>
        <w:tc>
          <w:tcPr>
            <w:tcW w:w="1983" w:type="dxa"/>
          </w:tcPr>
          <w:p w14:paraId="1566FAF3" w14:textId="7FB90B4D" w:rsidR="003F1C1E" w:rsidRPr="00BD40CF" w:rsidRDefault="00BD40CF" w:rsidP="00F45684">
            <w:pPr>
              <w:pStyle w:val="TSTableHeadingWhite-TopRow"/>
              <w:jc w:val="center"/>
              <w:rPr>
                <w:b w:val="0"/>
                <w:bCs/>
                <w:color w:val="FFFFFF" w:themeColor="background1"/>
              </w:rPr>
            </w:pPr>
            <w:r w:rsidRPr="00BD40CF">
              <w:t>Value</w:t>
            </w:r>
          </w:p>
        </w:tc>
      </w:tr>
      <w:tr w:rsidR="003F1C1E" w14:paraId="023F3A79" w14:textId="77777777" w:rsidTr="00DC2BBC">
        <w:tc>
          <w:tcPr>
            <w:tcW w:w="6237" w:type="dxa"/>
          </w:tcPr>
          <w:p w14:paraId="1646C3F3" w14:textId="46A5969B" w:rsidR="003F1C1E" w:rsidRPr="00D10687" w:rsidRDefault="003F1C1E" w:rsidP="006E1A42">
            <w:pPr>
              <w:pStyle w:val="TSBodyText"/>
            </w:pPr>
            <w:r w:rsidRPr="00D10687">
              <w:t xml:space="preserve">Total </w:t>
            </w:r>
            <w:r w:rsidR="00D736DA" w:rsidRPr="00D10687">
              <w:t xml:space="preserve">discounted </w:t>
            </w:r>
            <w:r w:rsidRPr="00D10687">
              <w:t>sentenced years of prison for impulsive crimes</w:t>
            </w:r>
          </w:p>
        </w:tc>
        <w:tc>
          <w:tcPr>
            <w:tcW w:w="1983" w:type="dxa"/>
            <w:vAlign w:val="center"/>
          </w:tcPr>
          <w:p w14:paraId="33D80B88" w14:textId="7DAA5DCD" w:rsidR="003F1C1E" w:rsidRPr="00D10687" w:rsidRDefault="003F1C1E" w:rsidP="00F45684">
            <w:pPr>
              <w:pStyle w:val="TSBodyText"/>
              <w:ind w:right="606"/>
              <w:jc w:val="right"/>
            </w:pPr>
            <w:r w:rsidRPr="00D10687">
              <w:t xml:space="preserve"> 5,758.88 </w:t>
            </w:r>
          </w:p>
        </w:tc>
      </w:tr>
      <w:tr w:rsidR="003F1C1E" w14:paraId="46BC9E71" w14:textId="77777777" w:rsidTr="00DC2BBC">
        <w:trPr>
          <w:cnfStyle w:val="000000010000" w:firstRow="0" w:lastRow="0" w:firstColumn="0" w:lastColumn="0" w:oddVBand="0" w:evenVBand="0" w:oddHBand="0" w:evenHBand="1" w:firstRowFirstColumn="0" w:firstRowLastColumn="0" w:lastRowFirstColumn="0" w:lastRowLastColumn="0"/>
        </w:trPr>
        <w:tc>
          <w:tcPr>
            <w:tcW w:w="6237" w:type="dxa"/>
          </w:tcPr>
          <w:p w14:paraId="4EB2F42C" w14:textId="0BDD74CA" w:rsidR="003F1C1E" w:rsidRPr="00D10687" w:rsidRDefault="003F1C1E" w:rsidP="006E1A42">
            <w:pPr>
              <w:pStyle w:val="TSBodyText"/>
            </w:pPr>
            <w:r w:rsidRPr="00D10687">
              <w:t>Average % of sentence served</w:t>
            </w:r>
          </w:p>
        </w:tc>
        <w:tc>
          <w:tcPr>
            <w:tcW w:w="1983" w:type="dxa"/>
            <w:vAlign w:val="center"/>
          </w:tcPr>
          <w:p w14:paraId="424E0903" w14:textId="49D631D7" w:rsidR="003F1C1E" w:rsidRPr="00D10687" w:rsidRDefault="003F1C1E" w:rsidP="00F45684">
            <w:pPr>
              <w:pStyle w:val="TSBodyText"/>
              <w:ind w:right="606"/>
              <w:jc w:val="right"/>
            </w:pPr>
            <w:r w:rsidRPr="00D10687">
              <w:t>59%</w:t>
            </w:r>
          </w:p>
        </w:tc>
      </w:tr>
      <w:tr w:rsidR="003F1C1E" w14:paraId="1FD0571D" w14:textId="77777777" w:rsidTr="00DC2BBC">
        <w:tc>
          <w:tcPr>
            <w:tcW w:w="6237" w:type="dxa"/>
          </w:tcPr>
          <w:p w14:paraId="4D173389" w14:textId="7F07EE72" w:rsidR="003F1C1E" w:rsidRPr="00D10687" w:rsidRDefault="003F1C1E" w:rsidP="006E1A42">
            <w:pPr>
              <w:pStyle w:val="TSBodyText"/>
            </w:pPr>
            <w:r w:rsidRPr="00D10687">
              <w:t xml:space="preserve">Total </w:t>
            </w:r>
            <w:r w:rsidR="00D736DA" w:rsidRPr="00D10687">
              <w:t xml:space="preserve">discounted </w:t>
            </w:r>
            <w:r w:rsidRPr="00D10687">
              <w:t>served years of prison for impulsive crimes</w:t>
            </w:r>
          </w:p>
        </w:tc>
        <w:tc>
          <w:tcPr>
            <w:tcW w:w="1983" w:type="dxa"/>
            <w:vAlign w:val="center"/>
          </w:tcPr>
          <w:p w14:paraId="0E20EA7C" w14:textId="536772FE" w:rsidR="003F1C1E" w:rsidRPr="00D10687" w:rsidRDefault="003F1C1E" w:rsidP="00F45684">
            <w:pPr>
              <w:pStyle w:val="TSBodyText"/>
              <w:ind w:right="606"/>
              <w:jc w:val="right"/>
            </w:pPr>
            <w:r w:rsidRPr="00D10687">
              <w:t xml:space="preserve"> 3,397.74 </w:t>
            </w:r>
          </w:p>
        </w:tc>
      </w:tr>
      <w:tr w:rsidR="003F1C1E" w14:paraId="0DFE0249" w14:textId="77777777" w:rsidTr="00DC2BBC">
        <w:trPr>
          <w:cnfStyle w:val="000000010000" w:firstRow="0" w:lastRow="0" w:firstColumn="0" w:lastColumn="0" w:oddVBand="0" w:evenVBand="0" w:oddHBand="0" w:evenHBand="1" w:firstRowFirstColumn="0" w:firstRowLastColumn="0" w:lastRowFirstColumn="0" w:lastRowLastColumn="0"/>
        </w:trPr>
        <w:tc>
          <w:tcPr>
            <w:tcW w:w="6237" w:type="dxa"/>
          </w:tcPr>
          <w:p w14:paraId="16AAB2A1" w14:textId="5F0EB809" w:rsidR="003F1C1E" w:rsidRPr="00D10687" w:rsidRDefault="00D1431E" w:rsidP="006E1A42">
            <w:pPr>
              <w:pStyle w:val="TSBodyText"/>
            </w:pPr>
            <w:r w:rsidRPr="00D10687">
              <w:t>U</w:t>
            </w:r>
            <w:r w:rsidR="003F1C1E" w:rsidRPr="00D10687">
              <w:t>nproductive % of prison time</w:t>
            </w:r>
          </w:p>
        </w:tc>
        <w:tc>
          <w:tcPr>
            <w:tcW w:w="1983" w:type="dxa"/>
            <w:vAlign w:val="center"/>
          </w:tcPr>
          <w:p w14:paraId="2D937BB8" w14:textId="129E388D" w:rsidR="003F1C1E" w:rsidRPr="00D10687" w:rsidRDefault="00911597" w:rsidP="00F45684">
            <w:pPr>
              <w:pStyle w:val="TSBodyText"/>
              <w:ind w:right="606"/>
              <w:jc w:val="right"/>
            </w:pPr>
            <w:r w:rsidRPr="00D10687">
              <w:t>53</w:t>
            </w:r>
            <w:r w:rsidR="003F1C1E" w:rsidRPr="00D10687">
              <w:t>%</w:t>
            </w:r>
          </w:p>
        </w:tc>
      </w:tr>
      <w:tr w:rsidR="003F1C1E" w14:paraId="48F34948" w14:textId="77777777" w:rsidTr="00DC2BBC">
        <w:tc>
          <w:tcPr>
            <w:tcW w:w="6237" w:type="dxa"/>
          </w:tcPr>
          <w:p w14:paraId="64AA6616" w14:textId="1F221CCD" w:rsidR="003F1C1E" w:rsidRPr="00D10687" w:rsidRDefault="00AF7346" w:rsidP="006E1A42">
            <w:pPr>
              <w:pStyle w:val="TSBodyText"/>
            </w:pPr>
            <w:r>
              <w:t>Total discounted n</w:t>
            </w:r>
            <w:r w:rsidR="003F1C1E" w:rsidRPr="00D10687">
              <w:t>on-productive years lost due to prison for impulsive crimes</w:t>
            </w:r>
          </w:p>
        </w:tc>
        <w:tc>
          <w:tcPr>
            <w:tcW w:w="1983" w:type="dxa"/>
            <w:vAlign w:val="center"/>
          </w:tcPr>
          <w:p w14:paraId="781B4357" w14:textId="462CC521" w:rsidR="003F1C1E" w:rsidRPr="00D10687" w:rsidRDefault="003F1C1E" w:rsidP="00F45684">
            <w:pPr>
              <w:pStyle w:val="TSBodyText"/>
              <w:ind w:right="606"/>
              <w:jc w:val="right"/>
            </w:pPr>
            <w:r w:rsidRPr="00D10687">
              <w:t xml:space="preserve"> 2,395.41 </w:t>
            </w:r>
          </w:p>
        </w:tc>
      </w:tr>
      <w:tr w:rsidR="003F1C1E" w14:paraId="47D8E1DD" w14:textId="77777777" w:rsidTr="00DC2BBC">
        <w:trPr>
          <w:cnfStyle w:val="000000010000" w:firstRow="0" w:lastRow="0" w:firstColumn="0" w:lastColumn="0" w:oddVBand="0" w:evenVBand="0" w:oddHBand="0" w:evenHBand="1" w:firstRowFirstColumn="0" w:firstRowLastColumn="0" w:lastRowFirstColumn="0" w:lastRowLastColumn="0"/>
        </w:trPr>
        <w:tc>
          <w:tcPr>
            <w:tcW w:w="6237" w:type="dxa"/>
          </w:tcPr>
          <w:p w14:paraId="384F1F8E" w14:textId="3E9351AA" w:rsidR="003F1C1E" w:rsidRPr="00D10687" w:rsidRDefault="003F1C1E" w:rsidP="006E1A42">
            <w:pPr>
              <w:pStyle w:val="TSBodyText"/>
            </w:pPr>
            <w:r w:rsidRPr="00D10687">
              <w:lastRenderedPageBreak/>
              <w:t>Low productive value of year</w:t>
            </w:r>
          </w:p>
        </w:tc>
        <w:tc>
          <w:tcPr>
            <w:tcW w:w="1983" w:type="dxa"/>
            <w:vAlign w:val="center"/>
          </w:tcPr>
          <w:p w14:paraId="4E7A609A" w14:textId="34B0B5F5" w:rsidR="003F1C1E" w:rsidRPr="00D10687" w:rsidRDefault="003F1C1E" w:rsidP="00F45684">
            <w:pPr>
              <w:pStyle w:val="TSBodyText"/>
              <w:ind w:right="606"/>
              <w:jc w:val="right"/>
            </w:pPr>
            <w:r w:rsidRPr="00D10687">
              <w:t xml:space="preserve"> $19,176.96 </w:t>
            </w:r>
          </w:p>
        </w:tc>
      </w:tr>
      <w:tr w:rsidR="003F1C1E" w14:paraId="4ADE1F03" w14:textId="77777777" w:rsidTr="00DC2BBC">
        <w:tc>
          <w:tcPr>
            <w:tcW w:w="6237" w:type="dxa"/>
          </w:tcPr>
          <w:p w14:paraId="1ABD3EDF" w14:textId="7A41519D" w:rsidR="003F1C1E" w:rsidRPr="00D10687" w:rsidRDefault="003F1C1E" w:rsidP="006E1A42">
            <w:pPr>
              <w:pStyle w:val="TSBodyText"/>
            </w:pPr>
            <w:r w:rsidRPr="00D10687">
              <w:t>High productive value of year</w:t>
            </w:r>
          </w:p>
        </w:tc>
        <w:tc>
          <w:tcPr>
            <w:tcW w:w="1983" w:type="dxa"/>
            <w:vAlign w:val="center"/>
          </w:tcPr>
          <w:p w14:paraId="6921A5AF" w14:textId="36E4FD88" w:rsidR="003F1C1E" w:rsidRPr="00D10687" w:rsidRDefault="003F1C1E" w:rsidP="00F45684">
            <w:pPr>
              <w:pStyle w:val="TSBodyText"/>
              <w:ind w:right="606"/>
              <w:jc w:val="right"/>
            </w:pPr>
            <w:r w:rsidRPr="00D10687">
              <w:t xml:space="preserve"> $42,650.59 </w:t>
            </w:r>
          </w:p>
        </w:tc>
      </w:tr>
      <w:tr w:rsidR="00181E62" w14:paraId="07FEAB14" w14:textId="77777777" w:rsidTr="00DC2BBC">
        <w:trPr>
          <w:cnfStyle w:val="000000010000" w:firstRow="0" w:lastRow="0" w:firstColumn="0" w:lastColumn="0" w:oddVBand="0" w:evenVBand="0" w:oddHBand="0" w:evenHBand="1" w:firstRowFirstColumn="0" w:firstRowLastColumn="0" w:lastRowFirstColumn="0" w:lastRowLastColumn="0"/>
        </w:trPr>
        <w:tc>
          <w:tcPr>
            <w:tcW w:w="6237" w:type="dxa"/>
          </w:tcPr>
          <w:p w14:paraId="6E2759A6" w14:textId="09DF09E0" w:rsidR="00181E62" w:rsidRPr="00D10687" w:rsidRDefault="00181E62" w:rsidP="006E1A42">
            <w:pPr>
              <w:pStyle w:val="TSBodyText"/>
            </w:pPr>
            <w:r w:rsidRPr="00D10687">
              <w:t>Low value of productive years lost</w:t>
            </w:r>
          </w:p>
        </w:tc>
        <w:tc>
          <w:tcPr>
            <w:tcW w:w="1983" w:type="dxa"/>
            <w:vAlign w:val="bottom"/>
          </w:tcPr>
          <w:p w14:paraId="76A7373A" w14:textId="781C3D24" w:rsidR="00181E62" w:rsidRPr="00D10687" w:rsidRDefault="00181E62" w:rsidP="00F45684">
            <w:pPr>
              <w:pStyle w:val="TSBodyText"/>
              <w:ind w:right="606"/>
              <w:jc w:val="right"/>
            </w:pPr>
            <w:r w:rsidRPr="00D10687">
              <w:rPr>
                <w:rFonts w:cs="Calibri"/>
                <w:color w:val="000000"/>
              </w:rPr>
              <w:t xml:space="preserve">$34,208,121.85 </w:t>
            </w:r>
          </w:p>
        </w:tc>
      </w:tr>
      <w:tr w:rsidR="00181E62" w14:paraId="287582AD" w14:textId="77777777" w:rsidTr="00DC2BBC">
        <w:tc>
          <w:tcPr>
            <w:tcW w:w="6237" w:type="dxa"/>
          </w:tcPr>
          <w:p w14:paraId="73F0AF9C" w14:textId="78F9EBD2" w:rsidR="00181E62" w:rsidRPr="00D10687" w:rsidRDefault="00181E62" w:rsidP="006E1A42">
            <w:pPr>
              <w:pStyle w:val="TSBodyText"/>
            </w:pPr>
            <w:r w:rsidRPr="00D10687">
              <w:t>High value of productive years lost</w:t>
            </w:r>
          </w:p>
        </w:tc>
        <w:tc>
          <w:tcPr>
            <w:tcW w:w="1983" w:type="dxa"/>
            <w:vAlign w:val="bottom"/>
          </w:tcPr>
          <w:p w14:paraId="738DF824" w14:textId="540AC825" w:rsidR="00181E62" w:rsidRPr="00D10687" w:rsidRDefault="00181E62" w:rsidP="00F45684">
            <w:pPr>
              <w:pStyle w:val="TSBodyText"/>
              <w:ind w:right="606"/>
              <w:jc w:val="right"/>
            </w:pPr>
            <w:r w:rsidRPr="00D10687">
              <w:rPr>
                <w:rFonts w:cs="Calibri"/>
                <w:color w:val="000000"/>
              </w:rPr>
              <w:t xml:space="preserve"> $76,080,705.60 </w:t>
            </w:r>
          </w:p>
        </w:tc>
      </w:tr>
      <w:tr w:rsidR="00181E62" w14:paraId="7489F55A" w14:textId="77777777" w:rsidTr="00DC2BBC">
        <w:trPr>
          <w:cnfStyle w:val="000000010000" w:firstRow="0" w:lastRow="0" w:firstColumn="0" w:lastColumn="0" w:oddVBand="0" w:evenVBand="0" w:oddHBand="0" w:evenHBand="1" w:firstRowFirstColumn="0" w:firstRowLastColumn="0" w:lastRowFirstColumn="0" w:lastRowLastColumn="0"/>
        </w:trPr>
        <w:tc>
          <w:tcPr>
            <w:tcW w:w="6237" w:type="dxa"/>
          </w:tcPr>
          <w:p w14:paraId="13462932" w14:textId="3B511444" w:rsidR="00181E62" w:rsidRPr="00D10687" w:rsidRDefault="00181E62" w:rsidP="006E1A42">
            <w:pPr>
              <w:pStyle w:val="TSBodyText"/>
            </w:pPr>
            <w:r w:rsidRPr="00D10687">
              <w:t>Midpoint alcohol</w:t>
            </w:r>
            <w:r w:rsidR="0025087A">
              <w:t>-</w:t>
            </w:r>
            <w:r w:rsidRPr="00D10687">
              <w:t>attributable fraction</w:t>
            </w:r>
            <w:r w:rsidR="00CA7816" w:rsidRPr="00D10687">
              <w:t xml:space="preserve"> (midpoint of 9.6% to 9.9%</w:t>
            </w:r>
            <w:r w:rsidR="00D10687" w:rsidRPr="00D10687">
              <w:t xml:space="preserve"> (Boden et al. 2013))</w:t>
            </w:r>
          </w:p>
        </w:tc>
        <w:tc>
          <w:tcPr>
            <w:tcW w:w="1983" w:type="dxa"/>
            <w:vAlign w:val="bottom"/>
          </w:tcPr>
          <w:p w14:paraId="05A70C27" w14:textId="35165D51" w:rsidR="00181E62" w:rsidRPr="00D10687" w:rsidRDefault="00CA7816" w:rsidP="00F45684">
            <w:pPr>
              <w:pStyle w:val="TSBodyText"/>
              <w:ind w:right="606"/>
              <w:jc w:val="right"/>
            </w:pPr>
            <w:r w:rsidRPr="00D10687">
              <w:rPr>
                <w:rFonts w:cs="Calibri"/>
                <w:color w:val="000000"/>
              </w:rPr>
              <w:t>9.75%</w:t>
            </w:r>
          </w:p>
        </w:tc>
      </w:tr>
      <w:tr w:rsidR="00605766" w14:paraId="23C60558" w14:textId="77777777" w:rsidTr="00DC2BBC">
        <w:tc>
          <w:tcPr>
            <w:tcW w:w="6237" w:type="dxa"/>
          </w:tcPr>
          <w:p w14:paraId="50611995" w14:textId="0AB8452A" w:rsidR="00605766" w:rsidRPr="00D10687" w:rsidRDefault="00605766" w:rsidP="006E1A42">
            <w:pPr>
              <w:pStyle w:val="TSBodyText"/>
            </w:pPr>
            <w:r w:rsidRPr="00D10687">
              <w:t>Low value of productive years lost due to alcohol</w:t>
            </w:r>
            <w:r w:rsidR="0025087A">
              <w:t>-</w:t>
            </w:r>
            <w:r w:rsidRPr="00D10687">
              <w:t>attributable incarceration</w:t>
            </w:r>
          </w:p>
        </w:tc>
        <w:tc>
          <w:tcPr>
            <w:tcW w:w="1983" w:type="dxa"/>
          </w:tcPr>
          <w:p w14:paraId="381F4C7C" w14:textId="60D112C0" w:rsidR="00605766" w:rsidRPr="00D10687" w:rsidRDefault="00605766" w:rsidP="00F45684">
            <w:pPr>
              <w:pStyle w:val="TSBodyText"/>
              <w:ind w:right="606"/>
              <w:jc w:val="right"/>
              <w:rPr>
                <w:rFonts w:cs="Calibri"/>
                <w:color w:val="000000"/>
              </w:rPr>
            </w:pPr>
            <w:r w:rsidRPr="00D10687">
              <w:t xml:space="preserve"> $3,335,292 </w:t>
            </w:r>
          </w:p>
        </w:tc>
      </w:tr>
      <w:tr w:rsidR="00605766" w14:paraId="75B3CFF8" w14:textId="77777777" w:rsidTr="00DC2BBC">
        <w:trPr>
          <w:cnfStyle w:val="000000010000" w:firstRow="0" w:lastRow="0" w:firstColumn="0" w:lastColumn="0" w:oddVBand="0" w:evenVBand="0" w:oddHBand="0" w:evenHBand="1" w:firstRowFirstColumn="0" w:firstRowLastColumn="0" w:lastRowFirstColumn="0" w:lastRowLastColumn="0"/>
        </w:trPr>
        <w:tc>
          <w:tcPr>
            <w:tcW w:w="6237" w:type="dxa"/>
          </w:tcPr>
          <w:p w14:paraId="6A969B1A" w14:textId="3A9B4240" w:rsidR="00605766" w:rsidRPr="00D10687" w:rsidRDefault="00605766" w:rsidP="006E1A42">
            <w:pPr>
              <w:pStyle w:val="TSBodyText"/>
            </w:pPr>
            <w:r w:rsidRPr="00D10687">
              <w:t>High value of productive years lost due to alcohol</w:t>
            </w:r>
            <w:r w:rsidR="0025087A">
              <w:t>-</w:t>
            </w:r>
            <w:r w:rsidRPr="00D10687">
              <w:t>attributable incarceration</w:t>
            </w:r>
          </w:p>
        </w:tc>
        <w:tc>
          <w:tcPr>
            <w:tcW w:w="1983" w:type="dxa"/>
          </w:tcPr>
          <w:p w14:paraId="2EC92597" w14:textId="7F86E116" w:rsidR="00605766" w:rsidRPr="00D10687" w:rsidRDefault="00605766" w:rsidP="00F45684">
            <w:pPr>
              <w:pStyle w:val="TSBodyText"/>
              <w:ind w:right="606"/>
              <w:jc w:val="right"/>
              <w:rPr>
                <w:rFonts w:cs="Calibri"/>
                <w:color w:val="000000"/>
              </w:rPr>
            </w:pPr>
            <w:r w:rsidRPr="00D10687">
              <w:t xml:space="preserve"> $7,417,869 </w:t>
            </w:r>
          </w:p>
        </w:tc>
      </w:tr>
      <w:tr w:rsidR="00DC2BBC" w14:paraId="6C4E60E9" w14:textId="77777777" w:rsidTr="00DC2BBC">
        <w:tc>
          <w:tcPr>
            <w:tcW w:w="6237" w:type="dxa"/>
          </w:tcPr>
          <w:p w14:paraId="6E2F20DA" w14:textId="0198A207" w:rsidR="00DC2BBC" w:rsidRPr="00D10687" w:rsidRDefault="00DC2BBC" w:rsidP="006E1A42">
            <w:pPr>
              <w:pStyle w:val="TSBodyText"/>
            </w:pPr>
            <w:r>
              <w:t xml:space="preserve">Midpoint estimate of </w:t>
            </w:r>
            <w:r w:rsidR="0025087A">
              <w:t xml:space="preserve">the </w:t>
            </w:r>
            <w:r w:rsidR="00D2363C">
              <w:t xml:space="preserve">value of </w:t>
            </w:r>
            <w:r w:rsidRPr="00DC2BBC">
              <w:t>productive years lost due to alcohol</w:t>
            </w:r>
            <w:r w:rsidR="0025087A">
              <w:t>-</w:t>
            </w:r>
            <w:r w:rsidRPr="00DC2BBC">
              <w:t>attributable incarceration</w:t>
            </w:r>
          </w:p>
        </w:tc>
        <w:tc>
          <w:tcPr>
            <w:tcW w:w="1983" w:type="dxa"/>
          </w:tcPr>
          <w:p w14:paraId="210C34B2" w14:textId="1CD11818" w:rsidR="00DC2BBC" w:rsidRPr="00D10687" w:rsidRDefault="00526659" w:rsidP="00F45684">
            <w:pPr>
              <w:pStyle w:val="TSBodyText"/>
              <w:ind w:right="606"/>
              <w:jc w:val="right"/>
            </w:pPr>
            <w:r>
              <w:t>$5,376,580</w:t>
            </w:r>
          </w:p>
        </w:tc>
      </w:tr>
    </w:tbl>
    <w:p w14:paraId="16D5BE7A" w14:textId="3835BEE4" w:rsidR="00D2276D" w:rsidRPr="00AF7346" w:rsidRDefault="00D10687" w:rsidP="00826B48">
      <w:pPr>
        <w:pStyle w:val="USSource"/>
      </w:pPr>
      <w:r w:rsidRPr="00AF7346">
        <w:t>Source: NZIER, based on Boden et al. 2013 and data supplied by the Ministry of Justice</w:t>
      </w:r>
    </w:p>
    <w:p w14:paraId="05D62136" w14:textId="509A62BD" w:rsidR="000578AD" w:rsidRDefault="00740D2E" w:rsidP="00CF1D03">
      <w:pPr>
        <w:pStyle w:val="Heading2"/>
      </w:pPr>
      <w:bookmarkStart w:id="221" w:name="_Toc160633870"/>
      <w:r>
        <w:t xml:space="preserve">Lost productivity associated with </w:t>
      </w:r>
      <w:r w:rsidR="002C3605">
        <w:t>alcohol-</w:t>
      </w:r>
      <w:r>
        <w:t>attributable a</w:t>
      </w:r>
      <w:r w:rsidR="000578AD">
        <w:t xml:space="preserve">bsenteeism and </w:t>
      </w:r>
      <w:proofErr w:type="gramStart"/>
      <w:r w:rsidR="000578AD">
        <w:t>presenteeism</w:t>
      </w:r>
      <w:bookmarkEnd w:id="221"/>
      <w:proofErr w:type="gramEnd"/>
    </w:p>
    <w:p w14:paraId="27DD1022" w14:textId="000F99D5" w:rsidR="00072AE4" w:rsidRDefault="00BE4787" w:rsidP="00072AE4">
      <w:pPr>
        <w:pStyle w:val="USBodyText"/>
      </w:pPr>
      <w:r>
        <w:t xml:space="preserve">Alcohol use by employees can be a major </w:t>
      </w:r>
      <w:r w:rsidR="00A8479F">
        <w:t xml:space="preserve">safety, productivity, and legal </w:t>
      </w:r>
      <w:r>
        <w:t xml:space="preserve">concern for employers and can have important impacts on </w:t>
      </w:r>
      <w:r w:rsidR="00A8479F">
        <w:t xml:space="preserve">workers’ ability to maintain employment and advance in their careers. </w:t>
      </w:r>
    </w:p>
    <w:p w14:paraId="3CB64E74" w14:textId="4DCACFF1" w:rsidR="002365BC" w:rsidRDefault="002C3605" w:rsidP="00072AE4">
      <w:pPr>
        <w:pStyle w:val="USBodyText"/>
      </w:pPr>
      <w:r>
        <w:t>Alcohol-</w:t>
      </w:r>
      <w:r w:rsidR="002365BC">
        <w:t xml:space="preserve">attributable </w:t>
      </w:r>
      <w:r w:rsidR="00916FA4">
        <w:t>a</w:t>
      </w:r>
      <w:r w:rsidR="002365BC">
        <w:t xml:space="preserve">bsenteeism </w:t>
      </w:r>
      <w:r w:rsidR="004411D0">
        <w:t xml:space="preserve">is missed work due to alcohol consumption. This can mean taking sick leave due to the </w:t>
      </w:r>
      <w:r w:rsidR="00740D2E">
        <w:t>aftereffects</w:t>
      </w:r>
      <w:r w:rsidR="004411D0">
        <w:t xml:space="preserve"> of alcohol consumption (</w:t>
      </w:r>
      <w:proofErr w:type="gramStart"/>
      <w:r w:rsidR="004411D0">
        <w:t>e.g.</w:t>
      </w:r>
      <w:proofErr w:type="gramEnd"/>
      <w:r w:rsidR="004411D0">
        <w:t xml:space="preserve"> </w:t>
      </w:r>
      <w:r w:rsidR="000B2067">
        <w:t xml:space="preserve">intoxication or </w:t>
      </w:r>
      <w:r w:rsidR="004411D0">
        <w:t>hangover)</w:t>
      </w:r>
      <w:r w:rsidR="00465D34">
        <w:t>,</w:t>
      </w:r>
      <w:r w:rsidR="004411D0">
        <w:t xml:space="preserve"> long-term health impacts of alcohol consumption</w:t>
      </w:r>
      <w:r w:rsidR="00484F29">
        <w:t xml:space="preserve">, </w:t>
      </w:r>
      <w:r w:rsidR="00465D34">
        <w:t>social impacts of alcohol (e.g. domestic violence)</w:t>
      </w:r>
      <w:r w:rsidR="00A33A62">
        <w:t>,</w:t>
      </w:r>
      <w:r w:rsidR="00465D34">
        <w:t xml:space="preserve"> </w:t>
      </w:r>
      <w:r w:rsidR="00484F29">
        <w:t xml:space="preserve">or other </w:t>
      </w:r>
      <w:r w:rsidR="00012537">
        <w:t xml:space="preserve">alcohol-related </w:t>
      </w:r>
      <w:r w:rsidR="00484F29">
        <w:t xml:space="preserve">choice or behaviour that </w:t>
      </w:r>
      <w:r w:rsidR="00012537">
        <w:t>results in planned or unplanned absence from work.</w:t>
      </w:r>
    </w:p>
    <w:p w14:paraId="64DC6731" w14:textId="014695BA" w:rsidR="00012537" w:rsidRDefault="0025087A" w:rsidP="00072AE4">
      <w:pPr>
        <w:pStyle w:val="USBodyText"/>
      </w:pPr>
      <w:r>
        <w:t>Alcohol-</w:t>
      </w:r>
      <w:r w:rsidR="00012537">
        <w:t xml:space="preserve">attributable presenteeism is </w:t>
      </w:r>
      <w:r w:rsidR="00236125">
        <w:t xml:space="preserve">less easily observed than absenteeism because the individual is physically present at </w:t>
      </w:r>
      <w:proofErr w:type="gramStart"/>
      <w:r w:rsidR="00236125">
        <w:t>work</w:t>
      </w:r>
      <w:proofErr w:type="gramEnd"/>
      <w:r w:rsidR="00236125">
        <w:t xml:space="preserve"> but experiences reduced productivity</w:t>
      </w:r>
      <w:r w:rsidR="0045068E">
        <w:t xml:space="preserve"> as a result of alcohol. This could include similar causes to absenteeism (</w:t>
      </w:r>
      <w:proofErr w:type="gramStart"/>
      <w:r w:rsidR="0045068E">
        <w:t>e.g.</w:t>
      </w:r>
      <w:proofErr w:type="gramEnd"/>
      <w:r w:rsidR="0045068E">
        <w:t xml:space="preserve"> </w:t>
      </w:r>
      <w:r w:rsidR="000B2067">
        <w:t xml:space="preserve">intoxication, </w:t>
      </w:r>
      <w:r w:rsidR="0045068E">
        <w:t xml:space="preserve">hangover, </w:t>
      </w:r>
      <w:r w:rsidR="000B2067">
        <w:t>ill health</w:t>
      </w:r>
      <w:r w:rsidR="00A33A62">
        <w:t>, social effects, etc</w:t>
      </w:r>
      <w:r w:rsidR="00826B48">
        <w:t>.</w:t>
      </w:r>
      <w:r w:rsidR="00A33A62">
        <w:t xml:space="preserve">) or </w:t>
      </w:r>
      <w:r w:rsidR="00687D16">
        <w:t>behaviours associated with alcohol addiction, such as consuming alcohol at work or during work hours.</w:t>
      </w:r>
    </w:p>
    <w:p w14:paraId="687AE865" w14:textId="4779F17B" w:rsidR="00687D16" w:rsidRDefault="00687D16" w:rsidP="00072AE4">
      <w:pPr>
        <w:pStyle w:val="USBodyText"/>
      </w:pPr>
      <w:r>
        <w:t xml:space="preserve">Research indicates that where </w:t>
      </w:r>
      <w:r w:rsidR="005A1107">
        <w:t>alcohol-</w:t>
      </w:r>
      <w:r>
        <w:t>attributable absenteeism and presenteeism are concerns, managers spend considerable time</w:t>
      </w:r>
      <w:r w:rsidR="002F4217">
        <w:t xml:space="preserve"> and effort dealing with individual cases</w:t>
      </w:r>
      <w:r w:rsidR="0039183F">
        <w:t xml:space="preserve"> (e.g. </w:t>
      </w:r>
      <w:r w:rsidR="000E0C11">
        <w:fldChar w:fldCharType="begin"/>
      </w:r>
      <w:r w:rsidR="00F244F6">
        <w:instrText xml:space="preserve"> ADDIN ZOTERO_ITEM CSL_CITATION {"citationID":"OFtu5NFN","properties":{"formattedCitation":"(Buvik, Moan, and Halkjelsvik 2018)","plainCitation":"(Buvik, Moan, and Halkjelsvik 2018)","dontUpdate":true,"noteIndex":0},"citationItems":[{"id":70216,"uris":["http://zotero.org/groups/4944822/items/9TG3XHB7"],"itemData":{"id":70216,"type":"article-journal","abstract":"BACKGROUND: Alcohol use by employees is associated with negative consequences for the workplace in terms of absence and poor work performance. The aims of this study were to map the prevalence of alcohol-related absence and inefficiency using survey data from a broad sample of employees, and to explore how alcohol-related absence and presenteeism are experienced and handled using data from qualitative interviews.\nMETHODS: The prevalence data stems from a web survey completed by 1940 Norwegian employees aged 20-74 years. The qualitative data consists of analyses of 24 interviews with managers, co-workers of heavy drinking employees, and heavy drinking employees, from various lines of businesses.\nRESULTS: 1-2% reported alcohol-related full day absence in the last 12 months, and 2% reported partial day absence; 11% reported inefficiency due to drinking the previous day. Analyses of interview data revealed that alcohol-related absence and presenteeism may cause a range of economic and practical problems. Managers reported spending a lot of resources and effort on single cases. In addition, the results showed how the presence of a heavy drinking employee may have a negative impact on the broader psychosocial environment, and cause concern for workplace safety. Due to consideration of the drinker's well-being and fear of negative reactions, problem cases can last for years.\nCONCLUSIONS: Despite the relatively low prevalence of alcohol-related absence and inefficiency, the study suggest that the alcohol-related problems of a few, or only one, employee may still have substantial and far-reaching negative consequences for the workplace.","container-title":"The International Journal on Drug Policy","DOI":"10.1016/j.drugpo.2018.05.005","ISSN":"1873-4758","journalAbbreviation":"Int J Drug Policy","language":"eng","note":"PMID: 29864644","page":"71-77","source":"PubMed","title":"Alcohol-related absence and presenteeism: Beyond productivity loss","title-short":"Alcohol-related absence and presenteeism","volume":"58","author":[{"family":"Buvik","given":"Kristin"},{"family":"Moan","given":"Inger Synnøve"},{"family":"Halkjelsvik","given":"Torleif"}],"issued":{"date-parts":[["2018",8]]}}}],"schema":"https://github.com/citation-style-language/schema/raw/master/csl-citation.json"} </w:instrText>
      </w:r>
      <w:r w:rsidR="000E0C11">
        <w:fldChar w:fldCharType="separate"/>
      </w:r>
      <w:proofErr w:type="spellStart"/>
      <w:r w:rsidR="000E0C11" w:rsidRPr="000E0C11">
        <w:rPr>
          <w:rFonts w:cs="Calibri"/>
        </w:rPr>
        <w:t>Buvik</w:t>
      </w:r>
      <w:proofErr w:type="spellEnd"/>
      <w:r w:rsidR="000E0C11" w:rsidRPr="000E0C11">
        <w:rPr>
          <w:rFonts w:cs="Calibri"/>
        </w:rPr>
        <w:t xml:space="preserve">, Moan, and </w:t>
      </w:r>
      <w:proofErr w:type="spellStart"/>
      <w:r w:rsidR="000E0C11" w:rsidRPr="000E0C11">
        <w:rPr>
          <w:rFonts w:cs="Calibri"/>
        </w:rPr>
        <w:t>Halkjelsvik</w:t>
      </w:r>
      <w:proofErr w:type="spellEnd"/>
      <w:r w:rsidR="000E0C11" w:rsidRPr="000E0C11">
        <w:rPr>
          <w:rFonts w:cs="Calibri"/>
        </w:rPr>
        <w:t xml:space="preserve"> </w:t>
      </w:r>
      <w:r w:rsidR="00361033">
        <w:rPr>
          <w:rFonts w:cs="Calibri"/>
        </w:rPr>
        <w:t>(</w:t>
      </w:r>
      <w:r w:rsidR="000E0C11" w:rsidRPr="000E0C11">
        <w:rPr>
          <w:rFonts w:cs="Calibri"/>
        </w:rPr>
        <w:t>2018)</w:t>
      </w:r>
      <w:r w:rsidR="000E0C11">
        <w:fldChar w:fldCharType="end"/>
      </w:r>
      <w:r w:rsidR="0039183F">
        <w:t>)</w:t>
      </w:r>
      <w:r w:rsidR="00745199">
        <w:t>. Published reports on alcohol-related absenteeism and presenteeism estimate substantial costs to the economy.</w:t>
      </w:r>
    </w:p>
    <w:p w14:paraId="062B5CB3" w14:textId="2C31C3CE" w:rsidR="002D3FFC" w:rsidRDefault="002365BC" w:rsidP="002D3FFC">
      <w:pPr>
        <w:pStyle w:val="USBullet1"/>
      </w:pPr>
      <w:r>
        <w:t xml:space="preserve">While </w:t>
      </w:r>
      <w:r w:rsidRPr="002365BC">
        <w:t>alcohol-related absen</w:t>
      </w:r>
      <w:r>
        <w:t xml:space="preserve">teeism </w:t>
      </w:r>
      <w:r w:rsidRPr="002365BC">
        <w:t>and presenteeism may cause a range of economic and practical problems</w:t>
      </w:r>
      <w:r w:rsidR="00D06CBA">
        <w:t xml:space="preserve">, </w:t>
      </w:r>
      <w:r w:rsidR="008053AF">
        <w:t xml:space="preserve">estimating costs is affected by the same problems as other </w:t>
      </w:r>
      <w:r w:rsidR="006F46E8">
        <w:t>estimates of lost productivity</w:t>
      </w:r>
      <w:r w:rsidR="00C37E61">
        <w:t xml:space="preserve"> (</w:t>
      </w:r>
      <w:r w:rsidR="004B1393">
        <w:t xml:space="preserve">discussed in </w:t>
      </w:r>
      <w:r w:rsidR="005A1107">
        <w:t xml:space="preserve">section </w:t>
      </w:r>
      <w:r w:rsidR="004B1393">
        <w:t>1</w:t>
      </w:r>
      <w:r w:rsidR="00C37E61">
        <w:t xml:space="preserve"> and earlier in this section). </w:t>
      </w:r>
    </w:p>
    <w:p w14:paraId="3CEA59BA" w14:textId="1A94125C" w:rsidR="00CF1D03" w:rsidRDefault="00CF1D03" w:rsidP="00072AE4">
      <w:pPr>
        <w:pStyle w:val="Heading4"/>
      </w:pPr>
      <w:r>
        <w:t xml:space="preserve">Absenteeism </w:t>
      </w:r>
      <w:r w:rsidR="00FD0209">
        <w:t>and presenteeism</w:t>
      </w:r>
      <w:r w:rsidR="007648F4">
        <w:t xml:space="preserve"> </w:t>
      </w:r>
      <w:r w:rsidR="00C11AFA">
        <w:t>attribution to alcohol</w:t>
      </w:r>
    </w:p>
    <w:p w14:paraId="3ECADA0F" w14:textId="08514867" w:rsidR="0076071E" w:rsidRDefault="00C11AFA" w:rsidP="00CB52CD">
      <w:pPr>
        <w:pStyle w:val="USBodyText"/>
      </w:pPr>
      <w:r>
        <w:t>Recent</w:t>
      </w:r>
      <w:r w:rsidR="00CB52CD">
        <w:t xml:space="preserve"> New Zealand research </w:t>
      </w:r>
      <w:r w:rsidR="00A43161">
        <w:fldChar w:fldCharType="begin"/>
      </w:r>
      <w:r w:rsidR="00F244F6">
        <w:instrText xml:space="preserve"> ADDIN ZOTERO_ITEM CSL_CITATION {"citationID":"5xDsynRR","properties":{"formattedCitation":"(Sullivan, Edgar, and McAndrew 2019)","plainCitation":"(Sullivan, Edgar, and McAndrew 2019)","noteIndex":0},"citationItems":[{"id":65166,"uris":["http://zotero.org/groups/4944822/items/4DYTGTL6"],"itemData":{"id":65166,"type":"article-journal","abstract":"Introduction and Aims Alcohol use impacts workplace productivity in terms of absence and reduced performance by employees. This study's aims were to estimate the cost of lost productivity associated with alcohol use in New Zealand and to describe and quantify its impact on employers. Design and Methods An online survey was completed by 800 New Zealand employees and 227 employers across a range of industries. The costs of lost productivity directly attributable to alcohol use were estimated using days off work (absenteeism), lost hours of productive time while at work (presenteeism) and hours spent by employers dealing with alcohol-related issues. Ordinal logistic regression was used to explore the association between employee characteristics and reduced workplace productivity associated with alcohol consumption. Results The estimated annual average cost of lost productivity per employee was NZ$1097.71 (NZ$209.62 absenteeism, NZ$888.09 presenteeism) and NZ$134.62 per employer. At a population level this equates to approximately NZ$1.65 billion per year. The significant predictors of reduced workplace performance were being younger (less than 25 years), male, having a stressful job and drinking more than the recommended standard number of drinks per session. Discussion and Conclusions Considering absenteeism costs alone will substantially underestimate the total productivity loss associated with alcohol use. Designing and effectively targeting a set of multifaceted policies to engineer change at both the workplace and societal levels will assist in reducing the costs of lost productivity.","container-title":"Drug and Alcohol Review","DOI":"10.1111/dar.12935","ISSN":"1465-3362","issue":"5","language":"en","note":"_eprint: https://onlinelibrary.wiley.com/doi/pdf/10.1111/dar.12935","page":"543-553","source":"Wiley Online Library","title":"The hidden costs of employee drinking: A quantitative analysis","title-short":"The hidden costs of employee drinking","volume":"38","author":[{"family":"Sullivan","given":"Trudy"},{"family":"Edgar","given":"Fiona"},{"family":"McAndrew","given":"Ian"}],"issued":{"date-parts":[["2019"]]}}}],"schema":"https://github.com/citation-style-language/schema/raw/master/csl-citation.json"} </w:instrText>
      </w:r>
      <w:r w:rsidR="00A43161">
        <w:fldChar w:fldCharType="separate"/>
      </w:r>
      <w:r w:rsidR="00A43161" w:rsidRPr="00A43161">
        <w:rPr>
          <w:rFonts w:cs="Calibri"/>
        </w:rPr>
        <w:t>(Sullivan, Edgar, and McAndrew 2019)</w:t>
      </w:r>
      <w:r w:rsidR="00A43161">
        <w:fldChar w:fldCharType="end"/>
      </w:r>
      <w:r w:rsidR="00CB52CD">
        <w:t xml:space="preserve"> based on a survey of 800 New Zealand employees and 227 employers across a range of industries, measured the costs of lost productivity directly attributable to alcohol use in terms of days off work (absenteeism), lost hours of productive time while at work (presenteeism), and hours spent by employers dealing with alcohol-related issues. </w:t>
      </w:r>
    </w:p>
    <w:p w14:paraId="572DB6F9" w14:textId="244D76B7" w:rsidR="001F096E" w:rsidRDefault="001F096E" w:rsidP="00CB52CD">
      <w:pPr>
        <w:pStyle w:val="USBodyText"/>
      </w:pPr>
      <w:r w:rsidRPr="001F096E">
        <w:lastRenderedPageBreak/>
        <w:t>The estimated annual average cost of lost productivity per employee amounted to NZ$1097.71 (NZ$209.62 due to absenteeism and NZ$888.09 due to presenteeism). At a population level, these costs equated to NZ$1.65 billion per year.</w:t>
      </w:r>
    </w:p>
    <w:p w14:paraId="79D03B38" w14:textId="6087BDE0" w:rsidR="008B60C6" w:rsidRDefault="00A43161" w:rsidP="00CB52CD">
      <w:pPr>
        <w:pStyle w:val="USBodyText"/>
      </w:pPr>
      <w:r>
        <w:fldChar w:fldCharType="begin"/>
      </w:r>
      <w:r w:rsidR="00F244F6">
        <w:instrText xml:space="preserve"> ADDIN ZOTERO_ITEM CSL_CITATION {"citationID":"pum8QJoI","properties":{"formattedCitation":"(Sullivan, Edgar, and McAndrew 2019)","plainCitation":"(Sullivan, Edgar, and McAndrew 2019)","dontUpdate":true,"noteIndex":0},"citationItems":[{"id":65166,"uris":["http://zotero.org/groups/4944822/items/4DYTGTL6"],"itemData":{"id":65166,"type":"article-journal","abstract":"Introduction and Aims Alcohol use impacts workplace productivity in terms of absence and reduced performance by employees. This study's aims were to estimate the cost of lost productivity associated with alcohol use in New Zealand and to describe and quantify its impact on employers. Design and Methods An online survey was completed by 800 New Zealand employees and 227 employers across a range of industries. The costs of lost productivity directly attributable to alcohol use were estimated using days off work (absenteeism), lost hours of productive time while at work (presenteeism) and hours spent by employers dealing with alcohol-related issues. Ordinal logistic regression was used to explore the association between employee characteristics and reduced workplace productivity associated with alcohol consumption. Results The estimated annual average cost of lost productivity per employee was NZ$1097.71 (NZ$209.62 absenteeism, NZ$888.09 presenteeism) and NZ$134.62 per employer. At a population level this equates to approximately NZ$1.65 billion per year. The significant predictors of reduced workplace performance were being younger (less than 25 years), male, having a stressful job and drinking more than the recommended standard number of drinks per session. Discussion and Conclusions Considering absenteeism costs alone will substantially underestimate the total productivity loss associated with alcohol use. Designing and effectively targeting a set of multifaceted policies to engineer change at both the workplace and societal levels will assist in reducing the costs of lost productivity.","container-title":"Drug and Alcohol Review","DOI":"10.1111/dar.12935","ISSN":"1465-3362","issue":"5","language":"en","note":"_eprint: https://onlinelibrary.wiley.com/doi/pdf/10.1111/dar.12935","page":"543-553","source":"Wiley Online Library","title":"The hidden costs of employee drinking: A quantitative analysis","title-short":"The hidden costs of employee drinking","volume":"38","author":[{"family":"Sullivan","given":"Trudy"},{"family":"Edgar","given":"Fiona"},{"family":"McAndrew","given":"Ian"}],"issued":{"date-parts":[["2019"]]}}}],"schema":"https://github.com/citation-style-language/schema/raw/master/csl-citation.json"} </w:instrText>
      </w:r>
      <w:r>
        <w:fldChar w:fldCharType="separate"/>
      </w:r>
      <w:r w:rsidRPr="00A43161">
        <w:rPr>
          <w:rFonts w:cs="Calibri"/>
        </w:rPr>
        <w:t xml:space="preserve">Sullivan, Edgar, and McAndrew </w:t>
      </w:r>
      <w:r>
        <w:rPr>
          <w:rFonts w:cs="Calibri"/>
        </w:rPr>
        <w:t>(</w:t>
      </w:r>
      <w:r w:rsidRPr="00A43161">
        <w:rPr>
          <w:rFonts w:cs="Calibri"/>
        </w:rPr>
        <w:t>2019)</w:t>
      </w:r>
      <w:r>
        <w:fldChar w:fldCharType="end"/>
      </w:r>
      <w:r w:rsidR="0076071E">
        <w:t xml:space="preserve"> noted that the problem of absenteeism and presenteeism was </w:t>
      </w:r>
      <w:r w:rsidR="005A0421">
        <w:t>concentrated in the under</w:t>
      </w:r>
      <w:r w:rsidR="005C366B">
        <w:t>-25-</w:t>
      </w:r>
      <w:r w:rsidR="005A0421">
        <w:t>year age group</w:t>
      </w:r>
      <w:r w:rsidR="008F3771">
        <w:t xml:space="preserve"> (</w:t>
      </w:r>
      <w:r w:rsidR="00A9642E">
        <w:t xml:space="preserve">although the report does not identify the proportion of </w:t>
      </w:r>
      <w:r w:rsidR="00795F22">
        <w:t>under</w:t>
      </w:r>
      <w:r w:rsidR="005C366B">
        <w:t>-25-year-</w:t>
      </w:r>
      <w:r w:rsidR="00795F22">
        <w:t xml:space="preserve">olds </w:t>
      </w:r>
      <w:r w:rsidR="0095310C">
        <w:t xml:space="preserve">within the group affected by absenteeism </w:t>
      </w:r>
      <w:r w:rsidR="008F3771">
        <w:t>or presenteeism)</w:t>
      </w:r>
      <w:r w:rsidR="0043573E">
        <w:t>, but in estimating the value of lost productivity</w:t>
      </w:r>
      <w:r w:rsidR="00662D6B">
        <w:t>, elected to use the average wage of the survey participants</w:t>
      </w:r>
      <w:r w:rsidR="007648F4">
        <w:t xml:space="preserve"> (which was very close the national average wage at the time)</w:t>
      </w:r>
      <w:r w:rsidR="00662D6B">
        <w:t xml:space="preserve"> rather than the actual wages of people who reported </w:t>
      </w:r>
      <w:r w:rsidR="008F3194">
        <w:t>experiencing alcohol-related absenteeism and presenteeism or the average wage of the</w:t>
      </w:r>
      <w:r w:rsidR="00B472FF">
        <w:t xml:space="preserve"> </w:t>
      </w:r>
      <w:r w:rsidR="00B03474">
        <w:t xml:space="preserve">most highly represented age group. This is a significant issue which is likely to have </w:t>
      </w:r>
      <w:r w:rsidR="00452DE0">
        <w:t>inflated the estimated costs</w:t>
      </w:r>
      <w:r w:rsidR="00AD3063">
        <w:t xml:space="preserve"> because </w:t>
      </w:r>
      <w:r w:rsidR="00516064">
        <w:t xml:space="preserve">people aged under 25 </w:t>
      </w:r>
      <w:r w:rsidR="00B86660">
        <w:t>who are employed</w:t>
      </w:r>
      <w:r w:rsidR="007830F4" w:rsidRPr="00CD19C4">
        <w:rPr>
          <w:rStyle w:val="FootnoteReference"/>
        </w:rPr>
        <w:footnoteReference w:id="14"/>
      </w:r>
      <w:r w:rsidR="00B86660">
        <w:t xml:space="preserve"> </w:t>
      </w:r>
      <w:r w:rsidR="00516064">
        <w:t>typically earn less than the average worker</w:t>
      </w:r>
      <w:r w:rsidR="005C366B">
        <w:t>.</w:t>
      </w:r>
    </w:p>
    <w:p w14:paraId="7A0710A2" w14:textId="03DD4664" w:rsidR="009B2B5E" w:rsidRDefault="00BF6255" w:rsidP="00CB0FD2">
      <w:pPr>
        <w:pStyle w:val="USBodyText"/>
      </w:pPr>
      <w:r>
        <w:t xml:space="preserve">According to Stats NZ, the average hourly earnings of people in paid employment in 2016 – the year the </w:t>
      </w:r>
      <w:r w:rsidRPr="00A43161">
        <w:rPr>
          <w:rFonts w:cs="Calibri"/>
        </w:rPr>
        <w:t>Sullivan</w:t>
      </w:r>
      <w:r w:rsidR="00A43161" w:rsidRPr="00A43161">
        <w:rPr>
          <w:rFonts w:cs="Calibri"/>
        </w:rPr>
        <w:t>, Edgar, and McAndrew</w:t>
      </w:r>
      <w:r>
        <w:t xml:space="preserve"> survey was based on – were $28.58, but the average hourly earnings of </w:t>
      </w:r>
      <w:r w:rsidR="00D03605">
        <w:t>20- to 24-year-olds</w:t>
      </w:r>
      <w:r>
        <w:t xml:space="preserve"> in paid employment was $19.66, a difference that could result in overestimation of costs by as much as 45 percent. </w:t>
      </w:r>
    </w:p>
    <w:p w14:paraId="00005AB1" w14:textId="528C3435" w:rsidR="00CB0FD2" w:rsidRDefault="00CB0FD2" w:rsidP="00CB0FD2">
      <w:pPr>
        <w:pStyle w:val="USBodyText"/>
      </w:pPr>
      <w:r w:rsidRPr="00CB0FD2">
        <w:t>An additional concern related to</w:t>
      </w:r>
      <w:r w:rsidR="00EF1F5A">
        <w:t xml:space="preserve"> the</w:t>
      </w:r>
      <w:r w:rsidRPr="00CB0FD2">
        <w:t xml:space="preserve"> use of average earnings in this context is that it implicitly assumes that people who experience absenteeism and presenteeism related to alcohol use have the same productivity as everybody else and that their employers value them just as much as workers who do not experience absenteeism and presenteeism due to alcohol use</w:t>
      </w:r>
      <w:r w:rsidR="0028219F">
        <w:t xml:space="preserve"> (see earlier comments regarding the </w:t>
      </w:r>
      <w:r w:rsidR="006072D1">
        <w:t>choice of counterfactual for productivity losses)</w:t>
      </w:r>
      <w:r w:rsidRPr="00CB0FD2">
        <w:t>. It is possible, even probable that workers whose drinking causes reduced productivity would experience lower occupational attainment and wages over time. However, with the problem concentrated in the youngest age group who would not have much employment history, we assume that this issue affects individuals at a later stage in their careers.</w:t>
      </w:r>
    </w:p>
    <w:p w14:paraId="7B85423B" w14:textId="314DB890" w:rsidR="001F096E" w:rsidRDefault="00086282" w:rsidP="002F74E6">
      <w:pPr>
        <w:pStyle w:val="Heading3"/>
      </w:pPr>
      <w:r>
        <w:t>Workplace absenteeism and presenteeism c</w:t>
      </w:r>
      <w:r w:rsidR="002F74E6">
        <w:t xml:space="preserve">ost </w:t>
      </w:r>
      <w:proofErr w:type="gramStart"/>
      <w:r w:rsidR="002F74E6">
        <w:t>estimation</w:t>
      </w:r>
      <w:proofErr w:type="gramEnd"/>
      <w:r w:rsidR="002F74E6">
        <w:t xml:space="preserve"> </w:t>
      </w:r>
    </w:p>
    <w:p w14:paraId="74AEDA4D" w14:textId="7F25D410" w:rsidR="006F66E2" w:rsidRDefault="006F66E2" w:rsidP="00CB52CD">
      <w:pPr>
        <w:pStyle w:val="USBodyText"/>
      </w:pPr>
      <w:r>
        <w:t>In</w:t>
      </w:r>
      <w:r w:rsidRPr="006F66E2">
        <w:t xml:space="preserve"> the absence o</w:t>
      </w:r>
      <w:r>
        <w:t>f</w:t>
      </w:r>
      <w:r w:rsidRPr="006F66E2">
        <w:t xml:space="preserve"> more up</w:t>
      </w:r>
      <w:r>
        <w:t>-</w:t>
      </w:r>
      <w:r w:rsidRPr="006F66E2">
        <w:t>to</w:t>
      </w:r>
      <w:r>
        <w:t>-</w:t>
      </w:r>
      <w:r w:rsidRPr="006F66E2">
        <w:t>date survey data on how workers are affected by these issues,</w:t>
      </w:r>
      <w:r>
        <w:t xml:space="preserve"> t</w:t>
      </w:r>
      <w:r w:rsidRPr="006F66E2">
        <w:t>o estimate costs of absenteeism and presenteeism in 2023, we calculate the value of productivity loss that would occur in 2023 based on Sullivan</w:t>
      </w:r>
      <w:r w:rsidR="000C2CD3">
        <w:t xml:space="preserve"> et al.</w:t>
      </w:r>
      <w:r w:rsidRPr="006F66E2">
        <w:t xml:space="preserve"> rates of absenteeism and presenteeism with 2023 wages and 2023 FTE workers.</w:t>
      </w:r>
      <w:r w:rsidR="004C2731">
        <w:t xml:space="preserve"> </w:t>
      </w:r>
      <w:r w:rsidR="00F83969">
        <w:t xml:space="preserve">In addition, we introduce a correction to the estimation by substituting average earnings data </w:t>
      </w:r>
      <w:r w:rsidR="00F32135">
        <w:t xml:space="preserve">for </w:t>
      </w:r>
      <w:r w:rsidR="00CB0FD2">
        <w:t>20- to 24-year-olds</w:t>
      </w:r>
      <w:r w:rsidR="00F32135">
        <w:t xml:space="preserve"> in</w:t>
      </w:r>
      <w:r w:rsidR="000C2CD3">
        <w:t>stead</w:t>
      </w:r>
      <w:r w:rsidR="00F32135">
        <w:t xml:space="preserve"> of average earnings for a</w:t>
      </w:r>
      <w:r w:rsidR="00F83969">
        <w:t xml:space="preserve">ll workers </w:t>
      </w:r>
      <w:r w:rsidR="00F32135">
        <w:t xml:space="preserve">to reflect the concentration of absenteeism and presenteeism in this age group. </w:t>
      </w:r>
      <w:r w:rsidR="00651174">
        <w:t xml:space="preserve">This is a blunt adjustment </w:t>
      </w:r>
      <w:r w:rsidR="000C2CD3">
        <w:t>to ensure</w:t>
      </w:r>
      <w:r w:rsidR="00A31609">
        <w:t xml:space="preserve"> results </w:t>
      </w:r>
      <w:r w:rsidR="00CA6305">
        <w:t>err on the</w:t>
      </w:r>
      <w:r w:rsidR="00A31609">
        <w:t xml:space="preserve"> conservative</w:t>
      </w:r>
      <w:r w:rsidR="00CA6305">
        <w:t xml:space="preserve"> side</w:t>
      </w:r>
      <w:r w:rsidR="00A31609">
        <w:t xml:space="preserve">. A more specific adjustment is not possible due to the study not reporting the specific </w:t>
      </w:r>
      <w:r w:rsidR="00463C88">
        <w:t xml:space="preserve">representation of different age groups in </w:t>
      </w:r>
      <w:r w:rsidR="000C2CD3">
        <w:t xml:space="preserve">the </w:t>
      </w:r>
      <w:r w:rsidR="00463C88">
        <w:t>results</w:t>
      </w:r>
      <w:r w:rsidR="004343DC">
        <w:t>.</w:t>
      </w:r>
      <w:r w:rsidR="00746884">
        <w:t xml:space="preserve"> </w:t>
      </w:r>
    </w:p>
    <w:p w14:paraId="6B32F871" w14:textId="08F4B93C" w:rsidR="001C7FC9" w:rsidRDefault="00086282" w:rsidP="00CB52CD">
      <w:pPr>
        <w:pStyle w:val="USBodyText"/>
      </w:pPr>
      <w:r>
        <w:fldChar w:fldCharType="begin"/>
      </w:r>
      <w:r>
        <w:instrText xml:space="preserve"> REF _Ref156231245 \h </w:instrText>
      </w:r>
      <w:r>
        <w:fldChar w:fldCharType="separate"/>
      </w:r>
      <w:r w:rsidR="00AE166D" w:rsidRPr="00731CA6">
        <w:t xml:space="preserve">Table </w:t>
      </w:r>
      <w:r w:rsidR="00AE166D">
        <w:rPr>
          <w:noProof/>
        </w:rPr>
        <w:t>48</w:t>
      </w:r>
      <w:r>
        <w:fldChar w:fldCharType="end"/>
      </w:r>
      <w:r>
        <w:t xml:space="preserve"> </w:t>
      </w:r>
      <w:r w:rsidR="001C7FC9">
        <w:t xml:space="preserve">below presents the results of this calculation, which suggests a total absenteeism and presenteeism productivity loss </w:t>
      </w:r>
      <w:r w:rsidR="004C428D">
        <w:t>worth over $3 billion.</w:t>
      </w:r>
    </w:p>
    <w:p w14:paraId="39923290" w14:textId="67B28DDD" w:rsidR="006B32E4" w:rsidRPr="00731CA6" w:rsidRDefault="008005B5" w:rsidP="00E42DFB">
      <w:pPr>
        <w:pStyle w:val="TableCaption"/>
        <w:keepLines/>
      </w:pPr>
      <w:bookmarkStart w:id="222" w:name="_Ref156231245"/>
      <w:bookmarkStart w:id="223" w:name="_Toc160633955"/>
      <w:r w:rsidRPr="00731CA6">
        <w:lastRenderedPageBreak/>
        <w:t xml:space="preserve">Table </w:t>
      </w:r>
      <w:fldSimple w:instr=" SEQ Table \* ARABIC ">
        <w:r w:rsidR="00AE166D">
          <w:rPr>
            <w:noProof/>
          </w:rPr>
          <w:t>48</w:t>
        </w:r>
      </w:fldSimple>
      <w:bookmarkEnd w:id="222"/>
      <w:r w:rsidRPr="00731CA6">
        <w:t xml:space="preserve"> </w:t>
      </w:r>
      <w:r w:rsidR="006B32E4" w:rsidRPr="006B32E4">
        <w:t>Productivity costs of absenteeism and presenteeism</w:t>
      </w:r>
      <w:bookmarkEnd w:id="223"/>
    </w:p>
    <w:p w14:paraId="5FD0C250" w14:textId="3D08C96A" w:rsidR="008005B5" w:rsidRDefault="008005B5" w:rsidP="00E42DFB">
      <w:pPr>
        <w:pStyle w:val="CaptionSubheading"/>
        <w:keepLines/>
      </w:pPr>
    </w:p>
    <w:tbl>
      <w:tblPr>
        <w:tblStyle w:val="TableDefault"/>
        <w:tblW w:w="0" w:type="auto"/>
        <w:tblLook w:val="04A0" w:firstRow="1" w:lastRow="0" w:firstColumn="1" w:lastColumn="0" w:noHBand="0" w:noVBand="1"/>
      </w:tblPr>
      <w:tblGrid>
        <w:gridCol w:w="1644"/>
        <w:gridCol w:w="2041"/>
        <w:gridCol w:w="1351"/>
        <w:gridCol w:w="1540"/>
        <w:gridCol w:w="1644"/>
      </w:tblGrid>
      <w:tr w:rsidR="003C79CB" w14:paraId="1BEBF871" w14:textId="264F5BB5" w:rsidTr="00183902">
        <w:trPr>
          <w:cnfStyle w:val="100000000000" w:firstRow="1" w:lastRow="0" w:firstColumn="0" w:lastColumn="0" w:oddVBand="0" w:evenVBand="0" w:oddHBand="0" w:evenHBand="0" w:firstRowFirstColumn="0" w:firstRowLastColumn="0" w:lastRowFirstColumn="0" w:lastRowLastColumn="0"/>
        </w:trPr>
        <w:tc>
          <w:tcPr>
            <w:tcW w:w="1644" w:type="dxa"/>
          </w:tcPr>
          <w:p w14:paraId="0FCBE3B9" w14:textId="1EB50867" w:rsidR="003C79CB" w:rsidRPr="003C79CB" w:rsidRDefault="003C79CB" w:rsidP="00E42DFB">
            <w:pPr>
              <w:pStyle w:val="TSTableHeadingWhite-TopRow"/>
            </w:pPr>
            <w:r w:rsidRPr="003C79CB">
              <w:t>Cost category</w:t>
            </w:r>
          </w:p>
        </w:tc>
        <w:tc>
          <w:tcPr>
            <w:tcW w:w="2041" w:type="dxa"/>
          </w:tcPr>
          <w:p w14:paraId="47F63832" w14:textId="22101AA1" w:rsidR="003C79CB" w:rsidRPr="003C79CB" w:rsidRDefault="003C79CB" w:rsidP="00E42DFB">
            <w:pPr>
              <w:pStyle w:val="TSTableHeadingWhite-TopRow"/>
              <w:jc w:val="center"/>
            </w:pPr>
            <w:r w:rsidRPr="003C79CB">
              <w:t>Year of estimate</w:t>
            </w:r>
          </w:p>
        </w:tc>
        <w:tc>
          <w:tcPr>
            <w:tcW w:w="1351" w:type="dxa"/>
          </w:tcPr>
          <w:p w14:paraId="3D6D9FB5" w14:textId="5EDA69B4" w:rsidR="003C79CB" w:rsidRPr="003C79CB" w:rsidRDefault="003C79CB" w:rsidP="00E42DFB">
            <w:pPr>
              <w:pStyle w:val="TSTableHeadingWhite-TopRow"/>
              <w:jc w:val="center"/>
            </w:pPr>
            <w:r w:rsidRPr="003C79CB">
              <w:t>Cost per FTE</w:t>
            </w:r>
          </w:p>
        </w:tc>
        <w:tc>
          <w:tcPr>
            <w:tcW w:w="1540" w:type="dxa"/>
          </w:tcPr>
          <w:p w14:paraId="057CC353" w14:textId="7C1608B6" w:rsidR="003C79CB" w:rsidRPr="003C79CB" w:rsidRDefault="003C79CB" w:rsidP="00E42DFB">
            <w:pPr>
              <w:pStyle w:val="TSTableHeadingWhite-TopRow"/>
              <w:jc w:val="center"/>
            </w:pPr>
            <w:r w:rsidRPr="003C79CB">
              <w:t>FTE workers</w:t>
            </w:r>
          </w:p>
        </w:tc>
        <w:tc>
          <w:tcPr>
            <w:tcW w:w="1644" w:type="dxa"/>
          </w:tcPr>
          <w:p w14:paraId="4D7E0200" w14:textId="745924A7" w:rsidR="003C79CB" w:rsidRPr="003C79CB" w:rsidRDefault="003C79CB" w:rsidP="00E42DFB">
            <w:pPr>
              <w:pStyle w:val="TSTableHeadingWhite-TopRow"/>
              <w:jc w:val="center"/>
            </w:pPr>
            <w:r w:rsidRPr="003C79CB">
              <w:t>Total cost</w:t>
            </w:r>
          </w:p>
        </w:tc>
      </w:tr>
      <w:tr w:rsidR="00552EC7" w14:paraId="05E417FE" w14:textId="636694CC" w:rsidTr="00183902">
        <w:tc>
          <w:tcPr>
            <w:tcW w:w="1644" w:type="dxa"/>
          </w:tcPr>
          <w:p w14:paraId="46A6BE6C" w14:textId="1AE0024C" w:rsidR="00552EC7" w:rsidRPr="0031274B" w:rsidRDefault="00552EC7" w:rsidP="00E42DFB">
            <w:pPr>
              <w:pStyle w:val="TSBodyText"/>
              <w:keepNext/>
              <w:keepLines/>
            </w:pPr>
            <w:r w:rsidRPr="0031274B">
              <w:t>Absenteeism</w:t>
            </w:r>
          </w:p>
        </w:tc>
        <w:tc>
          <w:tcPr>
            <w:tcW w:w="2041" w:type="dxa"/>
          </w:tcPr>
          <w:p w14:paraId="7F7E7946" w14:textId="1035BFDE" w:rsidR="00552EC7" w:rsidRPr="0031274B" w:rsidRDefault="00552EC7" w:rsidP="00E42DFB">
            <w:pPr>
              <w:pStyle w:val="TSBodyText"/>
              <w:keepNext/>
              <w:keepLines/>
              <w:ind w:right="172"/>
              <w:jc w:val="right"/>
            </w:pPr>
            <w:r w:rsidRPr="0031274B">
              <w:t xml:space="preserve">2016 </w:t>
            </w:r>
            <w:r w:rsidRPr="00A43161">
              <w:t>(Sullivan</w:t>
            </w:r>
            <w:r w:rsidR="00A43161" w:rsidRPr="00A43161">
              <w:t>, Edgar, and McAndrew</w:t>
            </w:r>
            <w:r w:rsidRPr="00A43161">
              <w:t>)</w:t>
            </w:r>
          </w:p>
        </w:tc>
        <w:tc>
          <w:tcPr>
            <w:tcW w:w="1351" w:type="dxa"/>
          </w:tcPr>
          <w:p w14:paraId="28896C2D" w14:textId="3FBB4687" w:rsidR="00552EC7" w:rsidRPr="0031274B" w:rsidRDefault="00552EC7" w:rsidP="00E42DFB">
            <w:pPr>
              <w:pStyle w:val="TSBodyText"/>
              <w:keepNext/>
              <w:keepLines/>
              <w:ind w:right="305"/>
              <w:jc w:val="right"/>
            </w:pPr>
            <w:r w:rsidRPr="0031274B">
              <w:t xml:space="preserve"> $210 </w:t>
            </w:r>
          </w:p>
        </w:tc>
        <w:tc>
          <w:tcPr>
            <w:tcW w:w="1540" w:type="dxa"/>
          </w:tcPr>
          <w:p w14:paraId="51BB96E2" w14:textId="6686C266" w:rsidR="00552EC7" w:rsidRPr="0031274B" w:rsidRDefault="00552EC7" w:rsidP="00E42DFB">
            <w:pPr>
              <w:pStyle w:val="TSBodyText"/>
              <w:keepNext/>
              <w:keepLines/>
              <w:ind w:right="305"/>
              <w:jc w:val="right"/>
            </w:pPr>
            <w:r w:rsidRPr="0031274B">
              <w:t xml:space="preserve"> 1,505,991 </w:t>
            </w:r>
          </w:p>
        </w:tc>
        <w:tc>
          <w:tcPr>
            <w:tcW w:w="1644" w:type="dxa"/>
          </w:tcPr>
          <w:p w14:paraId="71675230" w14:textId="61753592" w:rsidR="00552EC7" w:rsidRPr="0031274B" w:rsidRDefault="00552EC7" w:rsidP="00E42DFB">
            <w:pPr>
              <w:pStyle w:val="TSBodyText"/>
              <w:keepNext/>
              <w:keepLines/>
              <w:ind w:right="39"/>
              <w:jc w:val="right"/>
            </w:pPr>
            <w:r w:rsidRPr="0031274B">
              <w:t xml:space="preserve"> $315,685,774 </w:t>
            </w:r>
          </w:p>
        </w:tc>
      </w:tr>
      <w:tr w:rsidR="00552EC7" w14:paraId="7A395F1E" w14:textId="1FF41867" w:rsidTr="00183902">
        <w:trPr>
          <w:cnfStyle w:val="000000010000" w:firstRow="0" w:lastRow="0" w:firstColumn="0" w:lastColumn="0" w:oddVBand="0" w:evenVBand="0" w:oddHBand="0" w:evenHBand="1" w:firstRowFirstColumn="0" w:firstRowLastColumn="0" w:lastRowFirstColumn="0" w:lastRowLastColumn="0"/>
        </w:trPr>
        <w:tc>
          <w:tcPr>
            <w:tcW w:w="1644" w:type="dxa"/>
          </w:tcPr>
          <w:p w14:paraId="788AA719" w14:textId="77777777" w:rsidR="00552EC7" w:rsidRPr="0031274B" w:rsidRDefault="00552EC7" w:rsidP="00E42DFB">
            <w:pPr>
              <w:pStyle w:val="TSBodyText"/>
              <w:keepNext/>
              <w:keepLines/>
            </w:pPr>
          </w:p>
        </w:tc>
        <w:tc>
          <w:tcPr>
            <w:tcW w:w="2041" w:type="dxa"/>
          </w:tcPr>
          <w:p w14:paraId="40205351" w14:textId="5E7AE6C5" w:rsidR="00552EC7" w:rsidRPr="0031274B" w:rsidRDefault="00552EC7" w:rsidP="00E42DFB">
            <w:pPr>
              <w:pStyle w:val="TSBodyText"/>
              <w:keepNext/>
              <w:keepLines/>
              <w:ind w:right="172"/>
              <w:jc w:val="right"/>
            </w:pPr>
            <w:r w:rsidRPr="0031274B">
              <w:t>2023</w:t>
            </w:r>
          </w:p>
        </w:tc>
        <w:tc>
          <w:tcPr>
            <w:tcW w:w="1351" w:type="dxa"/>
          </w:tcPr>
          <w:p w14:paraId="586C8FCB" w14:textId="38DCFDE6" w:rsidR="00552EC7" w:rsidRPr="0031274B" w:rsidRDefault="00552EC7" w:rsidP="00E42DFB">
            <w:pPr>
              <w:pStyle w:val="TSBodyText"/>
              <w:keepNext/>
              <w:keepLines/>
              <w:ind w:right="305"/>
              <w:jc w:val="right"/>
            </w:pPr>
            <w:r w:rsidRPr="0031274B">
              <w:t xml:space="preserve"> $297 </w:t>
            </w:r>
          </w:p>
        </w:tc>
        <w:tc>
          <w:tcPr>
            <w:tcW w:w="1540" w:type="dxa"/>
          </w:tcPr>
          <w:p w14:paraId="3C36A628" w14:textId="106D2891" w:rsidR="00552EC7" w:rsidRPr="0031274B" w:rsidRDefault="00552EC7" w:rsidP="00E42DFB">
            <w:pPr>
              <w:pStyle w:val="TSBodyText"/>
              <w:keepNext/>
              <w:keepLines/>
              <w:ind w:right="305"/>
              <w:jc w:val="right"/>
            </w:pPr>
            <w:r w:rsidRPr="0031274B">
              <w:t xml:space="preserve"> 1,935,400 </w:t>
            </w:r>
          </w:p>
        </w:tc>
        <w:tc>
          <w:tcPr>
            <w:tcW w:w="1644" w:type="dxa"/>
          </w:tcPr>
          <w:p w14:paraId="7258ECF3" w14:textId="6613F420" w:rsidR="00552EC7" w:rsidRPr="0031274B" w:rsidRDefault="00552EC7" w:rsidP="00E42DFB">
            <w:pPr>
              <w:pStyle w:val="TSBodyText"/>
              <w:keepNext/>
              <w:keepLines/>
              <w:ind w:right="39"/>
              <w:jc w:val="right"/>
            </w:pPr>
            <w:r w:rsidRPr="0031274B">
              <w:t xml:space="preserve"> $575,117,931 </w:t>
            </w:r>
          </w:p>
        </w:tc>
      </w:tr>
      <w:tr w:rsidR="006B32E4" w14:paraId="61D9239C" w14:textId="386EDA91" w:rsidTr="00183902">
        <w:tc>
          <w:tcPr>
            <w:tcW w:w="1644" w:type="dxa"/>
          </w:tcPr>
          <w:p w14:paraId="0BA55C78" w14:textId="2F70C330" w:rsidR="006B32E4" w:rsidRPr="0031274B" w:rsidRDefault="006B32E4" w:rsidP="00E42DFB">
            <w:pPr>
              <w:pStyle w:val="TSBodyText"/>
              <w:keepNext/>
              <w:keepLines/>
            </w:pPr>
            <w:r w:rsidRPr="0031274B">
              <w:t>Presenteeism</w:t>
            </w:r>
          </w:p>
        </w:tc>
        <w:tc>
          <w:tcPr>
            <w:tcW w:w="2041" w:type="dxa"/>
          </w:tcPr>
          <w:p w14:paraId="58614AFA" w14:textId="377FC426" w:rsidR="006B32E4" w:rsidRPr="0031274B" w:rsidRDefault="006B32E4" w:rsidP="00E42DFB">
            <w:pPr>
              <w:pStyle w:val="TSBodyText"/>
              <w:keepNext/>
              <w:keepLines/>
              <w:ind w:right="172"/>
              <w:jc w:val="right"/>
            </w:pPr>
            <w:r w:rsidRPr="0031274B">
              <w:t xml:space="preserve">2016 </w:t>
            </w:r>
            <w:r w:rsidRPr="00A43161">
              <w:t>(Sullivan</w:t>
            </w:r>
            <w:r w:rsidR="00A43161" w:rsidRPr="00A43161">
              <w:t>, Edgar, and McAndrew</w:t>
            </w:r>
            <w:r w:rsidRPr="00A43161">
              <w:t>)</w:t>
            </w:r>
          </w:p>
        </w:tc>
        <w:tc>
          <w:tcPr>
            <w:tcW w:w="1351" w:type="dxa"/>
          </w:tcPr>
          <w:p w14:paraId="3625C882" w14:textId="79C64403" w:rsidR="006B32E4" w:rsidRPr="0031274B" w:rsidRDefault="006B32E4" w:rsidP="00E42DFB">
            <w:pPr>
              <w:pStyle w:val="TSBodyText"/>
              <w:keepNext/>
              <w:keepLines/>
              <w:ind w:right="305"/>
              <w:jc w:val="right"/>
            </w:pPr>
            <w:r w:rsidRPr="0031274B">
              <w:t xml:space="preserve"> $888 </w:t>
            </w:r>
          </w:p>
        </w:tc>
        <w:tc>
          <w:tcPr>
            <w:tcW w:w="1540" w:type="dxa"/>
          </w:tcPr>
          <w:p w14:paraId="6F512CF9" w14:textId="232C2531" w:rsidR="006B32E4" w:rsidRPr="0031274B" w:rsidRDefault="006B32E4" w:rsidP="00E42DFB">
            <w:pPr>
              <w:pStyle w:val="TSBodyText"/>
              <w:keepNext/>
              <w:keepLines/>
              <w:ind w:right="305"/>
              <w:jc w:val="right"/>
            </w:pPr>
            <w:r w:rsidRPr="0031274B">
              <w:t xml:space="preserve"> 1,505,999 </w:t>
            </w:r>
          </w:p>
        </w:tc>
        <w:tc>
          <w:tcPr>
            <w:tcW w:w="1644" w:type="dxa"/>
          </w:tcPr>
          <w:p w14:paraId="0FC3BBE1" w14:textId="3B435E3B" w:rsidR="006B32E4" w:rsidRPr="0031274B" w:rsidRDefault="006B32E4" w:rsidP="00E42DFB">
            <w:pPr>
              <w:pStyle w:val="TSBodyText"/>
              <w:keepNext/>
              <w:keepLines/>
              <w:ind w:right="39"/>
              <w:jc w:val="right"/>
            </w:pPr>
            <w:r w:rsidRPr="0031274B">
              <w:t xml:space="preserve"> $1,337,462,810 </w:t>
            </w:r>
          </w:p>
        </w:tc>
      </w:tr>
      <w:tr w:rsidR="006B32E4" w14:paraId="6B578E75" w14:textId="52904727" w:rsidTr="00183902">
        <w:trPr>
          <w:cnfStyle w:val="000000010000" w:firstRow="0" w:lastRow="0" w:firstColumn="0" w:lastColumn="0" w:oddVBand="0" w:evenVBand="0" w:oddHBand="0" w:evenHBand="1" w:firstRowFirstColumn="0" w:firstRowLastColumn="0" w:lastRowFirstColumn="0" w:lastRowLastColumn="0"/>
        </w:trPr>
        <w:tc>
          <w:tcPr>
            <w:tcW w:w="1644" w:type="dxa"/>
          </w:tcPr>
          <w:p w14:paraId="7C628A10" w14:textId="77777777" w:rsidR="006B32E4" w:rsidRPr="0031274B" w:rsidRDefault="006B32E4" w:rsidP="00E42DFB">
            <w:pPr>
              <w:pStyle w:val="TSBodyText"/>
              <w:keepNext/>
              <w:keepLines/>
            </w:pPr>
          </w:p>
        </w:tc>
        <w:tc>
          <w:tcPr>
            <w:tcW w:w="2041" w:type="dxa"/>
          </w:tcPr>
          <w:p w14:paraId="655E29D0" w14:textId="2292DBFF" w:rsidR="006B32E4" w:rsidRPr="0031274B" w:rsidRDefault="006B32E4" w:rsidP="00E42DFB">
            <w:pPr>
              <w:pStyle w:val="TSBodyText"/>
              <w:keepNext/>
              <w:keepLines/>
              <w:ind w:right="172"/>
              <w:jc w:val="right"/>
            </w:pPr>
            <w:r w:rsidRPr="0031274B">
              <w:t>2023</w:t>
            </w:r>
          </w:p>
        </w:tc>
        <w:tc>
          <w:tcPr>
            <w:tcW w:w="1351" w:type="dxa"/>
          </w:tcPr>
          <w:p w14:paraId="1695B290" w14:textId="1249D5EE" w:rsidR="006B32E4" w:rsidRPr="0031274B" w:rsidRDefault="006B32E4" w:rsidP="00E42DFB">
            <w:pPr>
              <w:pStyle w:val="TSBodyText"/>
              <w:keepNext/>
              <w:keepLines/>
              <w:ind w:right="305"/>
              <w:jc w:val="right"/>
            </w:pPr>
            <w:r w:rsidRPr="0031274B">
              <w:t xml:space="preserve"> $1,259 </w:t>
            </w:r>
          </w:p>
        </w:tc>
        <w:tc>
          <w:tcPr>
            <w:tcW w:w="1540" w:type="dxa"/>
          </w:tcPr>
          <w:p w14:paraId="75C2D6E5" w14:textId="741CFF99" w:rsidR="006B32E4" w:rsidRPr="0031274B" w:rsidRDefault="006B32E4" w:rsidP="00E42DFB">
            <w:pPr>
              <w:pStyle w:val="TSBodyText"/>
              <w:keepNext/>
              <w:keepLines/>
              <w:ind w:right="305"/>
              <w:jc w:val="right"/>
            </w:pPr>
            <w:r w:rsidRPr="0031274B">
              <w:t xml:space="preserve"> 1,935,400 </w:t>
            </w:r>
          </w:p>
        </w:tc>
        <w:tc>
          <w:tcPr>
            <w:tcW w:w="1644" w:type="dxa"/>
          </w:tcPr>
          <w:p w14:paraId="04068627" w14:textId="1C796E4B" w:rsidR="006B32E4" w:rsidRPr="0031274B" w:rsidRDefault="006B32E4" w:rsidP="00E42DFB">
            <w:pPr>
              <w:pStyle w:val="TSBodyText"/>
              <w:keepNext/>
              <w:keepLines/>
              <w:ind w:right="39"/>
              <w:jc w:val="right"/>
            </w:pPr>
            <w:r w:rsidRPr="0031274B">
              <w:t xml:space="preserve"> $2,436,582,787 </w:t>
            </w:r>
          </w:p>
        </w:tc>
      </w:tr>
      <w:tr w:rsidR="00AC688D" w14:paraId="0B977E91" w14:textId="77777777" w:rsidTr="006B32E4">
        <w:tc>
          <w:tcPr>
            <w:tcW w:w="5036" w:type="dxa"/>
            <w:gridSpan w:val="3"/>
          </w:tcPr>
          <w:p w14:paraId="5892BD7D" w14:textId="6C41BAE3" w:rsidR="00AC688D" w:rsidRPr="00183902" w:rsidRDefault="00AC688D" w:rsidP="00E42DFB">
            <w:pPr>
              <w:pStyle w:val="TSBodyText"/>
              <w:keepNext/>
              <w:keepLines/>
              <w:rPr>
                <w:b/>
              </w:rPr>
            </w:pPr>
            <w:r w:rsidRPr="00183902">
              <w:rPr>
                <w:b/>
              </w:rPr>
              <w:t>Total absenteeism and presenteeism cost in 2023</w:t>
            </w:r>
          </w:p>
        </w:tc>
        <w:tc>
          <w:tcPr>
            <w:tcW w:w="1540" w:type="dxa"/>
          </w:tcPr>
          <w:p w14:paraId="107C42C0" w14:textId="77777777" w:rsidR="00AC688D" w:rsidRPr="00183902" w:rsidRDefault="00AC688D" w:rsidP="00E42DFB">
            <w:pPr>
              <w:pStyle w:val="TSBodyText"/>
              <w:keepNext/>
              <w:keepLines/>
              <w:jc w:val="right"/>
              <w:rPr>
                <w:b/>
              </w:rPr>
            </w:pPr>
          </w:p>
        </w:tc>
        <w:tc>
          <w:tcPr>
            <w:tcW w:w="1644" w:type="dxa"/>
          </w:tcPr>
          <w:p w14:paraId="0A19672A" w14:textId="427CE420" w:rsidR="00AC688D" w:rsidRPr="00183902" w:rsidRDefault="0031274B" w:rsidP="00E42DFB">
            <w:pPr>
              <w:pStyle w:val="TSBodyText"/>
              <w:keepNext/>
              <w:keepLines/>
              <w:ind w:right="39"/>
              <w:jc w:val="right"/>
              <w:rPr>
                <w:rFonts w:eastAsia="Times New Roman" w:cs="Calibri"/>
                <w:b/>
                <w:color w:val="000000"/>
                <w:lang w:eastAsia="en-NZ"/>
              </w:rPr>
            </w:pPr>
            <w:r w:rsidRPr="0031274B">
              <w:rPr>
                <w:rFonts w:eastAsia="Times New Roman" w:cs="Calibri"/>
                <w:b/>
                <w:color w:val="000000"/>
                <w:lang w:eastAsia="en-NZ"/>
              </w:rPr>
              <w:t xml:space="preserve">$3,011,700,718 </w:t>
            </w:r>
          </w:p>
        </w:tc>
      </w:tr>
    </w:tbl>
    <w:p w14:paraId="509BCE4D" w14:textId="69456D9C" w:rsidR="008E0AB5" w:rsidRPr="008E0AB5" w:rsidRDefault="004C428D" w:rsidP="004C428D">
      <w:pPr>
        <w:pStyle w:val="USSource"/>
      </w:pPr>
      <w:r>
        <w:t>Source: NZIER, based on Sullivan</w:t>
      </w:r>
      <w:r w:rsidR="009E3128" w:rsidRPr="009E3128">
        <w:t>, Edgar, and McAndrew</w:t>
      </w:r>
      <w:r w:rsidR="009E3128">
        <w:t xml:space="preserve"> (2019)</w:t>
      </w:r>
      <w:r>
        <w:t xml:space="preserve"> and data from </w:t>
      </w:r>
      <w:r w:rsidR="009E3128" w:rsidRPr="009E3128">
        <w:t>Stats NZ</w:t>
      </w:r>
    </w:p>
    <w:p w14:paraId="57968ABE" w14:textId="50A38FFE" w:rsidR="002F5351" w:rsidRDefault="00B31DEC" w:rsidP="002F5351">
      <w:pPr>
        <w:pStyle w:val="Heading2"/>
      </w:pPr>
      <w:bookmarkStart w:id="224" w:name="_Toc160633871"/>
      <w:r>
        <w:t xml:space="preserve">Lost productivity associated with </w:t>
      </w:r>
      <w:r w:rsidR="0081135D">
        <w:t xml:space="preserve">impairment from </w:t>
      </w:r>
      <w:proofErr w:type="spellStart"/>
      <w:r w:rsidR="0081135D">
        <w:t>fetal</w:t>
      </w:r>
      <w:proofErr w:type="spellEnd"/>
      <w:r w:rsidR="0081135D">
        <w:t xml:space="preserve"> alcohol </w:t>
      </w:r>
      <w:r w:rsidR="006C7674">
        <w:t>spectrum</w:t>
      </w:r>
      <w:r w:rsidR="0081135D">
        <w:t xml:space="preserve"> </w:t>
      </w:r>
      <w:proofErr w:type="gramStart"/>
      <w:r w:rsidR="0081135D">
        <w:t>disorder</w:t>
      </w:r>
      <w:bookmarkEnd w:id="224"/>
      <w:proofErr w:type="gramEnd"/>
    </w:p>
    <w:p w14:paraId="45557A55" w14:textId="16CC78A4" w:rsidR="002F5351" w:rsidRDefault="0081135D" w:rsidP="002F5351">
      <w:pPr>
        <w:pStyle w:val="USBodyText"/>
      </w:pPr>
      <w:proofErr w:type="spellStart"/>
      <w:r>
        <w:t>F</w:t>
      </w:r>
      <w:r w:rsidRPr="0081135D">
        <w:t>etal</w:t>
      </w:r>
      <w:proofErr w:type="spellEnd"/>
      <w:r w:rsidRPr="0081135D">
        <w:t xml:space="preserve"> alcohol s</w:t>
      </w:r>
      <w:r w:rsidR="006C7674">
        <w:t>pectrum</w:t>
      </w:r>
      <w:r w:rsidRPr="0081135D">
        <w:t xml:space="preserve"> disorder</w:t>
      </w:r>
      <w:r>
        <w:t xml:space="preserve"> (</w:t>
      </w:r>
      <w:r w:rsidR="002F5351">
        <w:t>FASD</w:t>
      </w:r>
      <w:r>
        <w:t>)</w:t>
      </w:r>
      <w:r w:rsidR="002F5351">
        <w:t xml:space="preserve"> </w:t>
      </w:r>
      <w:r w:rsidR="000C2CD3">
        <w:t xml:space="preserve">is </w:t>
      </w:r>
      <w:r w:rsidR="002F5351">
        <w:t xml:space="preserve">100 percent attributable to alcohol consumption, occurring as a result of irreversible damage to the neural development of the unborn child resulting from mothers’ alcohol consumption during pregnancy. </w:t>
      </w:r>
      <w:r>
        <w:t>FASD</w:t>
      </w:r>
      <w:r w:rsidR="002F5351">
        <w:t xml:space="preserve"> is, therefore, 100 percent preventable by the avoidance of alcohol during pregnancy.</w:t>
      </w:r>
    </w:p>
    <w:p w14:paraId="4320CBCD" w14:textId="1EBAE32D" w:rsidR="002F5351" w:rsidRDefault="002F5351" w:rsidP="002F5351">
      <w:pPr>
        <w:pStyle w:val="USBodyText"/>
      </w:pPr>
      <w:r>
        <w:t>FASD includes at least four possible diagnoses:</w:t>
      </w:r>
    </w:p>
    <w:p w14:paraId="5C37598D" w14:textId="25C59FCC" w:rsidR="002F5351" w:rsidRDefault="002F5351" w:rsidP="002F5351">
      <w:pPr>
        <w:pStyle w:val="USBullet1"/>
      </w:pPr>
      <w:proofErr w:type="spellStart"/>
      <w:r>
        <w:t>fetal</w:t>
      </w:r>
      <w:proofErr w:type="spellEnd"/>
      <w:r>
        <w:t xml:space="preserve"> alcohol s</w:t>
      </w:r>
      <w:r w:rsidR="005429A7">
        <w:t>yndrome</w:t>
      </w:r>
      <w:r>
        <w:t xml:space="preserve"> (FAS)</w:t>
      </w:r>
    </w:p>
    <w:p w14:paraId="52736D82" w14:textId="77777777" w:rsidR="002F5351" w:rsidRDefault="002F5351" w:rsidP="002F5351">
      <w:pPr>
        <w:pStyle w:val="USBullet1"/>
      </w:pPr>
      <w:r>
        <w:t xml:space="preserve">partial </w:t>
      </w:r>
      <w:proofErr w:type="spellStart"/>
      <w:r>
        <w:t>fetal</w:t>
      </w:r>
      <w:proofErr w:type="spellEnd"/>
      <w:r>
        <w:t xml:space="preserve"> alcohol syndrome (</w:t>
      </w:r>
      <w:proofErr w:type="spellStart"/>
      <w:r>
        <w:t>pFAS</w:t>
      </w:r>
      <w:proofErr w:type="spellEnd"/>
      <w:r>
        <w:t>)</w:t>
      </w:r>
    </w:p>
    <w:p w14:paraId="313CF4A9" w14:textId="77777777" w:rsidR="002F5351" w:rsidRDefault="002F5351" w:rsidP="002F5351">
      <w:pPr>
        <w:pStyle w:val="USBullet1"/>
      </w:pPr>
      <w:r>
        <w:t>alcohol-related neurodevelopmental disorder (ARND)</w:t>
      </w:r>
    </w:p>
    <w:p w14:paraId="0A82C878" w14:textId="77777777" w:rsidR="002F5351" w:rsidRDefault="002F5351" w:rsidP="002F5351">
      <w:pPr>
        <w:pStyle w:val="USBullet1"/>
      </w:pPr>
      <w:r>
        <w:t>alcohol-related birth defects (ARBD).</w:t>
      </w:r>
    </w:p>
    <w:p w14:paraId="56516B99" w14:textId="5FC24D93" w:rsidR="002F5351" w:rsidRDefault="002F5351" w:rsidP="002F5351">
      <w:pPr>
        <w:pStyle w:val="USBodyText"/>
      </w:pPr>
      <w:r w:rsidRPr="00147C5C">
        <w:t xml:space="preserve">People born with FASD are </w:t>
      </w:r>
      <w:r>
        <w:t>affected by a broad range of health problems</w:t>
      </w:r>
      <w:r w:rsidR="000C2CD3">
        <w:t>,</w:t>
      </w:r>
      <w:r>
        <w:t xml:space="preserve"> such as birth defects, growth deficits, cognitive delays, and speech and language difficulties. The FASD population also has a high prevalence of cardiac anomalies, urogenital defects, skeletal abnormalities and visual and hearing problems. This wide range of potential health and disability issues, and the common occurrence of multiple and severe issues in many people with FASD, means:</w:t>
      </w:r>
    </w:p>
    <w:p w14:paraId="0C99BBC7" w14:textId="77777777" w:rsidR="002F5351" w:rsidRDefault="002F5351" w:rsidP="002F5351">
      <w:pPr>
        <w:pStyle w:val="USBullet1"/>
      </w:pPr>
      <w:r>
        <w:t xml:space="preserve">FASD is generally expected to be associated with impairments that reduce their ability to learn, negatively affecting their educational outcomes and their productivity as </w:t>
      </w:r>
      <w:proofErr w:type="gramStart"/>
      <w:r>
        <w:t>adults</w:t>
      </w:r>
      <w:proofErr w:type="gramEnd"/>
    </w:p>
    <w:p w14:paraId="00C58A0D" w14:textId="77777777" w:rsidR="002F5351" w:rsidRDefault="002F5351" w:rsidP="002F5351">
      <w:pPr>
        <w:pStyle w:val="USBullet1"/>
      </w:pPr>
      <w:r>
        <w:t xml:space="preserve">some people with FASD have special needs that require lifelong </w:t>
      </w:r>
      <w:proofErr w:type="gramStart"/>
      <w:r>
        <w:t>support</w:t>
      </w:r>
      <w:proofErr w:type="gramEnd"/>
    </w:p>
    <w:p w14:paraId="354DD683" w14:textId="77777777" w:rsidR="002F5351" w:rsidRDefault="002F5351" w:rsidP="002F5351">
      <w:pPr>
        <w:pStyle w:val="USBullet1"/>
      </w:pPr>
      <w:r>
        <w:t xml:space="preserve">raising a child with FASD, often continuing as lifelong support for an adult child with FASD, can be a heavy, lifelong burden for families, resulting in high levels of family stress and reduced economic participation by </w:t>
      </w:r>
      <w:proofErr w:type="gramStart"/>
      <w:r>
        <w:t>caregivers</w:t>
      </w:r>
      <w:proofErr w:type="gramEnd"/>
    </w:p>
    <w:p w14:paraId="062B2581" w14:textId="3D3CE14D" w:rsidR="002F5351" w:rsidRDefault="002F5351" w:rsidP="002F5351">
      <w:pPr>
        <w:pStyle w:val="USBullet1"/>
      </w:pPr>
      <w:r>
        <w:t xml:space="preserve">people with FASD, particularly if they do not receive the support they need, are at a high risk of developing secondary disabilities related to mental health problems, becoming involved in the criminal justice system, </w:t>
      </w:r>
      <w:r w:rsidR="005D781D">
        <w:t>long-</w:t>
      </w:r>
      <w:r>
        <w:t xml:space="preserve">term welfare dependency, homelessness, and alcohol and other drug problems, and to die prematurely. </w:t>
      </w:r>
    </w:p>
    <w:p w14:paraId="404A7089" w14:textId="77777777" w:rsidR="002F5351" w:rsidRDefault="002F5351" w:rsidP="002F5351">
      <w:pPr>
        <w:pStyle w:val="USBullet1"/>
        <w:numPr>
          <w:ilvl w:val="0"/>
          <w:numId w:val="0"/>
        </w:numPr>
        <w:ind w:left="851"/>
      </w:pPr>
      <w:r>
        <w:lastRenderedPageBreak/>
        <w:t xml:space="preserve">As a category of harm with significant external costs (to both the individual who will be affected by </w:t>
      </w:r>
      <w:r w:rsidRPr="000618E8">
        <w:t xml:space="preserve">FASD </w:t>
      </w:r>
      <w:r>
        <w:t>for their entire lifetime and to society, which will incur significant costs meeting the needs of people with FASD and the fiscal costs associated with poor outcomes), FASD is an area of significant policy concern and relevant to any study on the costs of alcohol harms, regardless of perspective or methodological approach.</w:t>
      </w:r>
    </w:p>
    <w:p w14:paraId="02CC0F7A" w14:textId="639C29E0" w:rsidR="002F5351" w:rsidRDefault="002F5351" w:rsidP="002F5351">
      <w:pPr>
        <w:pStyle w:val="USBodyText"/>
      </w:pPr>
      <w:r>
        <w:t>Sadly, internationally and in New Zealand, there are significant gaps in the evidence and data on FASD, although new studies offer valuable insights into the impacts of FASD.</w:t>
      </w:r>
    </w:p>
    <w:p w14:paraId="697A7311" w14:textId="4A48284E" w:rsidR="002F5351" w:rsidRDefault="002F5351" w:rsidP="002F5351">
      <w:pPr>
        <w:pStyle w:val="Heading3"/>
      </w:pPr>
      <w:r>
        <w:t>Prevalence of FASD</w:t>
      </w:r>
      <w:r w:rsidR="0093312D">
        <w:t xml:space="preserve"> in New Zealand</w:t>
      </w:r>
    </w:p>
    <w:p w14:paraId="199D326A" w14:textId="1D1B4F38" w:rsidR="002F5351" w:rsidRDefault="002F5351" w:rsidP="002F5351">
      <w:pPr>
        <w:pStyle w:val="USBodyText"/>
      </w:pPr>
      <w:r>
        <w:t>The prevalence of FASD in New Zealand is not known and can only be estimated. I</w:t>
      </w:r>
      <w:r w:rsidRPr="001777D4">
        <w:t>n New Zealand, access to best practice multidisciplinary FASD diagnosis is limited</w:t>
      </w:r>
      <w:r>
        <w:t xml:space="preserve"> and </w:t>
      </w:r>
      <w:r w:rsidRPr="001777D4">
        <w:t>costly</w:t>
      </w:r>
      <w:r>
        <w:t>. In some areas</w:t>
      </w:r>
      <w:r w:rsidR="005D781D">
        <w:t>,</w:t>
      </w:r>
      <w:r>
        <w:t xml:space="preserve"> it is simply not available. This means m</w:t>
      </w:r>
      <w:r w:rsidRPr="001777D4">
        <w:t xml:space="preserve">any young people living with </w:t>
      </w:r>
      <w:r>
        <w:t xml:space="preserve">the </w:t>
      </w:r>
      <w:r w:rsidRPr="001777D4">
        <w:t xml:space="preserve">effects </w:t>
      </w:r>
      <w:r>
        <w:t>of</w:t>
      </w:r>
      <w:r w:rsidRPr="001777D4">
        <w:t xml:space="preserve"> prenatal alcohol exposure may not have a formal diagnosis of FASD</w:t>
      </w:r>
      <w:r>
        <w:t xml:space="preserve"> </w:t>
      </w:r>
      <w:r>
        <w:fldChar w:fldCharType="begin"/>
      </w:r>
      <w:r w:rsidR="00F244F6">
        <w:instrText xml:space="preserve"> ADDIN ZOTERO_ITEM CSL_CITATION {"citationID":"wpP2gUWI","properties":{"formattedCitation":"(Bagley 2018)","plainCitation":"(Bagley 2018)","noteIndex":0},"citationItems":[{"id":70377,"uris":["http://zotero.org/groups/4944822/items/Y46VWWG8"],"itemData":{"id":70377,"type":"article-journal","abstract":"Purpose The purpose of this paper is to ascertain the experiences and practices of social and community service professionals working with Fetal Alcohol Spectrum Disorder (FASD) or suspected FASD in New Zealand. Design/methodology/approach The research examined professionals’ empirical experience of working with FASD or suspected FASD. In total, 21 participants working in practice settings relevant to dual diagnosis were interviewed, with each interview being of 1–2 h duration. The interview data were transcribed and coded using the constant-comparative method in order to derive themes. Findings Participants identified a number of barriers to understanding or working with FASD: the limited knowledge of FASD and the absence of FASD from training contexts, difficulty obtaining institutional support and the challenge of working without a diagnosis. Participants also articulated a range of strategies for approaching FASD within the identified barriers of their practice contexts, specifically: working with alternative diagnoses, focussing on adjusting expectations, adopting a strengths-based approach, actively advocating for clients when working with other sectors and systems and focussing on prevention education. Originality/value This research expands the knowledge base for social and community service practice in contexts where FASD maybe a factor contributing to poor health and well-being outcomes for clients. It clarifies the challenges that professionals face when encountering FASD or suspected FASD in their work, reveals key gaps in individual and systemic knowledge about FASD and provides new insight into what professionals do to address these challenges. It also adds to the body of research concerning FASD in the Australasian context more broadly.","container-title":"Advances in Dual Diagnosis","DOI":"10.1108/ADD-05-2018-0007","ISSN":"1757-0972","issue":"1/2","note":"publisher: Emerald Publishing Limited","page":"14-26","source":"Emerald Insight","title":"Responding to FASD: what social and community service professionals do in the absence of diagnostic services and practice standards","title-short":"Responding to FASD","volume":"12","author":[{"family":"Bagley","given":"Kerryn"}],"issued":{"date-parts":[["2018",1,1]]}}}],"schema":"https://github.com/citation-style-language/schema/raw/master/csl-citation.json"} </w:instrText>
      </w:r>
      <w:r>
        <w:fldChar w:fldCharType="separate"/>
      </w:r>
      <w:r w:rsidRPr="00971753">
        <w:rPr>
          <w:rFonts w:cs="Calibri"/>
        </w:rPr>
        <w:t>(Bagley 2018)</w:t>
      </w:r>
      <w:r>
        <w:fldChar w:fldCharType="end"/>
      </w:r>
      <w:r>
        <w:t>. This affects the reliability of any data recording FASD diagnoses as well as the appropriateness of using service data where an FASD diagnosis is required to access the service.</w:t>
      </w:r>
    </w:p>
    <w:p w14:paraId="3EA3D1D1" w14:textId="7A1BECF4" w:rsidR="002F5351" w:rsidRDefault="002F5351" w:rsidP="002F5351">
      <w:pPr>
        <w:pStyle w:val="USBodyText"/>
      </w:pPr>
      <w:r>
        <w:t xml:space="preserve">According to a Ministry of Health </w:t>
      </w:r>
      <w:r w:rsidR="005D781D">
        <w:t xml:space="preserve">Budget </w:t>
      </w:r>
      <w:r>
        <w:t xml:space="preserve">bid released by the Treasury under the OIA, a conservative estimate of the prevalence of FASD is </w:t>
      </w:r>
      <w:r w:rsidR="004A531F">
        <w:t xml:space="preserve">1 </w:t>
      </w:r>
      <w:r>
        <w:t xml:space="preserve">percent. This is consistent with a 2016 report </w:t>
      </w:r>
      <w:r>
        <w:fldChar w:fldCharType="begin"/>
      </w:r>
      <w:r w:rsidR="00F244F6">
        <w:instrText xml:space="preserve"> ADDIN ZOTERO_ITEM CSL_CITATION {"citationID":"aeOJSIVG","properties":{"formattedCitation":"(Easton et al. 2016)","plainCitation":"(Easton et al. 2016)","noteIndex":0},"citationItems":[{"id":66499,"uris":["http://zotero.org/groups/4944822/items/NX9YQ3RR"],"itemData":{"id":66499,"type":"article-journal","abstract":"METHODS: A demographic approach with a counterfactual scenario in which nobody in NZ is born with FASD was used. Estimates were calculated using (Census Year) 2013 data for the NZ population, the labour force, unemployment rate and average weekly wage, all of which were obtained from Statistics NZ. In order to estimate the number of FASD cases in 2013 and the related morbidity, the prevalence of FASD, obtained from the available epidemiological literature, was applied to the general population of NZ. Assumptions made on the level of impairment that would affect the ability of individuals with FASD to participate in the workforce or would reduce their productivity were based on data obtained from the current epidemiological literature.\nRESULTS: In 2013, approximately 0.03% of the NZ workforce experienced a loss of productivity due to FASD-attributable morbidity and premature mortality, which translated to aggregate losses ranging from $NZ49 million to $NZ200 million – that is, 0.03% to 0.09% of the annual gross domestic product in NZ. These costs represent estimates for lost productivity attributable to FASD and do not include additional costs incurred by governmental and private entities including social costs, such as both higher costs and or less effective spending by the education, health and justice systems.\nCONCLUSION: The estimated productivity losses associated with FASD further reinforces that effective FASD prevention as a primary public health strategy may be of significant value.","issue":"1440","language":"en","source":"Zotero","title":"Productivity losses associated with Fetal Alcohol Spectrum Disorder in New Zealand","volume":"129","author":[{"family":"Easton","given":"Brian"},{"family":"Burd","given":"Larry"},{"family":"Rehm","given":"Jürgen"},{"family":"Popova","given":"Svetlana"}],"issued":{"date-parts":[["2016"]]}}}],"schema":"https://github.com/citation-style-language/schema/raw/master/csl-citation.json"} </w:instrText>
      </w:r>
      <w:r>
        <w:fldChar w:fldCharType="separate"/>
      </w:r>
      <w:r w:rsidRPr="00971753">
        <w:rPr>
          <w:rFonts w:cs="Calibri"/>
        </w:rPr>
        <w:t>(Easton et al. 2016)</w:t>
      </w:r>
      <w:r>
        <w:fldChar w:fldCharType="end"/>
      </w:r>
      <w:r>
        <w:t xml:space="preserve"> which estimated that </w:t>
      </w:r>
      <w:proofErr w:type="spellStart"/>
      <w:r>
        <w:t>fetal</w:t>
      </w:r>
      <w:proofErr w:type="spellEnd"/>
      <w:r>
        <w:t xml:space="preserve"> alcohol syndrome (FAS), the most severe form of FASD, has a prevalence of approximately 0.1 percent and that other FASDs have a prevalence of 0.9 percent. However, this report used prevalence rates from a North American source</w:t>
      </w:r>
      <w:r w:rsidR="007C41D4">
        <w:t>,</w:t>
      </w:r>
      <w:r>
        <w:t xml:space="preserve"> which may underestimate the prevalence of FASD in New Zealand due to our higher rates of binge and hazardous drinking.</w:t>
      </w:r>
    </w:p>
    <w:p w14:paraId="2DB51971" w14:textId="5FD450FA" w:rsidR="002F5351" w:rsidRDefault="002F5351" w:rsidP="002F5351">
      <w:pPr>
        <w:pStyle w:val="USBodyText"/>
      </w:pPr>
      <w:r>
        <w:t xml:space="preserve">In early 2023, a new study </w:t>
      </w:r>
      <w:r>
        <w:fldChar w:fldCharType="begin"/>
      </w:r>
      <w:r w:rsidR="00F244F6">
        <w:instrText xml:space="preserve"> ADDIN ZOTERO_ITEM CSL_CITATION {"citationID":"FkaVA26J","properties":{"formattedCitation":"(Romeo et al. 2023)","plainCitation":"(Romeo et al. 2023)","noteIndex":0},"citationItems":[{"id":69795,"uris":["http://zotero.org/groups/4944822/items/EZ5YF2G2"],"itemData":{"id":69795,"type":"article-journal","abstract":"Introduction Foetal alcohol spectrum disorder (FASD) is 100% caused by alcohol. The lifelong disability caused by prenatal alcohol exposure cannot be reversed. Lack of reliable national prevalence estimates of FASD is common internationally and true of Aotearoa, New Zealand. This study modelled the national prevalence of FASD and differences by ethnicity. Methods FASD prevalence was estimated from self-reported data on any alcohol use during pregnancy for 2012/2013 and 2018/2019, combined with risk estimates for FASD from a meta-analysis of case-ascertainment or clinic-based studies in seven other countries. A sensitivity analysis using four more recent active case ascertainment studies was performed to account for the possibility of underestimation. Results We estimated FASD prevalence in the general population to be 1.7% (95% confidence interval [CI] 1.0%; 2.7%) in the 2012/2013 year. For Māori, the prevalence was significantly higher than for Pasifika and Asian populations. In the 2018/2019 year, FASD prevalence was 1.3% (95% CI 0.9%; 1.9%). For Māori, the prevalence was significantly higher than for Pasifika and Asian populations. The sensitivity analysis estimated the prevalence of FASD in the 2018/2019 year to range between 1.1% and 3.9% and for Māori, from 1.7% to 6.3%. Discussion and Conclusions This study used methodology from comparative risk assessments, using the best available national data. These findings are probably underestimates but indicate a disproportionate experience of FASD by Māori compared with some ethnicities. The findings support the need for policy and prevention initiatives to support alcohol-free pregnancies to reduce lifelong disability caused by prenatal alcohol exposure.","container-title":"Drug and Alcohol Review","DOI":"10.1111/dar.13619","ISSN":"1465-3362","issue":"4","language":"en","license":"© 2023 The Authors. Drug and Alcohol Review published by John Wiley &amp; Sons Australia, Ltd on behalf of Australasian Professional Society on Alcohol and other Drugs.","note":"_eprint: https://onlinelibrary.wiley.com/doi/pdf/10.1111/dar.13619","page":"859-867","source":"Wiley Online Library","title":"Foetal alcohol spectrum disorder in Aotearoa, New Zealand: Estimates of prevalence and indications of inequity","title-short":"Foetal alcohol spectrum disorder in Aotearoa, New Zealand","volume":"42","author":[{"family":"Romeo","given":"Jose S."},{"family":"Huckle","given":"Taisia"},{"family":"Casswell","given":"Sally"},{"family":"Connor","given":"Jennie"},{"family":"Rehm","given":"Jurgen"},{"family":"McGinn","given":"Valerie"}],"issued":{"date-parts":[["2023"]]}}}],"schema":"https://github.com/citation-style-language/schema/raw/master/csl-citation.json"} </w:instrText>
      </w:r>
      <w:r>
        <w:fldChar w:fldCharType="separate"/>
      </w:r>
      <w:r w:rsidRPr="003E3107">
        <w:rPr>
          <w:rFonts w:cs="Calibri"/>
        </w:rPr>
        <w:t>(Romeo et al. 2023)</w:t>
      </w:r>
      <w:r>
        <w:fldChar w:fldCharType="end"/>
      </w:r>
      <w:r>
        <w:t xml:space="preserve"> on the prevalence of FASD in New Zealand was published. In this study, the</w:t>
      </w:r>
      <w:r w:rsidRPr="00346ABA">
        <w:t xml:space="preserve"> prevalence of FASD was predicted by combining </w:t>
      </w:r>
      <w:r>
        <w:t xml:space="preserve">New Zealand </w:t>
      </w:r>
      <w:r w:rsidRPr="00346ABA">
        <w:t xml:space="preserve">data on the prevalence of alcohol use during pregnancy </w:t>
      </w:r>
      <w:r>
        <w:t xml:space="preserve">with international </w:t>
      </w:r>
      <w:r w:rsidRPr="00346ABA">
        <w:t>estimat</w:t>
      </w:r>
      <w:r>
        <w:t>e</w:t>
      </w:r>
      <w:r w:rsidRPr="00346ABA">
        <w:t xml:space="preserve">s of the average number of pregnant women who consumed alcohol per case of FASD </w:t>
      </w:r>
      <w:r>
        <w:t xml:space="preserve">(obtained through </w:t>
      </w:r>
      <w:r w:rsidRPr="00346ABA">
        <w:t>case-ascertainment studies or clinic-based methods</w:t>
      </w:r>
      <w:r>
        <w:t>)</w:t>
      </w:r>
      <w:r w:rsidRPr="00346ABA">
        <w:t>.</w:t>
      </w:r>
      <w:r>
        <w:t xml:space="preserve"> </w:t>
      </w:r>
      <w:r w:rsidRPr="002F33A3">
        <w:t xml:space="preserve">FASD prevalence in the general </w:t>
      </w:r>
      <w:r>
        <w:t xml:space="preserve">New Zealand </w:t>
      </w:r>
      <w:r w:rsidRPr="002F33A3">
        <w:t xml:space="preserve">population </w:t>
      </w:r>
      <w:r>
        <w:t xml:space="preserve">was estimated </w:t>
      </w:r>
      <w:r w:rsidRPr="002F33A3">
        <w:t>to be 1.7</w:t>
      </w:r>
      <w:r>
        <w:t xml:space="preserve"> percent</w:t>
      </w:r>
      <w:r w:rsidRPr="002F33A3">
        <w:t xml:space="preserve"> in 2012/2013 year</w:t>
      </w:r>
      <w:r>
        <w:t xml:space="preserve"> and </w:t>
      </w:r>
      <w:r w:rsidRPr="002F33A3">
        <w:t>1.3</w:t>
      </w:r>
      <w:r>
        <w:t xml:space="preserve"> percent</w:t>
      </w:r>
      <w:r w:rsidRPr="002F33A3">
        <w:t xml:space="preserve"> </w:t>
      </w:r>
      <w:r>
        <w:t>i</w:t>
      </w:r>
      <w:r w:rsidRPr="004C2153">
        <w:t>n 2018/2019</w:t>
      </w:r>
      <w:r>
        <w:t>,</w:t>
      </w:r>
      <w:r w:rsidRPr="004C2153">
        <w:t xml:space="preserve"> </w:t>
      </w:r>
      <w:r>
        <w:t>indicating a possible downward trend in the prevalence of FASD but a higher prevalence than previously estimated.</w:t>
      </w:r>
    </w:p>
    <w:p w14:paraId="179DC7B7" w14:textId="62E74219" w:rsidR="002F5351" w:rsidRDefault="002F5351" w:rsidP="002F5351">
      <w:pPr>
        <w:pStyle w:val="USBodyText"/>
      </w:pPr>
      <w:r>
        <w:t xml:space="preserve">Due to a range of uncertainties in the estimation of prevalence, including a lack of recent case ascertainment studies and the use of some studies with high prevalence communities, the study included </w:t>
      </w:r>
      <w:r w:rsidRPr="002F33A3">
        <w:t>sensitivity analysis</w:t>
      </w:r>
      <w:r>
        <w:t>,</w:t>
      </w:r>
      <w:r w:rsidRPr="002F33A3">
        <w:t xml:space="preserve"> </w:t>
      </w:r>
      <w:r>
        <w:t>which suggested the range of possible prevalence estimates</w:t>
      </w:r>
      <w:r w:rsidRPr="002F33A3">
        <w:t xml:space="preserve"> of FASD in 2018/2019</w:t>
      </w:r>
      <w:r>
        <w:t xml:space="preserve">, by ethnicity (see </w:t>
      </w:r>
      <w:r w:rsidR="00086282">
        <w:fldChar w:fldCharType="begin"/>
      </w:r>
      <w:r w:rsidR="00086282">
        <w:instrText xml:space="preserve"> REF _Ref156231293 \h </w:instrText>
      </w:r>
      <w:r w:rsidR="00086282">
        <w:fldChar w:fldCharType="separate"/>
      </w:r>
      <w:r w:rsidR="00AE166D">
        <w:t>Figure</w:t>
      </w:r>
      <w:r w:rsidR="00AE166D" w:rsidRPr="00731CA6">
        <w:t> </w:t>
      </w:r>
      <w:r w:rsidR="00AE166D">
        <w:rPr>
          <w:noProof/>
        </w:rPr>
        <w:t>19</w:t>
      </w:r>
      <w:r w:rsidR="00086282">
        <w:fldChar w:fldCharType="end"/>
      </w:r>
      <w:r>
        <w:t xml:space="preserve"> below)</w:t>
      </w:r>
      <w:r w:rsidRPr="002F33A3">
        <w:t>.</w:t>
      </w:r>
    </w:p>
    <w:p w14:paraId="1B036BC8" w14:textId="0007261F" w:rsidR="002F5351" w:rsidRPr="00731CA6" w:rsidRDefault="002F5351" w:rsidP="002F5351">
      <w:pPr>
        <w:pStyle w:val="TableCaption"/>
      </w:pPr>
      <w:bookmarkStart w:id="225" w:name="_Ref156231293"/>
      <w:bookmarkStart w:id="226" w:name="_Toc160633907"/>
      <w:r>
        <w:lastRenderedPageBreak/>
        <w:t>Figure</w:t>
      </w:r>
      <w:r w:rsidRPr="00731CA6">
        <w:t> </w:t>
      </w:r>
      <w:fldSimple w:instr=" SEQ Figure \* ARABIC ">
        <w:r w:rsidR="00AE166D">
          <w:rPr>
            <w:noProof/>
          </w:rPr>
          <w:t>19</w:t>
        </w:r>
      </w:fldSimple>
      <w:bookmarkEnd w:id="225"/>
      <w:r w:rsidRPr="00731CA6">
        <w:t xml:space="preserve"> </w:t>
      </w:r>
      <w:r>
        <w:t>Estimates of the prevalence of FASD in New Zealand</w:t>
      </w:r>
      <w:bookmarkEnd w:id="226"/>
    </w:p>
    <w:p w14:paraId="6D4AA940" w14:textId="77777777" w:rsidR="002F5351" w:rsidRDefault="002F5351" w:rsidP="002F5351">
      <w:pPr>
        <w:pStyle w:val="CaptionSubheading"/>
      </w:pPr>
      <w:r>
        <w:t>By ethnicity</w:t>
      </w:r>
    </w:p>
    <w:p w14:paraId="644BF508" w14:textId="2D52402D" w:rsidR="002F5351" w:rsidRDefault="00D2144F" w:rsidP="002F5351">
      <w:pPr>
        <w:pStyle w:val="USBodyText"/>
        <w:keepNext/>
        <w:keepLines/>
      </w:pPr>
      <w:r>
        <w:rPr>
          <w:noProof/>
        </w:rPr>
        <w:drawing>
          <wp:inline distT="0" distB="0" distL="0" distR="0" wp14:anchorId="4774D75D" wp14:editId="57867978">
            <wp:extent cx="5100838" cy="3610363"/>
            <wp:effectExtent l="0" t="0" r="5080" b="9525"/>
            <wp:docPr id="9" name="Picture 9" descr="The chart shows bars representing the estimates of FASD prevalence for each ethnicity resulting from the Romeo et al. low, central and high estimate scenarios. The highest estimates are for Māori, ranging from 1.7% to 6.3%, with a central estimate of 2.1%. For Pacific people, the estimates range from 0.4% to 0.8%, with a central estimate of 0.6%. For Asian ethnicity, the estimates range from 0.1% to 0.3%, with a central estimate of 0.2%. For European/other ethnicity, the estimates range from 1% to 2.2%, with a central estimate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hart shows bars representing the estimates of FASD prevalence for each ethnicity resulting from the Romeo et al. low, central and high estimate scenarios. The highest estimates are for Māori, ranging from 1.7% to 6.3%, with a central estimate of 2.1%. For Pacific people, the estimates range from 0.4% to 0.8%, with a central estimate of 0.6%. For Asian ethnicity, the estimates range from 0.1% to 0.3%, with a central estimate of 0.2%. For European/other ethnicity, the estimates range from 1% to 2.2%, with a central estimate of 1.5%."/>
                    <pic:cNvPicPr/>
                  </pic:nvPicPr>
                  <pic:blipFill>
                    <a:blip r:embed="rId44"/>
                    <a:stretch>
                      <a:fillRect/>
                    </a:stretch>
                  </pic:blipFill>
                  <pic:spPr>
                    <a:xfrm>
                      <a:off x="0" y="0"/>
                      <a:ext cx="5100838" cy="3610363"/>
                    </a:xfrm>
                    <a:prstGeom prst="rect">
                      <a:avLst/>
                    </a:prstGeom>
                  </pic:spPr>
                </pic:pic>
              </a:graphicData>
            </a:graphic>
          </wp:inline>
        </w:drawing>
      </w:r>
    </w:p>
    <w:p w14:paraId="51042C9D" w14:textId="680A53F9" w:rsidR="002F5351" w:rsidRDefault="002F5351" w:rsidP="002F5351">
      <w:pPr>
        <w:pStyle w:val="USSource"/>
      </w:pPr>
      <w:r>
        <w:t xml:space="preserve">Source: NZIER based on </w:t>
      </w:r>
      <w:r>
        <w:fldChar w:fldCharType="begin"/>
      </w:r>
      <w:r w:rsidR="00F244F6">
        <w:instrText xml:space="preserve"> ADDIN ZOTERO_ITEM CSL_CITATION {"citationID":"okpIUVNx","properties":{"formattedCitation":"(Easton et al. 2016; Romeo et al. 2023)","plainCitation":"(Easton et al. 2016; Romeo et al. 2023)","dontUpdate":true,"noteIndex":0},"citationItems":[{"id":66499,"uris":["http://zotero.org/groups/4944822/items/NX9YQ3RR"],"itemData":{"id":66499,"type":"article-journal","abstract":"METHODS: A demographic approach with a counterfactual scenario in which nobody in NZ is born with FASD was used. Estimates were calculated using (Census Year) 2013 data for the NZ population, the labour force, unemployment rate and average weekly wage, all of which were obtained from Statistics NZ. In order to estimate the number of FASD cases in 2013 and the related morbidity, the prevalence of FASD, obtained from the available epidemiological literature, was applied to the general population of NZ. Assumptions made on the level of impairment that would affect the ability of individuals with FASD to participate in the workforce or would reduce their productivity were based on data obtained from the current epidemiological literature.\nRESULTS: In 2013, approximately 0.03% of the NZ workforce experienced a loss of productivity due to FASD-attributable morbidity and premature mortality, which translated to aggregate losses ranging from $NZ49 million to $NZ200 million – that is, 0.03% to 0.09% of the annual gross domestic product in NZ. These costs represent estimates for lost productivity attributable to FASD and do not include additional costs incurred by governmental and private entities including social costs, such as both higher costs and or less effective spending by the education, health and justice systems.\nCONCLUSION: The estimated productivity losses associated with FASD further reinforces that effective FASD prevention as a primary public health strategy may be of significant value.","issue":"1440","language":"en","source":"Zotero","title":"Productivity losses associated with Fetal Alcohol Spectrum Disorder in New Zealand","volume":"129","author":[{"family":"Easton","given":"Brian"},{"family":"Burd","given":"Larry"},{"family":"Rehm","given":"Jürgen"},{"family":"Popova","given":"Svetlana"}],"issued":{"date-parts":[["2016"]]}},"label":"page"},{"id":69795,"uris":["http://zotero.org/groups/4944822/items/EZ5YF2G2"],"itemData":{"id":69795,"type":"article-journal","abstract":"Introduction Foetal alcohol spectrum disorder (FASD) is 100% caused by alcohol. The lifelong disability caused by prenatal alcohol exposure cannot be reversed. Lack of reliable national prevalence estimates of FASD is common internationally and true of Aotearoa, New Zealand. This study modelled the national prevalence of FASD and differences by ethnicity. Methods FASD prevalence was estimated from self-reported data on any alcohol use during pregnancy for 2012/2013 and 2018/2019, combined with risk estimates for FASD from a meta-analysis of case-ascertainment or clinic-based studies in seven other countries. A sensitivity analysis using four more recent active case ascertainment studies was performed to account for the possibility of underestimation. Results We estimated FASD prevalence in the general population to be 1.7% (95% confidence interval [CI] 1.0%; 2.7%) in the 2012/2013 year. For Māori, the prevalence was significantly higher than for Pasifika and Asian populations. In the 2018/2019 year, FASD prevalence was 1.3% (95% CI 0.9%; 1.9%). For Māori, the prevalence was significantly higher than for Pasifika and Asian populations. The sensitivity analysis estimated the prevalence of FASD in the 2018/2019 year to range between 1.1% and 3.9% and for Māori, from 1.7% to 6.3%. Discussion and Conclusions This study used methodology from comparative risk assessments, using the best available national data. These findings are probably underestimates but indicate a disproportionate experience of FASD by Māori compared with some ethnicities. The findings support the need for policy and prevention initiatives to support alcohol-free pregnancies to reduce lifelong disability caused by prenatal alcohol exposure.","container-title":"Drug and Alcohol Review","DOI":"10.1111/dar.13619","ISSN":"1465-3362","issue":"4","language":"en","license":"© 2023 The Authors. Drug and Alcohol Review published by John Wiley &amp; Sons Australia, Ltd on behalf of Australasian Professional Society on Alcohol and other Drugs.","note":"_eprint: https://onlinelibrary.wiley.com/doi/pdf/10.1111/dar.13619","page":"859-867","source":"Wiley Online Library","title":"Foetal alcohol spectrum disorder in Aotearoa, New Zealand: Estimates of prevalence and indications of inequity","title-short":"Foetal alcohol spectrum disorder in Aotearoa, New Zealand","volume":"42","author":[{"family":"Romeo","given":"Jose S."},{"family":"Huckle","given":"Taisia"},{"family":"Casswell","given":"Sally"},{"family":"Connor","given":"Jennie"},{"family":"Rehm","given":"Jurgen"},{"family":"McGinn","given":"Valerie"}],"issued":{"date-parts":[["2023"]]}},"label":"page"}],"schema":"https://github.com/citation-style-language/schema/raw/master/csl-citation.json"} </w:instrText>
      </w:r>
      <w:r>
        <w:fldChar w:fldCharType="separate"/>
      </w:r>
      <w:r w:rsidRPr="005424C4">
        <w:rPr>
          <w:rFonts w:cs="Calibri"/>
        </w:rPr>
        <w:t xml:space="preserve">Easton et al. </w:t>
      </w:r>
      <w:r>
        <w:rPr>
          <w:rFonts w:cs="Calibri"/>
        </w:rPr>
        <w:t>(</w:t>
      </w:r>
      <w:r w:rsidRPr="005424C4">
        <w:rPr>
          <w:rFonts w:cs="Calibri"/>
        </w:rPr>
        <w:t>2016</w:t>
      </w:r>
      <w:r>
        <w:rPr>
          <w:rFonts w:cs="Calibri"/>
        </w:rPr>
        <w:t>)</w:t>
      </w:r>
      <w:r w:rsidR="007C41D4">
        <w:rPr>
          <w:rFonts w:cs="Calibri"/>
        </w:rPr>
        <w:t xml:space="preserve"> and</w:t>
      </w:r>
      <w:r w:rsidRPr="005424C4">
        <w:rPr>
          <w:rFonts w:cs="Calibri"/>
        </w:rPr>
        <w:t xml:space="preserve"> Romeo et al. </w:t>
      </w:r>
      <w:r>
        <w:rPr>
          <w:rFonts w:cs="Calibri"/>
        </w:rPr>
        <w:t>(</w:t>
      </w:r>
      <w:r w:rsidRPr="005424C4">
        <w:rPr>
          <w:rFonts w:cs="Calibri"/>
        </w:rPr>
        <w:t>2023)</w:t>
      </w:r>
      <w:r>
        <w:fldChar w:fldCharType="end"/>
      </w:r>
    </w:p>
    <w:p w14:paraId="283074C7" w14:textId="3B528201" w:rsidR="002F5351" w:rsidRDefault="002F5351" w:rsidP="002F5351">
      <w:pPr>
        <w:pStyle w:val="USBodyText"/>
      </w:pPr>
      <w:r>
        <w:t xml:space="preserve">Based on 2023 projected populations, the new Romeo et al. </w:t>
      </w:r>
      <w:r w:rsidR="007C41D4">
        <w:t>(</w:t>
      </w:r>
      <w:r>
        <w:t xml:space="preserve">2023) estimates of FASD prevalence allow the burden of FASD by ethnicity to be estimated. This shows that based on the central estimates, the largest population of people living with FASD are of European/Other ethnicity (53,831 people), </w:t>
      </w:r>
      <w:r w:rsidR="003D7B2E">
        <w:t xml:space="preserve">and </w:t>
      </w:r>
      <w:r>
        <w:t xml:space="preserve">a quarter of the burden of FASD is within the Māori population, with over 19,000 Māori living with FASD (see </w:t>
      </w:r>
      <w:r w:rsidR="004325E0">
        <w:fldChar w:fldCharType="begin"/>
      </w:r>
      <w:r w:rsidR="004325E0">
        <w:instrText xml:space="preserve"> REF _Ref156231326 \h </w:instrText>
      </w:r>
      <w:r w:rsidR="004325E0">
        <w:fldChar w:fldCharType="separate"/>
      </w:r>
      <w:r w:rsidR="00AE166D" w:rsidRPr="00731CA6">
        <w:t xml:space="preserve">Table </w:t>
      </w:r>
      <w:r w:rsidR="00AE166D">
        <w:rPr>
          <w:noProof/>
        </w:rPr>
        <w:t>52</w:t>
      </w:r>
      <w:r w:rsidR="004325E0">
        <w:fldChar w:fldCharType="end"/>
      </w:r>
      <w:r>
        <w:t xml:space="preserve"> below).</w:t>
      </w:r>
    </w:p>
    <w:p w14:paraId="2F2FF52A" w14:textId="37C2A996" w:rsidR="004325E0" w:rsidRDefault="002F5351" w:rsidP="002F5351">
      <w:pPr>
        <w:pStyle w:val="TableCaption"/>
        <w:keepLines/>
      </w:pPr>
      <w:bookmarkStart w:id="227" w:name="_Ref160458075"/>
      <w:bookmarkStart w:id="228" w:name="_Toc160633956"/>
      <w:r w:rsidRPr="00731CA6">
        <w:t xml:space="preserve">Table </w:t>
      </w:r>
      <w:fldSimple w:instr=" SEQ Table \* ARABIC ">
        <w:r w:rsidR="00AE166D">
          <w:rPr>
            <w:noProof/>
          </w:rPr>
          <w:t>49</w:t>
        </w:r>
      </w:fldSimple>
      <w:bookmarkEnd w:id="227"/>
      <w:r w:rsidRPr="00731CA6">
        <w:t xml:space="preserve"> </w:t>
      </w:r>
      <w:r>
        <w:t xml:space="preserve">FASD population and share of FASD </w:t>
      </w:r>
      <w:proofErr w:type="gramStart"/>
      <w:r>
        <w:t>population</w:t>
      </w:r>
      <w:bookmarkEnd w:id="228"/>
      <w:proofErr w:type="gramEnd"/>
      <w:r>
        <w:t xml:space="preserve"> </w:t>
      </w:r>
    </w:p>
    <w:p w14:paraId="2D3CCBDF" w14:textId="2544EC73" w:rsidR="002F5351" w:rsidRDefault="004325E0" w:rsidP="004325E0">
      <w:pPr>
        <w:pStyle w:val="CaptionSubheading"/>
      </w:pPr>
      <w:r>
        <w:t>B</w:t>
      </w:r>
      <w:r w:rsidR="002F5351">
        <w:t>y ethnicity</w:t>
      </w:r>
    </w:p>
    <w:tbl>
      <w:tblPr>
        <w:tblStyle w:val="TableDefault"/>
        <w:tblW w:w="0" w:type="auto"/>
        <w:tblLook w:val="04A0" w:firstRow="1" w:lastRow="0" w:firstColumn="1" w:lastColumn="0" w:noHBand="0" w:noVBand="1"/>
      </w:tblPr>
      <w:tblGrid>
        <w:gridCol w:w="1414"/>
        <w:gridCol w:w="1277"/>
        <w:gridCol w:w="1756"/>
        <w:gridCol w:w="1277"/>
        <w:gridCol w:w="1278"/>
        <w:gridCol w:w="1218"/>
      </w:tblGrid>
      <w:tr w:rsidR="002F5351" w14:paraId="396490C9" w14:textId="77777777">
        <w:trPr>
          <w:cnfStyle w:val="100000000000" w:firstRow="1" w:lastRow="0" w:firstColumn="0" w:lastColumn="0" w:oddVBand="0" w:evenVBand="0" w:oddHBand="0" w:evenHBand="0" w:firstRowFirstColumn="0" w:firstRowLastColumn="0" w:lastRowFirstColumn="0" w:lastRowLastColumn="0"/>
        </w:trPr>
        <w:tc>
          <w:tcPr>
            <w:tcW w:w="1414" w:type="dxa"/>
          </w:tcPr>
          <w:p w14:paraId="1065FCA9" w14:textId="77777777" w:rsidR="002F5351" w:rsidRDefault="002F5351">
            <w:pPr>
              <w:pStyle w:val="TSTableHeadingWhite-TopRow"/>
            </w:pPr>
          </w:p>
        </w:tc>
        <w:tc>
          <w:tcPr>
            <w:tcW w:w="1277" w:type="dxa"/>
          </w:tcPr>
          <w:p w14:paraId="339AA049" w14:textId="77777777" w:rsidR="002F5351" w:rsidRPr="00FB31D1" w:rsidRDefault="002F5351">
            <w:pPr>
              <w:pStyle w:val="TSTableHeadingWhite-TopRow"/>
              <w:jc w:val="center"/>
              <w:rPr>
                <w:b w:val="0"/>
                <w:bCs/>
                <w:color w:val="FFFFFF" w:themeColor="background1"/>
              </w:rPr>
            </w:pPr>
            <w:r w:rsidRPr="00FB31D1">
              <w:rPr>
                <w:color w:val="FFFFFF" w:themeColor="background1"/>
              </w:rPr>
              <w:t>Māori</w:t>
            </w:r>
          </w:p>
        </w:tc>
        <w:tc>
          <w:tcPr>
            <w:tcW w:w="1756" w:type="dxa"/>
          </w:tcPr>
          <w:p w14:paraId="4E03CF89" w14:textId="77777777" w:rsidR="002F5351" w:rsidRPr="00FB31D1" w:rsidRDefault="002F5351">
            <w:pPr>
              <w:pStyle w:val="TSTableHeadingWhite-TopRow"/>
              <w:jc w:val="center"/>
              <w:rPr>
                <w:b w:val="0"/>
                <w:bCs/>
                <w:color w:val="FFFFFF" w:themeColor="background1"/>
              </w:rPr>
            </w:pPr>
            <w:r w:rsidRPr="00FB31D1">
              <w:rPr>
                <w:color w:val="FFFFFF" w:themeColor="background1"/>
              </w:rPr>
              <w:t>European/Other</w:t>
            </w:r>
          </w:p>
        </w:tc>
        <w:tc>
          <w:tcPr>
            <w:tcW w:w="1277" w:type="dxa"/>
          </w:tcPr>
          <w:p w14:paraId="033D8B65" w14:textId="77777777" w:rsidR="002F5351" w:rsidRPr="00FB31D1" w:rsidRDefault="002F5351">
            <w:pPr>
              <w:pStyle w:val="TSTableHeadingWhite-TopRow"/>
              <w:jc w:val="center"/>
              <w:rPr>
                <w:b w:val="0"/>
                <w:bCs/>
                <w:color w:val="FFFFFF" w:themeColor="background1"/>
              </w:rPr>
            </w:pPr>
            <w:r w:rsidRPr="00FB31D1">
              <w:rPr>
                <w:color w:val="FFFFFF" w:themeColor="background1"/>
              </w:rPr>
              <w:t>Asian</w:t>
            </w:r>
          </w:p>
        </w:tc>
        <w:tc>
          <w:tcPr>
            <w:tcW w:w="1278" w:type="dxa"/>
          </w:tcPr>
          <w:p w14:paraId="6B196640" w14:textId="77777777" w:rsidR="002F5351" w:rsidRPr="00FB31D1" w:rsidRDefault="002F5351">
            <w:pPr>
              <w:pStyle w:val="TSTableHeadingWhite-TopRow"/>
              <w:jc w:val="center"/>
              <w:rPr>
                <w:b w:val="0"/>
                <w:bCs/>
                <w:color w:val="FFFFFF" w:themeColor="background1"/>
              </w:rPr>
            </w:pPr>
            <w:r w:rsidRPr="00FB31D1">
              <w:rPr>
                <w:color w:val="FFFFFF" w:themeColor="background1"/>
              </w:rPr>
              <w:t>Pacific</w:t>
            </w:r>
          </w:p>
        </w:tc>
        <w:tc>
          <w:tcPr>
            <w:tcW w:w="1218" w:type="dxa"/>
          </w:tcPr>
          <w:p w14:paraId="487486CF" w14:textId="77777777" w:rsidR="002F5351" w:rsidRPr="00FB31D1" w:rsidRDefault="002F5351">
            <w:pPr>
              <w:pStyle w:val="TSTableHeadingWhite-TopRow"/>
              <w:jc w:val="center"/>
              <w:rPr>
                <w:b w:val="0"/>
                <w:bCs/>
                <w:color w:val="FFFFFF" w:themeColor="background1"/>
              </w:rPr>
            </w:pPr>
            <w:r>
              <w:rPr>
                <w:color w:val="FFFFFF" w:themeColor="background1"/>
              </w:rPr>
              <w:t>Total*</w:t>
            </w:r>
          </w:p>
        </w:tc>
      </w:tr>
      <w:tr w:rsidR="002F5351" w14:paraId="5EC59B61" w14:textId="77777777">
        <w:tc>
          <w:tcPr>
            <w:tcW w:w="1414" w:type="dxa"/>
          </w:tcPr>
          <w:p w14:paraId="621343D6" w14:textId="77777777" w:rsidR="002F5351" w:rsidRPr="003161FB" w:rsidRDefault="002F5351">
            <w:pPr>
              <w:pStyle w:val="TSBodyText"/>
            </w:pPr>
            <w:r w:rsidRPr="003161FB">
              <w:t>FASD prevalence</w:t>
            </w:r>
          </w:p>
        </w:tc>
        <w:tc>
          <w:tcPr>
            <w:tcW w:w="1277" w:type="dxa"/>
          </w:tcPr>
          <w:p w14:paraId="181E5A43" w14:textId="77777777" w:rsidR="002F5351" w:rsidRPr="00A03282" w:rsidRDefault="002F5351">
            <w:pPr>
              <w:pStyle w:val="TSBodyText"/>
              <w:ind w:right="245"/>
              <w:jc w:val="right"/>
            </w:pPr>
            <w:r w:rsidRPr="00A03282">
              <w:t>2.10%</w:t>
            </w:r>
          </w:p>
        </w:tc>
        <w:tc>
          <w:tcPr>
            <w:tcW w:w="1756" w:type="dxa"/>
          </w:tcPr>
          <w:p w14:paraId="5F7976EF" w14:textId="77777777" w:rsidR="002F5351" w:rsidRPr="00A03282" w:rsidRDefault="002F5351">
            <w:pPr>
              <w:pStyle w:val="TSBodyText"/>
              <w:ind w:right="654"/>
              <w:jc w:val="right"/>
            </w:pPr>
            <w:r w:rsidRPr="00A03282">
              <w:t>1.50%</w:t>
            </w:r>
          </w:p>
        </w:tc>
        <w:tc>
          <w:tcPr>
            <w:tcW w:w="1277" w:type="dxa"/>
          </w:tcPr>
          <w:p w14:paraId="51D48A50" w14:textId="77777777" w:rsidR="002F5351" w:rsidRPr="00A03282" w:rsidRDefault="002F5351">
            <w:pPr>
              <w:pStyle w:val="TSBodyText"/>
              <w:ind w:right="245"/>
              <w:jc w:val="right"/>
            </w:pPr>
            <w:r w:rsidRPr="00A03282">
              <w:t>0.20%</w:t>
            </w:r>
          </w:p>
        </w:tc>
        <w:tc>
          <w:tcPr>
            <w:tcW w:w="1278" w:type="dxa"/>
          </w:tcPr>
          <w:p w14:paraId="61CAF095" w14:textId="77777777" w:rsidR="002F5351" w:rsidRPr="00A03282" w:rsidRDefault="002F5351">
            <w:pPr>
              <w:pStyle w:val="TSBodyText"/>
              <w:ind w:right="245"/>
              <w:jc w:val="right"/>
            </w:pPr>
            <w:r w:rsidRPr="00A03282">
              <w:t>0.50%</w:t>
            </w:r>
          </w:p>
        </w:tc>
        <w:tc>
          <w:tcPr>
            <w:tcW w:w="1218" w:type="dxa"/>
          </w:tcPr>
          <w:p w14:paraId="417C75F2" w14:textId="77777777" w:rsidR="002F5351" w:rsidRPr="00A03282" w:rsidRDefault="002F5351">
            <w:pPr>
              <w:pStyle w:val="TSBodyText"/>
              <w:ind w:right="245"/>
              <w:jc w:val="right"/>
            </w:pPr>
            <w:r w:rsidRPr="00A03282">
              <w:t>1.3%</w:t>
            </w:r>
          </w:p>
        </w:tc>
      </w:tr>
      <w:tr w:rsidR="002F5351" w14:paraId="372EACE7" w14:textId="77777777">
        <w:trPr>
          <w:cnfStyle w:val="000000010000" w:firstRow="0" w:lastRow="0" w:firstColumn="0" w:lastColumn="0" w:oddVBand="0" w:evenVBand="0" w:oddHBand="0" w:evenHBand="1" w:firstRowFirstColumn="0" w:firstRowLastColumn="0" w:lastRowFirstColumn="0" w:lastRowLastColumn="0"/>
        </w:trPr>
        <w:tc>
          <w:tcPr>
            <w:tcW w:w="1414" w:type="dxa"/>
          </w:tcPr>
          <w:p w14:paraId="5DE6C99A" w14:textId="77777777" w:rsidR="002F5351" w:rsidRPr="003161FB" w:rsidRDefault="002F5351">
            <w:pPr>
              <w:pStyle w:val="TSBodyText"/>
            </w:pPr>
            <w:r w:rsidRPr="003161FB">
              <w:t xml:space="preserve">Population </w:t>
            </w:r>
            <w:proofErr w:type="gramStart"/>
            <w:r w:rsidRPr="003161FB">
              <w:t>estimate</w:t>
            </w:r>
            <w:proofErr w:type="gramEnd"/>
          </w:p>
        </w:tc>
        <w:tc>
          <w:tcPr>
            <w:tcW w:w="1277" w:type="dxa"/>
          </w:tcPr>
          <w:p w14:paraId="79D11253" w14:textId="77777777" w:rsidR="002F5351" w:rsidRPr="00A03282" w:rsidRDefault="002F5351">
            <w:pPr>
              <w:pStyle w:val="TSBodyText"/>
              <w:ind w:right="245"/>
              <w:jc w:val="right"/>
            </w:pPr>
            <w:r w:rsidRPr="00A03282">
              <w:t>905,800</w:t>
            </w:r>
          </w:p>
        </w:tc>
        <w:tc>
          <w:tcPr>
            <w:tcW w:w="1756" w:type="dxa"/>
          </w:tcPr>
          <w:p w14:paraId="64B9043E" w14:textId="77777777" w:rsidR="002F5351" w:rsidRPr="00A03282" w:rsidRDefault="002F5351">
            <w:pPr>
              <w:pStyle w:val="TSBodyText"/>
              <w:ind w:right="654"/>
              <w:jc w:val="right"/>
            </w:pPr>
            <w:r w:rsidRPr="00A03282">
              <w:t>3,588,700</w:t>
            </w:r>
          </w:p>
        </w:tc>
        <w:tc>
          <w:tcPr>
            <w:tcW w:w="1277" w:type="dxa"/>
          </w:tcPr>
          <w:p w14:paraId="28E4B5BC" w14:textId="77777777" w:rsidR="002F5351" w:rsidRPr="00A03282" w:rsidRDefault="002F5351">
            <w:pPr>
              <w:pStyle w:val="TSBodyText"/>
              <w:ind w:right="245"/>
              <w:jc w:val="right"/>
            </w:pPr>
            <w:r w:rsidRPr="00A03282">
              <w:t>861,000</w:t>
            </w:r>
          </w:p>
        </w:tc>
        <w:tc>
          <w:tcPr>
            <w:tcW w:w="1278" w:type="dxa"/>
          </w:tcPr>
          <w:p w14:paraId="691CC6C2" w14:textId="77777777" w:rsidR="002F5351" w:rsidRPr="00A03282" w:rsidRDefault="002F5351">
            <w:pPr>
              <w:pStyle w:val="TSBodyText"/>
              <w:ind w:right="245"/>
              <w:jc w:val="right"/>
            </w:pPr>
            <w:r w:rsidRPr="00A03282">
              <w:t>469,500</w:t>
            </w:r>
          </w:p>
        </w:tc>
        <w:tc>
          <w:tcPr>
            <w:tcW w:w="1218" w:type="dxa"/>
          </w:tcPr>
          <w:p w14:paraId="1001FC09" w14:textId="77777777" w:rsidR="002F5351" w:rsidRPr="00A03282" w:rsidRDefault="002F5351">
            <w:pPr>
              <w:pStyle w:val="TSBodyText"/>
              <w:ind w:right="245"/>
              <w:jc w:val="right"/>
            </w:pPr>
            <w:r w:rsidRPr="00A03282">
              <w:t>5,825,000</w:t>
            </w:r>
          </w:p>
        </w:tc>
      </w:tr>
      <w:tr w:rsidR="002F5351" w14:paraId="17DE5A64" w14:textId="77777777">
        <w:tc>
          <w:tcPr>
            <w:tcW w:w="1414" w:type="dxa"/>
          </w:tcPr>
          <w:p w14:paraId="14ABE646" w14:textId="77777777" w:rsidR="002F5351" w:rsidRPr="003161FB" w:rsidRDefault="002F5351">
            <w:pPr>
              <w:pStyle w:val="TSBodyText"/>
            </w:pPr>
            <w:r w:rsidRPr="003161FB">
              <w:t>Population with FASD</w:t>
            </w:r>
          </w:p>
        </w:tc>
        <w:tc>
          <w:tcPr>
            <w:tcW w:w="1277" w:type="dxa"/>
          </w:tcPr>
          <w:p w14:paraId="21ADC26E" w14:textId="77777777" w:rsidR="002F5351" w:rsidRPr="00A03282" w:rsidRDefault="002F5351">
            <w:pPr>
              <w:pStyle w:val="TSBodyText"/>
              <w:ind w:right="245"/>
              <w:jc w:val="right"/>
            </w:pPr>
            <w:r w:rsidRPr="00A03282">
              <w:t xml:space="preserve"> 19,022 </w:t>
            </w:r>
          </w:p>
        </w:tc>
        <w:tc>
          <w:tcPr>
            <w:tcW w:w="1756" w:type="dxa"/>
          </w:tcPr>
          <w:p w14:paraId="2208B5E0" w14:textId="77777777" w:rsidR="002F5351" w:rsidRPr="00A03282" w:rsidRDefault="002F5351">
            <w:pPr>
              <w:pStyle w:val="TSBodyText"/>
              <w:ind w:right="654"/>
              <w:jc w:val="right"/>
            </w:pPr>
            <w:r w:rsidRPr="00A03282">
              <w:t xml:space="preserve"> 53,831 </w:t>
            </w:r>
          </w:p>
        </w:tc>
        <w:tc>
          <w:tcPr>
            <w:tcW w:w="1277" w:type="dxa"/>
          </w:tcPr>
          <w:p w14:paraId="433629E4" w14:textId="77777777" w:rsidR="002F5351" w:rsidRPr="00A03282" w:rsidRDefault="002F5351">
            <w:pPr>
              <w:pStyle w:val="TSBodyText"/>
              <w:ind w:right="245"/>
              <w:jc w:val="right"/>
            </w:pPr>
            <w:r w:rsidRPr="00A03282">
              <w:t xml:space="preserve"> 1,722 </w:t>
            </w:r>
          </w:p>
        </w:tc>
        <w:tc>
          <w:tcPr>
            <w:tcW w:w="1278" w:type="dxa"/>
          </w:tcPr>
          <w:p w14:paraId="0FF1EFAA" w14:textId="77777777" w:rsidR="002F5351" w:rsidRPr="00A03282" w:rsidRDefault="002F5351">
            <w:pPr>
              <w:pStyle w:val="TSBodyText"/>
              <w:ind w:right="245"/>
              <w:jc w:val="right"/>
            </w:pPr>
            <w:r w:rsidRPr="00A03282">
              <w:t xml:space="preserve"> 2,348 </w:t>
            </w:r>
          </w:p>
        </w:tc>
        <w:tc>
          <w:tcPr>
            <w:tcW w:w="1218" w:type="dxa"/>
          </w:tcPr>
          <w:p w14:paraId="4F840C72" w14:textId="77777777" w:rsidR="002F5351" w:rsidRPr="00A03282" w:rsidRDefault="002F5351">
            <w:pPr>
              <w:pStyle w:val="TSBodyText"/>
              <w:ind w:right="245"/>
              <w:jc w:val="right"/>
            </w:pPr>
            <w:r w:rsidRPr="00A03282">
              <w:t xml:space="preserve"> 76,922 </w:t>
            </w:r>
          </w:p>
        </w:tc>
      </w:tr>
      <w:tr w:rsidR="002F5351" w14:paraId="2C43DB48" w14:textId="77777777">
        <w:trPr>
          <w:cnfStyle w:val="000000010000" w:firstRow="0" w:lastRow="0" w:firstColumn="0" w:lastColumn="0" w:oddVBand="0" w:evenVBand="0" w:oddHBand="0" w:evenHBand="1" w:firstRowFirstColumn="0" w:firstRowLastColumn="0" w:lastRowFirstColumn="0" w:lastRowLastColumn="0"/>
        </w:trPr>
        <w:tc>
          <w:tcPr>
            <w:tcW w:w="1414" w:type="dxa"/>
          </w:tcPr>
          <w:p w14:paraId="483E7429" w14:textId="77777777" w:rsidR="002F5351" w:rsidRPr="003161FB" w:rsidRDefault="002F5351">
            <w:pPr>
              <w:pStyle w:val="TSBodyText"/>
            </w:pPr>
            <w:r>
              <w:t>Share of FASD population</w:t>
            </w:r>
          </w:p>
        </w:tc>
        <w:tc>
          <w:tcPr>
            <w:tcW w:w="1277" w:type="dxa"/>
          </w:tcPr>
          <w:p w14:paraId="1EFB2DD3" w14:textId="77777777" w:rsidR="002F5351" w:rsidRPr="009979CF" w:rsidRDefault="002F5351">
            <w:pPr>
              <w:pStyle w:val="TSBodyText"/>
              <w:ind w:right="245"/>
              <w:jc w:val="right"/>
            </w:pPr>
            <w:r w:rsidRPr="009979CF">
              <w:t>24.7%</w:t>
            </w:r>
          </w:p>
        </w:tc>
        <w:tc>
          <w:tcPr>
            <w:tcW w:w="1756" w:type="dxa"/>
          </w:tcPr>
          <w:p w14:paraId="2519C4D5" w14:textId="77777777" w:rsidR="002F5351" w:rsidRPr="009979CF" w:rsidRDefault="002F5351">
            <w:pPr>
              <w:pStyle w:val="TSBodyText"/>
              <w:ind w:right="654"/>
              <w:jc w:val="right"/>
            </w:pPr>
            <w:r>
              <w:t>70.0</w:t>
            </w:r>
            <w:r w:rsidRPr="009979CF">
              <w:t>%</w:t>
            </w:r>
          </w:p>
        </w:tc>
        <w:tc>
          <w:tcPr>
            <w:tcW w:w="1277" w:type="dxa"/>
          </w:tcPr>
          <w:p w14:paraId="68A0D64D" w14:textId="77777777" w:rsidR="002F5351" w:rsidRPr="009979CF" w:rsidRDefault="002F5351">
            <w:pPr>
              <w:pStyle w:val="TSBodyText"/>
              <w:ind w:right="245"/>
              <w:jc w:val="right"/>
            </w:pPr>
            <w:r w:rsidRPr="009979CF">
              <w:t>2.2%</w:t>
            </w:r>
          </w:p>
        </w:tc>
        <w:tc>
          <w:tcPr>
            <w:tcW w:w="1278" w:type="dxa"/>
          </w:tcPr>
          <w:p w14:paraId="7D4A2747" w14:textId="77777777" w:rsidR="002F5351" w:rsidRPr="009979CF" w:rsidRDefault="002F5351">
            <w:pPr>
              <w:pStyle w:val="TSBodyText"/>
              <w:ind w:right="245"/>
              <w:jc w:val="right"/>
            </w:pPr>
            <w:r w:rsidRPr="009979CF">
              <w:t>3.0%</w:t>
            </w:r>
          </w:p>
        </w:tc>
        <w:tc>
          <w:tcPr>
            <w:tcW w:w="1218" w:type="dxa"/>
          </w:tcPr>
          <w:p w14:paraId="20D1D0CC" w14:textId="77777777" w:rsidR="002F5351" w:rsidRPr="009979CF" w:rsidRDefault="002F5351">
            <w:pPr>
              <w:pStyle w:val="TSBodyText"/>
              <w:ind w:right="245"/>
              <w:jc w:val="right"/>
            </w:pPr>
            <w:r w:rsidRPr="009979CF">
              <w:t>100%</w:t>
            </w:r>
          </w:p>
        </w:tc>
      </w:tr>
    </w:tbl>
    <w:p w14:paraId="42402356" w14:textId="76D5C92D" w:rsidR="002F5351" w:rsidRDefault="002F5351" w:rsidP="002F5351">
      <w:pPr>
        <w:pStyle w:val="USSource"/>
        <w:keepNext/>
        <w:keepLines/>
        <w:spacing w:after="60"/>
      </w:pPr>
      <w:r>
        <w:t xml:space="preserve">*Total represents the sum of values for the ethnic groups identified in the table. The total is higher than the total 2023 population projected by </w:t>
      </w:r>
      <w:r w:rsidR="00F515C8">
        <w:t>Stats NZ</w:t>
      </w:r>
      <w:r>
        <w:t xml:space="preserve"> because subnational population projections are based on Census data</w:t>
      </w:r>
      <w:r w:rsidR="00F515C8">
        <w:t>,</w:t>
      </w:r>
      <w:r>
        <w:t xml:space="preserve"> which allows individuals to identify as more than one ethnicity.</w:t>
      </w:r>
    </w:p>
    <w:p w14:paraId="31986D57" w14:textId="0293C1D5" w:rsidR="002F5351" w:rsidRPr="00731CA6" w:rsidRDefault="002F5351" w:rsidP="002F5351">
      <w:pPr>
        <w:pStyle w:val="USSource"/>
      </w:pPr>
      <w:r>
        <w:t xml:space="preserve"> Source: NZIER, </w:t>
      </w:r>
      <w:r w:rsidRPr="007E2AA0">
        <w:t xml:space="preserve">based on Romeo et al. (2023) </w:t>
      </w:r>
      <w:r>
        <w:t xml:space="preserve">and </w:t>
      </w:r>
      <w:r w:rsidR="00F515C8">
        <w:t>Stats NZ</w:t>
      </w:r>
      <w:r>
        <w:t xml:space="preserve"> subnational ethnic population projections 2018 base</w:t>
      </w:r>
    </w:p>
    <w:p w14:paraId="3FA766F1" w14:textId="3217AC19" w:rsidR="002F5351" w:rsidRPr="00D23BF9" w:rsidRDefault="002F5351" w:rsidP="002F5351">
      <w:pPr>
        <w:pStyle w:val="USBodyText"/>
      </w:pPr>
      <w:r w:rsidRPr="00D23BF9">
        <w:lastRenderedPageBreak/>
        <w:t xml:space="preserve">A major challenge to understanding costs associated with FASD in New Zealand is that FASD has not been recognised as a fundable disability by the Ministry of Health, precluding access to </w:t>
      </w:r>
      <w:r w:rsidR="00512297">
        <w:t>g</w:t>
      </w:r>
      <w:r w:rsidR="00512297" w:rsidRPr="00D23BF9">
        <w:t xml:space="preserve">overnment </w:t>
      </w:r>
      <w:r w:rsidRPr="00D23BF9">
        <w:t xml:space="preserve">disability and support services for around 80 percent of the FASD community </w:t>
      </w:r>
      <w:r w:rsidRPr="00D23BF9">
        <w:fldChar w:fldCharType="begin"/>
      </w:r>
      <w:r w:rsidR="00F244F6">
        <w:instrText xml:space="preserve"> ADDIN ZOTERO_ITEM CSL_CITATION {"citationID":"DH5FqEll","properties":{"formattedCitation":"(Romeo et al. 2023)","plainCitation":"(Romeo et al. 2023)","noteIndex":0},"citationItems":[{"id":69795,"uris":["http://zotero.org/groups/4944822/items/EZ5YF2G2"],"itemData":{"id":69795,"type":"article-journal","abstract":"Introduction Foetal alcohol spectrum disorder (FASD) is 100% caused by alcohol. The lifelong disability caused by prenatal alcohol exposure cannot be reversed. Lack of reliable national prevalence estimates of FASD is common internationally and true of Aotearoa, New Zealand. This study modelled the national prevalence of FASD and differences by ethnicity. Methods FASD prevalence was estimated from self-reported data on any alcohol use during pregnancy for 2012/2013 and 2018/2019, combined with risk estimates for FASD from a meta-analysis of case-ascertainment or clinic-based studies in seven other countries. A sensitivity analysis using four more recent active case ascertainment studies was performed to account for the possibility of underestimation. Results We estimated FASD prevalence in the general population to be 1.7% (95% confidence interval [CI] 1.0%; 2.7%) in the 2012/2013 year. For Māori, the prevalence was significantly higher than for Pasifika and Asian populations. In the 2018/2019 year, FASD prevalence was 1.3% (95% CI 0.9%; 1.9%). For Māori, the prevalence was significantly higher than for Pasifika and Asian populations. The sensitivity analysis estimated the prevalence of FASD in the 2018/2019 year to range between 1.1% and 3.9% and for Māori, from 1.7% to 6.3%. Discussion and Conclusions This study used methodology from comparative risk assessments, using the best available national data. These findings are probably underestimates but indicate a disproportionate experience of FASD by Māori compared with some ethnicities. The findings support the need for policy and prevention initiatives to support alcohol-free pregnancies to reduce lifelong disability caused by prenatal alcohol exposure.","container-title":"Drug and Alcohol Review","DOI":"10.1111/dar.13619","ISSN":"1465-3362","issue":"4","language":"en","license":"© 2023 The Authors. Drug and Alcohol Review published by John Wiley &amp; Sons Australia, Ltd on behalf of Australasian Professional Society on Alcohol and other Drugs.","note":"_eprint: https://onlinelibrary.wiley.com/doi/pdf/10.1111/dar.13619","page":"859-867","source":"Wiley Online Library","title":"Foetal alcohol spectrum disorder in Aotearoa, New Zealand: Estimates of prevalence and indications of inequity","title-short":"Foetal alcohol spectrum disorder in Aotearoa, New Zealand","volume":"42","author":[{"family":"Romeo","given":"Jose S."},{"family":"Huckle","given":"Taisia"},{"family":"Casswell","given":"Sally"},{"family":"Connor","given":"Jennie"},{"family":"Rehm","given":"Jurgen"},{"family":"McGinn","given":"Valerie"}],"issued":{"date-parts":[["2023"]]}}}],"schema":"https://github.com/citation-style-language/schema/raw/master/csl-citation.json"} </w:instrText>
      </w:r>
      <w:r w:rsidRPr="00D23BF9">
        <w:fldChar w:fldCharType="separate"/>
      </w:r>
      <w:r w:rsidRPr="00D23BF9">
        <w:rPr>
          <w:rFonts w:cs="Calibri"/>
        </w:rPr>
        <w:t>(Romeo et al. 2023)</w:t>
      </w:r>
      <w:r w:rsidRPr="00D23BF9">
        <w:fldChar w:fldCharType="end"/>
      </w:r>
      <w:r w:rsidRPr="00D23BF9">
        <w:t xml:space="preserve">. </w:t>
      </w:r>
      <w:r w:rsidR="00CA4C76">
        <w:t xml:space="preserve">Only those with a very low IQ can access disability support, but this is </w:t>
      </w:r>
      <w:r w:rsidR="00512297">
        <w:t>based on</w:t>
      </w:r>
      <w:r w:rsidR="00CA4C76">
        <w:t xml:space="preserve"> their IQ, not their FASD diagnosis.</w:t>
      </w:r>
    </w:p>
    <w:p w14:paraId="1424F835" w14:textId="77777777" w:rsidR="002F5351" w:rsidRPr="00D23BF9" w:rsidRDefault="002F5351" w:rsidP="002F5351">
      <w:pPr>
        <w:pStyle w:val="USBodyText"/>
      </w:pPr>
      <w:r w:rsidRPr="00D23BF9">
        <w:t>FASD is known to be associated with a significant fiscal and private economic burden. However, currently, this burden cannot be estimated with confidence for New Zealand.</w:t>
      </w:r>
    </w:p>
    <w:p w14:paraId="6952B5C2" w14:textId="77777777" w:rsidR="002F5351" w:rsidRPr="00D23BF9" w:rsidRDefault="002F5351" w:rsidP="002F5351">
      <w:pPr>
        <w:pStyle w:val="USBodyText"/>
      </w:pPr>
      <w:r w:rsidRPr="00D23BF9">
        <w:t>Easton et al. (2016) estimated that in 2013, approximately 0.03 percent of the New Zealand workforce experienced a loss of productivity due to FASD-attributable morbidity and premature mortality, which translated to aggregate productivity losses ranging from $49 million to $200 million, or 0.03 percent to 0.09 percent of GDP.</w:t>
      </w:r>
    </w:p>
    <w:p w14:paraId="2513CFA2" w14:textId="77777777" w:rsidR="002F5351" w:rsidRDefault="002F5351" w:rsidP="002F5351">
      <w:pPr>
        <w:pStyle w:val="Heading3"/>
      </w:pPr>
      <w:r>
        <w:t xml:space="preserve">Estimated value of productivity loss associated with FASD </w:t>
      </w:r>
      <w:proofErr w:type="gramStart"/>
      <w:r>
        <w:t>impairment</w:t>
      </w:r>
      <w:proofErr w:type="gramEnd"/>
    </w:p>
    <w:p w14:paraId="041152DF" w14:textId="77777777" w:rsidR="002F5351" w:rsidRDefault="002F5351" w:rsidP="002F5351">
      <w:pPr>
        <w:pStyle w:val="USBodyText"/>
      </w:pPr>
      <w:r>
        <w:t>We estimate the value of productivity loss associated with FASD impairment using:</w:t>
      </w:r>
    </w:p>
    <w:p w14:paraId="27A4E066" w14:textId="77777777" w:rsidR="002F5351" w:rsidRDefault="002F5351" w:rsidP="002F5351">
      <w:pPr>
        <w:pStyle w:val="USBullet1"/>
      </w:pPr>
      <w:r>
        <w:t>t</w:t>
      </w:r>
      <w:r w:rsidRPr="00AF29B1">
        <w:t>he Romeo et al. (2023) central estimate of the prevalence of FASD in New Zealand</w:t>
      </w:r>
      <w:r>
        <w:t xml:space="preserve"> in 2018/19 (1.3 percent)</w:t>
      </w:r>
    </w:p>
    <w:p w14:paraId="7B41630C" w14:textId="77777777" w:rsidR="002F5351" w:rsidRDefault="002F5351" w:rsidP="002F5351">
      <w:pPr>
        <w:pStyle w:val="USBullet1"/>
      </w:pPr>
      <w:r>
        <w:t>the Easton et al. (2016) estimated shares of FAS and other FASDs within the total FASD population in New Zealand (10 percent FAS and 90 percent other FASDs)</w:t>
      </w:r>
    </w:p>
    <w:p w14:paraId="1681B3D4" w14:textId="77777777" w:rsidR="002F5351" w:rsidRDefault="002F5351" w:rsidP="002F5351">
      <w:pPr>
        <w:pStyle w:val="USBullet1"/>
      </w:pPr>
      <w:r>
        <w:t>the Easton et al. (2016) estimated probability of impairment and level of impairment (informed by expert clinical advice and weighted by FASD type) for people with FAS (100 percent) and other FASDs (25 percent)</w:t>
      </w:r>
    </w:p>
    <w:p w14:paraId="08DC9839" w14:textId="77777777" w:rsidR="002F5351" w:rsidRDefault="002F5351" w:rsidP="002F5351">
      <w:pPr>
        <w:pStyle w:val="USBullet1"/>
      </w:pPr>
      <w:r w:rsidRPr="00CE7733">
        <w:t xml:space="preserve">updated population and </w:t>
      </w:r>
      <w:r>
        <w:t>labour market</w:t>
      </w:r>
      <w:r w:rsidRPr="00CE7733">
        <w:t xml:space="preserve"> data </w:t>
      </w:r>
      <w:r>
        <w:t>reflecting 2023 conditions.</w:t>
      </w:r>
    </w:p>
    <w:p w14:paraId="11C86BC5" w14:textId="77777777" w:rsidR="002F5351" w:rsidRDefault="002F5351" w:rsidP="002F5351">
      <w:pPr>
        <w:pStyle w:val="USBullet1"/>
        <w:numPr>
          <w:ilvl w:val="0"/>
          <w:numId w:val="0"/>
        </w:numPr>
        <w:ind w:left="851"/>
      </w:pPr>
      <w:r w:rsidRPr="005E3C8A">
        <w:t>The</w:t>
      </w:r>
      <w:r>
        <w:t xml:space="preserve"> cost of lost productivity associated with FASD in 2023</w:t>
      </w:r>
      <w:r w:rsidRPr="005E3C8A">
        <w:t xml:space="preserve"> </w:t>
      </w:r>
      <w:r>
        <w:t>is expected to be significantly higher than the estimates presented by Easton et al. (2016) based on 2013 prevalence, population, and labour market conditions. There are several reasons for this:</w:t>
      </w:r>
    </w:p>
    <w:p w14:paraId="50DB2CB9" w14:textId="4DC9DE2C" w:rsidR="002F5351" w:rsidRDefault="002F5351" w:rsidP="002F5351">
      <w:pPr>
        <w:pStyle w:val="USBullet1"/>
      </w:pPr>
      <w:r>
        <w:t xml:space="preserve">the </w:t>
      </w:r>
      <w:r w:rsidRPr="005E3C8A">
        <w:t>implication of the Romeo et al</w:t>
      </w:r>
      <w:r>
        <w:t>.</w:t>
      </w:r>
      <w:r w:rsidRPr="005E3C8A">
        <w:t xml:space="preserve"> (2023) prevalence estimate</w:t>
      </w:r>
      <w:r>
        <w:t xml:space="preserve"> for FASD</w:t>
      </w:r>
      <w:r w:rsidRPr="005E3C8A">
        <w:t xml:space="preserve"> is that </w:t>
      </w:r>
      <w:r>
        <w:t xml:space="preserve">even without population growth, </w:t>
      </w:r>
      <w:r w:rsidRPr="005E3C8A">
        <w:t xml:space="preserve">the population of people with FASD </w:t>
      </w:r>
      <w:r>
        <w:t>would</w:t>
      </w:r>
      <w:r w:rsidRPr="005E3C8A">
        <w:t xml:space="preserve"> be 30 percent higher than </w:t>
      </w:r>
      <w:r>
        <w:t>that</w:t>
      </w:r>
      <w:r w:rsidRPr="005E3C8A">
        <w:t xml:space="preserve"> estimated by Easton et al</w:t>
      </w:r>
      <w:r w:rsidR="00D525D0">
        <w:t>.</w:t>
      </w:r>
      <w:r w:rsidRPr="005E3C8A">
        <w:t xml:space="preserve"> (2016) (1.3 percent of the population versus 1 percent)</w:t>
      </w:r>
    </w:p>
    <w:p w14:paraId="034F8BFA" w14:textId="513217C5" w:rsidR="002F5351" w:rsidRDefault="002F5351" w:rsidP="002F5351">
      <w:pPr>
        <w:pStyle w:val="USBullet1"/>
      </w:pPr>
      <w:r w:rsidRPr="005E3C8A">
        <w:t>as the population</w:t>
      </w:r>
      <w:r>
        <w:t xml:space="preserve"> has also grown, there will be more people with FASD and related impairments in </w:t>
      </w:r>
      <w:proofErr w:type="gramStart"/>
      <w:r>
        <w:t>2023</w:t>
      </w:r>
      <w:proofErr w:type="gramEnd"/>
    </w:p>
    <w:p w14:paraId="1DB9B656" w14:textId="77777777" w:rsidR="002F5351" w:rsidRDefault="002F5351" w:rsidP="002F5351">
      <w:pPr>
        <w:pStyle w:val="USBullet1"/>
      </w:pPr>
      <w:r>
        <w:t>wages</w:t>
      </w:r>
      <w:r w:rsidRPr="005E3C8A">
        <w:t xml:space="preserve">, labour market participation and employment have </w:t>
      </w:r>
      <w:r>
        <w:t xml:space="preserve">all </w:t>
      </w:r>
      <w:r w:rsidRPr="005E3C8A">
        <w:t>increased relative to 2013,</w:t>
      </w:r>
      <w:r>
        <w:t xml:space="preserve"> resulting in a higher value of lost productivity from FASD impairment</w:t>
      </w:r>
      <w:r w:rsidRPr="005E3C8A">
        <w:t>.</w:t>
      </w:r>
    </w:p>
    <w:p w14:paraId="7894C3C7" w14:textId="77777777" w:rsidR="002F5351" w:rsidRDefault="002F5351" w:rsidP="002F5351">
      <w:pPr>
        <w:pStyle w:val="USBullet1"/>
        <w:numPr>
          <w:ilvl w:val="0"/>
          <w:numId w:val="0"/>
        </w:numPr>
        <w:ind w:left="851"/>
      </w:pPr>
      <w:r>
        <w:t xml:space="preserve">Easton et al. (2016) estimated a lower boundary and an upper boundary for the counterfactual earnings of people with FASD (the earnings they could be expected to have if they did not have FASD). While the upper boundary is based on a standard approach where average earnings are applied in a labour market counterfactual, the authors concede that “it could be argued that the average worker with FASD comes from a more socially deprived background, and as a result, have a lower average wage than a typical member of the labour force”. With this in mind, Easton et al. (2016) also estimate a lower boundary value based on </w:t>
      </w:r>
      <w:r w:rsidRPr="00D25349">
        <w:t xml:space="preserve">the minimum </w:t>
      </w:r>
      <w:r>
        <w:t xml:space="preserve">wage. </w:t>
      </w:r>
    </w:p>
    <w:p w14:paraId="7E27A585" w14:textId="09C6AE7F" w:rsidR="002F5351" w:rsidRDefault="002F5351" w:rsidP="002F5351">
      <w:pPr>
        <w:pStyle w:val="USBullet1"/>
        <w:numPr>
          <w:ilvl w:val="0"/>
          <w:numId w:val="0"/>
        </w:numPr>
        <w:ind w:left="851"/>
      </w:pPr>
      <w:r>
        <w:t xml:space="preserve">In our assessment, Easton et al. (2016) is not a lower boundary because although it reflects the lower wages that might be expected for a person from a socially deprived background, </w:t>
      </w:r>
      <w:r>
        <w:lastRenderedPageBreak/>
        <w:t>it still assumes average labour market participation and employment rates. However, it does represent a more conservative scenario than the standard average labour market outcomes counterfactual that is often used in cost-of-illness studies. On that basis, we selected this scenario for our estimation.</w:t>
      </w:r>
    </w:p>
    <w:p w14:paraId="5205E5D0" w14:textId="631DFB22" w:rsidR="002F5351" w:rsidRDefault="002F5351" w:rsidP="002F5351">
      <w:pPr>
        <w:pStyle w:val="USBodyText"/>
      </w:pPr>
      <w:r>
        <w:t xml:space="preserve">Based on these key inputs from Easton et al. (2016) and Romeo et al. (2023) and population and labour market data from </w:t>
      </w:r>
      <w:r w:rsidR="00D525D0">
        <w:t>Stats NZ</w:t>
      </w:r>
      <w:r>
        <w:t xml:space="preserve">, the estimated value of productivity lost due to FASD-related impairment in 2023 is $131.4 million (see </w:t>
      </w:r>
      <w:r w:rsidR="004325E0">
        <w:fldChar w:fldCharType="begin"/>
      </w:r>
      <w:r w:rsidR="004325E0">
        <w:instrText xml:space="preserve"> REF _Ref156231369 \h </w:instrText>
      </w:r>
      <w:r w:rsidR="004325E0">
        <w:fldChar w:fldCharType="separate"/>
      </w:r>
      <w:r w:rsidR="00AE166D" w:rsidRPr="00731CA6">
        <w:t xml:space="preserve">Table </w:t>
      </w:r>
      <w:r w:rsidR="00AE166D">
        <w:rPr>
          <w:noProof/>
        </w:rPr>
        <w:t>50</w:t>
      </w:r>
      <w:r w:rsidR="004325E0">
        <w:fldChar w:fldCharType="end"/>
      </w:r>
      <w:r>
        <w:t xml:space="preserve"> below).</w:t>
      </w:r>
    </w:p>
    <w:p w14:paraId="474E3833" w14:textId="20C9D672" w:rsidR="002F5351" w:rsidRPr="00731CA6" w:rsidRDefault="002F5351" w:rsidP="002F5351">
      <w:pPr>
        <w:pStyle w:val="TableCaption"/>
      </w:pPr>
      <w:bookmarkStart w:id="229" w:name="_Ref156231369"/>
      <w:bookmarkStart w:id="230" w:name="_Toc160633957"/>
      <w:r w:rsidRPr="00731CA6">
        <w:t xml:space="preserve">Table </w:t>
      </w:r>
      <w:fldSimple w:instr=" SEQ Table \* ARABIC ">
        <w:r w:rsidR="00AE166D">
          <w:rPr>
            <w:noProof/>
          </w:rPr>
          <w:t>50</w:t>
        </w:r>
      </w:fldSimple>
      <w:bookmarkEnd w:id="229"/>
      <w:r w:rsidRPr="00731CA6">
        <w:t xml:space="preserve"> </w:t>
      </w:r>
      <w:r>
        <w:t xml:space="preserve">Estimation of the total value of lost productivity associated with </w:t>
      </w:r>
      <w:proofErr w:type="gramStart"/>
      <w:r>
        <w:t>FASD</w:t>
      </w:r>
      <w:bookmarkEnd w:id="230"/>
      <w:proofErr w:type="gramEnd"/>
    </w:p>
    <w:p w14:paraId="1ECEDBFD" w14:textId="77777777" w:rsidR="002F5351" w:rsidRDefault="002F5351" w:rsidP="002F5351">
      <w:pPr>
        <w:pStyle w:val="CaptionSubheading"/>
      </w:pPr>
      <w:r>
        <w:t>2023 values</w:t>
      </w:r>
    </w:p>
    <w:tbl>
      <w:tblPr>
        <w:tblStyle w:val="TableDefault"/>
        <w:tblW w:w="0" w:type="auto"/>
        <w:tblLook w:val="04A0" w:firstRow="1" w:lastRow="0" w:firstColumn="1" w:lastColumn="0" w:noHBand="0" w:noVBand="1"/>
      </w:tblPr>
      <w:tblGrid>
        <w:gridCol w:w="6031"/>
        <w:gridCol w:w="2189"/>
      </w:tblGrid>
      <w:tr w:rsidR="002F5351" w:rsidRPr="00BE3900" w14:paraId="16865AA6" w14:textId="77777777">
        <w:trPr>
          <w:cnfStyle w:val="100000000000" w:firstRow="1" w:lastRow="0" w:firstColumn="0" w:lastColumn="0" w:oddVBand="0" w:evenVBand="0" w:oddHBand="0" w:evenHBand="0" w:firstRowFirstColumn="0" w:firstRowLastColumn="0" w:lastRowFirstColumn="0" w:lastRowLastColumn="0"/>
        </w:trPr>
        <w:tc>
          <w:tcPr>
            <w:tcW w:w="6334" w:type="dxa"/>
          </w:tcPr>
          <w:p w14:paraId="00DA3C20" w14:textId="77777777" w:rsidR="002F5351" w:rsidRPr="00BE3900" w:rsidRDefault="002F5351">
            <w:pPr>
              <w:pStyle w:val="TSTableHeadingWhite-TopRow"/>
            </w:pPr>
            <w:r w:rsidRPr="00BE3900">
              <w:t>Parameter</w:t>
            </w:r>
          </w:p>
        </w:tc>
        <w:tc>
          <w:tcPr>
            <w:tcW w:w="1886" w:type="dxa"/>
          </w:tcPr>
          <w:p w14:paraId="4F41487A" w14:textId="77777777" w:rsidR="002F5351" w:rsidRPr="00BE3900" w:rsidRDefault="002F5351">
            <w:pPr>
              <w:pStyle w:val="TSTableHeadingWhite-TopRow"/>
              <w:jc w:val="center"/>
            </w:pPr>
            <w:r w:rsidRPr="00BE3900">
              <w:t>Value</w:t>
            </w:r>
          </w:p>
        </w:tc>
      </w:tr>
      <w:tr w:rsidR="002F5351" w:rsidRPr="00FA4255" w14:paraId="7A31EC47" w14:textId="77777777">
        <w:tc>
          <w:tcPr>
            <w:tcW w:w="6334" w:type="dxa"/>
          </w:tcPr>
          <w:p w14:paraId="3B504794" w14:textId="77777777" w:rsidR="002F5351" w:rsidRPr="00867208" w:rsidRDefault="002F5351">
            <w:pPr>
              <w:pStyle w:val="TSBodyText"/>
            </w:pPr>
            <w:r w:rsidRPr="00867208">
              <w:t>New Zealand population</w:t>
            </w:r>
          </w:p>
        </w:tc>
        <w:tc>
          <w:tcPr>
            <w:tcW w:w="1886" w:type="dxa"/>
          </w:tcPr>
          <w:p w14:paraId="11D6D83A" w14:textId="77777777" w:rsidR="002F5351" w:rsidRPr="00867208" w:rsidRDefault="002F5351">
            <w:pPr>
              <w:pStyle w:val="TSBodyText"/>
              <w:ind w:right="606"/>
              <w:jc w:val="right"/>
              <w:rPr>
                <w:vertAlign w:val="superscript"/>
              </w:rPr>
            </w:pPr>
            <w:r w:rsidRPr="00867208">
              <w:t>5,149,500</w:t>
            </w:r>
          </w:p>
        </w:tc>
      </w:tr>
      <w:tr w:rsidR="002F5351" w:rsidRPr="00FA4255" w14:paraId="3971B4EB" w14:textId="77777777">
        <w:trPr>
          <w:cnfStyle w:val="000000010000" w:firstRow="0" w:lastRow="0" w:firstColumn="0" w:lastColumn="0" w:oddVBand="0" w:evenVBand="0" w:oddHBand="0" w:evenHBand="1" w:firstRowFirstColumn="0" w:firstRowLastColumn="0" w:lastRowFirstColumn="0" w:lastRowLastColumn="0"/>
        </w:trPr>
        <w:tc>
          <w:tcPr>
            <w:tcW w:w="6334" w:type="dxa"/>
          </w:tcPr>
          <w:p w14:paraId="68425D5F" w14:textId="77777777" w:rsidR="002F5351" w:rsidRPr="00867208" w:rsidRDefault="002F5351">
            <w:pPr>
              <w:pStyle w:val="TSBodyText"/>
            </w:pPr>
            <w:r>
              <w:t>Share of population participating in the labour force</w:t>
            </w:r>
          </w:p>
        </w:tc>
        <w:tc>
          <w:tcPr>
            <w:tcW w:w="1886" w:type="dxa"/>
          </w:tcPr>
          <w:p w14:paraId="5504EFD6" w14:textId="77777777" w:rsidR="002F5351" w:rsidRPr="00867208" w:rsidRDefault="002F5351">
            <w:pPr>
              <w:pStyle w:val="TSBodyText"/>
              <w:ind w:right="606"/>
              <w:jc w:val="right"/>
            </w:pPr>
            <w:r>
              <w:t>58.25%</w:t>
            </w:r>
          </w:p>
        </w:tc>
      </w:tr>
      <w:tr w:rsidR="002F5351" w:rsidRPr="00920C80" w14:paraId="39A4F25B" w14:textId="77777777">
        <w:tc>
          <w:tcPr>
            <w:tcW w:w="6334" w:type="dxa"/>
          </w:tcPr>
          <w:p w14:paraId="5A365C7C" w14:textId="77777777" w:rsidR="002F5351" w:rsidRPr="00867208" w:rsidRDefault="002F5351">
            <w:pPr>
              <w:pStyle w:val="TSBodyText"/>
            </w:pPr>
            <w:r w:rsidRPr="00867208">
              <w:t>Population with FASD (1.3% of total population)</w:t>
            </w:r>
          </w:p>
        </w:tc>
        <w:tc>
          <w:tcPr>
            <w:tcW w:w="1886" w:type="dxa"/>
          </w:tcPr>
          <w:p w14:paraId="7286D4F7" w14:textId="77777777" w:rsidR="002F5351" w:rsidRPr="00867208" w:rsidRDefault="002F5351">
            <w:pPr>
              <w:pStyle w:val="TSBodyText"/>
              <w:ind w:right="606"/>
              <w:jc w:val="right"/>
            </w:pPr>
            <w:r w:rsidRPr="00867208">
              <w:t>66,944</w:t>
            </w:r>
          </w:p>
        </w:tc>
      </w:tr>
      <w:tr w:rsidR="002F5351" w14:paraId="5B024AC3" w14:textId="77777777">
        <w:trPr>
          <w:cnfStyle w:val="000000010000" w:firstRow="0" w:lastRow="0" w:firstColumn="0" w:lastColumn="0" w:oddVBand="0" w:evenVBand="0" w:oddHBand="0" w:evenHBand="1" w:firstRowFirstColumn="0" w:firstRowLastColumn="0" w:lastRowFirstColumn="0" w:lastRowLastColumn="0"/>
        </w:trPr>
        <w:tc>
          <w:tcPr>
            <w:tcW w:w="6334" w:type="dxa"/>
            <w:vAlign w:val="center"/>
          </w:tcPr>
          <w:p w14:paraId="07F252D2" w14:textId="77777777" w:rsidR="002F5351" w:rsidRPr="00867208" w:rsidRDefault="002F5351">
            <w:pPr>
              <w:pStyle w:val="TSBodyText"/>
            </w:pPr>
            <w:r w:rsidRPr="00867208">
              <w:t>FAS population (10% of total FASD population)</w:t>
            </w:r>
          </w:p>
        </w:tc>
        <w:tc>
          <w:tcPr>
            <w:tcW w:w="1886" w:type="dxa"/>
          </w:tcPr>
          <w:p w14:paraId="765FF9E2" w14:textId="77777777" w:rsidR="002F5351" w:rsidRPr="00867208" w:rsidRDefault="002F5351">
            <w:pPr>
              <w:pStyle w:val="TSBodyText"/>
              <w:ind w:right="606"/>
              <w:jc w:val="right"/>
            </w:pPr>
            <w:r w:rsidRPr="00867208">
              <w:t>6,694</w:t>
            </w:r>
          </w:p>
        </w:tc>
      </w:tr>
      <w:tr w:rsidR="002F5351" w14:paraId="35E27EE7" w14:textId="77777777">
        <w:tc>
          <w:tcPr>
            <w:tcW w:w="6334" w:type="dxa"/>
            <w:vAlign w:val="center"/>
          </w:tcPr>
          <w:p w14:paraId="01FAF7D4" w14:textId="77777777" w:rsidR="002F5351" w:rsidRPr="00867208" w:rsidRDefault="002F5351">
            <w:pPr>
              <w:pStyle w:val="TSBodyText"/>
            </w:pPr>
            <w:r w:rsidRPr="00867208">
              <w:t>Other FASD population (90% of total FASD population)</w:t>
            </w:r>
          </w:p>
        </w:tc>
        <w:tc>
          <w:tcPr>
            <w:tcW w:w="1886" w:type="dxa"/>
          </w:tcPr>
          <w:p w14:paraId="14024374" w14:textId="77777777" w:rsidR="002F5351" w:rsidRPr="00867208" w:rsidRDefault="002F5351">
            <w:pPr>
              <w:pStyle w:val="TSBodyText"/>
              <w:ind w:right="606"/>
              <w:jc w:val="right"/>
            </w:pPr>
            <w:r w:rsidRPr="00867208">
              <w:t>60,2</w:t>
            </w:r>
            <w:r>
              <w:t>49</w:t>
            </w:r>
          </w:p>
        </w:tc>
      </w:tr>
      <w:tr w:rsidR="002F5351" w14:paraId="19DC3899" w14:textId="77777777">
        <w:trPr>
          <w:cnfStyle w:val="000000010000" w:firstRow="0" w:lastRow="0" w:firstColumn="0" w:lastColumn="0" w:oddVBand="0" w:evenVBand="0" w:oddHBand="0" w:evenHBand="1" w:firstRowFirstColumn="0" w:firstRowLastColumn="0" w:lastRowFirstColumn="0" w:lastRowLastColumn="0"/>
        </w:trPr>
        <w:tc>
          <w:tcPr>
            <w:tcW w:w="6334" w:type="dxa"/>
          </w:tcPr>
          <w:p w14:paraId="4D2B3284" w14:textId="77777777" w:rsidR="002F5351" w:rsidRPr="00867208" w:rsidRDefault="002F5351">
            <w:pPr>
              <w:pStyle w:val="TSBodyText"/>
            </w:pPr>
            <w:r w:rsidRPr="00867208">
              <w:t xml:space="preserve">FAS </w:t>
            </w:r>
            <w:r>
              <w:t>workforce</w:t>
            </w:r>
            <w:r w:rsidRPr="00867208">
              <w:t xml:space="preserve"> </w:t>
            </w:r>
            <w:r>
              <w:t xml:space="preserve">(based on 58.25% </w:t>
            </w:r>
            <w:r w:rsidRPr="00867208">
              <w:t xml:space="preserve">labour force participation </w:t>
            </w:r>
            <w:r>
              <w:t>and 3.4% unemployment)</w:t>
            </w:r>
          </w:p>
        </w:tc>
        <w:tc>
          <w:tcPr>
            <w:tcW w:w="1886" w:type="dxa"/>
          </w:tcPr>
          <w:p w14:paraId="0D3DE08D" w14:textId="77777777" w:rsidR="002F5351" w:rsidRPr="00867208" w:rsidRDefault="002F5351">
            <w:pPr>
              <w:pStyle w:val="TSBodyText"/>
              <w:ind w:right="606"/>
              <w:jc w:val="right"/>
            </w:pPr>
            <w:r>
              <w:t>3,767</w:t>
            </w:r>
          </w:p>
        </w:tc>
      </w:tr>
      <w:tr w:rsidR="002F5351" w14:paraId="5FAF65A3" w14:textId="77777777">
        <w:tc>
          <w:tcPr>
            <w:tcW w:w="6334" w:type="dxa"/>
          </w:tcPr>
          <w:p w14:paraId="307401FA" w14:textId="77777777" w:rsidR="002F5351" w:rsidRPr="00867208" w:rsidRDefault="002F5351">
            <w:pPr>
              <w:pStyle w:val="TSBodyText"/>
            </w:pPr>
            <w:r w:rsidRPr="00867208">
              <w:t xml:space="preserve">Other FASD </w:t>
            </w:r>
            <w:r>
              <w:t>workforce</w:t>
            </w:r>
            <w:r w:rsidRPr="00867208">
              <w:t xml:space="preserve"> </w:t>
            </w:r>
            <w:r w:rsidRPr="00195026">
              <w:t>(based on 58.25% labour force participation and 3.4% unemployment)</w:t>
            </w:r>
          </w:p>
        </w:tc>
        <w:tc>
          <w:tcPr>
            <w:tcW w:w="1886" w:type="dxa"/>
          </w:tcPr>
          <w:p w14:paraId="6D7C96BB" w14:textId="77777777" w:rsidR="002F5351" w:rsidRPr="00867208" w:rsidRDefault="002F5351">
            <w:pPr>
              <w:pStyle w:val="TSBodyText"/>
              <w:ind w:right="606"/>
              <w:jc w:val="right"/>
            </w:pPr>
            <w:r>
              <w:t>33,902</w:t>
            </w:r>
          </w:p>
        </w:tc>
      </w:tr>
      <w:tr w:rsidR="002F5351" w14:paraId="225BA5C3" w14:textId="77777777">
        <w:trPr>
          <w:cnfStyle w:val="000000010000" w:firstRow="0" w:lastRow="0" w:firstColumn="0" w:lastColumn="0" w:oddVBand="0" w:evenVBand="0" w:oddHBand="0" w:evenHBand="1" w:firstRowFirstColumn="0" w:firstRowLastColumn="0" w:lastRowFirstColumn="0" w:lastRowLastColumn="0"/>
        </w:trPr>
        <w:tc>
          <w:tcPr>
            <w:tcW w:w="6334" w:type="dxa"/>
          </w:tcPr>
          <w:p w14:paraId="66DB1905" w14:textId="77777777" w:rsidR="002F5351" w:rsidRPr="00867208" w:rsidRDefault="002F5351">
            <w:pPr>
              <w:pStyle w:val="TSBodyText"/>
            </w:pPr>
            <w:r>
              <w:t>Total counterfactual earnings for the overall FASD population*</w:t>
            </w:r>
          </w:p>
        </w:tc>
        <w:tc>
          <w:tcPr>
            <w:tcW w:w="1886" w:type="dxa"/>
          </w:tcPr>
          <w:p w14:paraId="7E5BC9DA" w14:textId="77777777" w:rsidR="002F5351" w:rsidRPr="00867208" w:rsidRDefault="002F5351">
            <w:pPr>
              <w:pStyle w:val="TSBodyText"/>
              <w:ind w:right="606"/>
              <w:jc w:val="right"/>
            </w:pPr>
            <w:r>
              <w:t>$1,667,408,225</w:t>
            </w:r>
          </w:p>
        </w:tc>
      </w:tr>
      <w:tr w:rsidR="002F5351" w14:paraId="69CB4AB0" w14:textId="77777777">
        <w:tc>
          <w:tcPr>
            <w:tcW w:w="6334" w:type="dxa"/>
          </w:tcPr>
          <w:p w14:paraId="30F2DD2B" w14:textId="77777777" w:rsidR="002F5351" w:rsidRPr="00867208" w:rsidRDefault="002F5351">
            <w:pPr>
              <w:pStyle w:val="TSBodyText"/>
            </w:pPr>
            <w:r>
              <w:t>Impaired people with FAS in employment (100% of FAS workforce**)</w:t>
            </w:r>
          </w:p>
        </w:tc>
        <w:tc>
          <w:tcPr>
            <w:tcW w:w="1886" w:type="dxa"/>
          </w:tcPr>
          <w:p w14:paraId="701B7E5B" w14:textId="77777777" w:rsidR="002F5351" w:rsidRPr="00867208" w:rsidRDefault="002F5351">
            <w:pPr>
              <w:pStyle w:val="TSBodyText"/>
              <w:ind w:right="606"/>
              <w:jc w:val="right"/>
            </w:pPr>
            <w:r>
              <w:t>3,767</w:t>
            </w:r>
          </w:p>
        </w:tc>
      </w:tr>
      <w:tr w:rsidR="002F5351" w14:paraId="64423912" w14:textId="77777777">
        <w:trPr>
          <w:cnfStyle w:val="000000010000" w:firstRow="0" w:lastRow="0" w:firstColumn="0" w:lastColumn="0" w:oddVBand="0" w:evenVBand="0" w:oddHBand="0" w:evenHBand="1" w:firstRowFirstColumn="0" w:firstRowLastColumn="0" w:lastRowFirstColumn="0" w:lastRowLastColumn="0"/>
        </w:trPr>
        <w:tc>
          <w:tcPr>
            <w:tcW w:w="6334" w:type="dxa"/>
          </w:tcPr>
          <w:p w14:paraId="36FD35DA" w14:textId="77777777" w:rsidR="002F5351" w:rsidRPr="00867208" w:rsidRDefault="002F5351">
            <w:pPr>
              <w:pStyle w:val="TSBodyText"/>
            </w:pPr>
            <w:r>
              <w:t>Impaired people with Other FASD in employment (25% of Other FASD workforce**)</w:t>
            </w:r>
          </w:p>
        </w:tc>
        <w:tc>
          <w:tcPr>
            <w:tcW w:w="1886" w:type="dxa"/>
          </w:tcPr>
          <w:p w14:paraId="2B07C5F6" w14:textId="77777777" w:rsidR="002F5351" w:rsidRPr="00867208" w:rsidRDefault="002F5351">
            <w:pPr>
              <w:pStyle w:val="TSBodyText"/>
              <w:ind w:right="606"/>
              <w:jc w:val="right"/>
            </w:pPr>
            <w:r>
              <w:t>8,475</w:t>
            </w:r>
          </w:p>
        </w:tc>
      </w:tr>
      <w:tr w:rsidR="002F5351" w14:paraId="7959C3AC" w14:textId="77777777">
        <w:tc>
          <w:tcPr>
            <w:tcW w:w="6334" w:type="dxa"/>
          </w:tcPr>
          <w:p w14:paraId="5B94450C" w14:textId="77777777" w:rsidR="002F5351" w:rsidRPr="00867208" w:rsidRDefault="002F5351">
            <w:pPr>
              <w:pStyle w:val="TSBodyText"/>
            </w:pPr>
            <w:r>
              <w:t>Total impaired FASD workforce</w:t>
            </w:r>
          </w:p>
        </w:tc>
        <w:tc>
          <w:tcPr>
            <w:tcW w:w="1886" w:type="dxa"/>
          </w:tcPr>
          <w:p w14:paraId="6229D192" w14:textId="77777777" w:rsidR="002F5351" w:rsidRPr="00867208" w:rsidRDefault="002F5351">
            <w:pPr>
              <w:pStyle w:val="TSBodyText"/>
              <w:ind w:right="606"/>
              <w:jc w:val="right"/>
            </w:pPr>
            <w:r>
              <w:t>12,242</w:t>
            </w:r>
          </w:p>
        </w:tc>
      </w:tr>
      <w:tr w:rsidR="002F5351" w14:paraId="72236617" w14:textId="77777777">
        <w:trPr>
          <w:cnfStyle w:val="000000010000" w:firstRow="0" w:lastRow="0" w:firstColumn="0" w:lastColumn="0" w:oddVBand="0" w:evenVBand="0" w:oddHBand="0" w:evenHBand="1" w:firstRowFirstColumn="0" w:firstRowLastColumn="0" w:lastRowFirstColumn="0" w:lastRowLastColumn="0"/>
        </w:trPr>
        <w:tc>
          <w:tcPr>
            <w:tcW w:w="6334" w:type="dxa"/>
          </w:tcPr>
          <w:p w14:paraId="03B4A46F" w14:textId="77777777" w:rsidR="002F5351" w:rsidRPr="00867208" w:rsidRDefault="002F5351">
            <w:pPr>
              <w:pStyle w:val="TSBodyText"/>
            </w:pPr>
            <w:r>
              <w:t>Productivity loss of impaired FASD workers (weighted impairment***)</w:t>
            </w:r>
          </w:p>
        </w:tc>
        <w:tc>
          <w:tcPr>
            <w:tcW w:w="1886" w:type="dxa"/>
          </w:tcPr>
          <w:p w14:paraId="4414EF0C" w14:textId="77777777" w:rsidR="002F5351" w:rsidRPr="00867208" w:rsidRDefault="002F5351">
            <w:pPr>
              <w:pStyle w:val="TSBodyText"/>
              <w:ind w:right="606"/>
              <w:jc w:val="right"/>
            </w:pPr>
            <w:r>
              <w:t>24.25%</w:t>
            </w:r>
          </w:p>
        </w:tc>
      </w:tr>
      <w:tr w:rsidR="002F5351" w14:paraId="47966DC3" w14:textId="77777777">
        <w:tc>
          <w:tcPr>
            <w:tcW w:w="6334" w:type="dxa"/>
          </w:tcPr>
          <w:p w14:paraId="53106C2D" w14:textId="77777777" w:rsidR="002F5351" w:rsidRPr="000554C3" w:rsidRDefault="002F5351">
            <w:pPr>
              <w:pStyle w:val="TSBodyText"/>
            </w:pPr>
            <w:r w:rsidRPr="000554C3">
              <w:t>Productivity per impaired FASD worker</w:t>
            </w:r>
          </w:p>
        </w:tc>
        <w:tc>
          <w:tcPr>
            <w:tcW w:w="1886" w:type="dxa"/>
          </w:tcPr>
          <w:p w14:paraId="3812E2E0" w14:textId="77777777" w:rsidR="002F5351" w:rsidRPr="000554C3" w:rsidRDefault="002F5351">
            <w:pPr>
              <w:pStyle w:val="TSBodyText"/>
              <w:ind w:right="606"/>
              <w:jc w:val="right"/>
            </w:pPr>
            <w:r w:rsidRPr="000554C3">
              <w:t>$33,531</w:t>
            </w:r>
          </w:p>
        </w:tc>
      </w:tr>
      <w:tr w:rsidR="002F5351" w14:paraId="2C37BE36" w14:textId="77777777">
        <w:trPr>
          <w:cnfStyle w:val="000000010000" w:firstRow="0" w:lastRow="0" w:firstColumn="0" w:lastColumn="0" w:oddVBand="0" w:evenVBand="0" w:oddHBand="0" w:evenHBand="1" w:firstRowFirstColumn="0" w:firstRowLastColumn="0" w:lastRowFirstColumn="0" w:lastRowLastColumn="0"/>
        </w:trPr>
        <w:tc>
          <w:tcPr>
            <w:tcW w:w="6334" w:type="dxa"/>
          </w:tcPr>
          <w:p w14:paraId="70FDA921" w14:textId="77777777" w:rsidR="002F5351" w:rsidRPr="000554C3" w:rsidRDefault="002F5351">
            <w:pPr>
              <w:pStyle w:val="TSBodyText"/>
            </w:pPr>
            <w:r w:rsidRPr="000554C3">
              <w:t xml:space="preserve">Total productivity of impaired FASD workforce </w:t>
            </w:r>
          </w:p>
        </w:tc>
        <w:tc>
          <w:tcPr>
            <w:tcW w:w="1886" w:type="dxa"/>
          </w:tcPr>
          <w:p w14:paraId="4E4E4848" w14:textId="77777777" w:rsidR="002F5351" w:rsidRPr="000554C3" w:rsidRDefault="002F5351">
            <w:pPr>
              <w:pStyle w:val="TSBodyText"/>
              <w:ind w:right="606"/>
              <w:jc w:val="right"/>
            </w:pPr>
            <w:r w:rsidRPr="000554C3">
              <w:t xml:space="preserve"> $410,495,062.39 </w:t>
            </w:r>
          </w:p>
        </w:tc>
      </w:tr>
      <w:tr w:rsidR="002F5351" w14:paraId="02F6CA5A" w14:textId="77777777">
        <w:tc>
          <w:tcPr>
            <w:tcW w:w="6334" w:type="dxa"/>
          </w:tcPr>
          <w:p w14:paraId="7188DF1A" w14:textId="77777777" w:rsidR="002F5351" w:rsidRPr="000554C3" w:rsidRDefault="002F5351">
            <w:pPr>
              <w:pStyle w:val="TSBodyText"/>
            </w:pPr>
            <w:r w:rsidRPr="000554C3">
              <w:t>Total productivity of non-impaired FASD workforce (75% of Other FASD workers)</w:t>
            </w:r>
          </w:p>
        </w:tc>
        <w:tc>
          <w:tcPr>
            <w:tcW w:w="1886" w:type="dxa"/>
          </w:tcPr>
          <w:p w14:paraId="2AE3DF35" w14:textId="77777777" w:rsidR="002F5351" w:rsidRPr="000554C3" w:rsidRDefault="002F5351">
            <w:pPr>
              <w:pStyle w:val="TSBodyText"/>
              <w:ind w:right="606"/>
              <w:jc w:val="right"/>
            </w:pPr>
            <w:r w:rsidRPr="000554C3">
              <w:t xml:space="preserve"> $1,125,500,551.88 </w:t>
            </w:r>
          </w:p>
        </w:tc>
      </w:tr>
      <w:tr w:rsidR="002F5351" w14:paraId="0EE26EF0" w14:textId="77777777">
        <w:trPr>
          <w:cnfStyle w:val="000000010000" w:firstRow="0" w:lastRow="0" w:firstColumn="0" w:lastColumn="0" w:oddVBand="0" w:evenVBand="0" w:oddHBand="0" w:evenHBand="1" w:firstRowFirstColumn="0" w:firstRowLastColumn="0" w:lastRowFirstColumn="0" w:lastRowLastColumn="0"/>
        </w:trPr>
        <w:tc>
          <w:tcPr>
            <w:tcW w:w="6334" w:type="dxa"/>
          </w:tcPr>
          <w:p w14:paraId="50BD86DB" w14:textId="77777777" w:rsidR="002F5351" w:rsidRPr="000554C3" w:rsidRDefault="002F5351">
            <w:pPr>
              <w:pStyle w:val="TSBodyText"/>
            </w:pPr>
            <w:r w:rsidRPr="000554C3">
              <w:t>Total actual productivity of the FASD population</w:t>
            </w:r>
          </w:p>
        </w:tc>
        <w:tc>
          <w:tcPr>
            <w:tcW w:w="1886" w:type="dxa"/>
          </w:tcPr>
          <w:p w14:paraId="11EB6731" w14:textId="77777777" w:rsidR="002F5351" w:rsidRPr="000554C3" w:rsidRDefault="002F5351">
            <w:pPr>
              <w:pStyle w:val="TSBodyText"/>
              <w:ind w:right="606"/>
              <w:jc w:val="right"/>
            </w:pPr>
            <w:r w:rsidRPr="000554C3">
              <w:t xml:space="preserve"> $1,535,995,614.27 </w:t>
            </w:r>
          </w:p>
        </w:tc>
      </w:tr>
      <w:tr w:rsidR="002F5351" w14:paraId="1A4F4F1E" w14:textId="77777777">
        <w:tc>
          <w:tcPr>
            <w:tcW w:w="6334" w:type="dxa"/>
          </w:tcPr>
          <w:p w14:paraId="1FC6A024" w14:textId="77777777" w:rsidR="002F5351" w:rsidRPr="000554C3" w:rsidRDefault="002F5351">
            <w:pPr>
              <w:pStyle w:val="TSBodyText"/>
              <w:rPr>
                <w:b/>
                <w:vertAlign w:val="superscript"/>
              </w:rPr>
            </w:pPr>
            <w:r w:rsidRPr="000554C3">
              <w:rPr>
                <w:b/>
              </w:rPr>
              <w:t>Value of lost productivity in 2023 due to FASD</w:t>
            </w:r>
          </w:p>
        </w:tc>
        <w:tc>
          <w:tcPr>
            <w:tcW w:w="1886" w:type="dxa"/>
          </w:tcPr>
          <w:p w14:paraId="21FA4C56" w14:textId="77777777" w:rsidR="002F5351" w:rsidRPr="000554C3" w:rsidRDefault="002F5351">
            <w:pPr>
              <w:pStyle w:val="TSBodyText"/>
              <w:ind w:right="606"/>
              <w:jc w:val="right"/>
              <w:rPr>
                <w:b/>
              </w:rPr>
            </w:pPr>
            <w:r w:rsidRPr="000554C3">
              <w:rPr>
                <w:b/>
              </w:rPr>
              <w:t xml:space="preserve"> $131,412,611 </w:t>
            </w:r>
          </w:p>
        </w:tc>
      </w:tr>
    </w:tbl>
    <w:p w14:paraId="6F9AFD80" w14:textId="77777777" w:rsidR="002F5351" w:rsidRDefault="002F5351" w:rsidP="002F5351">
      <w:pPr>
        <w:pStyle w:val="USSource"/>
        <w:keepNext/>
        <w:keepLines/>
        <w:spacing w:before="60" w:after="60"/>
      </w:pPr>
      <w:r>
        <w:t>*Based on $22.70 per hour (MBIE https://www.mbie.govt.nz/about/news/minimum-wage-rising-from-1-april-2023/), 37.5 hours per week, 52 weeks per year</w:t>
      </w:r>
    </w:p>
    <w:p w14:paraId="27FBFBE8" w14:textId="5B6ED153" w:rsidR="002F5351" w:rsidRDefault="002F5351" w:rsidP="002F5351">
      <w:pPr>
        <w:pStyle w:val="USSource"/>
        <w:keepNext/>
        <w:keepLines/>
        <w:spacing w:before="60" w:after="60"/>
      </w:pPr>
      <w:r>
        <w:t xml:space="preserve">**Easton et al. </w:t>
      </w:r>
      <w:r w:rsidR="0097586F">
        <w:t xml:space="preserve">(2016) </w:t>
      </w:r>
      <w:r>
        <w:t>estimated the percentage of the employed FAS and Other FASD populations that are affected by impairments likely to impact on productivity based on expert clinical advice.</w:t>
      </w:r>
    </w:p>
    <w:p w14:paraId="08FBB60C" w14:textId="66C230DD" w:rsidR="002F5351" w:rsidRDefault="002F5351" w:rsidP="002F5351">
      <w:pPr>
        <w:pStyle w:val="USSource"/>
        <w:keepNext/>
        <w:keepLines/>
        <w:spacing w:before="60" w:after="60"/>
      </w:pPr>
      <w:r>
        <w:t xml:space="preserve">***Easton et al. </w:t>
      </w:r>
      <w:r w:rsidR="0097586F">
        <w:t xml:space="preserve">(2016) </w:t>
      </w:r>
      <w:r>
        <w:t>estimated a degree of impairment for each FASD diagnosis type based on expert clinical advice and then weighted this to reflect the proportion of the FASD population with each diagnosis type.</w:t>
      </w:r>
    </w:p>
    <w:p w14:paraId="3B8397C4" w14:textId="5857EBEA" w:rsidR="002F5351" w:rsidRDefault="002F5351" w:rsidP="002F5351">
      <w:pPr>
        <w:pStyle w:val="USSource"/>
      </w:pPr>
      <w:r w:rsidRPr="00731CA6">
        <w:t xml:space="preserve">Source: </w:t>
      </w:r>
      <w:r>
        <w:t xml:space="preserve">NZIER, based on Romeo et al. (2023), Easton et al. (2016), population and labour market data from </w:t>
      </w:r>
      <w:r w:rsidR="00D525D0">
        <w:t>Stats NZ</w:t>
      </w:r>
    </w:p>
    <w:p w14:paraId="426216E4" w14:textId="242ED9FD" w:rsidR="002F5351" w:rsidRDefault="002F5351" w:rsidP="002F5351">
      <w:pPr>
        <w:pStyle w:val="USBodyText"/>
      </w:pPr>
      <w:r>
        <w:t xml:space="preserve">Based on a FASD population of 66,944, the total value of lost productivity of $131,412,611 translates into a value of </w:t>
      </w:r>
      <w:r w:rsidRPr="00F87651">
        <w:t>$</w:t>
      </w:r>
      <w:r>
        <w:t>1,963</w:t>
      </w:r>
      <w:r w:rsidRPr="00F87651">
        <w:t xml:space="preserve"> </w:t>
      </w:r>
      <w:r w:rsidRPr="00B34B2F">
        <w:t xml:space="preserve">of lost productivity </w:t>
      </w:r>
      <w:r w:rsidRPr="00F87651">
        <w:t xml:space="preserve">per person </w:t>
      </w:r>
      <w:r>
        <w:t xml:space="preserve">with FASD </w:t>
      </w:r>
      <w:r w:rsidRPr="00F87651">
        <w:t>per year</w:t>
      </w:r>
      <w:r>
        <w:t xml:space="preserve">. </w:t>
      </w:r>
      <w:r>
        <w:lastRenderedPageBreak/>
        <w:t xml:space="preserve">Applying this to the estimated number of people with FASD in each ethnicity group produces the value of FASD productivity loss for each ethnicity (see </w:t>
      </w:r>
      <w:r w:rsidR="004325E0">
        <w:fldChar w:fldCharType="begin"/>
      </w:r>
      <w:r w:rsidR="004325E0">
        <w:instrText xml:space="preserve"> REF _Ref156231394 \h </w:instrText>
      </w:r>
      <w:r w:rsidR="004325E0">
        <w:fldChar w:fldCharType="separate"/>
      </w:r>
      <w:r w:rsidR="00AE166D" w:rsidRPr="00731CA6">
        <w:t xml:space="preserve">Table </w:t>
      </w:r>
      <w:r w:rsidR="00AE166D">
        <w:rPr>
          <w:noProof/>
        </w:rPr>
        <w:t>51</w:t>
      </w:r>
      <w:r w:rsidR="004325E0">
        <w:fldChar w:fldCharType="end"/>
      </w:r>
      <w:r>
        <w:t xml:space="preserve"> below). This calculation reveals that the value of lost productivity attributable to FASD in the Māori population is over $37 million.</w:t>
      </w:r>
    </w:p>
    <w:p w14:paraId="4814F6C1" w14:textId="3019C874" w:rsidR="002F5351" w:rsidRDefault="002F5351" w:rsidP="002F5351">
      <w:pPr>
        <w:pStyle w:val="TableCaption"/>
      </w:pPr>
      <w:bookmarkStart w:id="231" w:name="_Ref156231394"/>
      <w:bookmarkStart w:id="232" w:name="_Toc160633958"/>
      <w:r w:rsidRPr="00731CA6">
        <w:t xml:space="preserve">Table </w:t>
      </w:r>
      <w:fldSimple w:instr=" SEQ Table \* ARABIC ">
        <w:r w:rsidR="00AE166D">
          <w:rPr>
            <w:noProof/>
          </w:rPr>
          <w:t>51</w:t>
        </w:r>
      </w:fldSimple>
      <w:bookmarkEnd w:id="231"/>
      <w:r>
        <w:t xml:space="preserve"> Total value of lost productivity associated with FASD by </w:t>
      </w:r>
      <w:proofErr w:type="gramStart"/>
      <w:r>
        <w:t>ethnicity</w:t>
      </w:r>
      <w:bookmarkEnd w:id="232"/>
      <w:proofErr w:type="gramEnd"/>
    </w:p>
    <w:p w14:paraId="674B205B" w14:textId="77777777" w:rsidR="002F5351" w:rsidRPr="008578E7" w:rsidRDefault="002F5351" w:rsidP="002F5351">
      <w:pPr>
        <w:pStyle w:val="CaptionSubheading"/>
      </w:pPr>
      <w:r>
        <w:t>2023 values</w:t>
      </w:r>
    </w:p>
    <w:tbl>
      <w:tblPr>
        <w:tblStyle w:val="TableDefault"/>
        <w:tblW w:w="8080" w:type="dxa"/>
        <w:tblLayout w:type="fixed"/>
        <w:tblLook w:val="04A0" w:firstRow="1" w:lastRow="0" w:firstColumn="1" w:lastColumn="0" w:noHBand="0" w:noVBand="1"/>
      </w:tblPr>
      <w:tblGrid>
        <w:gridCol w:w="2693"/>
        <w:gridCol w:w="1276"/>
        <w:gridCol w:w="1417"/>
        <w:gridCol w:w="1276"/>
        <w:gridCol w:w="1418"/>
      </w:tblGrid>
      <w:tr w:rsidR="002F5351" w14:paraId="01B4786A" w14:textId="77777777">
        <w:trPr>
          <w:cnfStyle w:val="100000000000" w:firstRow="1" w:lastRow="0" w:firstColumn="0" w:lastColumn="0" w:oddVBand="0" w:evenVBand="0" w:oddHBand="0" w:evenHBand="0" w:firstRowFirstColumn="0" w:firstRowLastColumn="0" w:lastRowFirstColumn="0" w:lastRowLastColumn="0"/>
        </w:trPr>
        <w:tc>
          <w:tcPr>
            <w:tcW w:w="2693" w:type="dxa"/>
          </w:tcPr>
          <w:p w14:paraId="48251F85" w14:textId="77777777" w:rsidR="002F5351" w:rsidRDefault="002F5351">
            <w:pPr>
              <w:pStyle w:val="TSTableHeadingWhite-TopRow"/>
            </w:pPr>
          </w:p>
        </w:tc>
        <w:tc>
          <w:tcPr>
            <w:tcW w:w="1276" w:type="dxa"/>
          </w:tcPr>
          <w:p w14:paraId="533710B3" w14:textId="77777777" w:rsidR="002F5351" w:rsidRPr="00DC3D46" w:rsidRDefault="002F5351">
            <w:pPr>
              <w:pStyle w:val="TSTableHeadingWhite-TopRow"/>
              <w:jc w:val="center"/>
              <w:rPr>
                <w:b w:val="0"/>
                <w:bCs/>
                <w:color w:val="FFFFFF" w:themeColor="background1"/>
              </w:rPr>
            </w:pPr>
            <w:r w:rsidRPr="00DC3D46">
              <w:rPr>
                <w:color w:val="FFFFFF" w:themeColor="background1"/>
              </w:rPr>
              <w:t>Māori</w:t>
            </w:r>
          </w:p>
        </w:tc>
        <w:tc>
          <w:tcPr>
            <w:tcW w:w="1417" w:type="dxa"/>
            <w:tcBorders>
              <w:right w:val="nil"/>
            </w:tcBorders>
          </w:tcPr>
          <w:p w14:paraId="028885A3" w14:textId="77777777" w:rsidR="002F5351" w:rsidRDefault="002F5351">
            <w:pPr>
              <w:pStyle w:val="TSTableHeadingWhite-TopRow"/>
              <w:jc w:val="center"/>
              <w:rPr>
                <w:b w:val="0"/>
                <w:bCs/>
                <w:color w:val="FFFFFF" w:themeColor="background1"/>
              </w:rPr>
            </w:pPr>
            <w:r w:rsidRPr="00DC3D46">
              <w:rPr>
                <w:color w:val="FFFFFF" w:themeColor="background1"/>
              </w:rPr>
              <w:t>European/</w:t>
            </w:r>
          </w:p>
          <w:p w14:paraId="4A7B7330" w14:textId="77777777" w:rsidR="002F5351" w:rsidRPr="00DC3D46" w:rsidRDefault="002F5351">
            <w:pPr>
              <w:pStyle w:val="TSTableHeadingWhite-TopRow"/>
              <w:jc w:val="center"/>
              <w:rPr>
                <w:b w:val="0"/>
                <w:bCs/>
                <w:color w:val="FFFFFF" w:themeColor="background1"/>
              </w:rPr>
            </w:pPr>
            <w:r w:rsidRPr="00DC3D46">
              <w:rPr>
                <w:color w:val="FFFFFF" w:themeColor="background1"/>
              </w:rPr>
              <w:t>Other</w:t>
            </w:r>
          </w:p>
        </w:tc>
        <w:tc>
          <w:tcPr>
            <w:tcW w:w="1276" w:type="dxa"/>
            <w:tcBorders>
              <w:left w:val="nil"/>
            </w:tcBorders>
          </w:tcPr>
          <w:p w14:paraId="7CFEE263" w14:textId="77777777" w:rsidR="002F5351" w:rsidRPr="00DC3D46" w:rsidRDefault="002F5351">
            <w:pPr>
              <w:pStyle w:val="TSTableHeadingWhite-TopRow"/>
              <w:jc w:val="center"/>
              <w:rPr>
                <w:b w:val="0"/>
                <w:bCs/>
                <w:color w:val="FFFFFF" w:themeColor="background1"/>
              </w:rPr>
            </w:pPr>
            <w:r w:rsidRPr="00DC3D46">
              <w:rPr>
                <w:color w:val="FFFFFF" w:themeColor="background1"/>
              </w:rPr>
              <w:t>Asian</w:t>
            </w:r>
          </w:p>
        </w:tc>
        <w:tc>
          <w:tcPr>
            <w:tcW w:w="1418" w:type="dxa"/>
          </w:tcPr>
          <w:p w14:paraId="593FDAA9" w14:textId="77777777" w:rsidR="002F5351" w:rsidRPr="00DC3D46" w:rsidRDefault="002F5351">
            <w:pPr>
              <w:pStyle w:val="TSTableHeadingWhite-TopRow"/>
              <w:jc w:val="center"/>
              <w:rPr>
                <w:b w:val="0"/>
                <w:bCs/>
                <w:color w:val="FFFFFF" w:themeColor="background1"/>
              </w:rPr>
            </w:pPr>
            <w:r w:rsidRPr="00DC3D46">
              <w:rPr>
                <w:color w:val="FFFFFF" w:themeColor="background1"/>
              </w:rPr>
              <w:t>Pacific</w:t>
            </w:r>
          </w:p>
        </w:tc>
      </w:tr>
      <w:tr w:rsidR="002F5351" w14:paraId="33FF4556" w14:textId="77777777">
        <w:tc>
          <w:tcPr>
            <w:tcW w:w="2693" w:type="dxa"/>
          </w:tcPr>
          <w:p w14:paraId="037C2705" w14:textId="77777777" w:rsidR="002F5351" w:rsidRPr="00CB4F40" w:rsidRDefault="002F5351">
            <w:pPr>
              <w:pStyle w:val="TSBodyText"/>
            </w:pPr>
            <w:r w:rsidRPr="00CB4F40">
              <w:t>FASD estimated population</w:t>
            </w:r>
          </w:p>
        </w:tc>
        <w:tc>
          <w:tcPr>
            <w:tcW w:w="1276" w:type="dxa"/>
          </w:tcPr>
          <w:p w14:paraId="4CF19A3F" w14:textId="77777777" w:rsidR="002F5351" w:rsidRPr="00316531" w:rsidRDefault="002F5351">
            <w:pPr>
              <w:pStyle w:val="TSBodyText"/>
              <w:jc w:val="right"/>
            </w:pPr>
            <w:r w:rsidRPr="00316531">
              <w:t xml:space="preserve"> 19,022 </w:t>
            </w:r>
          </w:p>
        </w:tc>
        <w:tc>
          <w:tcPr>
            <w:tcW w:w="1417" w:type="dxa"/>
            <w:tcBorders>
              <w:right w:val="nil"/>
            </w:tcBorders>
          </w:tcPr>
          <w:p w14:paraId="6BB752E5" w14:textId="77777777" w:rsidR="002F5351" w:rsidRPr="00316531" w:rsidRDefault="002F5351">
            <w:pPr>
              <w:pStyle w:val="TSBodyText"/>
              <w:jc w:val="right"/>
            </w:pPr>
            <w:r w:rsidRPr="00316531">
              <w:t xml:space="preserve"> 53,831 </w:t>
            </w:r>
          </w:p>
        </w:tc>
        <w:tc>
          <w:tcPr>
            <w:tcW w:w="1276" w:type="dxa"/>
            <w:tcBorders>
              <w:left w:val="nil"/>
            </w:tcBorders>
          </w:tcPr>
          <w:p w14:paraId="72F3FAF2" w14:textId="77777777" w:rsidR="002F5351" w:rsidRPr="00316531" w:rsidRDefault="002F5351">
            <w:pPr>
              <w:pStyle w:val="TSBodyText"/>
              <w:jc w:val="right"/>
            </w:pPr>
            <w:r w:rsidRPr="00316531">
              <w:t xml:space="preserve"> 1,722 </w:t>
            </w:r>
          </w:p>
        </w:tc>
        <w:tc>
          <w:tcPr>
            <w:tcW w:w="1418" w:type="dxa"/>
          </w:tcPr>
          <w:p w14:paraId="14EF1B84" w14:textId="77777777" w:rsidR="002F5351" w:rsidRPr="00316531" w:rsidRDefault="002F5351">
            <w:pPr>
              <w:pStyle w:val="TSBodyText"/>
              <w:jc w:val="right"/>
            </w:pPr>
            <w:r w:rsidRPr="00316531">
              <w:t xml:space="preserve"> 2,348 </w:t>
            </w:r>
          </w:p>
        </w:tc>
      </w:tr>
      <w:tr w:rsidR="002F5351" w14:paraId="4DE0825B" w14:textId="77777777">
        <w:trPr>
          <w:cnfStyle w:val="000000010000" w:firstRow="0" w:lastRow="0" w:firstColumn="0" w:lastColumn="0" w:oddVBand="0" w:evenVBand="0" w:oddHBand="0" w:evenHBand="1" w:firstRowFirstColumn="0" w:firstRowLastColumn="0" w:lastRowFirstColumn="0" w:lastRowLastColumn="0"/>
        </w:trPr>
        <w:tc>
          <w:tcPr>
            <w:tcW w:w="2693" w:type="dxa"/>
          </w:tcPr>
          <w:p w14:paraId="6313B86D" w14:textId="77777777" w:rsidR="002F5351" w:rsidRPr="00316531" w:rsidRDefault="002F5351">
            <w:pPr>
              <w:pStyle w:val="TSBodyText"/>
            </w:pPr>
            <w:r w:rsidRPr="00316531">
              <w:t>Value of lost productivity per person with FASD</w:t>
            </w:r>
          </w:p>
        </w:tc>
        <w:tc>
          <w:tcPr>
            <w:tcW w:w="1276" w:type="dxa"/>
          </w:tcPr>
          <w:p w14:paraId="069712AE" w14:textId="77777777" w:rsidR="002F5351" w:rsidRPr="00316531" w:rsidRDefault="002F5351">
            <w:pPr>
              <w:pStyle w:val="TSBodyText"/>
              <w:jc w:val="right"/>
            </w:pPr>
            <w:r w:rsidRPr="00316531">
              <w:t>$</w:t>
            </w:r>
            <w:r>
              <w:t>1,963</w:t>
            </w:r>
          </w:p>
        </w:tc>
        <w:tc>
          <w:tcPr>
            <w:tcW w:w="1417" w:type="dxa"/>
            <w:tcBorders>
              <w:right w:val="nil"/>
            </w:tcBorders>
          </w:tcPr>
          <w:p w14:paraId="6CB451F5" w14:textId="77777777" w:rsidR="002F5351" w:rsidRPr="00316531" w:rsidRDefault="002F5351">
            <w:pPr>
              <w:pStyle w:val="TSBodyText"/>
              <w:jc w:val="right"/>
            </w:pPr>
            <w:r w:rsidRPr="00316531">
              <w:t>$</w:t>
            </w:r>
            <w:r>
              <w:t>1,963</w:t>
            </w:r>
          </w:p>
        </w:tc>
        <w:tc>
          <w:tcPr>
            <w:tcW w:w="1276" w:type="dxa"/>
            <w:tcBorders>
              <w:left w:val="nil"/>
            </w:tcBorders>
          </w:tcPr>
          <w:p w14:paraId="5CB91F69" w14:textId="77777777" w:rsidR="002F5351" w:rsidRPr="00316531" w:rsidRDefault="002F5351">
            <w:pPr>
              <w:pStyle w:val="TSBodyText"/>
              <w:jc w:val="right"/>
            </w:pPr>
            <w:r w:rsidRPr="00316531">
              <w:t>$</w:t>
            </w:r>
            <w:r>
              <w:t>1,963</w:t>
            </w:r>
          </w:p>
        </w:tc>
        <w:tc>
          <w:tcPr>
            <w:tcW w:w="1418" w:type="dxa"/>
          </w:tcPr>
          <w:p w14:paraId="44F6DF47" w14:textId="77777777" w:rsidR="002F5351" w:rsidRPr="00316531" w:rsidRDefault="002F5351">
            <w:pPr>
              <w:pStyle w:val="TSBodyText"/>
              <w:jc w:val="right"/>
            </w:pPr>
            <w:r w:rsidRPr="00316531">
              <w:t>$</w:t>
            </w:r>
            <w:r>
              <w:t>1,963</w:t>
            </w:r>
          </w:p>
        </w:tc>
      </w:tr>
      <w:tr w:rsidR="002F5351" w14:paraId="2A4A7B9F" w14:textId="77777777">
        <w:tc>
          <w:tcPr>
            <w:tcW w:w="2693" w:type="dxa"/>
          </w:tcPr>
          <w:p w14:paraId="38F5B58D" w14:textId="77777777" w:rsidR="002F5351" w:rsidRPr="00316531" w:rsidRDefault="002F5351">
            <w:pPr>
              <w:pStyle w:val="TSBodyText"/>
            </w:pPr>
            <w:r>
              <w:t>Total value of lost productivity</w:t>
            </w:r>
          </w:p>
        </w:tc>
        <w:tc>
          <w:tcPr>
            <w:tcW w:w="1276" w:type="dxa"/>
          </w:tcPr>
          <w:p w14:paraId="4542A98E" w14:textId="77777777" w:rsidR="002F5351" w:rsidRPr="00D35BC1" w:rsidRDefault="002F5351">
            <w:pPr>
              <w:pStyle w:val="TSBodyText"/>
              <w:jc w:val="right"/>
            </w:pPr>
            <w:r w:rsidRPr="00D35BC1">
              <w:t>$37,340,186</w:t>
            </w:r>
          </w:p>
        </w:tc>
        <w:tc>
          <w:tcPr>
            <w:tcW w:w="1417" w:type="dxa"/>
            <w:tcBorders>
              <w:right w:val="nil"/>
            </w:tcBorders>
          </w:tcPr>
          <w:p w14:paraId="296F836E" w14:textId="77777777" w:rsidR="002F5351" w:rsidRPr="00D35BC1" w:rsidRDefault="002F5351">
            <w:pPr>
              <w:pStyle w:val="TSBodyText"/>
              <w:jc w:val="right"/>
            </w:pPr>
            <w:r w:rsidRPr="00D35BC1">
              <w:t>$105,670,253</w:t>
            </w:r>
          </w:p>
        </w:tc>
        <w:tc>
          <w:tcPr>
            <w:tcW w:w="1276" w:type="dxa"/>
            <w:tcBorders>
              <w:left w:val="nil"/>
            </w:tcBorders>
          </w:tcPr>
          <w:p w14:paraId="3611DA72" w14:textId="77777777" w:rsidR="002F5351" w:rsidRPr="00D35BC1" w:rsidRDefault="002F5351">
            <w:pPr>
              <w:pStyle w:val="TSBodyText"/>
              <w:jc w:val="right"/>
            </w:pPr>
            <w:r w:rsidRPr="00D35BC1">
              <w:t>$3,380,286</w:t>
            </w:r>
          </w:p>
        </w:tc>
        <w:tc>
          <w:tcPr>
            <w:tcW w:w="1418" w:type="dxa"/>
          </w:tcPr>
          <w:p w14:paraId="65F605D4" w14:textId="77777777" w:rsidR="002F5351" w:rsidRPr="00D35BC1" w:rsidRDefault="002F5351">
            <w:pPr>
              <w:pStyle w:val="TSBodyText"/>
              <w:jc w:val="right"/>
            </w:pPr>
            <w:r w:rsidRPr="00D35BC1">
              <w:t>$4,609,124</w:t>
            </w:r>
          </w:p>
        </w:tc>
      </w:tr>
    </w:tbl>
    <w:p w14:paraId="067541EE" w14:textId="77777777" w:rsidR="002F5351" w:rsidRDefault="002F5351" w:rsidP="002F5351">
      <w:pPr>
        <w:pStyle w:val="USSource"/>
      </w:pPr>
      <w:r>
        <w:t>Source: NZIER</w:t>
      </w:r>
    </w:p>
    <w:p w14:paraId="5B6EFFA8" w14:textId="4FB5748B" w:rsidR="002F5351" w:rsidRDefault="002F5351" w:rsidP="002F5351">
      <w:pPr>
        <w:pStyle w:val="Heading3"/>
      </w:pPr>
      <w:r>
        <w:t xml:space="preserve">Lifetime productivity loss associated with </w:t>
      </w:r>
      <w:r w:rsidR="00B13E33">
        <w:t xml:space="preserve">the 2023 cohort of babies with </w:t>
      </w:r>
      <w:proofErr w:type="gramStart"/>
      <w:r>
        <w:t>FASD</w:t>
      </w:r>
      <w:proofErr w:type="gramEnd"/>
    </w:p>
    <w:p w14:paraId="4C52B2B6" w14:textId="77777777" w:rsidR="002F5351" w:rsidRDefault="002F5351" w:rsidP="002F5351">
      <w:pPr>
        <w:pStyle w:val="USBodyText"/>
      </w:pPr>
      <w:r>
        <w:t xml:space="preserve">Because FASD is irreversible, the birth of a child with FASD represents a loss of productivity over a lifetime. Some loss of productivity is associated with impairment, as described above. Some loss of productivity is associated with premature mortality, which requires that the average life expectancy of people with FASD be known. </w:t>
      </w:r>
    </w:p>
    <w:p w14:paraId="1B9ED26D" w14:textId="33AC91EF" w:rsidR="002F5351" w:rsidRDefault="002F5351" w:rsidP="002F5351">
      <w:pPr>
        <w:pStyle w:val="USBodyText"/>
      </w:pPr>
      <w:r>
        <w:t xml:space="preserve">Only one study was identified that </w:t>
      </w:r>
      <w:r w:rsidR="00D525D0">
        <w:t>estimated</w:t>
      </w:r>
      <w:r>
        <w:t xml:space="preserve"> life expectancy for people with FASD. This Canadian study </w:t>
      </w:r>
      <w:r>
        <w:fldChar w:fldCharType="begin"/>
      </w:r>
      <w:r w:rsidR="00F244F6">
        <w:instrText xml:space="preserve"> ADDIN ZOTERO_ITEM CSL_CITATION {"citationID":"bJydCAQ9","properties":{"formattedCitation":"(Thanh and Jonsson 2016)","plainCitation":"(Thanh and Jonsson 2016)","noteIndex":0},"citationItems":[{"id":70375,"uris":["http://zotero.org/groups/4944822/items/6K8XGZWD"],"itemData":{"id":70375,"type":"article-journal","abstract":"Objectives\nTo estimate the life expectancy and specify the causes of death among people with fetal alcohol synd rome (FAS ).\nMethods\nIncluded were all patients recorded in Alberta provincial databases of inpatients, outpatients, or practitioner claims from 2003 to 2012. People with FAS were identified by ICD -9 code 760.71 and ICD - 10 codes Q86.0 and P04.3, and were linked to the Vital Statistics Death Registry to get information about mortality. Life expectancy was estimated by using the life table template developed in the United Kingdom, which is recommended for estimating life expectancy in small areas or populations.\nResults\nThe life expectancy at birth of people with FAS was 34 years (95% confidence interval: 31 to 37 years), which was about 42 % of that of the general population. The leading causes of death for people with FAS were “external causes” (44%) , which include suicide (15%), accidents (14%), poisoning by illegal drugs or alcohol (7%), and other external causes (7%). Other common causes of death were diseases of the nervous and respiratory systems (8% each), diseases of the digestive system (7%), c ongenital malformations (7%), mental and behavioural disorders (4%), and diseases of the circulatory system (4%).\nConclusion \nThe life expectancy of people with FAS is considerably lower than that of the general population. As the cause of FAS is known and preventable, more attention devoted to the prevention of FAS is urgently needed.","container-title":"Journal of Population Therapeutics and Clinical Pharmacology","ISSN":"2561-8741","issue":"1","journalAbbreviation":"J Popl Ther Clin Pharmacol","language":"en","license":"Copyright (c) 0","note":"number: 1","source":"www.jptcp.com","title":"LIFE EXPECTANCY OF PEOPLE WITH FETAL ALCOHOL SYNDROME","URL":"https://www.jptcp.com","volume":"23","author":[{"family":"Thanh","given":"Nguyen Xuan"},{"family":"Jonsson","given":"Egon"}],"accessed":{"date-parts":[["2023",10,23]]},"issued":{"date-parts":[["2016"]]}}}],"schema":"https://github.com/citation-style-language/schema/raw/master/csl-citation.json"} </w:instrText>
      </w:r>
      <w:r>
        <w:fldChar w:fldCharType="separate"/>
      </w:r>
      <w:r w:rsidRPr="00C64BB9">
        <w:rPr>
          <w:rFonts w:cs="Calibri"/>
        </w:rPr>
        <w:t>(Thanh and Jonsson 2016)</w:t>
      </w:r>
      <w:r>
        <w:fldChar w:fldCharType="end"/>
      </w:r>
      <w:r>
        <w:t xml:space="preserve"> focused on FAS, the most severe form of FASD</w:t>
      </w:r>
      <w:r w:rsidR="00951CFB">
        <w:t>,</w:t>
      </w:r>
      <w:r>
        <w:t xml:space="preserve"> accounting for approximately 10 percent of the total FASD population (Easton et al. 2016) and estimated the life expectancy of people with FAS to be 34 years. The life expectancy of people with other FASDs appears to be unconfirmed by published research, but given the lower level of impairment, we assume a life expectancy of at least 65 years for this group.</w:t>
      </w:r>
    </w:p>
    <w:p w14:paraId="36FB5F10" w14:textId="7E675929" w:rsidR="002F5351" w:rsidRDefault="002F5351" w:rsidP="002F5351">
      <w:pPr>
        <w:pStyle w:val="USBodyText"/>
      </w:pPr>
      <w:r>
        <w:t>We estimate the total lifetime value lost productivity for the cohort of babies born in 2023 who are expected to have FASD based on the following evidence:</w:t>
      </w:r>
    </w:p>
    <w:p w14:paraId="647ABCE1" w14:textId="5DD463D7" w:rsidR="002F5351" w:rsidRDefault="002F5351" w:rsidP="002F5351">
      <w:pPr>
        <w:pStyle w:val="USBullet1"/>
      </w:pPr>
      <w:r>
        <w:t xml:space="preserve">approximately 2,400 babies are born each year with FASD </w:t>
      </w:r>
      <w:r w:rsidR="009816E2">
        <w:t xml:space="preserve">– midpoint </w:t>
      </w:r>
      <w:r>
        <w:t xml:space="preserve">of 1,800 to 3,000 range suggested by the </w:t>
      </w:r>
      <w:r>
        <w:fldChar w:fldCharType="begin"/>
      </w:r>
      <w:r w:rsidR="00F244F6">
        <w:instrText xml:space="preserve"> ADDIN ZOTERO_ITEM CSL_CITATION {"citationID":"5lPytKk7","properties":{"formattedCitation":"(Ministry of Health 2022)","plainCitation":"(Ministry of Health 2022)","dontUpdate":true,"noteIndex":0},"citationItems":[{"id":71386,"uris":["http://zotero.org/groups/4944822/items/S4GE5WKM"],"itemData":{"id":71386,"type":"webpage","abstract":"Babies exposed to alcohol before birth may develop fetal alcohol spectrum disorder. This can cause problems with their growth and development, and there is no cure.","container-title":"Ministry of Health NZ","language":"en","title":"Fetal alcohol spectrum disorder (FASD)","URL":"https://www.health.govt.nz/your-health/conditions-and-treatments/disabilities/fetal-alcohol-spectrum-disorder-fasd","author":[{"family":"Ministry of Health","given":""}],"accessed":{"date-parts":[["2023",12,7]]},"issued":{"date-parts":[["2022"]]}}}],"schema":"https://github.com/citation-style-language/schema/raw/master/csl-citation.json"} </w:instrText>
      </w:r>
      <w:r>
        <w:fldChar w:fldCharType="separate"/>
      </w:r>
      <w:r w:rsidR="00203969" w:rsidRPr="00203969">
        <w:rPr>
          <w:rFonts w:cs="Calibri"/>
        </w:rPr>
        <w:t xml:space="preserve">Ministry of Health </w:t>
      </w:r>
      <w:r w:rsidR="00951CFB">
        <w:rPr>
          <w:rFonts w:cs="Calibri"/>
        </w:rPr>
        <w:t>(</w:t>
      </w:r>
      <w:r w:rsidR="00203969" w:rsidRPr="00203969">
        <w:rPr>
          <w:rFonts w:cs="Calibri"/>
        </w:rPr>
        <w:t>2022)</w:t>
      </w:r>
      <w:r>
        <w:fldChar w:fldCharType="end"/>
      </w:r>
      <w:r w:rsidR="009816E2">
        <w:t xml:space="preserve"> – including </w:t>
      </w:r>
      <w:r>
        <w:t xml:space="preserve">240 with FAS and 2,160 with other FASDs </w:t>
      </w:r>
      <w:r w:rsidRPr="00032693">
        <w:t>(based on Easton et al. 2016)</w:t>
      </w:r>
    </w:p>
    <w:p w14:paraId="53ACFC4C" w14:textId="77777777" w:rsidR="002F5351" w:rsidRDefault="002F5351" w:rsidP="002F5351">
      <w:pPr>
        <w:pStyle w:val="USBullet1"/>
      </w:pPr>
      <w:r>
        <w:t>the effect of FASD on labour market outcomes is reduced productivity only, meaning the FASD population has average labour market participation and employment in the counterfactual and in reality (as assumed previously, based on Easton et al. 2016)</w:t>
      </w:r>
    </w:p>
    <w:p w14:paraId="2E57D36A" w14:textId="597D574E" w:rsidR="002F5351" w:rsidRDefault="002F5351" w:rsidP="002F5351">
      <w:pPr>
        <w:pStyle w:val="USBullet1"/>
      </w:pPr>
      <w:r>
        <w:t xml:space="preserve">a person born with FASD would have earned </w:t>
      </w:r>
      <w:r w:rsidRPr="00F17E26">
        <w:t>$44,265</w:t>
      </w:r>
      <w:r>
        <w:t xml:space="preserve"> per year</w:t>
      </w:r>
      <w:r w:rsidR="00762CD9">
        <w:t>, on average,</w:t>
      </w:r>
      <w:r>
        <w:t xml:space="preserve"> from age 18 until the age of 65 in the counterfactual of no FASD if they participated in the labour force and were </w:t>
      </w:r>
      <w:proofErr w:type="gramStart"/>
      <w:r>
        <w:t>employed</w:t>
      </w:r>
      <w:proofErr w:type="gramEnd"/>
    </w:p>
    <w:p w14:paraId="7A56613F" w14:textId="372D36C4" w:rsidR="002F5351" w:rsidRDefault="002F5351" w:rsidP="002F5351">
      <w:pPr>
        <w:pStyle w:val="USBullet1"/>
      </w:pPr>
      <w:r>
        <w:t xml:space="preserve">100 percent of people with FAS experience reduced productivity </w:t>
      </w:r>
      <w:r w:rsidRPr="00A06A55">
        <w:t>(as described by Easton et al. 2016)</w:t>
      </w:r>
      <w:r>
        <w:t xml:space="preserve"> from age 18 until their life expectancy of 34 years </w:t>
      </w:r>
      <w:r>
        <w:fldChar w:fldCharType="begin"/>
      </w:r>
      <w:r w:rsidR="00F244F6">
        <w:instrText xml:space="preserve"> ADDIN ZOTERO_ITEM CSL_CITATION {"citationID":"Ld5bIXAE","properties":{"formattedCitation":"(Thanh and Jonsson 2016)","plainCitation":"(Thanh and Jonsson 2016)","noteIndex":0},"citationItems":[{"id":70375,"uris":["http://zotero.org/groups/4944822/items/6K8XGZWD"],"itemData":{"id":70375,"type":"article-journal","abstract":"Objectives\nTo estimate the life expectancy and specify the causes of death among people with fetal alcohol synd rome (FAS ).\nMethods\nIncluded were all patients recorded in Alberta provincial databases of inpatients, outpatients, or practitioner claims from 2003 to 2012. People with FAS were identified by ICD -9 code 760.71 and ICD - 10 codes Q86.0 and P04.3, and were linked to the Vital Statistics Death Registry to get information about mortality. Life expectancy was estimated by using the life table template developed in the United Kingdom, which is recommended for estimating life expectancy in small areas or populations.\nResults\nThe life expectancy at birth of people with FAS was 34 years (95% confidence interval: 31 to 37 years), which was about 42 % of that of the general population. The leading causes of death for people with FAS were “external causes” (44%) , which include suicide (15%), accidents (14%), poisoning by illegal drugs or alcohol (7%), and other external causes (7%). Other common causes of death were diseases of the nervous and respiratory systems (8% each), diseases of the digestive system (7%), c ongenital malformations (7%), mental and behavioural disorders (4%), and diseases of the circulatory system (4%).\nConclusion \nThe life expectancy of people with FAS is considerably lower than that of the general population. As the cause of FAS is known and preventable, more attention devoted to the prevention of FAS is urgently needed.","container-title":"Journal of Population Therapeutics and Clinical Pharmacology","ISSN":"2561-8741","issue":"1","journalAbbreviation":"J Popl Ther Clin Pharmacol","language":"en","license":"Copyright (c) 0","note":"number: 1","source":"www.jptcp.com","title":"LIFE EXPECTANCY OF PEOPLE WITH FETAL ALCOHOL SYNDROME","URL":"https://www.jptcp.com","volume":"23","author":[{"family":"Thanh","given":"Nguyen Xuan"},{"family":"Jonsson","given":"Egon"}],"accessed":{"date-parts":[["2023",10,23]]},"issued":{"date-parts":[["2016"]]}}}],"schema":"https://github.com/citation-style-language/schema/raw/master/csl-citation.json"} </w:instrText>
      </w:r>
      <w:r>
        <w:fldChar w:fldCharType="separate"/>
      </w:r>
      <w:r w:rsidRPr="00A06A55">
        <w:rPr>
          <w:rFonts w:cs="Calibri"/>
        </w:rPr>
        <w:t>(Thanh and Jonsson 2016)</w:t>
      </w:r>
      <w:r>
        <w:fldChar w:fldCharType="end"/>
      </w:r>
      <w:r>
        <w:t xml:space="preserve"> and total loss of productivity due to premature mortality from age 34 to 65</w:t>
      </w:r>
    </w:p>
    <w:p w14:paraId="5EDDA2A0" w14:textId="77777777" w:rsidR="002F5351" w:rsidRDefault="002F5351" w:rsidP="002F5351">
      <w:pPr>
        <w:pStyle w:val="USBullet1"/>
      </w:pPr>
      <w:r>
        <w:t xml:space="preserve">25 percent of people with other FASDs experience reduced productivity (as described by Easton et al. 2016) from age 18 until the age of </w:t>
      </w:r>
      <w:proofErr w:type="gramStart"/>
      <w:r>
        <w:t>65</w:t>
      </w:r>
      <w:proofErr w:type="gramEnd"/>
    </w:p>
    <w:p w14:paraId="77B4ADF6" w14:textId="77777777" w:rsidR="002F5351" w:rsidRDefault="002F5351" w:rsidP="002F5351">
      <w:pPr>
        <w:pStyle w:val="USBullet1"/>
      </w:pPr>
      <w:r>
        <w:lastRenderedPageBreak/>
        <w:t>the same weighted average impairment of productivity for people with FASDs as used in the previous section (24.25 percent) as described by Easton et al. 2016, based on expert clinical advice regarding the type of impairment and probability of impairment in each FASD type and the prevalence of each FASD type in the FASD population.</w:t>
      </w:r>
    </w:p>
    <w:p w14:paraId="6982AE66" w14:textId="379EA6EB" w:rsidR="002F5351" w:rsidRDefault="002F5351" w:rsidP="002F5351">
      <w:pPr>
        <w:pStyle w:val="USBodyText"/>
      </w:pPr>
      <w:r>
        <w:t xml:space="preserve">These values are modelled over 65 years, with all future values discounted to the present time at a rate of </w:t>
      </w:r>
      <w:r w:rsidR="004A531F">
        <w:t xml:space="preserve">5 </w:t>
      </w:r>
      <w:r>
        <w:t xml:space="preserve">percent per annum. The results of this calculation are presented in </w:t>
      </w:r>
      <w:r w:rsidR="00C81C03">
        <w:fldChar w:fldCharType="begin"/>
      </w:r>
      <w:r w:rsidR="00C81C03">
        <w:instrText xml:space="preserve"> REF _Ref156231326 \h </w:instrText>
      </w:r>
      <w:r w:rsidR="00C81C03">
        <w:fldChar w:fldCharType="separate"/>
      </w:r>
      <w:r w:rsidR="00AE166D" w:rsidRPr="00731CA6">
        <w:t xml:space="preserve">Table </w:t>
      </w:r>
      <w:r w:rsidR="00AE166D">
        <w:rPr>
          <w:noProof/>
        </w:rPr>
        <w:t>52</w:t>
      </w:r>
      <w:r w:rsidR="00C81C03">
        <w:fldChar w:fldCharType="end"/>
      </w:r>
      <w:r>
        <w:t xml:space="preserve"> below and indicate that the 2023 birth cohort of babies affected by FASDs is expected to lose $133.8 million in future productivity.</w:t>
      </w:r>
    </w:p>
    <w:p w14:paraId="55697EF5" w14:textId="1B989A92" w:rsidR="002F5351" w:rsidRDefault="002F5351" w:rsidP="002F5351">
      <w:pPr>
        <w:pStyle w:val="TableCaption"/>
      </w:pPr>
      <w:bookmarkStart w:id="233" w:name="_Ref156231326"/>
      <w:bookmarkStart w:id="234" w:name="_Toc160633959"/>
      <w:r w:rsidRPr="00731CA6">
        <w:t xml:space="preserve">Table </w:t>
      </w:r>
      <w:fldSimple w:instr=" SEQ Table \* ARABIC ">
        <w:r w:rsidR="00AE166D">
          <w:rPr>
            <w:noProof/>
          </w:rPr>
          <w:t>52</w:t>
        </w:r>
      </w:fldSimple>
      <w:bookmarkEnd w:id="233"/>
      <w:r>
        <w:t xml:space="preserve"> Discounted future productivity loss for the 2023 cohort of FASD </w:t>
      </w:r>
      <w:proofErr w:type="gramStart"/>
      <w:r>
        <w:t>babies</w:t>
      </w:r>
      <w:bookmarkEnd w:id="234"/>
      <w:proofErr w:type="gramEnd"/>
    </w:p>
    <w:tbl>
      <w:tblPr>
        <w:tblStyle w:val="TableDefault"/>
        <w:tblW w:w="0" w:type="auto"/>
        <w:tblLook w:val="04A0" w:firstRow="1" w:lastRow="0" w:firstColumn="1" w:lastColumn="0" w:noHBand="0" w:noVBand="1"/>
      </w:tblPr>
      <w:tblGrid>
        <w:gridCol w:w="6095"/>
        <w:gridCol w:w="2125"/>
      </w:tblGrid>
      <w:tr w:rsidR="002F5351" w14:paraId="5ADD0714" w14:textId="77777777">
        <w:trPr>
          <w:cnfStyle w:val="100000000000" w:firstRow="1" w:lastRow="0" w:firstColumn="0" w:lastColumn="0" w:oddVBand="0" w:evenVBand="0" w:oddHBand="0" w:evenHBand="0" w:firstRowFirstColumn="0" w:firstRowLastColumn="0" w:lastRowFirstColumn="0" w:lastRowLastColumn="0"/>
        </w:trPr>
        <w:tc>
          <w:tcPr>
            <w:tcW w:w="6095" w:type="dxa"/>
          </w:tcPr>
          <w:p w14:paraId="4B38592A" w14:textId="77777777" w:rsidR="002F5351" w:rsidRPr="00E4405D" w:rsidRDefault="002F5351">
            <w:pPr>
              <w:pStyle w:val="TSTableHeadingWhite-TopRow"/>
              <w:rPr>
                <w:b w:val="0"/>
                <w:bCs/>
                <w:color w:val="FFFFFF" w:themeColor="background1"/>
              </w:rPr>
            </w:pPr>
            <w:r w:rsidRPr="00E4405D">
              <w:t>Parameter</w:t>
            </w:r>
          </w:p>
        </w:tc>
        <w:tc>
          <w:tcPr>
            <w:tcW w:w="2125" w:type="dxa"/>
          </w:tcPr>
          <w:p w14:paraId="4BC18A22" w14:textId="77777777" w:rsidR="002F5351" w:rsidRPr="00E4405D" w:rsidRDefault="002F5351">
            <w:pPr>
              <w:pStyle w:val="TSTableHeadingWhite-TopRow"/>
              <w:jc w:val="center"/>
              <w:rPr>
                <w:b w:val="0"/>
                <w:bCs/>
                <w:color w:val="FFFFFF" w:themeColor="background1"/>
              </w:rPr>
            </w:pPr>
            <w:r w:rsidRPr="00E4405D">
              <w:t>Value</w:t>
            </w:r>
          </w:p>
        </w:tc>
      </w:tr>
      <w:tr w:rsidR="002F5351" w14:paraId="037D153A" w14:textId="77777777">
        <w:tc>
          <w:tcPr>
            <w:tcW w:w="6095" w:type="dxa"/>
          </w:tcPr>
          <w:p w14:paraId="6C65641A" w14:textId="77777777" w:rsidR="002F5351" w:rsidRPr="00621D9F" w:rsidRDefault="002F5351">
            <w:pPr>
              <w:pStyle w:val="USBodyText"/>
              <w:ind w:left="0"/>
              <w:rPr>
                <w:sz w:val="18"/>
                <w:szCs w:val="18"/>
              </w:rPr>
            </w:pPr>
            <w:r w:rsidRPr="00621D9F">
              <w:rPr>
                <w:sz w:val="18"/>
                <w:szCs w:val="18"/>
              </w:rPr>
              <w:t>Labour market participation</w:t>
            </w:r>
          </w:p>
        </w:tc>
        <w:tc>
          <w:tcPr>
            <w:tcW w:w="2125" w:type="dxa"/>
          </w:tcPr>
          <w:p w14:paraId="08BE317C" w14:textId="77777777" w:rsidR="002F5351" w:rsidRPr="00621D9F" w:rsidRDefault="002F5351">
            <w:pPr>
              <w:pStyle w:val="USBodyText"/>
              <w:ind w:left="0" w:right="465"/>
              <w:jc w:val="right"/>
              <w:rPr>
                <w:sz w:val="18"/>
                <w:szCs w:val="18"/>
              </w:rPr>
            </w:pPr>
            <w:r w:rsidRPr="00621D9F">
              <w:rPr>
                <w:sz w:val="18"/>
                <w:szCs w:val="18"/>
              </w:rPr>
              <w:t>58.25%</w:t>
            </w:r>
          </w:p>
        </w:tc>
      </w:tr>
      <w:tr w:rsidR="002F5351" w14:paraId="18B0167C" w14:textId="77777777">
        <w:trPr>
          <w:cnfStyle w:val="000000010000" w:firstRow="0" w:lastRow="0" w:firstColumn="0" w:lastColumn="0" w:oddVBand="0" w:evenVBand="0" w:oddHBand="0" w:evenHBand="1" w:firstRowFirstColumn="0" w:firstRowLastColumn="0" w:lastRowFirstColumn="0" w:lastRowLastColumn="0"/>
        </w:trPr>
        <w:tc>
          <w:tcPr>
            <w:tcW w:w="6095" w:type="dxa"/>
          </w:tcPr>
          <w:p w14:paraId="70A407DE" w14:textId="77777777" w:rsidR="002F5351" w:rsidRPr="00621D9F" w:rsidRDefault="002F5351">
            <w:pPr>
              <w:pStyle w:val="USBodyText"/>
              <w:ind w:left="0"/>
              <w:rPr>
                <w:sz w:val="18"/>
                <w:szCs w:val="18"/>
              </w:rPr>
            </w:pPr>
            <w:r w:rsidRPr="00621D9F">
              <w:rPr>
                <w:sz w:val="18"/>
                <w:szCs w:val="18"/>
              </w:rPr>
              <w:t>Employment</w:t>
            </w:r>
          </w:p>
        </w:tc>
        <w:tc>
          <w:tcPr>
            <w:tcW w:w="2125" w:type="dxa"/>
          </w:tcPr>
          <w:p w14:paraId="5FCEB985" w14:textId="77777777" w:rsidR="002F5351" w:rsidRPr="00621D9F" w:rsidRDefault="002F5351">
            <w:pPr>
              <w:pStyle w:val="USBodyText"/>
              <w:ind w:left="0" w:right="465"/>
              <w:jc w:val="right"/>
              <w:rPr>
                <w:sz w:val="18"/>
                <w:szCs w:val="18"/>
              </w:rPr>
            </w:pPr>
            <w:r w:rsidRPr="00621D9F">
              <w:rPr>
                <w:sz w:val="18"/>
                <w:szCs w:val="18"/>
              </w:rPr>
              <w:t>96.60%</w:t>
            </w:r>
          </w:p>
        </w:tc>
      </w:tr>
      <w:tr w:rsidR="002F5351" w14:paraId="321E51EB" w14:textId="77777777">
        <w:tc>
          <w:tcPr>
            <w:tcW w:w="6095" w:type="dxa"/>
          </w:tcPr>
          <w:p w14:paraId="365B4D7E" w14:textId="77777777" w:rsidR="002F5351" w:rsidRPr="00621D9F" w:rsidRDefault="002F5351">
            <w:pPr>
              <w:pStyle w:val="USBodyText"/>
              <w:ind w:left="0"/>
              <w:rPr>
                <w:b/>
                <w:sz w:val="18"/>
                <w:szCs w:val="18"/>
              </w:rPr>
            </w:pPr>
            <w:r w:rsidRPr="00621D9F">
              <w:rPr>
                <w:b/>
                <w:sz w:val="18"/>
                <w:szCs w:val="18"/>
              </w:rPr>
              <w:t>Total FASD births</w:t>
            </w:r>
          </w:p>
        </w:tc>
        <w:tc>
          <w:tcPr>
            <w:tcW w:w="2125" w:type="dxa"/>
          </w:tcPr>
          <w:p w14:paraId="67B8A852" w14:textId="77777777" w:rsidR="002F5351" w:rsidRPr="00621D9F" w:rsidRDefault="002F5351">
            <w:pPr>
              <w:pStyle w:val="USBodyText"/>
              <w:ind w:left="0" w:right="465"/>
              <w:jc w:val="right"/>
              <w:rPr>
                <w:sz w:val="18"/>
                <w:szCs w:val="18"/>
              </w:rPr>
            </w:pPr>
            <w:r w:rsidRPr="00621D9F">
              <w:rPr>
                <w:sz w:val="18"/>
                <w:szCs w:val="18"/>
              </w:rPr>
              <w:t>2400</w:t>
            </w:r>
          </w:p>
        </w:tc>
      </w:tr>
      <w:tr w:rsidR="002F5351" w14:paraId="79E0F55B" w14:textId="77777777">
        <w:trPr>
          <w:cnfStyle w:val="000000010000" w:firstRow="0" w:lastRow="0" w:firstColumn="0" w:lastColumn="0" w:oddVBand="0" w:evenVBand="0" w:oddHBand="0" w:evenHBand="1" w:firstRowFirstColumn="0" w:firstRowLastColumn="0" w:lastRowFirstColumn="0" w:lastRowLastColumn="0"/>
        </w:trPr>
        <w:tc>
          <w:tcPr>
            <w:tcW w:w="6095" w:type="dxa"/>
          </w:tcPr>
          <w:p w14:paraId="50396F13" w14:textId="77777777" w:rsidR="002F5351" w:rsidRPr="00621D9F" w:rsidRDefault="002F5351">
            <w:pPr>
              <w:pStyle w:val="USBodyText"/>
              <w:ind w:left="0"/>
              <w:rPr>
                <w:sz w:val="18"/>
                <w:szCs w:val="18"/>
              </w:rPr>
            </w:pPr>
            <w:r w:rsidRPr="00621D9F">
              <w:rPr>
                <w:sz w:val="18"/>
                <w:szCs w:val="18"/>
              </w:rPr>
              <w:t>FAS</w:t>
            </w:r>
          </w:p>
        </w:tc>
        <w:tc>
          <w:tcPr>
            <w:tcW w:w="2125" w:type="dxa"/>
          </w:tcPr>
          <w:p w14:paraId="4667096A" w14:textId="77777777" w:rsidR="002F5351" w:rsidRPr="00621D9F" w:rsidRDefault="002F5351">
            <w:pPr>
              <w:pStyle w:val="USBodyText"/>
              <w:ind w:left="0" w:right="465"/>
              <w:jc w:val="right"/>
              <w:rPr>
                <w:sz w:val="18"/>
                <w:szCs w:val="18"/>
              </w:rPr>
            </w:pPr>
            <w:r w:rsidRPr="00621D9F">
              <w:rPr>
                <w:sz w:val="18"/>
                <w:szCs w:val="18"/>
              </w:rPr>
              <w:t>240</w:t>
            </w:r>
          </w:p>
        </w:tc>
      </w:tr>
      <w:tr w:rsidR="002F5351" w14:paraId="394E69A3" w14:textId="77777777">
        <w:tc>
          <w:tcPr>
            <w:tcW w:w="6095" w:type="dxa"/>
          </w:tcPr>
          <w:p w14:paraId="463199B2" w14:textId="77777777" w:rsidR="002F5351" w:rsidRPr="00621D9F" w:rsidRDefault="002F5351">
            <w:pPr>
              <w:pStyle w:val="USBodyText"/>
              <w:ind w:left="0"/>
              <w:rPr>
                <w:sz w:val="18"/>
                <w:szCs w:val="18"/>
              </w:rPr>
            </w:pPr>
            <w:r w:rsidRPr="00621D9F">
              <w:rPr>
                <w:sz w:val="18"/>
                <w:szCs w:val="18"/>
              </w:rPr>
              <w:t>Other FASD</w:t>
            </w:r>
          </w:p>
        </w:tc>
        <w:tc>
          <w:tcPr>
            <w:tcW w:w="2125" w:type="dxa"/>
          </w:tcPr>
          <w:p w14:paraId="77E22265" w14:textId="77777777" w:rsidR="002F5351" w:rsidRPr="00621D9F" w:rsidRDefault="002F5351">
            <w:pPr>
              <w:pStyle w:val="USBodyText"/>
              <w:ind w:left="0" w:right="465"/>
              <w:jc w:val="right"/>
              <w:rPr>
                <w:sz w:val="18"/>
                <w:szCs w:val="18"/>
              </w:rPr>
            </w:pPr>
            <w:r w:rsidRPr="00621D9F">
              <w:rPr>
                <w:sz w:val="18"/>
                <w:szCs w:val="18"/>
              </w:rPr>
              <w:t>2,160</w:t>
            </w:r>
          </w:p>
        </w:tc>
      </w:tr>
      <w:tr w:rsidR="002F5351" w14:paraId="7FF7E3BD" w14:textId="77777777">
        <w:trPr>
          <w:cnfStyle w:val="000000010000" w:firstRow="0" w:lastRow="0" w:firstColumn="0" w:lastColumn="0" w:oddVBand="0" w:evenVBand="0" w:oddHBand="0" w:evenHBand="1" w:firstRowFirstColumn="0" w:firstRowLastColumn="0" w:lastRowFirstColumn="0" w:lastRowLastColumn="0"/>
        </w:trPr>
        <w:tc>
          <w:tcPr>
            <w:tcW w:w="6095" w:type="dxa"/>
          </w:tcPr>
          <w:p w14:paraId="10377041" w14:textId="77777777" w:rsidR="002F5351" w:rsidRPr="00621D9F" w:rsidRDefault="002F5351">
            <w:pPr>
              <w:pStyle w:val="USBodyText"/>
              <w:ind w:left="0"/>
              <w:rPr>
                <w:sz w:val="18"/>
                <w:szCs w:val="18"/>
              </w:rPr>
            </w:pPr>
            <w:r w:rsidRPr="00621D9F">
              <w:rPr>
                <w:sz w:val="18"/>
                <w:szCs w:val="18"/>
              </w:rPr>
              <w:t>Counterfactual earnings per worker</w:t>
            </w:r>
          </w:p>
        </w:tc>
        <w:tc>
          <w:tcPr>
            <w:tcW w:w="2125" w:type="dxa"/>
          </w:tcPr>
          <w:p w14:paraId="39DA1F84" w14:textId="77777777" w:rsidR="002F5351" w:rsidRPr="00621D9F" w:rsidRDefault="002F5351">
            <w:pPr>
              <w:pStyle w:val="USBodyText"/>
              <w:ind w:left="0" w:right="465"/>
              <w:jc w:val="right"/>
              <w:rPr>
                <w:sz w:val="18"/>
                <w:szCs w:val="18"/>
              </w:rPr>
            </w:pPr>
            <w:r w:rsidRPr="00621D9F">
              <w:rPr>
                <w:sz w:val="18"/>
                <w:szCs w:val="18"/>
              </w:rPr>
              <w:t xml:space="preserve"> $44,265 </w:t>
            </w:r>
          </w:p>
        </w:tc>
      </w:tr>
      <w:tr w:rsidR="002F5351" w14:paraId="69E7E8B9" w14:textId="77777777">
        <w:tc>
          <w:tcPr>
            <w:tcW w:w="6095" w:type="dxa"/>
          </w:tcPr>
          <w:p w14:paraId="63E8D33A" w14:textId="77777777" w:rsidR="002F5351" w:rsidRPr="00621D9F" w:rsidRDefault="002F5351">
            <w:pPr>
              <w:pStyle w:val="USBodyText"/>
              <w:ind w:left="0"/>
              <w:rPr>
                <w:sz w:val="18"/>
                <w:szCs w:val="18"/>
              </w:rPr>
            </w:pPr>
            <w:r w:rsidRPr="00621D9F">
              <w:rPr>
                <w:sz w:val="18"/>
                <w:szCs w:val="18"/>
              </w:rPr>
              <w:t>Discount rate</w:t>
            </w:r>
          </w:p>
        </w:tc>
        <w:tc>
          <w:tcPr>
            <w:tcW w:w="2125" w:type="dxa"/>
          </w:tcPr>
          <w:p w14:paraId="75FC44CA" w14:textId="77777777" w:rsidR="002F5351" w:rsidRPr="00621D9F" w:rsidRDefault="002F5351">
            <w:pPr>
              <w:pStyle w:val="USBodyText"/>
              <w:ind w:left="0" w:right="465"/>
              <w:jc w:val="right"/>
              <w:rPr>
                <w:sz w:val="18"/>
                <w:szCs w:val="18"/>
              </w:rPr>
            </w:pPr>
            <w:r w:rsidRPr="00621D9F">
              <w:rPr>
                <w:sz w:val="18"/>
                <w:szCs w:val="18"/>
              </w:rPr>
              <w:t>5% per annum</w:t>
            </w:r>
          </w:p>
        </w:tc>
      </w:tr>
      <w:tr w:rsidR="002F5351" w14:paraId="57CEA1B0" w14:textId="77777777">
        <w:trPr>
          <w:cnfStyle w:val="000000010000" w:firstRow="0" w:lastRow="0" w:firstColumn="0" w:lastColumn="0" w:oddVBand="0" w:evenVBand="0" w:oddHBand="0" w:evenHBand="1" w:firstRowFirstColumn="0" w:firstRowLastColumn="0" w:lastRowFirstColumn="0" w:lastRowLastColumn="0"/>
        </w:trPr>
        <w:tc>
          <w:tcPr>
            <w:tcW w:w="6095" w:type="dxa"/>
          </w:tcPr>
          <w:p w14:paraId="00D7FE6B" w14:textId="77777777" w:rsidR="002F5351" w:rsidRPr="00621D9F" w:rsidRDefault="002F5351">
            <w:pPr>
              <w:pStyle w:val="USBodyText"/>
              <w:ind w:left="0"/>
              <w:rPr>
                <w:sz w:val="18"/>
                <w:szCs w:val="18"/>
              </w:rPr>
            </w:pPr>
            <w:r w:rsidRPr="00621D9F">
              <w:rPr>
                <w:sz w:val="18"/>
                <w:szCs w:val="18"/>
              </w:rPr>
              <w:t>Total discounted counterfactual earnings for the FASD population born in 2023</w:t>
            </w:r>
          </w:p>
        </w:tc>
        <w:tc>
          <w:tcPr>
            <w:tcW w:w="2125" w:type="dxa"/>
          </w:tcPr>
          <w:p w14:paraId="7947EFFC" w14:textId="77777777" w:rsidR="002F5351" w:rsidRPr="00621D9F" w:rsidRDefault="002F5351">
            <w:pPr>
              <w:pStyle w:val="USBodyText"/>
              <w:ind w:left="0" w:right="465"/>
              <w:jc w:val="right"/>
              <w:rPr>
                <w:sz w:val="18"/>
                <w:szCs w:val="18"/>
              </w:rPr>
            </w:pPr>
            <w:r w:rsidRPr="00621D9F">
              <w:rPr>
                <w:sz w:val="18"/>
                <w:szCs w:val="18"/>
              </w:rPr>
              <w:t>$471,473,005</w:t>
            </w:r>
          </w:p>
        </w:tc>
      </w:tr>
      <w:tr w:rsidR="002F5351" w14:paraId="59640801" w14:textId="77777777">
        <w:tc>
          <w:tcPr>
            <w:tcW w:w="6095" w:type="dxa"/>
          </w:tcPr>
          <w:p w14:paraId="2D1DCE28" w14:textId="77777777" w:rsidR="002F5351" w:rsidRPr="00621D9F" w:rsidRDefault="002F5351">
            <w:pPr>
              <w:pStyle w:val="USBodyText"/>
              <w:ind w:left="0"/>
              <w:rPr>
                <w:sz w:val="18"/>
                <w:szCs w:val="18"/>
              </w:rPr>
            </w:pPr>
            <w:r w:rsidRPr="00621D9F">
              <w:rPr>
                <w:sz w:val="18"/>
                <w:szCs w:val="18"/>
              </w:rPr>
              <w:t>Impaired FAS workers (100% of FAS workers)</w:t>
            </w:r>
          </w:p>
        </w:tc>
        <w:tc>
          <w:tcPr>
            <w:tcW w:w="2125" w:type="dxa"/>
          </w:tcPr>
          <w:p w14:paraId="6B7A999D" w14:textId="77777777" w:rsidR="002F5351" w:rsidRPr="00621D9F" w:rsidRDefault="002F5351">
            <w:pPr>
              <w:pStyle w:val="USBodyText"/>
              <w:ind w:left="0" w:right="465"/>
              <w:jc w:val="right"/>
              <w:rPr>
                <w:sz w:val="18"/>
                <w:szCs w:val="18"/>
              </w:rPr>
            </w:pPr>
            <w:r w:rsidRPr="00621D9F">
              <w:rPr>
                <w:sz w:val="18"/>
                <w:szCs w:val="18"/>
              </w:rPr>
              <w:t>135</w:t>
            </w:r>
          </w:p>
        </w:tc>
      </w:tr>
      <w:tr w:rsidR="002F5351" w14:paraId="614243EF" w14:textId="77777777">
        <w:trPr>
          <w:cnfStyle w:val="000000010000" w:firstRow="0" w:lastRow="0" w:firstColumn="0" w:lastColumn="0" w:oddVBand="0" w:evenVBand="0" w:oddHBand="0" w:evenHBand="1" w:firstRowFirstColumn="0" w:firstRowLastColumn="0" w:lastRowFirstColumn="0" w:lastRowLastColumn="0"/>
        </w:trPr>
        <w:tc>
          <w:tcPr>
            <w:tcW w:w="6095" w:type="dxa"/>
          </w:tcPr>
          <w:p w14:paraId="6D9404D3" w14:textId="77777777" w:rsidR="002F5351" w:rsidRPr="00621D9F" w:rsidRDefault="002F5351">
            <w:pPr>
              <w:pStyle w:val="USBodyText"/>
              <w:ind w:left="0"/>
              <w:rPr>
                <w:sz w:val="18"/>
                <w:szCs w:val="18"/>
              </w:rPr>
            </w:pPr>
            <w:r w:rsidRPr="00621D9F">
              <w:rPr>
                <w:sz w:val="18"/>
                <w:szCs w:val="18"/>
              </w:rPr>
              <w:t>Impaired Other FASD workers (25% of FASD workers)</w:t>
            </w:r>
          </w:p>
        </w:tc>
        <w:tc>
          <w:tcPr>
            <w:tcW w:w="2125" w:type="dxa"/>
          </w:tcPr>
          <w:p w14:paraId="6289F328" w14:textId="77777777" w:rsidR="002F5351" w:rsidRPr="00621D9F" w:rsidRDefault="002F5351">
            <w:pPr>
              <w:pStyle w:val="USBodyText"/>
              <w:ind w:left="0" w:right="465"/>
              <w:jc w:val="right"/>
              <w:rPr>
                <w:sz w:val="18"/>
                <w:szCs w:val="18"/>
              </w:rPr>
            </w:pPr>
            <w:r w:rsidRPr="00621D9F">
              <w:rPr>
                <w:sz w:val="18"/>
                <w:szCs w:val="18"/>
              </w:rPr>
              <w:t>303</w:t>
            </w:r>
          </w:p>
        </w:tc>
      </w:tr>
      <w:tr w:rsidR="002F5351" w14:paraId="7DBFF367" w14:textId="77777777">
        <w:tc>
          <w:tcPr>
            <w:tcW w:w="6095" w:type="dxa"/>
          </w:tcPr>
          <w:p w14:paraId="46351213" w14:textId="77777777" w:rsidR="002F5351" w:rsidRPr="00621D9F" w:rsidRDefault="002F5351">
            <w:pPr>
              <w:pStyle w:val="USBodyText"/>
              <w:ind w:left="0"/>
              <w:rPr>
                <w:sz w:val="18"/>
                <w:szCs w:val="18"/>
              </w:rPr>
            </w:pPr>
            <w:r w:rsidRPr="00621D9F">
              <w:rPr>
                <w:sz w:val="18"/>
                <w:szCs w:val="18"/>
              </w:rPr>
              <w:t>Weighted impairment</w:t>
            </w:r>
          </w:p>
        </w:tc>
        <w:tc>
          <w:tcPr>
            <w:tcW w:w="2125" w:type="dxa"/>
          </w:tcPr>
          <w:p w14:paraId="7D032C1B" w14:textId="77777777" w:rsidR="002F5351" w:rsidRPr="00621D9F" w:rsidRDefault="002F5351">
            <w:pPr>
              <w:pStyle w:val="USBodyText"/>
              <w:ind w:left="0" w:right="465"/>
              <w:jc w:val="right"/>
              <w:rPr>
                <w:sz w:val="18"/>
                <w:szCs w:val="18"/>
              </w:rPr>
            </w:pPr>
            <w:r w:rsidRPr="00621D9F">
              <w:rPr>
                <w:sz w:val="18"/>
                <w:szCs w:val="18"/>
              </w:rPr>
              <w:t>24.25%</w:t>
            </w:r>
          </w:p>
        </w:tc>
      </w:tr>
      <w:tr w:rsidR="002F5351" w14:paraId="04B173C6" w14:textId="77777777">
        <w:trPr>
          <w:cnfStyle w:val="000000010000" w:firstRow="0" w:lastRow="0" w:firstColumn="0" w:lastColumn="0" w:oddVBand="0" w:evenVBand="0" w:oddHBand="0" w:evenHBand="1" w:firstRowFirstColumn="0" w:firstRowLastColumn="0" w:lastRowFirstColumn="0" w:lastRowLastColumn="0"/>
        </w:trPr>
        <w:tc>
          <w:tcPr>
            <w:tcW w:w="6095" w:type="dxa"/>
          </w:tcPr>
          <w:p w14:paraId="47E9B053" w14:textId="77777777" w:rsidR="002F5351" w:rsidRPr="00621D9F" w:rsidRDefault="002F5351">
            <w:pPr>
              <w:pStyle w:val="USBodyText"/>
              <w:ind w:left="0"/>
              <w:rPr>
                <w:sz w:val="18"/>
                <w:szCs w:val="18"/>
              </w:rPr>
            </w:pPr>
            <w:r w:rsidRPr="00621D9F">
              <w:rPr>
                <w:sz w:val="18"/>
                <w:szCs w:val="18"/>
              </w:rPr>
              <w:t>Working years for FAS population (based on life expectancy of 34 years)</w:t>
            </w:r>
          </w:p>
        </w:tc>
        <w:tc>
          <w:tcPr>
            <w:tcW w:w="2125" w:type="dxa"/>
          </w:tcPr>
          <w:p w14:paraId="6B1E4E5F" w14:textId="77777777" w:rsidR="002F5351" w:rsidRPr="00621D9F" w:rsidRDefault="002F5351">
            <w:pPr>
              <w:pStyle w:val="USBodyText"/>
              <w:ind w:left="0" w:right="465"/>
              <w:jc w:val="right"/>
              <w:rPr>
                <w:sz w:val="18"/>
                <w:szCs w:val="18"/>
              </w:rPr>
            </w:pPr>
            <w:r w:rsidRPr="00621D9F">
              <w:rPr>
                <w:sz w:val="18"/>
                <w:szCs w:val="18"/>
              </w:rPr>
              <w:t>16 years</w:t>
            </w:r>
          </w:p>
        </w:tc>
      </w:tr>
      <w:tr w:rsidR="002F5351" w14:paraId="33888137" w14:textId="77777777">
        <w:tc>
          <w:tcPr>
            <w:tcW w:w="6095" w:type="dxa"/>
          </w:tcPr>
          <w:p w14:paraId="26B31DB7" w14:textId="77777777" w:rsidR="002F5351" w:rsidRPr="00621D9F" w:rsidRDefault="002F5351">
            <w:pPr>
              <w:pStyle w:val="USBodyText"/>
              <w:ind w:left="0"/>
              <w:rPr>
                <w:sz w:val="18"/>
                <w:szCs w:val="18"/>
              </w:rPr>
            </w:pPr>
            <w:r w:rsidRPr="00621D9F">
              <w:rPr>
                <w:sz w:val="18"/>
                <w:szCs w:val="18"/>
              </w:rPr>
              <w:t>Working years for Other FASD population (based on life expectancy of 65+ years)</w:t>
            </w:r>
          </w:p>
        </w:tc>
        <w:tc>
          <w:tcPr>
            <w:tcW w:w="2125" w:type="dxa"/>
          </w:tcPr>
          <w:p w14:paraId="4087C475" w14:textId="77777777" w:rsidR="002F5351" w:rsidRPr="00621D9F" w:rsidRDefault="002F5351">
            <w:pPr>
              <w:pStyle w:val="USBodyText"/>
              <w:ind w:left="0" w:right="465"/>
              <w:jc w:val="right"/>
              <w:rPr>
                <w:sz w:val="18"/>
                <w:szCs w:val="18"/>
              </w:rPr>
            </w:pPr>
            <w:r w:rsidRPr="00621D9F">
              <w:rPr>
                <w:sz w:val="18"/>
                <w:szCs w:val="18"/>
              </w:rPr>
              <w:t>47 years</w:t>
            </w:r>
          </w:p>
        </w:tc>
      </w:tr>
      <w:tr w:rsidR="002F5351" w14:paraId="75C49223" w14:textId="77777777">
        <w:trPr>
          <w:cnfStyle w:val="000000010000" w:firstRow="0" w:lastRow="0" w:firstColumn="0" w:lastColumn="0" w:oddVBand="0" w:evenVBand="0" w:oddHBand="0" w:evenHBand="1" w:firstRowFirstColumn="0" w:firstRowLastColumn="0" w:lastRowFirstColumn="0" w:lastRowLastColumn="0"/>
        </w:trPr>
        <w:tc>
          <w:tcPr>
            <w:tcW w:w="6095" w:type="dxa"/>
          </w:tcPr>
          <w:p w14:paraId="16D1E41D" w14:textId="77777777" w:rsidR="002F5351" w:rsidRPr="00621D9F" w:rsidRDefault="002F5351">
            <w:pPr>
              <w:pStyle w:val="USBodyText"/>
              <w:ind w:left="0"/>
              <w:rPr>
                <w:sz w:val="18"/>
                <w:szCs w:val="18"/>
              </w:rPr>
            </w:pPr>
            <w:r w:rsidRPr="00621D9F">
              <w:rPr>
                <w:sz w:val="18"/>
                <w:szCs w:val="18"/>
              </w:rPr>
              <w:t>Total discounted value of expected earnings for the FASD population born in 2023</w:t>
            </w:r>
          </w:p>
        </w:tc>
        <w:tc>
          <w:tcPr>
            <w:tcW w:w="2125" w:type="dxa"/>
          </w:tcPr>
          <w:p w14:paraId="0D28EACE" w14:textId="77777777" w:rsidR="002F5351" w:rsidRPr="00621D9F" w:rsidRDefault="002F5351">
            <w:pPr>
              <w:pStyle w:val="USBodyText"/>
              <w:ind w:left="0" w:right="465"/>
              <w:jc w:val="right"/>
              <w:rPr>
                <w:sz w:val="18"/>
                <w:szCs w:val="18"/>
              </w:rPr>
            </w:pPr>
            <w:r w:rsidRPr="00621D9F">
              <w:rPr>
                <w:sz w:val="18"/>
                <w:szCs w:val="18"/>
              </w:rPr>
              <w:t>$337,659,002</w:t>
            </w:r>
          </w:p>
        </w:tc>
      </w:tr>
      <w:tr w:rsidR="002F5351" w14:paraId="55306B27" w14:textId="77777777">
        <w:tc>
          <w:tcPr>
            <w:tcW w:w="6095" w:type="dxa"/>
          </w:tcPr>
          <w:p w14:paraId="1127367D" w14:textId="77777777" w:rsidR="002F5351" w:rsidRPr="00621D9F" w:rsidRDefault="002F5351">
            <w:pPr>
              <w:pStyle w:val="USBodyText"/>
              <w:ind w:left="0"/>
              <w:rPr>
                <w:b/>
                <w:bCs/>
                <w:sz w:val="18"/>
                <w:szCs w:val="18"/>
              </w:rPr>
            </w:pPr>
            <w:r w:rsidRPr="00621D9F">
              <w:rPr>
                <w:b/>
                <w:bCs/>
                <w:sz w:val="18"/>
                <w:szCs w:val="18"/>
              </w:rPr>
              <w:t>Discounted value of lost productivity associated with FASD babies born in 2023</w:t>
            </w:r>
          </w:p>
        </w:tc>
        <w:tc>
          <w:tcPr>
            <w:tcW w:w="2125" w:type="dxa"/>
          </w:tcPr>
          <w:p w14:paraId="286210EF" w14:textId="77777777" w:rsidR="002F5351" w:rsidRPr="00621D9F" w:rsidRDefault="002F5351">
            <w:pPr>
              <w:pStyle w:val="USBodyText"/>
              <w:ind w:left="0" w:right="465"/>
              <w:jc w:val="right"/>
              <w:rPr>
                <w:b/>
                <w:bCs/>
                <w:sz w:val="18"/>
                <w:szCs w:val="18"/>
              </w:rPr>
            </w:pPr>
            <w:r w:rsidRPr="00621D9F">
              <w:rPr>
                <w:b/>
                <w:bCs/>
                <w:sz w:val="18"/>
                <w:szCs w:val="18"/>
              </w:rPr>
              <w:t>$133,814,003</w:t>
            </w:r>
          </w:p>
        </w:tc>
      </w:tr>
    </w:tbl>
    <w:p w14:paraId="3D8B9833" w14:textId="1DE4D7D7" w:rsidR="002F5351" w:rsidRDefault="002F5351" w:rsidP="002F5351">
      <w:pPr>
        <w:pStyle w:val="USSource"/>
      </w:pPr>
      <w:r>
        <w:t xml:space="preserve">Source: NZIER, based on </w:t>
      </w:r>
      <w:r>
        <w:fldChar w:fldCharType="begin"/>
      </w:r>
      <w:r w:rsidR="00F244F6">
        <w:instrText xml:space="preserve"> ADDIN ZOTERO_ITEM CSL_CITATION {"citationID":"AC3vVuxK","properties":{"formattedCitation":"(Easton et al. 2016; Romeo et al. 2023; Ministry of Health 2022b; Thanh and Jonsson 2016)","plainCitation":"(Easton et al. 2016; Romeo et al. 2023; Ministry of Health 2022b; Thanh and Jonsson 2016)","dontUpdate":true,"noteIndex":0},"citationItems":[{"id":66499,"uris":["http://zotero.org/groups/4944822/items/NX9YQ3RR"],"itemData":{"id":66499,"type":"article-journal","abstract":"METHODS: A demographic approach with a counterfactual scenario in which nobody in NZ is born with FASD was used. Estimates were calculated using (Census Year) 2013 data for the NZ population, the labour force, unemployment rate and average weekly wage, all of which were obtained from Statistics NZ. In order to estimate the number of FASD cases in 2013 and the related morbidity, the prevalence of FASD, obtained from the available epidemiological literature, was applied to the general population of NZ. Assumptions made on the level of impairment that would affect the ability of individuals with FASD to participate in the workforce or would reduce their productivity were based on data obtained from the current epidemiological literature.\nRESULTS: In 2013, approximately 0.03% of the NZ workforce experienced a loss of productivity due to FASD-attributable morbidity and premature mortality, which translated to aggregate losses ranging from $NZ49 million to $NZ200 million – that is, 0.03% to 0.09% of the annual gross domestic product in NZ. These costs represent estimates for lost productivity attributable to FASD and do not include additional costs incurred by governmental and private entities including social costs, such as both higher costs and or less effective spending by the education, health and justice systems.\nCONCLUSION: The estimated productivity losses associated with FASD further reinforces that effective FASD prevention as a primary public health strategy may be of significant value.","issue":"1440","language":"en","source":"Zotero","title":"Productivity losses associated with Fetal Alcohol Spectrum Disorder in New Zealand","volume":"129","author":[{"family":"Easton","given":"Brian"},{"family":"Burd","given":"Larry"},{"family":"Rehm","given":"Jürgen"},{"family":"Popova","given":"Svetlana"}],"issued":{"date-parts":[["2016"]]}},"label":"page"},{"id":69795,"uris":["http://zotero.org/groups/4944822/items/EZ5YF2G2"],"itemData":{"id":69795,"type":"article-journal","abstract":"Introduction Foetal alcohol spectrum disorder (FASD) is 100% caused by alcohol. The lifelong disability caused by prenatal alcohol exposure cannot be reversed. Lack of reliable national prevalence estimates of FASD is common internationally and true of Aotearoa, New Zealand. This study modelled the national prevalence of FASD and differences by ethnicity. Methods FASD prevalence was estimated from self-reported data on any alcohol use during pregnancy for 2012/2013 and 2018/2019, combined with risk estimates for FASD from a meta-analysis of case-ascertainment or clinic-based studies in seven other countries. A sensitivity analysis using four more recent active case ascertainment studies was performed to account for the possibility of underestimation. Results We estimated FASD prevalence in the general population to be 1.7% (95% confidence interval [CI] 1.0%; 2.7%) in the 2012/2013 year. For Māori, the prevalence was significantly higher than for Pasifika and Asian populations. In the 2018/2019 year, FASD prevalence was 1.3% (95% CI 0.9%; 1.9%). For Māori, the prevalence was significantly higher than for Pasifika and Asian populations. The sensitivity analysis estimated the prevalence of FASD in the 2018/2019 year to range between 1.1% and 3.9% and for Māori, from 1.7% to 6.3%. Discussion and Conclusions This study used methodology from comparative risk assessments, using the best available national data. These findings are probably underestimates but indicate a disproportionate experience of FASD by Māori compared with some ethnicities. The findings support the need for policy and prevention initiatives to support alcohol-free pregnancies to reduce lifelong disability caused by prenatal alcohol exposure.","container-title":"Drug and Alcohol Review","DOI":"10.1111/dar.13619","ISSN":"1465-3362","issue":"4","language":"en","license":"© 2023 The Authors. Drug and Alcohol Review published by John Wiley &amp; Sons Australia, Ltd on behalf of Australasian Professional Society on Alcohol and other Drugs.","note":"_eprint: https://onlinelibrary.wiley.com/doi/pdf/10.1111/dar.13619","page":"859-867","source":"Wiley Online Library","title":"Foetal alcohol spectrum disorder in Aotearoa, New Zealand: Estimates of prevalence and indications of inequity","title-short":"Foetal alcohol spectrum disorder in Aotearoa, New Zealand","volume":"42","author":[{"family":"Romeo","given":"Jose S."},{"family":"Huckle","given":"Taisia"},{"family":"Casswell","given":"Sally"},{"family":"Connor","given":"Jennie"},{"family":"Rehm","given":"Jurgen"},{"family":"McGinn","given":"Valerie"}],"issued":{"date-parts":[["2023"]]}},"label":"page"},{"id":71386,"uris":["http://zotero.org/groups/4944822/items/S4GE5WKM"],"itemData":{"id":71386,"type":"webpage","abstract":"Babies exposed to alcohol before birth may develop fetal alcohol spectrum disorder. This can cause problems with their growth and development, and there is no cure.","container-title":"Ministry of Health NZ","language":"en","title":"Fetal alcohol spectrum disorder (FASD)","URL":"https://www.health.govt.nz/your-health/conditions-and-treatments/disabilities/fetal-alcohol-spectrum-disorder-fasd","author":[{"family":"Ministry of Health","given":""}],"accessed":{"date-parts":[["2023",12,7]]},"issued":{"date-parts":[["2022"]]}},"label":"page"},{"id":70375,"uris":["http://zotero.org/groups/4944822/items/6K8XGZWD"],"itemData":{"id":70375,"type":"article-journal","abstract":"Objectives\nTo estimate the life expectancy and specify the causes of death among people with fetal alcohol synd rome (FAS ).\nMethods\nIncluded were all patients recorded in Alberta provincial databases of inpatients, outpatients, or practitioner claims from 2003 to 2012. People with FAS were identified by ICD -9 code 760.71 and ICD - 10 codes Q86.0 and P04.3, and were linked to the Vital Statistics Death Registry to get information about mortality. Life expectancy was estimated by using the life table template developed in the United Kingdom, which is recommended for estimating life expectancy in small areas or populations.\nResults\nThe life expectancy at birth of people with FAS was 34 years (95% confidence interval: 31 to 37 years), which was about 42 % of that of the general population. The leading causes of death for people with FAS were “external causes” (44%) , which include suicide (15%), accidents (14%), poisoning by illegal drugs or alcohol (7%), and other external causes (7%). Other common causes of death were diseases of the nervous and respiratory systems (8% each), diseases of the digestive system (7%), c ongenital malformations (7%), mental and behavioural disorders (4%), and diseases of the circulatory system (4%).\nConclusion \nThe life expectancy of people with FAS is considerably lower than that of the general population. As the cause of FAS is known and preventable, more attention devoted to the prevention of FAS is urgently needed.","container-title":"Journal of Population Therapeutics and Clinical Pharmacology","ISSN":"2561-8741","issue":"1","journalAbbreviation":"J Popl Ther Clin Pharmacol","language":"en","license":"Copyright (c) 0","note":"number: 1","source":"www.jptcp.com","title":"LIFE EXPECTANCY OF PEOPLE WITH FETAL ALCOHOL SYNDROME","URL":"https://www.jptcp.com","volume":"23","author":[{"family":"Thanh","given":"Nguyen Xuan"},{"family":"Jonsson","given":"Egon"}],"accessed":{"date-parts":[["2023",10,23]]},"issued":{"date-parts":[["2016"]]}},"label":"page"}],"schema":"https://github.com/citation-style-language/schema/raw/master/csl-citation.json"} </w:instrText>
      </w:r>
      <w:r>
        <w:fldChar w:fldCharType="separate"/>
      </w:r>
      <w:r w:rsidRPr="009C1083">
        <w:rPr>
          <w:rFonts w:cs="Calibri"/>
        </w:rPr>
        <w:t>Easton et al. 2016; Romeo et al. 2023; Ministry of Health 2022b; Thanh and Jonsson 2016</w:t>
      </w:r>
      <w:r>
        <w:fldChar w:fldCharType="end"/>
      </w:r>
      <w:r>
        <w:t xml:space="preserve"> </w:t>
      </w:r>
      <w:r>
        <w:rPr>
          <w:rFonts w:cs="Calibri"/>
        </w:rPr>
        <w:t>and population and labour market data from Stats NZ</w:t>
      </w:r>
    </w:p>
    <w:p w14:paraId="2F5ABEFC" w14:textId="068D285D" w:rsidR="002F5351" w:rsidRDefault="002F5351" w:rsidP="002F5351">
      <w:pPr>
        <w:pStyle w:val="USBodyText"/>
      </w:pPr>
      <w:r w:rsidRPr="00003A0B">
        <w:t xml:space="preserve">According to another New Zealand study </w:t>
      </w:r>
      <w:r>
        <w:fldChar w:fldCharType="begin"/>
      </w:r>
      <w:r w:rsidR="00F244F6">
        <w:instrText xml:space="preserve"> ADDIN ZOTERO_ITEM CSL_CITATION {"citationID":"DevQYrrS","properties":{"formattedCitation":"(Gibbs and Sherwood 2017)","plainCitation":"(Gibbs and Sherwood 2017)","noteIndex":0},"citationItems":[{"id":70376,"uris":["http://zotero.org/groups/4944822/items/2JAGWX2A"],"itemData":{"id":70376,"type":"article-journal","abstract":"The damaging effects of alcohol intake have long been recognised as an issue for New Zealand society since the introduction of alcohol by early settlers. In the mid-1990s, New Zealand began to acknowledge the distinct set of impairments that result from prenatal alcohol exposure that is now known as fetal alcohol spectrum disorder (FASD), which affects all facets of an individual's life, including having individual impairments as well as secondary disabilities arising from those impairments. In New Zealand, a collaborative, multidisciplinary and multiagency approach has been necessary in order to offer the best support for individuals and families who are living with FASD. In this article, the developments within New Zealand's health, justice, social and cultural sectors are traced and the work of many individual trailblazers who have put FASD on the map is acknowledged. The story of putting FASD on the map in New Zealand is one of determination, hope and opportunity, as well as recognition that there is still a long way to go.","container-title":"Psychiatry, Psychology, and Law: An Interdisciplinary Journal of the Australian and New Zealand Association of Psychiatry, Psychology and Law","DOI":"10.1080/13218719.2017.1315784","ISSN":"1321-8719","issue":"6","journalAbbreviation":"Psychiatr Psychol Law","language":"eng","note":"PMID: 31983993\nPMCID: PMC6818225","page":"825-842","source":"PubMed","title":"Putting Fetal Alcohol Spectrum Disorder (FASD) on the Map in New Zealand: A Review of Health, Social, Political, Justice and Cultural Developments","title-short":"Putting Fetal Alcohol Spectrum Disorder (FASD) on the Map in New Zealand","volume":"24","author":[{"family":"Gibbs","given":"Anita"},{"family":"Sherwood","given":"Kesia"}],"issued":{"date-parts":[["2017"]]}}}],"schema":"https://github.com/citation-style-language/schema/raw/master/csl-citation.json"} </w:instrText>
      </w:r>
      <w:r>
        <w:fldChar w:fldCharType="separate"/>
      </w:r>
      <w:r w:rsidRPr="00EF6A8C">
        <w:rPr>
          <w:rFonts w:cs="Calibri"/>
        </w:rPr>
        <w:t>(Gibbs and Sherwood 2017)</w:t>
      </w:r>
      <w:r>
        <w:fldChar w:fldCharType="end"/>
      </w:r>
      <w:r w:rsidRPr="00003A0B">
        <w:t>, if ‘unseen costs’ such as those associated with the social, health and financial impacts on family members, the cost of finding alternative or extra education, the cost of legal help, and the cost of extra medical expenses and assessments or interventions were also included in a cost study of FASD, the total cost would be much greater.</w:t>
      </w:r>
    </w:p>
    <w:p w14:paraId="475D96F3" w14:textId="77777777" w:rsidR="002F5351" w:rsidRDefault="002F5351" w:rsidP="002F5351">
      <w:pPr>
        <w:spacing w:after="160" w:line="259" w:lineRule="auto"/>
        <w:rPr>
          <w:rFonts w:eastAsiaTheme="majorEastAsia" w:cstheme="majorBidi"/>
          <w:b/>
          <w:color w:val="0094C5"/>
          <w:sz w:val="32"/>
          <w:szCs w:val="32"/>
        </w:rPr>
      </w:pPr>
      <w:r>
        <w:br w:type="page"/>
      </w:r>
    </w:p>
    <w:p w14:paraId="481B298A" w14:textId="77777777" w:rsidR="00C81C03" w:rsidRDefault="00BE146B">
      <w:pPr>
        <w:pStyle w:val="Heading2"/>
      </w:pPr>
      <w:bookmarkStart w:id="235" w:name="_Toc160633872"/>
      <w:r>
        <w:lastRenderedPageBreak/>
        <w:t>Limitations</w:t>
      </w:r>
      <w:r w:rsidR="00D662C7">
        <w:t xml:space="preserve"> of estimates of productivity losses</w:t>
      </w:r>
      <w:bookmarkEnd w:id="235"/>
      <w:r w:rsidR="00B13E33">
        <w:t xml:space="preserve"> </w:t>
      </w:r>
    </w:p>
    <w:p w14:paraId="387D4E94" w14:textId="0255EDA7" w:rsidR="00542064" w:rsidRDefault="00542064" w:rsidP="00542064">
      <w:pPr>
        <w:pStyle w:val="USBodyText"/>
      </w:pPr>
      <w:r w:rsidRPr="00542064">
        <w:t xml:space="preserve">Reports on costs of alcohol harms that include productivity losses typically find this area of harm to be the costliest. However, as noted in </w:t>
      </w:r>
      <w:r w:rsidR="005571DD">
        <w:t>s</w:t>
      </w:r>
      <w:r w:rsidR="005571DD" w:rsidRPr="00542064">
        <w:t xml:space="preserve">ection </w:t>
      </w:r>
      <w:r w:rsidRPr="00542064">
        <w:t>1, this area is also subject to a wide range of uncertainties due to:</w:t>
      </w:r>
      <w:r>
        <w:t xml:space="preserve"> </w:t>
      </w:r>
    </w:p>
    <w:p w14:paraId="7BB9BB6B" w14:textId="4156C2D5" w:rsidR="00E6785F" w:rsidRDefault="00E6785F" w:rsidP="00E6785F">
      <w:pPr>
        <w:pStyle w:val="USBullet1"/>
      </w:pPr>
      <w:r>
        <w:t xml:space="preserve">a lack of evidence regarding the counterfactual labour market outcomes for people who experience productivity losses as a result of alcohol </w:t>
      </w:r>
      <w:proofErr w:type="gramStart"/>
      <w:r>
        <w:t>consumption</w:t>
      </w:r>
      <w:proofErr w:type="gramEnd"/>
    </w:p>
    <w:p w14:paraId="62403208" w14:textId="0012BBEB" w:rsidR="00175270" w:rsidRPr="00175270" w:rsidRDefault="00175270" w:rsidP="00175270">
      <w:pPr>
        <w:pStyle w:val="USBullet1"/>
      </w:pPr>
      <w:r w:rsidRPr="00175270">
        <w:t>a lack of consensus as to the appropriate approach to estimating productivity losses</w:t>
      </w:r>
      <w:r w:rsidR="00536EC3" w:rsidRPr="00CD19C4">
        <w:rPr>
          <w:rStyle w:val="FootnoteReference"/>
        </w:rPr>
        <w:footnoteReference w:id="15"/>
      </w:r>
    </w:p>
    <w:p w14:paraId="568669B4" w14:textId="678DABE8" w:rsidR="00B8713D" w:rsidRDefault="00B8713D" w:rsidP="00AD740C">
      <w:pPr>
        <w:pStyle w:val="USBullet1"/>
      </w:pPr>
      <w:r w:rsidRPr="00B8713D">
        <w:t>an implicit assumption that there is no spare capacity within the economy</w:t>
      </w:r>
      <w:r w:rsidR="00B45703">
        <w:t xml:space="preserve"> in the human capital approach, in other words</w:t>
      </w:r>
      <w:r w:rsidR="005571DD">
        <w:t>,</w:t>
      </w:r>
      <w:r w:rsidR="00B45703">
        <w:t xml:space="preserve"> that lost</w:t>
      </w:r>
      <w:r w:rsidRPr="00B8713D">
        <w:t xml:space="preserve"> production cannot be recovered (Pike and Grosse 2018)</w:t>
      </w:r>
      <w:r w:rsidR="00517FEC">
        <w:t xml:space="preserve">, resulting in </w:t>
      </w:r>
      <w:r w:rsidR="00007D1A">
        <w:t xml:space="preserve">a </w:t>
      </w:r>
      <w:r w:rsidR="00517FEC">
        <w:t xml:space="preserve">potential overestimation of productivity </w:t>
      </w:r>
      <w:proofErr w:type="gramStart"/>
      <w:r w:rsidR="00517FEC">
        <w:t>losses</w:t>
      </w:r>
      <w:proofErr w:type="gramEnd"/>
    </w:p>
    <w:p w14:paraId="77E17FEA" w14:textId="58C3D057" w:rsidR="00542064" w:rsidRDefault="00DC3B79" w:rsidP="00AD740C">
      <w:pPr>
        <w:pStyle w:val="USBullet1"/>
      </w:pPr>
      <w:r>
        <w:t xml:space="preserve">a lack of data to support the use of </w:t>
      </w:r>
      <w:r w:rsidR="005571DD">
        <w:t xml:space="preserve">the </w:t>
      </w:r>
      <w:r>
        <w:t>friction cost approach</w:t>
      </w:r>
      <w:r w:rsidR="0025794D">
        <w:t>,</w:t>
      </w:r>
      <w:r>
        <w:t xml:space="preserve"> which </w:t>
      </w:r>
      <w:r w:rsidR="00B8713D">
        <w:t>w</w:t>
      </w:r>
      <w:r>
        <w:t xml:space="preserve">ould </w:t>
      </w:r>
      <w:r w:rsidR="00B8713D">
        <w:t xml:space="preserve">likely </w:t>
      </w:r>
      <w:r>
        <w:t xml:space="preserve">provide alternative </w:t>
      </w:r>
      <w:r w:rsidR="0056104A">
        <w:t>estimate</w:t>
      </w:r>
      <w:r w:rsidR="001717BE">
        <w:t>s</w:t>
      </w:r>
      <w:r w:rsidR="00367922" w:rsidRPr="00CD19C4">
        <w:rPr>
          <w:rStyle w:val="FootnoteReference"/>
        </w:rPr>
        <w:footnoteReference w:id="16"/>
      </w:r>
    </w:p>
    <w:p w14:paraId="2EA7BC68" w14:textId="665FF0F8" w:rsidR="00CE2BFB" w:rsidRDefault="00CE2BFB" w:rsidP="00CE2BFB">
      <w:pPr>
        <w:pStyle w:val="USBullet1"/>
      </w:pPr>
      <w:r>
        <w:t xml:space="preserve">underlying studies that estimate </w:t>
      </w:r>
      <w:r w:rsidRPr="00CE2BFB">
        <w:t>impacts on productivity based on survey data</w:t>
      </w:r>
      <w:r>
        <w:t xml:space="preserve"> typically:</w:t>
      </w:r>
    </w:p>
    <w:p w14:paraId="6738AB7D" w14:textId="295769AE" w:rsidR="00662760" w:rsidRPr="00662760" w:rsidRDefault="00CE2BFB" w:rsidP="00662760">
      <w:pPr>
        <w:pStyle w:val="USBullet2"/>
      </w:pPr>
      <w:r w:rsidRPr="00CE2BFB">
        <w:t>lack of controls for the use of other drugs or other contributing factors</w:t>
      </w:r>
      <w:r w:rsidR="00802871">
        <w:t xml:space="preserve">, </w:t>
      </w:r>
      <w:r w:rsidR="003C5F0D">
        <w:t xml:space="preserve">such as higher rates of </w:t>
      </w:r>
      <w:r w:rsidR="005A5FBC">
        <w:t xml:space="preserve">mental illness, </w:t>
      </w:r>
      <w:r w:rsidR="003C5F0D">
        <w:t xml:space="preserve">tobacco smoking, </w:t>
      </w:r>
      <w:r w:rsidR="005A5FBC">
        <w:t>or other unhealthy lifestyle factors</w:t>
      </w:r>
      <w:r w:rsidR="00CC2206">
        <w:t>,</w:t>
      </w:r>
      <w:r w:rsidR="005A5FBC">
        <w:t xml:space="preserve"> which may often co-occur with alcohol consumption</w:t>
      </w:r>
      <w:r w:rsidR="00662760">
        <w:t>, especially in people whose alcohol consumption contributes to higher rates of absenteeism and presenteeism</w:t>
      </w:r>
      <w:r w:rsidR="003C5F0D">
        <w:t xml:space="preserve"> </w:t>
      </w:r>
      <w:r w:rsidR="00662760" w:rsidRPr="00662760">
        <w:fldChar w:fldCharType="begin"/>
      </w:r>
      <w:r w:rsidR="00F244F6">
        <w:instrText xml:space="preserve"> ADDIN ZOTERO_ITEM CSL_CITATION {"citationID":"M6XJcqnp","properties":{"formattedCitation":"(Pidd et al. 2006)","plainCitation":"(Pidd et al. 2006)","noteIndex":0},"citationItems":[{"id":71221,"uris":["http://zotero.org/groups/4944822/items/BMTKPPZX"],"itemData":{"id":71221,"type":"article-journal","abstract":"Objective:  To estimate the extent and cost of alcohol-related absenteeism in the Australian workforce.Design:  A secondary analysis of select data obtained from 13 582 Australian workers (aged ≥ 14 years) collected as part of the 2001 National Drug Strategy Household Survey.Main outcome measures:  Self-reported measures of alcohol-related absenteeism, illness or injury absenteeism and alcohol consumption categorised according to National Health and Medical Research Council (NHMRC) guidelines for short- and long-term risk.Results:  The use of self-reported measures of alcohol-related absenteeism resulted in an estimate of 2 682 865 work days lost due to alcohol use in 2001, at a cost of $437 million. The use of self-reported measures of illness or injury absenteeism to determine the extent of absenteeism attributable to alcohol use resulted in an estimate of 7 402 341 work days lost, at a cost of $1.2 billion. These estimates are about 12 to 34 times greater than previous estimates based on national data. Low-risk drinkers and infrequent or occasional risky and high-risk drinkers accounted for 49%–66% of alcohol-related absenteeism.Conclusions:  The extent and cost of alcohol-related absenteeism is far greater than previously reported, and more than half the burden of alcohol-related absenteeism is incurred by low-risk drinkers and those who infrequently drink heavily.","container-title":"Medical Journal of Australia","ISSN":"0025-729X","issue":"11","journalAbbreviation":"Med. J. Aust.","source":"eMJA","title":"Estimating the cost of alcohol-related absenteeism in the Australian workforce: the importance of consumption patterns","title-short":"Estimating the cost of alcohol-related absenteeism in the Australian workforce","URL":"https://www.mja.com.au/journal/2006/185/11/estimating-cost-alcohol-related-absenteeism-australian-workforce-importance","volume":"185","author":[{"family":"Pidd","given":"Kenneth J."},{"family":"Berry","given":"Jesia G."},{"family":"Roche","given":"Ann M."},{"family":"Harrison","given":"James E."}],"accessed":{"date-parts":[["2023",12,3]]},"issued":{"date-parts":[["2006",12,4]]}}}],"schema":"https://github.com/citation-style-language/schema/raw/master/csl-citation.json"} </w:instrText>
      </w:r>
      <w:r w:rsidR="00662760" w:rsidRPr="00662760">
        <w:fldChar w:fldCharType="separate"/>
      </w:r>
      <w:r w:rsidR="00662760" w:rsidRPr="00662760">
        <w:t>(</w:t>
      </w:r>
      <w:proofErr w:type="spellStart"/>
      <w:r w:rsidR="00662760" w:rsidRPr="00662760">
        <w:t>Pidd</w:t>
      </w:r>
      <w:proofErr w:type="spellEnd"/>
      <w:r w:rsidR="00662760" w:rsidRPr="00662760">
        <w:t xml:space="preserve"> et al. 2006)</w:t>
      </w:r>
      <w:r w:rsidR="00662760" w:rsidRPr="00662760">
        <w:fldChar w:fldCharType="end"/>
      </w:r>
    </w:p>
    <w:p w14:paraId="65857546" w14:textId="570ED5ED" w:rsidR="00FB1A45" w:rsidRPr="00FB1A45" w:rsidRDefault="00FB1A45" w:rsidP="00FB1A45">
      <w:pPr>
        <w:pStyle w:val="USBullet2"/>
      </w:pPr>
      <w:r w:rsidRPr="00FB1A45">
        <w:t>d</w:t>
      </w:r>
      <w:r>
        <w:t>o</w:t>
      </w:r>
      <w:r w:rsidRPr="00FB1A45">
        <w:t xml:space="preserve"> not ask </w:t>
      </w:r>
      <w:r>
        <w:t xml:space="preserve">survey </w:t>
      </w:r>
      <w:r w:rsidRPr="00FB1A45">
        <w:t xml:space="preserve">participants who are less productive at work on some days due to alcohol use (presenteeism) or who don’t work on some days due to alcohol use (absenteeism) whether they make up for lost productivity on other </w:t>
      </w:r>
      <w:proofErr w:type="gramStart"/>
      <w:r w:rsidRPr="00FB1A45">
        <w:t>days</w:t>
      </w:r>
      <w:proofErr w:type="gramEnd"/>
    </w:p>
    <w:p w14:paraId="4BF0F006" w14:textId="197DF3A2" w:rsidR="00FB1A45" w:rsidRPr="00FB1A45" w:rsidRDefault="00FB1A45" w:rsidP="00FB1A45">
      <w:pPr>
        <w:pStyle w:val="USBullet2"/>
      </w:pPr>
      <w:r>
        <w:t>often do not</w:t>
      </w:r>
      <w:r w:rsidRPr="00FB1A45">
        <w:t xml:space="preserve"> use individual-level earnings data to estimate costs</w:t>
      </w:r>
      <w:r>
        <w:t>, resorting instead to average wage data</w:t>
      </w:r>
      <w:r w:rsidR="00CC2206">
        <w:t>,</w:t>
      </w:r>
      <w:r>
        <w:t xml:space="preserve"> which may not be </w:t>
      </w:r>
      <w:r w:rsidR="00457DC8">
        <w:t>representative of wages earned by people who experience alcohol-induced absenteeism and presenteeism</w:t>
      </w:r>
      <w:r w:rsidR="00CC2206">
        <w:t>.</w:t>
      </w:r>
      <w:r w:rsidR="00B21D8E" w:rsidRPr="00CD19C4">
        <w:rPr>
          <w:rStyle w:val="FootnoteReference"/>
        </w:rPr>
        <w:footnoteReference w:id="17"/>
      </w:r>
      <w:r w:rsidRPr="00FB1A45">
        <w:t xml:space="preserve"> </w:t>
      </w:r>
    </w:p>
    <w:p w14:paraId="1B6559D2" w14:textId="03209E1D" w:rsidR="00542064" w:rsidRPr="00D662C7" w:rsidRDefault="00175270" w:rsidP="00175270">
      <w:pPr>
        <w:pStyle w:val="USBodyText"/>
      </w:pPr>
      <w:r>
        <w:t xml:space="preserve">Our estimation is subject to all of these concerns. </w:t>
      </w:r>
    </w:p>
    <w:p w14:paraId="19C371BB" w14:textId="597C3F8E" w:rsidR="004D2B4D" w:rsidRDefault="00662760" w:rsidP="00C722E9">
      <w:pPr>
        <w:pStyle w:val="USBodyText"/>
      </w:pPr>
      <w:r>
        <w:t>Additionally, like m</w:t>
      </w:r>
      <w:r w:rsidR="00B36DE0">
        <w:t xml:space="preserve">ost reports on the costs of alcohol harms, we provide no estimate of the </w:t>
      </w:r>
      <w:r w:rsidR="00845684">
        <w:t>value of lost unpaid production</w:t>
      </w:r>
      <w:r w:rsidR="00B36DE0">
        <w:t xml:space="preserve"> due to a lack of data on the impact of alcohol consumption on </w:t>
      </w:r>
      <w:r w:rsidR="00710413">
        <w:t>unpaid work</w:t>
      </w:r>
      <w:r w:rsidR="00845684">
        <w:t>.</w:t>
      </w:r>
    </w:p>
    <w:p w14:paraId="0A015265" w14:textId="0FF842E7" w:rsidR="00C722E9" w:rsidRDefault="00710413" w:rsidP="00C722E9">
      <w:pPr>
        <w:pStyle w:val="USBodyText"/>
      </w:pPr>
      <w:r w:rsidRPr="00710413">
        <w:t>For th</w:t>
      </w:r>
      <w:r>
        <w:t>ese</w:t>
      </w:r>
      <w:r w:rsidRPr="00710413">
        <w:t xml:space="preserve"> reason</w:t>
      </w:r>
      <w:r>
        <w:t>s</w:t>
      </w:r>
      <w:r w:rsidRPr="00710413">
        <w:t>, the quantity of productivity losses and the estimated value of productivity losses should be treated with a high degree of caution.</w:t>
      </w:r>
    </w:p>
    <w:p w14:paraId="7DA9DB83" w14:textId="48C65FA3" w:rsidR="00710413" w:rsidRDefault="00710413" w:rsidP="00B8713D">
      <w:pPr>
        <w:spacing w:after="160" w:line="259" w:lineRule="auto"/>
      </w:pPr>
      <w:r>
        <w:br w:type="page"/>
      </w:r>
    </w:p>
    <w:p w14:paraId="17D16A4F" w14:textId="6F392E6F" w:rsidR="00DD48A6" w:rsidRDefault="00DD48A6" w:rsidP="009F7701">
      <w:pPr>
        <w:pStyle w:val="Heading1"/>
      </w:pPr>
      <w:bookmarkStart w:id="236" w:name="_Toc160633873"/>
      <w:r>
        <w:lastRenderedPageBreak/>
        <w:t>Summary of results</w:t>
      </w:r>
      <w:bookmarkEnd w:id="236"/>
    </w:p>
    <w:p w14:paraId="79C3FEF8" w14:textId="71F4CF4A" w:rsidR="00603911" w:rsidRDefault="003842CB" w:rsidP="003D25FF">
      <w:pPr>
        <w:pStyle w:val="USBodyText"/>
      </w:pPr>
      <w:r>
        <w:t xml:space="preserve">The tables </w:t>
      </w:r>
      <w:r w:rsidR="00800ECF">
        <w:t xml:space="preserve">below </w:t>
      </w:r>
      <w:r w:rsidR="00603911">
        <w:t>summarise</w:t>
      </w:r>
      <w:r w:rsidR="00800ECF">
        <w:t xml:space="preserve"> the cost estimates derived in this report</w:t>
      </w:r>
      <w:r w:rsidR="0005244D">
        <w:t>, including ranges where these were estimated</w:t>
      </w:r>
      <w:r w:rsidR="00A43A26">
        <w:t>.</w:t>
      </w:r>
      <w:r w:rsidR="003532C5">
        <w:t xml:space="preserve"> </w:t>
      </w:r>
      <w:r w:rsidR="00A43A26">
        <w:t xml:space="preserve"> Reflecting </w:t>
      </w:r>
      <w:r w:rsidR="00CC2206">
        <w:t>on concerns about the data, the evidence base,</w:t>
      </w:r>
      <w:r w:rsidR="00A43A26">
        <w:t xml:space="preserve"> and the methodology, we also present our assessment of the </w:t>
      </w:r>
      <w:r w:rsidR="006726C7">
        <w:t>certainty level of these estimates.</w:t>
      </w:r>
    </w:p>
    <w:p w14:paraId="62A6250D" w14:textId="25E0C07E" w:rsidR="003219BB" w:rsidRDefault="003219BB" w:rsidP="00C47A52">
      <w:pPr>
        <w:pStyle w:val="TableCaption"/>
        <w:keepLines/>
      </w:pPr>
      <w:bookmarkStart w:id="237" w:name="_Toc160633960"/>
      <w:r w:rsidRPr="00731CA6">
        <w:t xml:space="preserve">Table </w:t>
      </w:r>
      <w:fldSimple w:instr=" SEQ Table \* ARABIC ">
        <w:r w:rsidR="00AE166D">
          <w:rPr>
            <w:noProof/>
          </w:rPr>
          <w:t>53</w:t>
        </w:r>
      </w:fldSimple>
      <w:r>
        <w:rPr>
          <w:noProof/>
        </w:rPr>
        <w:t xml:space="preserve"> </w:t>
      </w:r>
      <w:r>
        <w:t xml:space="preserve">Estimates of total societal costs of </w:t>
      </w:r>
      <w:proofErr w:type="gramStart"/>
      <w:r>
        <w:t>alcohol</w:t>
      </w:r>
      <w:bookmarkEnd w:id="237"/>
      <w:proofErr w:type="gramEnd"/>
    </w:p>
    <w:p w14:paraId="1AE84249" w14:textId="1A44D552" w:rsidR="003219BB" w:rsidRPr="008B0BAA" w:rsidRDefault="003219BB" w:rsidP="00C47A52">
      <w:pPr>
        <w:pStyle w:val="CaptionSubheading"/>
        <w:keepLines/>
      </w:pPr>
      <w:r>
        <w:t xml:space="preserve">$ millions, rounded to </w:t>
      </w:r>
      <w:r w:rsidR="00376F5B">
        <w:t xml:space="preserve">the </w:t>
      </w:r>
      <w:r>
        <w:t xml:space="preserve">nearest </w:t>
      </w:r>
      <w:proofErr w:type="gramStart"/>
      <w:r>
        <w:t>million</w:t>
      </w:r>
      <w:proofErr w:type="gramEnd"/>
    </w:p>
    <w:tbl>
      <w:tblPr>
        <w:tblStyle w:val="TableDefault"/>
        <w:tblW w:w="0" w:type="auto"/>
        <w:tblLook w:val="04A0" w:firstRow="1" w:lastRow="0" w:firstColumn="1" w:lastColumn="0" w:noHBand="0" w:noVBand="1"/>
      </w:tblPr>
      <w:tblGrid>
        <w:gridCol w:w="1701"/>
        <w:gridCol w:w="1559"/>
        <w:gridCol w:w="4960"/>
      </w:tblGrid>
      <w:tr w:rsidR="003219BB" w14:paraId="24488182" w14:textId="77777777">
        <w:trPr>
          <w:cnfStyle w:val="100000000000" w:firstRow="1" w:lastRow="0" w:firstColumn="0" w:lastColumn="0" w:oddVBand="0" w:evenVBand="0" w:oddHBand="0" w:evenHBand="0" w:firstRowFirstColumn="0" w:firstRowLastColumn="0" w:lastRowFirstColumn="0" w:lastRowLastColumn="0"/>
        </w:trPr>
        <w:tc>
          <w:tcPr>
            <w:tcW w:w="1701" w:type="dxa"/>
          </w:tcPr>
          <w:p w14:paraId="5B43A6D6" w14:textId="77777777" w:rsidR="003219BB" w:rsidRPr="002F2A52" w:rsidRDefault="003219BB" w:rsidP="008A1DF6">
            <w:pPr>
              <w:pStyle w:val="TSTableHeadingWhite-TopRow"/>
            </w:pPr>
            <w:r w:rsidRPr="002F2A52">
              <w:t>Key alcohol harm</w:t>
            </w:r>
          </w:p>
        </w:tc>
        <w:tc>
          <w:tcPr>
            <w:tcW w:w="1559" w:type="dxa"/>
          </w:tcPr>
          <w:p w14:paraId="4D64420C" w14:textId="77777777" w:rsidR="003219BB" w:rsidRPr="002F2A52" w:rsidRDefault="003219BB" w:rsidP="008A1DF6">
            <w:pPr>
              <w:pStyle w:val="TSTableHeadingWhite-TopRow"/>
            </w:pPr>
            <w:r w:rsidRPr="002F2A52">
              <w:t>Estimated value</w:t>
            </w:r>
          </w:p>
        </w:tc>
        <w:tc>
          <w:tcPr>
            <w:tcW w:w="4960" w:type="dxa"/>
          </w:tcPr>
          <w:p w14:paraId="1A46AC31" w14:textId="77777777" w:rsidR="003219BB" w:rsidRPr="002F2A52" w:rsidRDefault="003219BB" w:rsidP="008A1DF6">
            <w:pPr>
              <w:pStyle w:val="TSTableHeadingWhite-TopRow"/>
            </w:pPr>
            <w:r w:rsidRPr="002F2A52">
              <w:t>Certainty of estimate</w:t>
            </w:r>
          </w:p>
        </w:tc>
      </w:tr>
      <w:tr w:rsidR="003219BB" w:rsidRPr="00FC65CA" w14:paraId="23F78941" w14:textId="77777777">
        <w:tc>
          <w:tcPr>
            <w:tcW w:w="1701" w:type="dxa"/>
          </w:tcPr>
          <w:p w14:paraId="0C9D2A6D" w14:textId="0729CB98" w:rsidR="003219BB" w:rsidRPr="00FC65CA" w:rsidRDefault="004E3D82" w:rsidP="00FC65CA">
            <w:pPr>
              <w:pStyle w:val="TSBodyText"/>
              <w:rPr>
                <w:b/>
                <w:bCs/>
              </w:rPr>
            </w:pPr>
            <w:r w:rsidRPr="00FC65CA">
              <w:rPr>
                <w:b/>
                <w:bCs/>
              </w:rPr>
              <w:t>Increased risk of morbidity and mortality</w:t>
            </w:r>
          </w:p>
        </w:tc>
        <w:tc>
          <w:tcPr>
            <w:tcW w:w="1559" w:type="dxa"/>
          </w:tcPr>
          <w:p w14:paraId="0471550B" w14:textId="27527BB8" w:rsidR="003219BB" w:rsidRPr="00FC65CA" w:rsidRDefault="003219BB" w:rsidP="00FC65CA">
            <w:pPr>
              <w:pStyle w:val="TSBodyText"/>
              <w:rPr>
                <w:b/>
                <w:bCs/>
              </w:rPr>
            </w:pPr>
            <w:r w:rsidRPr="00FC65CA">
              <w:rPr>
                <w:b/>
                <w:bCs/>
              </w:rPr>
              <w:t>6,015</w:t>
            </w:r>
            <w:r w:rsidR="0013726C" w:rsidRPr="00FC65CA">
              <w:rPr>
                <w:b/>
                <w:bCs/>
              </w:rPr>
              <w:t xml:space="preserve"> – 9,103</w:t>
            </w:r>
          </w:p>
        </w:tc>
        <w:tc>
          <w:tcPr>
            <w:tcW w:w="4960" w:type="dxa"/>
          </w:tcPr>
          <w:p w14:paraId="0AD83861" w14:textId="07A09C26" w:rsidR="003219BB" w:rsidRPr="00FC65CA" w:rsidRDefault="003219BB" w:rsidP="00FC65CA">
            <w:pPr>
              <w:pStyle w:val="TSBodyText"/>
              <w:rPr>
                <w:b/>
                <w:bCs/>
              </w:rPr>
            </w:pPr>
            <w:r w:rsidRPr="00FC65CA">
              <w:rPr>
                <w:b/>
                <w:bCs/>
              </w:rPr>
              <w:t xml:space="preserve">Highly uncertain due to </w:t>
            </w:r>
            <w:r w:rsidR="00CC2206" w:rsidRPr="00FC65CA">
              <w:rPr>
                <w:b/>
                <w:bCs/>
              </w:rPr>
              <w:t xml:space="preserve">the </w:t>
            </w:r>
            <w:r w:rsidRPr="00FC65CA">
              <w:rPr>
                <w:b/>
                <w:bCs/>
              </w:rPr>
              <w:t>wide range of values proposed for a DALY.</w:t>
            </w:r>
            <w:r w:rsidR="007F39D3" w:rsidRPr="00FC65CA">
              <w:rPr>
                <w:b/>
                <w:bCs/>
              </w:rPr>
              <w:t xml:space="preserve"> </w:t>
            </w:r>
            <w:r w:rsidR="00FA5290" w:rsidRPr="00FC65CA">
              <w:rPr>
                <w:b/>
                <w:bCs/>
              </w:rPr>
              <w:t>P</w:t>
            </w:r>
            <w:r w:rsidR="00316EA1" w:rsidRPr="00FC65CA">
              <w:rPr>
                <w:b/>
                <w:bCs/>
              </w:rPr>
              <w:t>otential</w:t>
            </w:r>
            <w:r w:rsidR="007F39D3" w:rsidRPr="00FC65CA">
              <w:rPr>
                <w:b/>
                <w:bCs/>
              </w:rPr>
              <w:t xml:space="preserve"> underestimate</w:t>
            </w:r>
            <w:r w:rsidR="00316EA1" w:rsidRPr="00FC65CA">
              <w:rPr>
                <w:b/>
                <w:bCs/>
              </w:rPr>
              <w:t xml:space="preserve"> due to some </w:t>
            </w:r>
            <w:r w:rsidR="00896A40" w:rsidRPr="00FC65CA">
              <w:rPr>
                <w:b/>
                <w:bCs/>
              </w:rPr>
              <w:t>increased risks not reflected in estimates</w:t>
            </w:r>
            <w:r w:rsidR="007F39D3" w:rsidRPr="00FC65CA">
              <w:rPr>
                <w:b/>
                <w:bCs/>
              </w:rPr>
              <w:t>.</w:t>
            </w:r>
          </w:p>
        </w:tc>
      </w:tr>
    </w:tbl>
    <w:p w14:paraId="20EF6C24" w14:textId="77777777" w:rsidR="00CC2206" w:rsidRDefault="00CC2206" w:rsidP="00CC2206">
      <w:pPr>
        <w:pStyle w:val="USSource"/>
        <w:keepNext/>
        <w:keepLines/>
      </w:pPr>
      <w:r>
        <w:t>Source: NZIER</w:t>
      </w:r>
    </w:p>
    <w:p w14:paraId="2FDD5474" w14:textId="3E5BEF36" w:rsidR="00BB3428" w:rsidRDefault="00BB3428" w:rsidP="00C47A52">
      <w:pPr>
        <w:pStyle w:val="TableCaption"/>
        <w:keepLines/>
      </w:pPr>
      <w:bookmarkStart w:id="238" w:name="_Toc160633961"/>
      <w:r w:rsidRPr="00731CA6">
        <w:t xml:space="preserve">Table </w:t>
      </w:r>
      <w:fldSimple w:instr=" SEQ Table \* ARABIC ">
        <w:r w:rsidR="00AE166D">
          <w:rPr>
            <w:noProof/>
          </w:rPr>
          <w:t>54</w:t>
        </w:r>
      </w:fldSimple>
      <w:r>
        <w:rPr>
          <w:noProof/>
        </w:rPr>
        <w:t xml:space="preserve"> </w:t>
      </w:r>
      <w:r>
        <w:t xml:space="preserve">Estimates of societal costs of key alcohol harm </w:t>
      </w:r>
      <w:proofErr w:type="gramStart"/>
      <w:r>
        <w:t>concerns</w:t>
      </w:r>
      <w:bookmarkEnd w:id="238"/>
      <w:proofErr w:type="gramEnd"/>
    </w:p>
    <w:p w14:paraId="58FDA228" w14:textId="7BA23886" w:rsidR="00BB3428" w:rsidRPr="008B0BAA" w:rsidRDefault="00BB3428" w:rsidP="00C47A52">
      <w:pPr>
        <w:pStyle w:val="CaptionSubheading"/>
        <w:keepLines/>
      </w:pPr>
      <w:r>
        <w:t xml:space="preserve">$ millions, rounded to </w:t>
      </w:r>
      <w:r w:rsidR="005B3638">
        <w:t xml:space="preserve">the </w:t>
      </w:r>
      <w:r>
        <w:t xml:space="preserve">nearest </w:t>
      </w:r>
      <w:proofErr w:type="gramStart"/>
      <w:r>
        <w:t>million</w:t>
      </w:r>
      <w:proofErr w:type="gramEnd"/>
    </w:p>
    <w:tbl>
      <w:tblPr>
        <w:tblStyle w:val="TableDefault"/>
        <w:tblW w:w="0" w:type="auto"/>
        <w:tblLook w:val="04A0" w:firstRow="1" w:lastRow="0" w:firstColumn="1" w:lastColumn="0" w:noHBand="0" w:noVBand="1"/>
      </w:tblPr>
      <w:tblGrid>
        <w:gridCol w:w="1701"/>
        <w:gridCol w:w="1559"/>
        <w:gridCol w:w="4960"/>
      </w:tblGrid>
      <w:tr w:rsidR="00BB3428" w14:paraId="168D32C2" w14:textId="77777777">
        <w:trPr>
          <w:cnfStyle w:val="100000000000" w:firstRow="1" w:lastRow="0" w:firstColumn="0" w:lastColumn="0" w:oddVBand="0" w:evenVBand="0" w:oddHBand="0" w:evenHBand="0" w:firstRowFirstColumn="0" w:firstRowLastColumn="0" w:lastRowFirstColumn="0" w:lastRowLastColumn="0"/>
        </w:trPr>
        <w:tc>
          <w:tcPr>
            <w:tcW w:w="1701" w:type="dxa"/>
          </w:tcPr>
          <w:p w14:paraId="1542C554" w14:textId="77777777" w:rsidR="00BB3428" w:rsidRPr="002F2A52" w:rsidRDefault="00BB3428" w:rsidP="00D14685">
            <w:pPr>
              <w:pStyle w:val="TSTableHeadingWhite-TopRow"/>
            </w:pPr>
            <w:r w:rsidRPr="002F2A52">
              <w:t>Key alcohol harm</w:t>
            </w:r>
          </w:p>
        </w:tc>
        <w:tc>
          <w:tcPr>
            <w:tcW w:w="1559" w:type="dxa"/>
          </w:tcPr>
          <w:p w14:paraId="3D98F777" w14:textId="3C2B3F2F" w:rsidR="00BB3428" w:rsidRPr="002F2A52" w:rsidRDefault="006C7674" w:rsidP="00D14685">
            <w:pPr>
              <w:pStyle w:val="TSTableHeadingWhite-TopRow"/>
            </w:pPr>
            <w:r>
              <w:t>Cost estimate</w:t>
            </w:r>
          </w:p>
        </w:tc>
        <w:tc>
          <w:tcPr>
            <w:tcW w:w="4960" w:type="dxa"/>
          </w:tcPr>
          <w:p w14:paraId="305A62CD" w14:textId="77777777" w:rsidR="00BB3428" w:rsidRPr="002F2A52" w:rsidRDefault="00BB3428" w:rsidP="00D14685">
            <w:pPr>
              <w:pStyle w:val="TSTableHeadingWhite-TopRow"/>
            </w:pPr>
            <w:r w:rsidRPr="002F2A52">
              <w:t>Certainty of estimate</w:t>
            </w:r>
          </w:p>
        </w:tc>
      </w:tr>
      <w:tr w:rsidR="00BB3428" w14:paraId="427205E5" w14:textId="77777777">
        <w:tc>
          <w:tcPr>
            <w:tcW w:w="1701" w:type="dxa"/>
          </w:tcPr>
          <w:p w14:paraId="41E0FF9D" w14:textId="77777777" w:rsidR="00BB3428" w:rsidRPr="00926C6A" w:rsidRDefault="00BB3428" w:rsidP="00FC65CA">
            <w:pPr>
              <w:pStyle w:val="TSBodyText"/>
            </w:pPr>
            <w:r w:rsidRPr="00926C6A">
              <w:t>Intimate partner violence (IPV)</w:t>
            </w:r>
          </w:p>
        </w:tc>
        <w:tc>
          <w:tcPr>
            <w:tcW w:w="1559" w:type="dxa"/>
          </w:tcPr>
          <w:p w14:paraId="6FBAFA48" w14:textId="1EF419B2" w:rsidR="00BB3428" w:rsidRPr="00926C6A" w:rsidRDefault="00BB3428" w:rsidP="00D14685">
            <w:pPr>
              <w:pStyle w:val="TSBodyText"/>
              <w:tabs>
                <w:tab w:val="left" w:pos="322"/>
              </w:tabs>
              <w:ind w:right="530"/>
              <w:jc w:val="right"/>
            </w:pPr>
            <w:r>
              <w:t>2</w:t>
            </w:r>
            <w:r w:rsidR="009106FE">
              <w:t>81</w:t>
            </w:r>
          </w:p>
        </w:tc>
        <w:tc>
          <w:tcPr>
            <w:tcW w:w="4960" w:type="dxa"/>
          </w:tcPr>
          <w:p w14:paraId="73208A99" w14:textId="23296DDF" w:rsidR="00BB3428" w:rsidRPr="00926C6A" w:rsidRDefault="00BB3428" w:rsidP="00FC65CA">
            <w:pPr>
              <w:pStyle w:val="TSBodyText"/>
            </w:pPr>
            <w:r w:rsidRPr="00926C6A">
              <w:t xml:space="preserve">Low to moderate: Conservative scenario prevalence but based on old unit costs, attribution based on a single NZ study. Cost attributable to alcohol use disorder only (potential underestimation). Many </w:t>
            </w:r>
            <w:r w:rsidR="00CC2206">
              <w:t>IPV costs</w:t>
            </w:r>
            <w:r w:rsidRPr="00926C6A">
              <w:t xml:space="preserve"> </w:t>
            </w:r>
            <w:r w:rsidR="00CC2206">
              <w:t xml:space="preserve">are </w:t>
            </w:r>
            <w:r w:rsidRPr="00926C6A">
              <w:t>also reflected in other cost estimates.</w:t>
            </w:r>
          </w:p>
        </w:tc>
      </w:tr>
      <w:tr w:rsidR="00BB3428" w14:paraId="11CA544B" w14:textId="77777777">
        <w:trPr>
          <w:cnfStyle w:val="000000010000" w:firstRow="0" w:lastRow="0" w:firstColumn="0" w:lastColumn="0" w:oddVBand="0" w:evenVBand="0" w:oddHBand="0" w:evenHBand="1" w:firstRowFirstColumn="0" w:firstRowLastColumn="0" w:lastRowFirstColumn="0" w:lastRowLastColumn="0"/>
        </w:trPr>
        <w:tc>
          <w:tcPr>
            <w:tcW w:w="1701" w:type="dxa"/>
          </w:tcPr>
          <w:p w14:paraId="2B58F4D7" w14:textId="77777777" w:rsidR="00BB3428" w:rsidRPr="00926C6A" w:rsidRDefault="00BB3428" w:rsidP="00FC65CA">
            <w:pPr>
              <w:pStyle w:val="TSBodyText"/>
            </w:pPr>
            <w:r w:rsidRPr="00926C6A">
              <w:t>Child maltreatment</w:t>
            </w:r>
          </w:p>
        </w:tc>
        <w:tc>
          <w:tcPr>
            <w:tcW w:w="1559" w:type="dxa"/>
          </w:tcPr>
          <w:p w14:paraId="0EB59CFF" w14:textId="77777777" w:rsidR="00BB3428" w:rsidRPr="00926C6A" w:rsidRDefault="00BB3428" w:rsidP="00D14685">
            <w:pPr>
              <w:pStyle w:val="TSBodyText"/>
              <w:tabs>
                <w:tab w:val="left" w:pos="322"/>
              </w:tabs>
              <w:ind w:right="530"/>
              <w:jc w:val="right"/>
            </w:pPr>
            <w:r w:rsidRPr="00926C6A">
              <w:t>74</w:t>
            </w:r>
          </w:p>
        </w:tc>
        <w:tc>
          <w:tcPr>
            <w:tcW w:w="4960" w:type="dxa"/>
          </w:tcPr>
          <w:p w14:paraId="6854A1A6" w14:textId="77777777" w:rsidR="00BB3428" w:rsidRPr="00926C6A" w:rsidRDefault="00BB3428" w:rsidP="00FC65CA">
            <w:pPr>
              <w:pStyle w:val="TSBodyText"/>
            </w:pPr>
            <w:r w:rsidRPr="00926C6A">
              <w:t>Low to moderate: Conservative scenario prevalence but based on old unit costs, attribution based on a single NZ study. Cost attributable to hazardous drinking only (potential underestimation).</w:t>
            </w:r>
          </w:p>
        </w:tc>
      </w:tr>
      <w:tr w:rsidR="00BB3428" w14:paraId="04227973" w14:textId="77777777">
        <w:tc>
          <w:tcPr>
            <w:tcW w:w="1701" w:type="dxa"/>
          </w:tcPr>
          <w:p w14:paraId="1A1085CF" w14:textId="77777777" w:rsidR="00BB3428" w:rsidRPr="00926C6A" w:rsidRDefault="00BB3428" w:rsidP="00FC65CA">
            <w:pPr>
              <w:pStyle w:val="TSBodyText"/>
            </w:pPr>
            <w:r w:rsidRPr="00926C6A">
              <w:t>Road crashes</w:t>
            </w:r>
          </w:p>
        </w:tc>
        <w:tc>
          <w:tcPr>
            <w:tcW w:w="1559" w:type="dxa"/>
          </w:tcPr>
          <w:p w14:paraId="06EA1165" w14:textId="77777777" w:rsidR="00BB3428" w:rsidRPr="00926C6A" w:rsidRDefault="00BB3428" w:rsidP="00D14685">
            <w:pPr>
              <w:pStyle w:val="TSBodyText"/>
              <w:tabs>
                <w:tab w:val="left" w:pos="322"/>
              </w:tabs>
              <w:ind w:right="530"/>
              <w:jc w:val="right"/>
            </w:pPr>
            <w:r w:rsidRPr="00926C6A">
              <w:t>2,095</w:t>
            </w:r>
          </w:p>
        </w:tc>
        <w:tc>
          <w:tcPr>
            <w:tcW w:w="4960" w:type="dxa"/>
          </w:tcPr>
          <w:p w14:paraId="5CAA1633" w14:textId="77777777" w:rsidR="00BB3428" w:rsidRPr="00926C6A" w:rsidRDefault="00BB3428" w:rsidP="00FC65CA">
            <w:pPr>
              <w:pStyle w:val="TSBodyText"/>
            </w:pPr>
            <w:r>
              <w:t>Moderate</w:t>
            </w:r>
            <w:r w:rsidRPr="00C24BCB">
              <w:t>: Moderate uncertainty regarding attribution and counterfactual/ value related to loss of life/quality of life (the major component).</w:t>
            </w:r>
          </w:p>
        </w:tc>
      </w:tr>
      <w:tr w:rsidR="00BB3428" w14:paraId="68C4DA0C" w14:textId="77777777">
        <w:trPr>
          <w:cnfStyle w:val="000000010000" w:firstRow="0" w:lastRow="0" w:firstColumn="0" w:lastColumn="0" w:oddVBand="0" w:evenVBand="0" w:oddHBand="0" w:evenHBand="1" w:firstRowFirstColumn="0" w:firstRowLastColumn="0" w:lastRowFirstColumn="0" w:lastRowLastColumn="0"/>
        </w:trPr>
        <w:tc>
          <w:tcPr>
            <w:tcW w:w="1701" w:type="dxa"/>
          </w:tcPr>
          <w:p w14:paraId="3999D8DD" w14:textId="77777777" w:rsidR="00BB3428" w:rsidRPr="002F2A52" w:rsidRDefault="00BB3428" w:rsidP="00FC65CA">
            <w:pPr>
              <w:pStyle w:val="TSBodyText"/>
              <w:rPr>
                <w:b/>
                <w:bCs/>
              </w:rPr>
            </w:pPr>
            <w:r w:rsidRPr="002F2A52">
              <w:rPr>
                <w:b/>
                <w:bCs/>
              </w:rPr>
              <w:t>Total societal cost of key alcohol harms</w:t>
            </w:r>
          </w:p>
        </w:tc>
        <w:tc>
          <w:tcPr>
            <w:tcW w:w="1559" w:type="dxa"/>
          </w:tcPr>
          <w:p w14:paraId="5E2176F1" w14:textId="1BA88C2F" w:rsidR="00BB3428" w:rsidRPr="002F2A52" w:rsidRDefault="00BB3428" w:rsidP="00D14685">
            <w:pPr>
              <w:pStyle w:val="TSBodyText"/>
              <w:tabs>
                <w:tab w:val="left" w:pos="322"/>
              </w:tabs>
              <w:ind w:right="530"/>
              <w:jc w:val="right"/>
              <w:rPr>
                <w:b/>
                <w:bCs/>
              </w:rPr>
            </w:pPr>
            <w:r w:rsidRPr="002F2A52">
              <w:rPr>
                <w:b/>
                <w:bCs/>
              </w:rPr>
              <w:t>2,4</w:t>
            </w:r>
            <w:r w:rsidR="00D14685">
              <w:rPr>
                <w:b/>
                <w:bCs/>
              </w:rPr>
              <w:t>50</w:t>
            </w:r>
          </w:p>
        </w:tc>
        <w:tc>
          <w:tcPr>
            <w:tcW w:w="4960" w:type="dxa"/>
          </w:tcPr>
          <w:p w14:paraId="44DCE187" w14:textId="0768C3EE" w:rsidR="00BB3428" w:rsidRPr="00591E76" w:rsidRDefault="00BB3428" w:rsidP="00FC65CA">
            <w:pPr>
              <w:pStyle w:val="TSBodyText"/>
            </w:pPr>
            <w:r>
              <w:t xml:space="preserve">Moderate certainty: Greater certainty regarding road crash costs and likely underestimate of IPV and child maltreatment due to </w:t>
            </w:r>
            <w:r w:rsidR="00CC2206">
              <w:t xml:space="preserve">the </w:t>
            </w:r>
            <w:r>
              <w:t>exclusion of cases where alcohol use disorder and hazardous drinking were not a factor.</w:t>
            </w:r>
          </w:p>
        </w:tc>
      </w:tr>
    </w:tbl>
    <w:p w14:paraId="62EDEEAD" w14:textId="77777777" w:rsidR="00BB3428" w:rsidRDefault="00BB3428" w:rsidP="00AC7C65">
      <w:pPr>
        <w:pStyle w:val="USSource"/>
      </w:pPr>
      <w:r>
        <w:t>Source: NZIER</w:t>
      </w:r>
    </w:p>
    <w:p w14:paraId="1DE16511" w14:textId="77777777" w:rsidR="00AC7C65" w:rsidRDefault="00AC7C65" w:rsidP="00C47A52">
      <w:pPr>
        <w:pStyle w:val="USSource"/>
        <w:keepNext/>
        <w:keepLines/>
      </w:pPr>
    </w:p>
    <w:p w14:paraId="444EF89D" w14:textId="2C91AC7A" w:rsidR="00C47A52" w:rsidRDefault="00C47A52" w:rsidP="00AC7C65">
      <w:pPr>
        <w:pStyle w:val="TableCaption"/>
        <w:keepLines/>
      </w:pPr>
      <w:bookmarkStart w:id="239" w:name="_Toc160633962"/>
      <w:r w:rsidRPr="00731CA6">
        <w:t xml:space="preserve">Table </w:t>
      </w:r>
      <w:fldSimple w:instr=" SEQ Table \* ARABIC ">
        <w:r w:rsidR="00AE166D">
          <w:rPr>
            <w:noProof/>
          </w:rPr>
          <w:t>55</w:t>
        </w:r>
      </w:fldSimple>
      <w:r>
        <w:rPr>
          <w:noProof/>
        </w:rPr>
        <w:t xml:space="preserve"> </w:t>
      </w:r>
      <w:r>
        <w:t xml:space="preserve">Estimates of costs of productivity losses due to </w:t>
      </w:r>
      <w:proofErr w:type="gramStart"/>
      <w:r>
        <w:t>alcohol</w:t>
      </w:r>
      <w:bookmarkEnd w:id="239"/>
      <w:proofErr w:type="gramEnd"/>
    </w:p>
    <w:p w14:paraId="24A46A57" w14:textId="3ED41D47" w:rsidR="00C47A52" w:rsidRPr="00B34D1A" w:rsidRDefault="00C47A52" w:rsidP="00AC7C65">
      <w:pPr>
        <w:pStyle w:val="CaptionSubheading"/>
        <w:keepLines/>
      </w:pPr>
      <w:r>
        <w:t xml:space="preserve">$ millions, rounded to </w:t>
      </w:r>
      <w:r w:rsidR="005B3638">
        <w:t xml:space="preserve">the </w:t>
      </w:r>
      <w:r>
        <w:t xml:space="preserve">nearest </w:t>
      </w:r>
      <w:proofErr w:type="gramStart"/>
      <w:r>
        <w:t>million</w:t>
      </w:r>
      <w:proofErr w:type="gramEnd"/>
    </w:p>
    <w:tbl>
      <w:tblPr>
        <w:tblStyle w:val="TableDefault"/>
        <w:tblW w:w="8222" w:type="dxa"/>
        <w:tblLook w:val="04A0" w:firstRow="1" w:lastRow="0" w:firstColumn="1" w:lastColumn="0" w:noHBand="0" w:noVBand="1"/>
      </w:tblPr>
      <w:tblGrid>
        <w:gridCol w:w="2541"/>
        <w:gridCol w:w="1570"/>
        <w:gridCol w:w="4111"/>
      </w:tblGrid>
      <w:tr w:rsidR="00C47A52" w14:paraId="3D59E7FD" w14:textId="77777777" w:rsidTr="004B2113">
        <w:trPr>
          <w:cnfStyle w:val="100000000000" w:firstRow="1" w:lastRow="0" w:firstColumn="0" w:lastColumn="0" w:oddVBand="0" w:evenVBand="0" w:oddHBand="0" w:evenHBand="0" w:firstRowFirstColumn="0" w:firstRowLastColumn="0" w:lastRowFirstColumn="0" w:lastRowLastColumn="0"/>
        </w:trPr>
        <w:tc>
          <w:tcPr>
            <w:tcW w:w="2541" w:type="dxa"/>
          </w:tcPr>
          <w:p w14:paraId="52905423" w14:textId="77777777" w:rsidR="00C47A52" w:rsidRPr="002F2A52" w:rsidRDefault="00C47A52" w:rsidP="00AC7C65">
            <w:pPr>
              <w:pStyle w:val="TSTableHeadingWhite-TopRow"/>
            </w:pPr>
            <w:r w:rsidRPr="002F2A52">
              <w:t>Cause of productivity loss</w:t>
            </w:r>
          </w:p>
        </w:tc>
        <w:tc>
          <w:tcPr>
            <w:tcW w:w="1570" w:type="dxa"/>
          </w:tcPr>
          <w:p w14:paraId="05F895F7" w14:textId="0D2F3047" w:rsidR="00C47A52" w:rsidRPr="002F2A52" w:rsidRDefault="006C7674" w:rsidP="00AC7C65">
            <w:pPr>
              <w:pStyle w:val="TSTableHeadingWhite-TopRow"/>
            </w:pPr>
            <w:r>
              <w:t>Cost estimate</w:t>
            </w:r>
          </w:p>
        </w:tc>
        <w:tc>
          <w:tcPr>
            <w:tcW w:w="4111" w:type="dxa"/>
          </w:tcPr>
          <w:p w14:paraId="2C9DD0A4" w14:textId="77777777" w:rsidR="00C47A52" w:rsidRPr="002F2A52" w:rsidRDefault="00C47A52" w:rsidP="00AC7C65">
            <w:pPr>
              <w:pStyle w:val="TSTableHeadingWhite-TopRow"/>
            </w:pPr>
            <w:r w:rsidRPr="002F2A52">
              <w:t>Certainty of estimate</w:t>
            </w:r>
          </w:p>
        </w:tc>
      </w:tr>
      <w:tr w:rsidR="00C47A52" w14:paraId="6EF1A485" w14:textId="77777777" w:rsidTr="004B2113">
        <w:tc>
          <w:tcPr>
            <w:tcW w:w="2541" w:type="dxa"/>
          </w:tcPr>
          <w:p w14:paraId="3D25A888" w14:textId="21A9CC3E" w:rsidR="00C47A52" w:rsidRPr="0080137D" w:rsidRDefault="00C47A52" w:rsidP="00AC7C65">
            <w:pPr>
              <w:pStyle w:val="TSBodyText"/>
              <w:keepNext/>
              <w:keepLines/>
            </w:pPr>
            <w:r w:rsidRPr="0080137D">
              <w:t xml:space="preserve">Hospitalisation for </w:t>
            </w:r>
            <w:r w:rsidR="00CC2206" w:rsidRPr="0080137D">
              <w:t>alcohol</w:t>
            </w:r>
            <w:r w:rsidR="00CC2206">
              <w:t>-</w:t>
            </w:r>
            <w:r w:rsidRPr="0080137D">
              <w:t xml:space="preserve">attributable conditions and injuries </w:t>
            </w:r>
          </w:p>
        </w:tc>
        <w:tc>
          <w:tcPr>
            <w:tcW w:w="1570" w:type="dxa"/>
            <w:tcMar>
              <w:right w:w="369" w:type="dxa"/>
            </w:tcMar>
          </w:tcPr>
          <w:p w14:paraId="68BF3827" w14:textId="500C6D06" w:rsidR="00C47A52" w:rsidRPr="0080137D" w:rsidRDefault="00D15C59" w:rsidP="00AC7C65">
            <w:pPr>
              <w:pStyle w:val="TSBodyText"/>
              <w:keepNext/>
              <w:keepLines/>
              <w:jc w:val="right"/>
            </w:pPr>
            <w:r>
              <w:t>12</w:t>
            </w:r>
            <w:r w:rsidR="00570493">
              <w:t xml:space="preserve"> </w:t>
            </w:r>
            <w:r>
              <w:t>-</w:t>
            </w:r>
            <w:r w:rsidR="00570493">
              <w:t xml:space="preserve"> </w:t>
            </w:r>
            <w:r w:rsidR="00AA0039">
              <w:t xml:space="preserve">14 (midpoint </w:t>
            </w:r>
            <w:r w:rsidR="00C47A52" w:rsidRPr="0080137D">
              <w:t>13</w:t>
            </w:r>
            <w:r w:rsidR="00AA0039">
              <w:t>)</w:t>
            </w:r>
          </w:p>
        </w:tc>
        <w:tc>
          <w:tcPr>
            <w:tcW w:w="4111" w:type="dxa"/>
          </w:tcPr>
          <w:p w14:paraId="0ADA2CB4" w14:textId="630A0228" w:rsidR="00C47A52" w:rsidRPr="0080137D" w:rsidRDefault="00C47A52" w:rsidP="00AC7C65">
            <w:pPr>
              <w:pStyle w:val="TSBodyText"/>
              <w:keepNext/>
              <w:keepLines/>
            </w:pPr>
            <w:r w:rsidRPr="001B5D27">
              <w:t>Moderate: High certainty of underlying attribution (see above),</w:t>
            </w:r>
            <w:r>
              <w:t xml:space="preserve"> </w:t>
            </w:r>
            <w:r w:rsidRPr="001B5D27">
              <w:t>uncertainty regarding counterfactual productivity.</w:t>
            </w:r>
          </w:p>
        </w:tc>
      </w:tr>
      <w:tr w:rsidR="00C47A52" w14:paraId="48DFB28A" w14:textId="77777777" w:rsidTr="004B2113">
        <w:trPr>
          <w:cnfStyle w:val="000000010000" w:firstRow="0" w:lastRow="0" w:firstColumn="0" w:lastColumn="0" w:oddVBand="0" w:evenVBand="0" w:oddHBand="0" w:evenHBand="1" w:firstRowFirstColumn="0" w:firstRowLastColumn="0" w:lastRowFirstColumn="0" w:lastRowLastColumn="0"/>
        </w:trPr>
        <w:tc>
          <w:tcPr>
            <w:tcW w:w="2541" w:type="dxa"/>
          </w:tcPr>
          <w:p w14:paraId="474165D2" w14:textId="77777777" w:rsidR="00C47A52" w:rsidRPr="0080137D" w:rsidRDefault="00C47A52" w:rsidP="00AC7C65">
            <w:pPr>
              <w:pStyle w:val="TSBodyText"/>
              <w:keepNext/>
              <w:keepLines/>
            </w:pPr>
            <w:r w:rsidRPr="0080137D">
              <w:t>Premature mortality from alcohol-attributable conditions and injuries</w:t>
            </w:r>
          </w:p>
        </w:tc>
        <w:tc>
          <w:tcPr>
            <w:tcW w:w="1570" w:type="dxa"/>
            <w:tcMar>
              <w:right w:w="369" w:type="dxa"/>
            </w:tcMar>
          </w:tcPr>
          <w:p w14:paraId="32EC0B85" w14:textId="550E6C3C" w:rsidR="00C47A52" w:rsidRPr="0080137D" w:rsidRDefault="008C2201" w:rsidP="00AC7C65">
            <w:pPr>
              <w:pStyle w:val="TSBodyText"/>
              <w:keepNext/>
              <w:keepLines/>
              <w:jc w:val="right"/>
            </w:pPr>
            <w:r>
              <w:t>344</w:t>
            </w:r>
            <w:r w:rsidR="00570493">
              <w:t xml:space="preserve"> </w:t>
            </w:r>
            <w:r w:rsidR="004B2113">
              <w:t>–</w:t>
            </w:r>
            <w:r w:rsidR="00570493">
              <w:t xml:space="preserve"> </w:t>
            </w:r>
            <w:r w:rsidR="004B2113">
              <w:t xml:space="preserve">417 (midpoint </w:t>
            </w:r>
            <w:r w:rsidR="00C47A52" w:rsidRPr="0080137D">
              <w:t>385</w:t>
            </w:r>
            <w:r w:rsidR="004B2113">
              <w:t>)</w:t>
            </w:r>
          </w:p>
        </w:tc>
        <w:tc>
          <w:tcPr>
            <w:tcW w:w="4111" w:type="dxa"/>
          </w:tcPr>
          <w:p w14:paraId="2482CC2D" w14:textId="77777777" w:rsidR="00C47A52" w:rsidRPr="0080137D" w:rsidRDefault="00C47A52" w:rsidP="00AC7C65">
            <w:pPr>
              <w:pStyle w:val="TSBodyText"/>
              <w:keepNext/>
              <w:keepLines/>
            </w:pPr>
            <w:r w:rsidRPr="00883C6A">
              <w:t>Moderate: High certainty of underlying attribution (see above), uncertainty regarding counterfactual productivity.</w:t>
            </w:r>
          </w:p>
        </w:tc>
      </w:tr>
      <w:tr w:rsidR="00C47A52" w14:paraId="2CA337C5" w14:textId="77777777" w:rsidTr="004B2113">
        <w:tc>
          <w:tcPr>
            <w:tcW w:w="2541" w:type="dxa"/>
          </w:tcPr>
          <w:p w14:paraId="48D129F4" w14:textId="77777777" w:rsidR="00C47A52" w:rsidRPr="0080137D" w:rsidRDefault="00C47A52" w:rsidP="00AC7C65">
            <w:pPr>
              <w:pStyle w:val="TSBodyText"/>
              <w:keepNext/>
              <w:keepLines/>
            </w:pPr>
            <w:r w:rsidRPr="0080137D">
              <w:t>Long-term disability from alcohol-attributable injuries</w:t>
            </w:r>
          </w:p>
        </w:tc>
        <w:tc>
          <w:tcPr>
            <w:tcW w:w="1570" w:type="dxa"/>
            <w:tcMar>
              <w:right w:w="369" w:type="dxa"/>
            </w:tcMar>
          </w:tcPr>
          <w:p w14:paraId="1B435CF8" w14:textId="77777777" w:rsidR="00C47A52" w:rsidRPr="0080137D" w:rsidRDefault="00C47A52" w:rsidP="00AC7C65">
            <w:pPr>
              <w:pStyle w:val="TSBodyText"/>
              <w:keepNext/>
              <w:keepLines/>
              <w:jc w:val="right"/>
            </w:pPr>
            <w:r w:rsidRPr="0080137D">
              <w:t>423</w:t>
            </w:r>
          </w:p>
        </w:tc>
        <w:tc>
          <w:tcPr>
            <w:tcW w:w="4111" w:type="dxa"/>
          </w:tcPr>
          <w:p w14:paraId="02525C15" w14:textId="77777777" w:rsidR="00C47A52" w:rsidRPr="0080137D" w:rsidRDefault="00C47A52" w:rsidP="00AC7C65">
            <w:pPr>
              <w:pStyle w:val="TSBodyText"/>
              <w:keepNext/>
              <w:keepLines/>
            </w:pPr>
            <w:r w:rsidRPr="00C43518">
              <w:t>Moderate to high: Moderate to high certainty of underlying attribution, moderate to high certainty of counterfactual.</w:t>
            </w:r>
          </w:p>
        </w:tc>
      </w:tr>
      <w:tr w:rsidR="00C47A52" w14:paraId="1DE8D37F" w14:textId="77777777" w:rsidTr="004B2113">
        <w:trPr>
          <w:cnfStyle w:val="000000010000" w:firstRow="0" w:lastRow="0" w:firstColumn="0" w:lastColumn="0" w:oddVBand="0" w:evenVBand="0" w:oddHBand="0" w:evenHBand="1" w:firstRowFirstColumn="0" w:firstRowLastColumn="0" w:lastRowFirstColumn="0" w:lastRowLastColumn="0"/>
        </w:trPr>
        <w:tc>
          <w:tcPr>
            <w:tcW w:w="2541" w:type="dxa"/>
          </w:tcPr>
          <w:p w14:paraId="0C9F4582" w14:textId="77777777" w:rsidR="00C47A52" w:rsidRPr="0080137D" w:rsidRDefault="00C47A52" w:rsidP="00AC7C65">
            <w:pPr>
              <w:pStyle w:val="TSBodyText"/>
              <w:keepNext/>
              <w:keepLines/>
            </w:pPr>
            <w:r w:rsidRPr="0080137D">
              <w:t xml:space="preserve">Incarceration for alcohol-attributable crime </w:t>
            </w:r>
          </w:p>
        </w:tc>
        <w:tc>
          <w:tcPr>
            <w:tcW w:w="1570" w:type="dxa"/>
            <w:tcMar>
              <w:right w:w="369" w:type="dxa"/>
            </w:tcMar>
          </w:tcPr>
          <w:p w14:paraId="553A3489" w14:textId="04247D89" w:rsidR="00C47A52" w:rsidRPr="0080137D" w:rsidRDefault="00DE3FBA" w:rsidP="00AC7C65">
            <w:pPr>
              <w:pStyle w:val="TSBodyText"/>
              <w:keepNext/>
              <w:keepLines/>
              <w:jc w:val="right"/>
            </w:pPr>
            <w:r>
              <w:t xml:space="preserve">3 - 7  (midpoint </w:t>
            </w:r>
            <w:r w:rsidR="00C47A52">
              <w:t>5</w:t>
            </w:r>
            <w:r>
              <w:t>)</w:t>
            </w:r>
          </w:p>
        </w:tc>
        <w:tc>
          <w:tcPr>
            <w:tcW w:w="4111" w:type="dxa"/>
          </w:tcPr>
          <w:p w14:paraId="34FE6155" w14:textId="77777777" w:rsidR="00C47A52" w:rsidRPr="0080137D" w:rsidRDefault="00C47A52" w:rsidP="00AC7C65">
            <w:pPr>
              <w:pStyle w:val="TSBodyText"/>
              <w:keepNext/>
              <w:keepLines/>
            </w:pPr>
            <w:r w:rsidRPr="007E0BA6">
              <w:t>Moderate: Moderate certainty of underlying attribution (consistent with incarceration costs), conservative counterfactual.</w:t>
            </w:r>
          </w:p>
        </w:tc>
      </w:tr>
      <w:tr w:rsidR="00C47A52" w14:paraId="37B5A9E3" w14:textId="77777777" w:rsidTr="004B2113">
        <w:tc>
          <w:tcPr>
            <w:tcW w:w="2541" w:type="dxa"/>
          </w:tcPr>
          <w:p w14:paraId="08066BE8" w14:textId="77777777" w:rsidR="00C47A52" w:rsidRPr="0080137D" w:rsidRDefault="00C47A52" w:rsidP="00AC7C65">
            <w:pPr>
              <w:pStyle w:val="TSBodyText"/>
              <w:keepNext/>
              <w:keepLines/>
            </w:pPr>
            <w:r w:rsidRPr="0080137D">
              <w:t xml:space="preserve">Alcohol-related absenteeism and presenteeism in the workplace </w:t>
            </w:r>
          </w:p>
        </w:tc>
        <w:tc>
          <w:tcPr>
            <w:tcW w:w="1570" w:type="dxa"/>
            <w:tcMar>
              <w:right w:w="369" w:type="dxa"/>
            </w:tcMar>
          </w:tcPr>
          <w:p w14:paraId="796662AB" w14:textId="77777777" w:rsidR="00C47A52" w:rsidRPr="0080137D" w:rsidRDefault="00C47A52" w:rsidP="00AC7C65">
            <w:pPr>
              <w:pStyle w:val="TSBodyText"/>
              <w:keepNext/>
              <w:keepLines/>
              <w:jc w:val="right"/>
            </w:pPr>
            <w:r w:rsidRPr="0080137D">
              <w:t>3</w:t>
            </w:r>
            <w:r>
              <w:t>,</w:t>
            </w:r>
            <w:r w:rsidRPr="0080137D">
              <w:t>012</w:t>
            </w:r>
          </w:p>
        </w:tc>
        <w:tc>
          <w:tcPr>
            <w:tcW w:w="4111" w:type="dxa"/>
          </w:tcPr>
          <w:p w14:paraId="67E42D95" w14:textId="77777777" w:rsidR="00C47A52" w:rsidRPr="0080137D" w:rsidRDefault="00C47A52" w:rsidP="00AC7C65">
            <w:pPr>
              <w:pStyle w:val="TSBodyText"/>
              <w:keepNext/>
              <w:keepLines/>
            </w:pPr>
            <w:r w:rsidRPr="006977DE">
              <w:t>Low: Prevalence based on a single, small NZ study, uncertainty regarding impact and counterfactual</w:t>
            </w:r>
            <w:r>
              <w:t>.</w:t>
            </w:r>
          </w:p>
        </w:tc>
      </w:tr>
      <w:tr w:rsidR="00C47A52" w14:paraId="509D511E" w14:textId="77777777" w:rsidTr="004B2113">
        <w:trPr>
          <w:cnfStyle w:val="000000010000" w:firstRow="0" w:lastRow="0" w:firstColumn="0" w:lastColumn="0" w:oddVBand="0" w:evenVBand="0" w:oddHBand="0" w:evenHBand="1" w:firstRowFirstColumn="0" w:firstRowLastColumn="0" w:lastRowFirstColumn="0" w:lastRowLastColumn="0"/>
        </w:trPr>
        <w:tc>
          <w:tcPr>
            <w:tcW w:w="2541" w:type="dxa"/>
          </w:tcPr>
          <w:p w14:paraId="4F432D80" w14:textId="71F16892" w:rsidR="00C47A52" w:rsidRPr="0080137D" w:rsidRDefault="00C47A52" w:rsidP="00AC7C65">
            <w:pPr>
              <w:pStyle w:val="TSBodyText"/>
              <w:keepNext/>
              <w:keepLines/>
            </w:pPr>
            <w:r w:rsidRPr="0080137D">
              <w:t xml:space="preserve">Impairment associated with </w:t>
            </w:r>
            <w:proofErr w:type="spellStart"/>
            <w:r w:rsidRPr="0080137D">
              <w:t>fetal</w:t>
            </w:r>
            <w:proofErr w:type="spellEnd"/>
            <w:r w:rsidRPr="0080137D">
              <w:t xml:space="preserve"> alcohol s</w:t>
            </w:r>
            <w:r w:rsidR="006C7674">
              <w:t xml:space="preserve">pectrum </w:t>
            </w:r>
            <w:r w:rsidRPr="0080137D">
              <w:t>disorder (FASD)</w:t>
            </w:r>
          </w:p>
        </w:tc>
        <w:tc>
          <w:tcPr>
            <w:tcW w:w="1570" w:type="dxa"/>
            <w:tcMar>
              <w:right w:w="369" w:type="dxa"/>
            </w:tcMar>
          </w:tcPr>
          <w:p w14:paraId="5F355EA4" w14:textId="77777777" w:rsidR="00C47A52" w:rsidRPr="0080137D" w:rsidRDefault="00C47A52" w:rsidP="00AC7C65">
            <w:pPr>
              <w:pStyle w:val="TSBodyText"/>
              <w:keepNext/>
              <w:keepLines/>
              <w:jc w:val="right"/>
            </w:pPr>
            <w:r w:rsidRPr="0080137D">
              <w:t>134</w:t>
            </w:r>
          </w:p>
        </w:tc>
        <w:tc>
          <w:tcPr>
            <w:tcW w:w="4111" w:type="dxa"/>
          </w:tcPr>
          <w:p w14:paraId="1D7C9CEF" w14:textId="25CA08BD" w:rsidR="00C47A52" w:rsidRPr="00AC03C1" w:rsidRDefault="00C47A52" w:rsidP="00AC7C65">
            <w:pPr>
              <w:pStyle w:val="TSBodyText"/>
              <w:keepNext/>
              <w:keepLines/>
            </w:pPr>
            <w:r w:rsidRPr="00AC03C1">
              <w:t>Moderate: 100% certainty of attribution, uncertainty around prevalence, impairment assumptions from a single NZ study.</w:t>
            </w:r>
          </w:p>
        </w:tc>
      </w:tr>
      <w:tr w:rsidR="00C47A52" w14:paraId="6E68342E" w14:textId="77777777" w:rsidTr="004B2113">
        <w:tc>
          <w:tcPr>
            <w:tcW w:w="2541" w:type="dxa"/>
          </w:tcPr>
          <w:p w14:paraId="3E3DD300" w14:textId="601AD17C" w:rsidR="00C47A52" w:rsidRPr="009D1A40" w:rsidRDefault="00C47A52" w:rsidP="00AC7C65">
            <w:pPr>
              <w:pStyle w:val="TSBodyText"/>
              <w:keepNext/>
              <w:keepLines/>
              <w:rPr>
                <w:b/>
                <w:bCs/>
              </w:rPr>
            </w:pPr>
            <w:r w:rsidRPr="009D1A40">
              <w:rPr>
                <w:b/>
                <w:bCs/>
              </w:rPr>
              <w:t xml:space="preserve">Total productivity losses </w:t>
            </w:r>
            <w:r w:rsidR="008849DF">
              <w:rPr>
                <w:b/>
                <w:bCs/>
              </w:rPr>
              <w:t>(</w:t>
            </w:r>
            <w:r w:rsidR="008849DF" w:rsidRPr="008849DF">
              <w:rPr>
                <w:b/>
                <w:bCs/>
              </w:rPr>
              <w:t>based on midpoints)</w:t>
            </w:r>
          </w:p>
        </w:tc>
        <w:tc>
          <w:tcPr>
            <w:tcW w:w="1570" w:type="dxa"/>
            <w:tcMar>
              <w:right w:w="369" w:type="dxa"/>
            </w:tcMar>
          </w:tcPr>
          <w:p w14:paraId="64D47E70" w14:textId="51AC9CB9" w:rsidR="00C47A52" w:rsidRPr="009D1A40" w:rsidRDefault="00C47A52" w:rsidP="00AC7C65">
            <w:pPr>
              <w:pStyle w:val="TSBodyText"/>
              <w:keepNext/>
              <w:keepLines/>
              <w:jc w:val="right"/>
              <w:rPr>
                <w:b/>
                <w:bCs/>
              </w:rPr>
            </w:pPr>
            <w:r w:rsidRPr="009D1A40">
              <w:rPr>
                <w:b/>
                <w:bCs/>
              </w:rPr>
              <w:t>3,9</w:t>
            </w:r>
            <w:r w:rsidR="00D14685">
              <w:rPr>
                <w:b/>
                <w:bCs/>
              </w:rPr>
              <w:t>72</w:t>
            </w:r>
            <w:r w:rsidR="008849DF">
              <w:rPr>
                <w:b/>
                <w:bCs/>
              </w:rPr>
              <w:t xml:space="preserve"> </w:t>
            </w:r>
          </w:p>
        </w:tc>
        <w:tc>
          <w:tcPr>
            <w:tcW w:w="4111" w:type="dxa"/>
          </w:tcPr>
          <w:p w14:paraId="47038DEA" w14:textId="0BF4782E" w:rsidR="00C47A52" w:rsidRPr="00AC03C1" w:rsidRDefault="00C47A52" w:rsidP="00AC7C65">
            <w:pPr>
              <w:pStyle w:val="TSBodyText"/>
              <w:keepNext/>
              <w:keepLines/>
            </w:pPr>
            <w:r>
              <w:t xml:space="preserve">Low to moderate: </w:t>
            </w:r>
            <w:r w:rsidRPr="00AC03C1">
              <w:t>Total excludes productivity losses due to hospitalisation due to potential heavy overlap with workplace absenteeism estimate. High degree of uncertainty due to shortcomings of the human capital approach and the methods used in the study that provided the major cost.</w:t>
            </w:r>
          </w:p>
        </w:tc>
      </w:tr>
    </w:tbl>
    <w:p w14:paraId="3F0659AE" w14:textId="59A20CE4" w:rsidR="00FC65CA" w:rsidRDefault="00FC65CA" w:rsidP="00AC7C65">
      <w:pPr>
        <w:pStyle w:val="USSource"/>
        <w:keepNext/>
        <w:keepLines/>
      </w:pPr>
      <w:r>
        <w:t>Source: NZIER</w:t>
      </w:r>
    </w:p>
    <w:p w14:paraId="0A437AE7" w14:textId="6C782814" w:rsidR="00C47A52" w:rsidRDefault="00C47A52" w:rsidP="00C47A52">
      <w:pPr>
        <w:pStyle w:val="TableCaption"/>
        <w:keepLines/>
      </w:pPr>
      <w:bookmarkStart w:id="240" w:name="_Toc160633963"/>
      <w:r w:rsidRPr="00731CA6">
        <w:t xml:space="preserve">Table </w:t>
      </w:r>
      <w:fldSimple w:instr=" SEQ Table \* ARABIC ">
        <w:r w:rsidR="00AE166D">
          <w:rPr>
            <w:noProof/>
          </w:rPr>
          <w:t>56</w:t>
        </w:r>
      </w:fldSimple>
      <w:r>
        <w:rPr>
          <w:noProof/>
        </w:rPr>
        <w:t xml:space="preserve"> </w:t>
      </w:r>
      <w:r>
        <w:t xml:space="preserve">Estimated costs to government due to alcohol </w:t>
      </w:r>
      <w:proofErr w:type="gramStart"/>
      <w:r>
        <w:t>harms</w:t>
      </w:r>
      <w:bookmarkEnd w:id="240"/>
      <w:proofErr w:type="gramEnd"/>
    </w:p>
    <w:p w14:paraId="59CEB946" w14:textId="1C9E178D" w:rsidR="00C47A52" w:rsidRPr="00B34D1A" w:rsidRDefault="00C47A52" w:rsidP="00C47A52">
      <w:pPr>
        <w:pStyle w:val="CaptionSubheading"/>
        <w:keepLines/>
      </w:pPr>
      <w:r>
        <w:t xml:space="preserve">$ millions, rounded to </w:t>
      </w:r>
      <w:r w:rsidR="005B3638">
        <w:t xml:space="preserve">the </w:t>
      </w:r>
      <w:r>
        <w:t xml:space="preserve">nearest </w:t>
      </w:r>
      <w:proofErr w:type="gramStart"/>
      <w:r>
        <w:t>million</w:t>
      </w:r>
      <w:proofErr w:type="gramEnd"/>
    </w:p>
    <w:tbl>
      <w:tblPr>
        <w:tblStyle w:val="TableDefault"/>
        <w:tblW w:w="8222" w:type="dxa"/>
        <w:tblLook w:val="04A0" w:firstRow="1" w:lastRow="0" w:firstColumn="1" w:lastColumn="0" w:noHBand="0" w:noVBand="1"/>
      </w:tblPr>
      <w:tblGrid>
        <w:gridCol w:w="2268"/>
        <w:gridCol w:w="1984"/>
        <w:gridCol w:w="3970"/>
      </w:tblGrid>
      <w:tr w:rsidR="00C47A52" w14:paraId="3C5AFEE7" w14:textId="77777777" w:rsidTr="004B2113">
        <w:trPr>
          <w:cnfStyle w:val="100000000000" w:firstRow="1" w:lastRow="0" w:firstColumn="0" w:lastColumn="0" w:oddVBand="0" w:evenVBand="0" w:oddHBand="0" w:evenHBand="0" w:firstRowFirstColumn="0" w:firstRowLastColumn="0" w:lastRowFirstColumn="0" w:lastRowLastColumn="0"/>
        </w:trPr>
        <w:tc>
          <w:tcPr>
            <w:tcW w:w="2268" w:type="dxa"/>
          </w:tcPr>
          <w:p w14:paraId="6AA68599" w14:textId="77777777" w:rsidR="00C47A52" w:rsidRPr="002F2A52" w:rsidRDefault="00C47A52" w:rsidP="00D14685">
            <w:pPr>
              <w:pStyle w:val="TSTableHeadingWhite-TopRow"/>
            </w:pPr>
            <w:r w:rsidRPr="002F2A52">
              <w:t>Vote and component</w:t>
            </w:r>
          </w:p>
        </w:tc>
        <w:tc>
          <w:tcPr>
            <w:tcW w:w="1984" w:type="dxa"/>
          </w:tcPr>
          <w:p w14:paraId="11603040" w14:textId="7FF1C3D4" w:rsidR="00C47A52" w:rsidRPr="002F2A52" w:rsidRDefault="006C7674" w:rsidP="00D14685">
            <w:pPr>
              <w:pStyle w:val="TSTableHeadingWhite-TopRow"/>
            </w:pPr>
            <w:r>
              <w:t>Cost estimate</w:t>
            </w:r>
          </w:p>
        </w:tc>
        <w:tc>
          <w:tcPr>
            <w:tcW w:w="3970" w:type="dxa"/>
          </w:tcPr>
          <w:p w14:paraId="3227CFC8" w14:textId="77777777" w:rsidR="00C47A52" w:rsidRPr="002F2A52" w:rsidRDefault="00C47A52" w:rsidP="00D14685">
            <w:pPr>
              <w:pStyle w:val="TSTableHeadingWhite-TopRow"/>
            </w:pPr>
            <w:r w:rsidRPr="002F2A52">
              <w:t>Certainty of estimate</w:t>
            </w:r>
          </w:p>
        </w:tc>
      </w:tr>
      <w:tr w:rsidR="00C47A52" w:rsidRPr="00133AC5" w14:paraId="15EFDBEA" w14:textId="77777777" w:rsidTr="004B2113">
        <w:tc>
          <w:tcPr>
            <w:tcW w:w="2268" w:type="dxa"/>
          </w:tcPr>
          <w:p w14:paraId="09F1B631" w14:textId="77777777" w:rsidR="00C47A52" w:rsidRPr="00077F83" w:rsidRDefault="00C47A52" w:rsidP="00FC65CA">
            <w:pPr>
              <w:pStyle w:val="TSBodyText"/>
              <w:rPr>
                <w:b/>
              </w:rPr>
            </w:pPr>
            <w:r w:rsidRPr="00077F83">
              <w:rPr>
                <w:b/>
              </w:rPr>
              <w:t>Health</w:t>
            </w:r>
          </w:p>
        </w:tc>
        <w:tc>
          <w:tcPr>
            <w:tcW w:w="1984" w:type="dxa"/>
          </w:tcPr>
          <w:p w14:paraId="18E73A37" w14:textId="77777777" w:rsidR="00C47A52" w:rsidRPr="00D14685" w:rsidRDefault="00C47A52" w:rsidP="00FC65CA">
            <w:pPr>
              <w:pStyle w:val="TSBodyText"/>
              <w:rPr>
                <w:b/>
                <w:bCs/>
              </w:rPr>
            </w:pPr>
          </w:p>
        </w:tc>
        <w:tc>
          <w:tcPr>
            <w:tcW w:w="3970" w:type="dxa"/>
          </w:tcPr>
          <w:p w14:paraId="79B0FD3C" w14:textId="77777777" w:rsidR="00C47A52" w:rsidRPr="00D14685" w:rsidRDefault="00C47A52" w:rsidP="00FC65CA">
            <w:pPr>
              <w:pStyle w:val="TSBodyText"/>
              <w:rPr>
                <w:b/>
                <w:bCs/>
              </w:rPr>
            </w:pPr>
          </w:p>
        </w:tc>
      </w:tr>
      <w:tr w:rsidR="00C47A52" w14:paraId="1D70B34B" w14:textId="77777777" w:rsidTr="004B2113">
        <w:trPr>
          <w:cnfStyle w:val="000000010000" w:firstRow="0" w:lastRow="0" w:firstColumn="0" w:lastColumn="0" w:oddVBand="0" w:evenVBand="0" w:oddHBand="0" w:evenHBand="1" w:firstRowFirstColumn="0" w:firstRowLastColumn="0" w:lastRowFirstColumn="0" w:lastRowLastColumn="0"/>
        </w:trPr>
        <w:tc>
          <w:tcPr>
            <w:tcW w:w="2268" w:type="dxa"/>
          </w:tcPr>
          <w:p w14:paraId="2DD44FE3" w14:textId="5348A0BF" w:rsidR="00C47A52" w:rsidRPr="0080137D" w:rsidRDefault="00C47A52" w:rsidP="00FC65CA">
            <w:pPr>
              <w:pStyle w:val="TSBodyText"/>
            </w:pPr>
            <w:r w:rsidRPr="0080137D">
              <w:t>Hospitalisation for alcohol</w:t>
            </w:r>
            <w:r w:rsidR="00133AC5">
              <w:t>-</w:t>
            </w:r>
            <w:r w:rsidRPr="0080137D">
              <w:t xml:space="preserve">attributable conditions and injuries </w:t>
            </w:r>
          </w:p>
        </w:tc>
        <w:tc>
          <w:tcPr>
            <w:tcW w:w="1984" w:type="dxa"/>
            <w:tcMar>
              <w:right w:w="227" w:type="dxa"/>
            </w:tcMar>
          </w:tcPr>
          <w:p w14:paraId="450993ED" w14:textId="301FCD4F" w:rsidR="00C47A52" w:rsidRPr="0080137D" w:rsidRDefault="006B3F01" w:rsidP="00FB1F02">
            <w:pPr>
              <w:pStyle w:val="TSBodyText"/>
              <w:tabs>
                <w:tab w:val="left" w:pos="454"/>
              </w:tabs>
              <w:ind w:right="459"/>
              <w:jc w:val="right"/>
            </w:pPr>
            <w:r>
              <w:t>296</w:t>
            </w:r>
            <w:r w:rsidR="00570493">
              <w:t xml:space="preserve"> </w:t>
            </w:r>
            <w:r w:rsidR="00E756BF">
              <w:t>-</w:t>
            </w:r>
            <w:r w:rsidR="00570493">
              <w:t xml:space="preserve"> </w:t>
            </w:r>
            <w:r w:rsidR="00E756BF">
              <w:t xml:space="preserve">371 (midpoint </w:t>
            </w:r>
            <w:r w:rsidR="00C47A52">
              <w:t>337</w:t>
            </w:r>
            <w:r w:rsidR="00E756BF">
              <w:t>)</w:t>
            </w:r>
          </w:p>
        </w:tc>
        <w:tc>
          <w:tcPr>
            <w:tcW w:w="3970" w:type="dxa"/>
          </w:tcPr>
          <w:p w14:paraId="1B7CCA7C" w14:textId="2DB395A8" w:rsidR="00C47A52" w:rsidRPr="0080137D" w:rsidRDefault="00C47A52" w:rsidP="00FC65CA">
            <w:pPr>
              <w:pStyle w:val="TSBodyText"/>
            </w:pPr>
            <w:r w:rsidRPr="0014578D">
              <w:t>High: Local, recent AAFs* estimated using established methods and robust data.</w:t>
            </w:r>
          </w:p>
        </w:tc>
      </w:tr>
      <w:tr w:rsidR="00C47A52" w14:paraId="292DDE45" w14:textId="77777777" w:rsidTr="004B2113">
        <w:tc>
          <w:tcPr>
            <w:tcW w:w="2268" w:type="dxa"/>
          </w:tcPr>
          <w:p w14:paraId="079AF939" w14:textId="352C9B12" w:rsidR="00C47A52" w:rsidRPr="0080137D" w:rsidRDefault="00C47A52" w:rsidP="00FC65CA">
            <w:pPr>
              <w:pStyle w:val="TSBodyText"/>
            </w:pPr>
            <w:r>
              <w:t xml:space="preserve">Emergency </w:t>
            </w:r>
            <w:r w:rsidR="007F39D3" w:rsidRPr="007F39D3">
              <w:t xml:space="preserve">services: </w:t>
            </w:r>
            <w:r>
              <w:t>ED</w:t>
            </w:r>
            <w:r w:rsidR="007F39D3" w:rsidRPr="007F39D3">
              <w:t xml:space="preserve"> and</w:t>
            </w:r>
            <w:r>
              <w:t xml:space="preserve"> ambulance callouts resulting in ED visits</w:t>
            </w:r>
          </w:p>
        </w:tc>
        <w:tc>
          <w:tcPr>
            <w:tcW w:w="1984" w:type="dxa"/>
            <w:tcMar>
              <w:right w:w="227" w:type="dxa"/>
            </w:tcMar>
          </w:tcPr>
          <w:p w14:paraId="5F57C34A" w14:textId="77777777" w:rsidR="00C47A52" w:rsidRPr="0080137D" w:rsidRDefault="00C47A52" w:rsidP="00FB1F02">
            <w:pPr>
              <w:pStyle w:val="TSBodyText"/>
              <w:tabs>
                <w:tab w:val="left" w:pos="454"/>
              </w:tabs>
              <w:ind w:right="459"/>
              <w:jc w:val="right"/>
            </w:pPr>
            <w:r>
              <w:t>102</w:t>
            </w:r>
          </w:p>
        </w:tc>
        <w:tc>
          <w:tcPr>
            <w:tcW w:w="3970" w:type="dxa"/>
          </w:tcPr>
          <w:p w14:paraId="44EBE7F1" w14:textId="5B2E5666" w:rsidR="00C47A52" w:rsidRPr="0080137D" w:rsidRDefault="00C47A52" w:rsidP="00FC65CA">
            <w:pPr>
              <w:pStyle w:val="TSBodyText"/>
            </w:pPr>
            <w:r w:rsidRPr="00B970CD">
              <w:t xml:space="preserve">Low: Reliance on ED staff reporting events as “alcohol related”. True cost may be significantly higher due to the long-term role of alcohol in health conditions and the unobservable role of other people’s drinking in injuries. Higher confidence regarding </w:t>
            </w:r>
            <w:r w:rsidR="00133AC5">
              <w:t xml:space="preserve">the </w:t>
            </w:r>
            <w:r w:rsidRPr="00B970CD">
              <w:t>subset associated with acute inpatient events ($19m).</w:t>
            </w:r>
          </w:p>
        </w:tc>
      </w:tr>
      <w:tr w:rsidR="00C47A52" w:rsidRPr="00133AC5" w14:paraId="26D2190C" w14:textId="77777777" w:rsidTr="004B2113">
        <w:trPr>
          <w:cnfStyle w:val="000000010000" w:firstRow="0" w:lastRow="0" w:firstColumn="0" w:lastColumn="0" w:oddVBand="0" w:evenVBand="0" w:oddHBand="0" w:evenHBand="1" w:firstRowFirstColumn="0" w:firstRowLastColumn="0" w:lastRowFirstColumn="0" w:lastRowLastColumn="0"/>
        </w:trPr>
        <w:tc>
          <w:tcPr>
            <w:tcW w:w="2268" w:type="dxa"/>
          </w:tcPr>
          <w:p w14:paraId="5FB4CF1C" w14:textId="77777777" w:rsidR="00C47A52" w:rsidRPr="00077F83" w:rsidRDefault="00C47A52" w:rsidP="00FC65CA">
            <w:pPr>
              <w:pStyle w:val="TSBodyText"/>
              <w:rPr>
                <w:b/>
              </w:rPr>
            </w:pPr>
            <w:r w:rsidRPr="00077F83">
              <w:rPr>
                <w:b/>
              </w:rPr>
              <w:t>ACC</w:t>
            </w:r>
          </w:p>
        </w:tc>
        <w:tc>
          <w:tcPr>
            <w:tcW w:w="1984" w:type="dxa"/>
            <w:tcMar>
              <w:right w:w="227" w:type="dxa"/>
            </w:tcMar>
          </w:tcPr>
          <w:p w14:paraId="367A6167" w14:textId="77777777" w:rsidR="00C47A52" w:rsidRPr="00D14685" w:rsidRDefault="00C47A52" w:rsidP="00FB1F02">
            <w:pPr>
              <w:pStyle w:val="TSBodyText"/>
              <w:tabs>
                <w:tab w:val="left" w:pos="454"/>
              </w:tabs>
              <w:ind w:right="459"/>
              <w:jc w:val="right"/>
              <w:rPr>
                <w:b/>
                <w:bCs/>
              </w:rPr>
            </w:pPr>
          </w:p>
        </w:tc>
        <w:tc>
          <w:tcPr>
            <w:tcW w:w="3970" w:type="dxa"/>
          </w:tcPr>
          <w:p w14:paraId="0FF78C68" w14:textId="77777777" w:rsidR="00C47A52" w:rsidRPr="00D14685" w:rsidRDefault="00C47A52" w:rsidP="00FC65CA">
            <w:pPr>
              <w:pStyle w:val="TSBodyText"/>
              <w:rPr>
                <w:b/>
                <w:bCs/>
              </w:rPr>
            </w:pPr>
          </w:p>
        </w:tc>
      </w:tr>
      <w:tr w:rsidR="00C47A52" w14:paraId="1FB92670" w14:textId="77777777" w:rsidTr="004B2113">
        <w:tc>
          <w:tcPr>
            <w:tcW w:w="2268" w:type="dxa"/>
          </w:tcPr>
          <w:p w14:paraId="65179BBA" w14:textId="77777777" w:rsidR="00C47A52" w:rsidRPr="006800C9" w:rsidRDefault="00C47A52" w:rsidP="00FC65CA">
            <w:pPr>
              <w:pStyle w:val="TSBodyText"/>
            </w:pPr>
            <w:r w:rsidRPr="006800C9">
              <w:t>Compensation of workers with long-term disability attributable to alcohol</w:t>
            </w:r>
          </w:p>
        </w:tc>
        <w:tc>
          <w:tcPr>
            <w:tcW w:w="1984" w:type="dxa"/>
            <w:tcMar>
              <w:right w:w="227" w:type="dxa"/>
            </w:tcMar>
          </w:tcPr>
          <w:p w14:paraId="55BE1B84" w14:textId="77777777" w:rsidR="00C47A52" w:rsidRPr="0080137D" w:rsidRDefault="00C47A52" w:rsidP="00FB1F02">
            <w:pPr>
              <w:pStyle w:val="TSBodyText"/>
              <w:tabs>
                <w:tab w:val="left" w:pos="454"/>
              </w:tabs>
              <w:ind w:right="459"/>
              <w:jc w:val="right"/>
            </w:pPr>
            <w:r>
              <w:t>327</w:t>
            </w:r>
          </w:p>
        </w:tc>
        <w:tc>
          <w:tcPr>
            <w:tcW w:w="3970" w:type="dxa"/>
          </w:tcPr>
          <w:p w14:paraId="793274D6" w14:textId="77777777" w:rsidR="00C47A52" w:rsidRPr="00C43518" w:rsidRDefault="00C47A52" w:rsidP="00FC65CA">
            <w:pPr>
              <w:pStyle w:val="TSBodyText"/>
            </w:pPr>
            <w:r>
              <w:t>H</w:t>
            </w:r>
            <w:r w:rsidRPr="00F11492">
              <w:t xml:space="preserve">igh: </w:t>
            </w:r>
            <w:r>
              <w:t>Goo</w:t>
            </w:r>
            <w:r w:rsidRPr="00F11492">
              <w:t xml:space="preserve">d alignment of ACC data with AAFs for injuries. </w:t>
            </w:r>
          </w:p>
        </w:tc>
      </w:tr>
      <w:tr w:rsidR="00C47A52" w:rsidRPr="00133AC5" w14:paraId="166F91E4" w14:textId="77777777" w:rsidTr="004B2113">
        <w:trPr>
          <w:cnfStyle w:val="000000010000" w:firstRow="0" w:lastRow="0" w:firstColumn="0" w:lastColumn="0" w:oddVBand="0" w:evenVBand="0" w:oddHBand="0" w:evenHBand="1" w:firstRowFirstColumn="0" w:firstRowLastColumn="0" w:lastRowFirstColumn="0" w:lastRowLastColumn="0"/>
        </w:trPr>
        <w:tc>
          <w:tcPr>
            <w:tcW w:w="2268" w:type="dxa"/>
          </w:tcPr>
          <w:p w14:paraId="1D04515C" w14:textId="0868DED2" w:rsidR="00C47A52" w:rsidRPr="00077F83" w:rsidRDefault="00EA65C9" w:rsidP="00FC65CA">
            <w:pPr>
              <w:pStyle w:val="TSBodyText"/>
              <w:rPr>
                <w:b/>
              </w:rPr>
            </w:pPr>
            <w:r w:rsidRPr="00077F83">
              <w:rPr>
                <w:b/>
              </w:rPr>
              <w:lastRenderedPageBreak/>
              <w:t>Social Development</w:t>
            </w:r>
          </w:p>
        </w:tc>
        <w:tc>
          <w:tcPr>
            <w:tcW w:w="1984" w:type="dxa"/>
            <w:tcMar>
              <w:right w:w="227" w:type="dxa"/>
            </w:tcMar>
          </w:tcPr>
          <w:p w14:paraId="49B1F284" w14:textId="77777777" w:rsidR="00C47A52" w:rsidRPr="00D14685" w:rsidRDefault="00C47A52" w:rsidP="00FB1F02">
            <w:pPr>
              <w:pStyle w:val="TSBodyText"/>
              <w:tabs>
                <w:tab w:val="left" w:pos="454"/>
              </w:tabs>
              <w:ind w:right="459"/>
              <w:jc w:val="right"/>
              <w:rPr>
                <w:b/>
                <w:bCs/>
              </w:rPr>
            </w:pPr>
          </w:p>
        </w:tc>
        <w:tc>
          <w:tcPr>
            <w:tcW w:w="3970" w:type="dxa"/>
          </w:tcPr>
          <w:p w14:paraId="4AB17F5B" w14:textId="77777777" w:rsidR="00C47A52" w:rsidRPr="00D14685" w:rsidRDefault="00C47A52" w:rsidP="00FC65CA">
            <w:pPr>
              <w:pStyle w:val="TSBodyText"/>
              <w:rPr>
                <w:b/>
                <w:bCs/>
              </w:rPr>
            </w:pPr>
          </w:p>
        </w:tc>
      </w:tr>
      <w:tr w:rsidR="00C47A52" w14:paraId="030E1179" w14:textId="77777777" w:rsidTr="004B2113">
        <w:tc>
          <w:tcPr>
            <w:tcW w:w="2268" w:type="dxa"/>
          </w:tcPr>
          <w:p w14:paraId="513C8469" w14:textId="77777777" w:rsidR="00C47A52" w:rsidRPr="00F11492" w:rsidRDefault="00C47A52" w:rsidP="00FC65CA">
            <w:pPr>
              <w:pStyle w:val="TSBodyText"/>
            </w:pPr>
            <w:r>
              <w:t>Disability benefit and child disability allowance for disabilities attributable to alcohol</w:t>
            </w:r>
          </w:p>
        </w:tc>
        <w:tc>
          <w:tcPr>
            <w:tcW w:w="1984" w:type="dxa"/>
            <w:tcMar>
              <w:right w:w="227" w:type="dxa"/>
            </w:tcMar>
          </w:tcPr>
          <w:p w14:paraId="19B08CE9" w14:textId="77777777" w:rsidR="00C47A52" w:rsidRDefault="00C47A52" w:rsidP="00FB1F02">
            <w:pPr>
              <w:pStyle w:val="TSBodyText"/>
              <w:tabs>
                <w:tab w:val="left" w:pos="454"/>
              </w:tabs>
              <w:ind w:right="459"/>
              <w:jc w:val="right"/>
            </w:pPr>
            <w:r>
              <w:t>1</w:t>
            </w:r>
          </w:p>
        </w:tc>
        <w:tc>
          <w:tcPr>
            <w:tcW w:w="3970" w:type="dxa"/>
          </w:tcPr>
          <w:p w14:paraId="251A752D" w14:textId="331A6082" w:rsidR="00C47A52" w:rsidRDefault="00C47A52" w:rsidP="00FC65CA">
            <w:pPr>
              <w:pStyle w:val="TSBodyText"/>
            </w:pPr>
            <w:r>
              <w:t xml:space="preserve">Low to moderate: Estimated attribution to alcohol based on survey data and AAFs for </w:t>
            </w:r>
            <w:r w:rsidR="00133AC5">
              <w:t>alcohol-</w:t>
            </w:r>
            <w:r>
              <w:t>attributable injuries.</w:t>
            </w:r>
            <w:r w:rsidR="00A22BD7">
              <w:t xml:space="preserve"> Likely underestimate</w:t>
            </w:r>
            <w:r w:rsidR="00AC28E4">
              <w:t>d</w:t>
            </w:r>
            <w:r w:rsidR="00A22BD7">
              <w:t xml:space="preserve"> due to </w:t>
            </w:r>
            <w:r w:rsidR="00CE343C">
              <w:t>a wide range of benefits unable to be attributed to alcohol attributable disability.</w:t>
            </w:r>
          </w:p>
        </w:tc>
      </w:tr>
      <w:tr w:rsidR="00C47A52" w:rsidRPr="00133AC5" w14:paraId="61B5002D" w14:textId="77777777" w:rsidTr="004B2113">
        <w:trPr>
          <w:cnfStyle w:val="000000010000" w:firstRow="0" w:lastRow="0" w:firstColumn="0" w:lastColumn="0" w:oddVBand="0" w:evenVBand="0" w:oddHBand="0" w:evenHBand="1" w:firstRowFirstColumn="0" w:firstRowLastColumn="0" w:lastRowFirstColumn="0" w:lastRowLastColumn="0"/>
        </w:trPr>
        <w:tc>
          <w:tcPr>
            <w:tcW w:w="2268" w:type="dxa"/>
          </w:tcPr>
          <w:p w14:paraId="4DC1056E" w14:textId="77777777" w:rsidR="00C47A52" w:rsidRPr="00077F83" w:rsidRDefault="00C47A52" w:rsidP="00FC65CA">
            <w:pPr>
              <w:pStyle w:val="TSBodyText"/>
              <w:rPr>
                <w:b/>
              </w:rPr>
            </w:pPr>
            <w:r w:rsidRPr="00077F83">
              <w:rPr>
                <w:b/>
              </w:rPr>
              <w:t>Justice</w:t>
            </w:r>
          </w:p>
        </w:tc>
        <w:tc>
          <w:tcPr>
            <w:tcW w:w="1984" w:type="dxa"/>
            <w:tcMar>
              <w:right w:w="227" w:type="dxa"/>
            </w:tcMar>
          </w:tcPr>
          <w:p w14:paraId="00FA28D4" w14:textId="77777777" w:rsidR="00C47A52" w:rsidRPr="00D14685" w:rsidRDefault="00C47A52" w:rsidP="00FB1F02">
            <w:pPr>
              <w:pStyle w:val="TSBodyText"/>
              <w:tabs>
                <w:tab w:val="left" w:pos="454"/>
              </w:tabs>
              <w:ind w:right="459"/>
              <w:jc w:val="right"/>
              <w:rPr>
                <w:b/>
                <w:bCs/>
              </w:rPr>
            </w:pPr>
          </w:p>
        </w:tc>
        <w:tc>
          <w:tcPr>
            <w:tcW w:w="3970" w:type="dxa"/>
          </w:tcPr>
          <w:p w14:paraId="17FD0BA9" w14:textId="77777777" w:rsidR="00C47A52" w:rsidRPr="00D14685" w:rsidRDefault="00C47A52" w:rsidP="00FC65CA">
            <w:pPr>
              <w:pStyle w:val="TSBodyText"/>
              <w:rPr>
                <w:b/>
                <w:bCs/>
              </w:rPr>
            </w:pPr>
          </w:p>
        </w:tc>
      </w:tr>
      <w:tr w:rsidR="00C47A52" w14:paraId="5939C4E4" w14:textId="77777777" w:rsidTr="004B2113">
        <w:tc>
          <w:tcPr>
            <w:tcW w:w="2268" w:type="dxa"/>
          </w:tcPr>
          <w:p w14:paraId="77D4A303" w14:textId="77777777" w:rsidR="00C47A52" w:rsidRDefault="00C47A52" w:rsidP="00FC65CA">
            <w:pPr>
              <w:pStyle w:val="TSBodyText"/>
            </w:pPr>
            <w:r>
              <w:t>Incarceration for alcohol-attributable crime</w:t>
            </w:r>
          </w:p>
        </w:tc>
        <w:tc>
          <w:tcPr>
            <w:tcW w:w="1984" w:type="dxa"/>
            <w:tcMar>
              <w:right w:w="227" w:type="dxa"/>
            </w:tcMar>
          </w:tcPr>
          <w:p w14:paraId="337E9863" w14:textId="77777777" w:rsidR="00C47A52" w:rsidRPr="0080137D" w:rsidRDefault="00C47A52" w:rsidP="00FB1F02">
            <w:pPr>
              <w:pStyle w:val="TSBodyText"/>
              <w:tabs>
                <w:tab w:val="left" w:pos="454"/>
              </w:tabs>
              <w:ind w:right="459"/>
              <w:jc w:val="right"/>
            </w:pPr>
            <w:r>
              <w:t>41</w:t>
            </w:r>
          </w:p>
        </w:tc>
        <w:tc>
          <w:tcPr>
            <w:tcW w:w="3970" w:type="dxa"/>
          </w:tcPr>
          <w:p w14:paraId="1AA8CFD4" w14:textId="1AAE42A8" w:rsidR="00C47A52" w:rsidRPr="00C43518" w:rsidRDefault="00C47A52" w:rsidP="00FC65CA">
            <w:pPr>
              <w:pStyle w:val="TSBodyText"/>
            </w:pPr>
            <w:r w:rsidRPr="00D31A49">
              <w:t xml:space="preserve">Moderate: Attribution based on a single, recent NZ study, some uncertainty regarding </w:t>
            </w:r>
            <w:r w:rsidR="00133AC5">
              <w:t xml:space="preserve">the </w:t>
            </w:r>
            <w:r w:rsidRPr="00D31A49">
              <w:t xml:space="preserve">application of </w:t>
            </w:r>
            <w:r>
              <w:t xml:space="preserve">study </w:t>
            </w:r>
            <w:r w:rsidRPr="00D31A49">
              <w:t>estimates to data.</w:t>
            </w:r>
          </w:p>
        </w:tc>
      </w:tr>
      <w:tr w:rsidR="00C47A52" w14:paraId="722634A7" w14:textId="77777777" w:rsidTr="004B2113">
        <w:trPr>
          <w:cnfStyle w:val="000000010000" w:firstRow="0" w:lastRow="0" w:firstColumn="0" w:lastColumn="0" w:oddVBand="0" w:evenVBand="0" w:oddHBand="0" w:evenHBand="1" w:firstRowFirstColumn="0" w:firstRowLastColumn="0" w:lastRowFirstColumn="0" w:lastRowLastColumn="0"/>
        </w:trPr>
        <w:tc>
          <w:tcPr>
            <w:tcW w:w="2268" w:type="dxa"/>
          </w:tcPr>
          <w:p w14:paraId="1843469B" w14:textId="77777777" w:rsidR="00C47A52" w:rsidRDefault="00C47A52" w:rsidP="00FC65CA">
            <w:pPr>
              <w:pStyle w:val="TSBodyText"/>
            </w:pPr>
            <w:r w:rsidRPr="00732CE0">
              <w:t>Services and programmes to address family harms</w:t>
            </w:r>
          </w:p>
        </w:tc>
        <w:tc>
          <w:tcPr>
            <w:tcW w:w="1984" w:type="dxa"/>
            <w:tcMar>
              <w:right w:w="227" w:type="dxa"/>
            </w:tcMar>
          </w:tcPr>
          <w:p w14:paraId="67F871BC" w14:textId="77777777" w:rsidR="00C47A52" w:rsidRDefault="00C47A52" w:rsidP="00FB1F02">
            <w:pPr>
              <w:pStyle w:val="TSBodyText"/>
              <w:tabs>
                <w:tab w:val="left" w:pos="454"/>
              </w:tabs>
              <w:ind w:right="459"/>
              <w:jc w:val="right"/>
            </w:pPr>
            <w:r>
              <w:t>2</w:t>
            </w:r>
          </w:p>
        </w:tc>
        <w:tc>
          <w:tcPr>
            <w:tcW w:w="3970" w:type="dxa"/>
          </w:tcPr>
          <w:p w14:paraId="413039CD" w14:textId="77777777" w:rsidR="00C47A52" w:rsidRPr="00D31A49" w:rsidRDefault="00C47A52" w:rsidP="00FC65CA">
            <w:pPr>
              <w:pStyle w:val="TSBodyText"/>
            </w:pPr>
            <w:r w:rsidRPr="00732CE0">
              <w:t>Moderate: Unclear how causal attribution applies within the programme context.</w:t>
            </w:r>
          </w:p>
        </w:tc>
      </w:tr>
      <w:tr w:rsidR="00C47A52" w14:paraId="461AA605" w14:textId="77777777" w:rsidTr="004B2113">
        <w:tc>
          <w:tcPr>
            <w:tcW w:w="2268" w:type="dxa"/>
          </w:tcPr>
          <w:p w14:paraId="3EBED9F0" w14:textId="478D1708" w:rsidR="00C47A52" w:rsidRPr="00FC65CA" w:rsidRDefault="00C47A52" w:rsidP="00FC65CA">
            <w:pPr>
              <w:pStyle w:val="TSBodyText"/>
              <w:rPr>
                <w:b/>
                <w:bCs/>
              </w:rPr>
            </w:pPr>
            <w:r w:rsidRPr="00FC65CA">
              <w:rPr>
                <w:b/>
                <w:bCs/>
              </w:rPr>
              <w:t xml:space="preserve">Total government costs </w:t>
            </w:r>
            <w:r w:rsidR="0005244D">
              <w:rPr>
                <w:b/>
                <w:bCs/>
              </w:rPr>
              <w:t>(based on midpoints)</w:t>
            </w:r>
          </w:p>
        </w:tc>
        <w:tc>
          <w:tcPr>
            <w:tcW w:w="1984" w:type="dxa"/>
            <w:tcMar>
              <w:right w:w="227" w:type="dxa"/>
            </w:tcMar>
          </w:tcPr>
          <w:p w14:paraId="3ABB9BFD" w14:textId="77777777" w:rsidR="00C47A52" w:rsidRPr="00FC65CA" w:rsidRDefault="00C47A52" w:rsidP="00FB1F02">
            <w:pPr>
              <w:pStyle w:val="TSBodyText"/>
              <w:tabs>
                <w:tab w:val="left" w:pos="454"/>
              </w:tabs>
              <w:ind w:right="459"/>
              <w:jc w:val="right"/>
              <w:rPr>
                <w:b/>
                <w:bCs/>
              </w:rPr>
            </w:pPr>
            <w:r w:rsidRPr="00FC65CA">
              <w:rPr>
                <w:b/>
                <w:bCs/>
              </w:rPr>
              <w:t>810</w:t>
            </w:r>
          </w:p>
        </w:tc>
        <w:tc>
          <w:tcPr>
            <w:tcW w:w="3970" w:type="dxa"/>
          </w:tcPr>
          <w:p w14:paraId="4A5BFD8B" w14:textId="1259E5C6" w:rsidR="00C47A52" w:rsidRPr="00AC03C1" w:rsidRDefault="00C47A52" w:rsidP="00FC65CA">
            <w:pPr>
              <w:pStyle w:val="TSBodyText"/>
            </w:pPr>
            <w:r>
              <w:t xml:space="preserve">Moderate: </w:t>
            </w:r>
            <w:r w:rsidRPr="00AC03C1">
              <w:t xml:space="preserve">High degree of certainty </w:t>
            </w:r>
            <w:r>
              <w:t xml:space="preserve">on </w:t>
            </w:r>
            <w:r w:rsidRPr="00AC03C1">
              <w:t>the major cost</w:t>
            </w:r>
            <w:r>
              <w:t>s</w:t>
            </w:r>
            <w:r w:rsidRPr="00AC03C1">
              <w:t xml:space="preserve"> in this category.</w:t>
            </w:r>
            <w:r>
              <w:t xml:space="preserve"> T</w:t>
            </w:r>
            <w:r w:rsidR="00133AC5">
              <w:t>he t</w:t>
            </w:r>
            <w:r>
              <w:t xml:space="preserve">otal is likely an underestimate due to </w:t>
            </w:r>
            <w:r w:rsidR="00133AC5">
              <w:t xml:space="preserve">a </w:t>
            </w:r>
            <w:r>
              <w:t xml:space="preserve">lack of data permitting estimation of up-to-date </w:t>
            </w:r>
            <w:r w:rsidR="00DB108A">
              <w:t>P</w:t>
            </w:r>
            <w:r>
              <w:t xml:space="preserve">olice and other justice sector costs and a broader range of </w:t>
            </w:r>
            <w:r w:rsidR="00743C9E">
              <w:t>Social Development</w:t>
            </w:r>
            <w:r>
              <w:t xml:space="preserve"> costs.</w:t>
            </w:r>
          </w:p>
        </w:tc>
      </w:tr>
    </w:tbl>
    <w:p w14:paraId="075FF692" w14:textId="1DD0A58A" w:rsidR="00C47A52" w:rsidRPr="000E7666" w:rsidRDefault="00C47A52" w:rsidP="00FC65CA">
      <w:pPr>
        <w:pStyle w:val="USNote"/>
        <w:rPr>
          <w:szCs w:val="18"/>
        </w:rPr>
      </w:pPr>
      <w:r>
        <w:t>*AAFs=Alcohol</w:t>
      </w:r>
      <w:r w:rsidR="0025087A">
        <w:t>-</w:t>
      </w:r>
      <w:r>
        <w:t>attributable fractions estimated for health conditions and injuries</w:t>
      </w:r>
    </w:p>
    <w:p w14:paraId="00BAE6D5" w14:textId="29F2745A" w:rsidR="00BB3428" w:rsidRDefault="00C47A52" w:rsidP="00FC65CA">
      <w:pPr>
        <w:pStyle w:val="USSource"/>
      </w:pPr>
      <w:r>
        <w:t>Source: NZIER</w:t>
      </w:r>
    </w:p>
    <w:p w14:paraId="151222CE" w14:textId="4E37A837" w:rsidR="004C210E" w:rsidRDefault="00AB5582" w:rsidP="004C210E">
      <w:pPr>
        <w:pStyle w:val="Heading2"/>
      </w:pPr>
      <w:bookmarkStart w:id="241" w:name="_Toc160633874"/>
      <w:r>
        <w:t>Aggregation and double-counting risks</w:t>
      </w:r>
      <w:bookmarkEnd w:id="241"/>
    </w:p>
    <w:p w14:paraId="19C40331" w14:textId="4D1FB06E" w:rsidR="000B1855" w:rsidRDefault="000B1855" w:rsidP="000B1855">
      <w:pPr>
        <w:pStyle w:val="USBodyText"/>
      </w:pPr>
      <w:r>
        <w:t>Because we separately estimated the societal value of increased risk of mortality and morbidity</w:t>
      </w:r>
      <w:r w:rsidR="002372A4">
        <w:t xml:space="preserve">, aggregation of other costs is not needed to generate a total societal value. Aggregation, or even combining specific estimates, </w:t>
      </w:r>
      <w:r w:rsidR="003111EC">
        <w:t xml:space="preserve">poses a risk of </w:t>
      </w:r>
      <w:proofErr w:type="gramStart"/>
      <w:r w:rsidR="003111EC">
        <w:t>double-counting</w:t>
      </w:r>
      <w:proofErr w:type="gramEnd"/>
      <w:r w:rsidR="003111EC">
        <w:t xml:space="preserve">. We summarise the risk in </w:t>
      </w:r>
      <w:r w:rsidR="0065164E">
        <w:fldChar w:fldCharType="begin"/>
      </w:r>
      <w:r w:rsidR="0065164E">
        <w:instrText xml:space="preserve"> REF _Ref160389660 \h </w:instrText>
      </w:r>
      <w:r w:rsidR="0065164E">
        <w:fldChar w:fldCharType="separate"/>
      </w:r>
      <w:r w:rsidR="00AE166D" w:rsidRPr="00731CA6">
        <w:t xml:space="preserve">Table </w:t>
      </w:r>
      <w:r w:rsidR="00AE166D">
        <w:rPr>
          <w:noProof/>
        </w:rPr>
        <w:t>57</w:t>
      </w:r>
      <w:r w:rsidR="0065164E">
        <w:fldChar w:fldCharType="end"/>
      </w:r>
      <w:r w:rsidR="003111EC">
        <w:t xml:space="preserve"> below.</w:t>
      </w:r>
    </w:p>
    <w:p w14:paraId="56E52309" w14:textId="22B52CF5" w:rsidR="00C10E4E" w:rsidRDefault="00C10E4E" w:rsidP="00C10E4E">
      <w:pPr>
        <w:pStyle w:val="TableCaption"/>
        <w:keepLines/>
      </w:pPr>
      <w:bookmarkStart w:id="242" w:name="_Ref160389660"/>
      <w:bookmarkStart w:id="243" w:name="_Toc160633964"/>
      <w:r w:rsidRPr="00731CA6">
        <w:t xml:space="preserve">Table </w:t>
      </w:r>
      <w:fldSimple w:instr=" SEQ Table \* ARABIC ">
        <w:r w:rsidR="00AE166D">
          <w:rPr>
            <w:noProof/>
          </w:rPr>
          <w:t>57</w:t>
        </w:r>
      </w:fldSimple>
      <w:bookmarkEnd w:id="242"/>
      <w:r>
        <w:rPr>
          <w:noProof/>
        </w:rPr>
        <w:t xml:space="preserve"> </w:t>
      </w:r>
      <w:r w:rsidR="0065164E">
        <w:t xml:space="preserve">Potential for </w:t>
      </w:r>
      <w:proofErr w:type="gramStart"/>
      <w:r w:rsidR="0065164E">
        <w:t>double-counting</w:t>
      </w:r>
      <w:proofErr w:type="gramEnd"/>
      <w:r w:rsidR="0065164E">
        <w:t xml:space="preserve"> when aggregating or combining cost estimates</w:t>
      </w:r>
      <w:bookmarkEnd w:id="243"/>
    </w:p>
    <w:p w14:paraId="082DDB74" w14:textId="77777777" w:rsidR="00C10E4E" w:rsidRDefault="00C10E4E" w:rsidP="0065164E">
      <w:pPr>
        <w:pStyle w:val="CaptionSubheading"/>
      </w:pPr>
    </w:p>
    <w:tbl>
      <w:tblPr>
        <w:tblStyle w:val="TableDefault"/>
        <w:tblW w:w="8221" w:type="dxa"/>
        <w:tblLook w:val="04A0" w:firstRow="1" w:lastRow="0" w:firstColumn="1" w:lastColumn="0" w:noHBand="0" w:noVBand="1"/>
      </w:tblPr>
      <w:tblGrid>
        <w:gridCol w:w="2154"/>
        <w:gridCol w:w="6067"/>
      </w:tblGrid>
      <w:tr w:rsidR="00EE4278" w14:paraId="78DF76A7" w14:textId="77777777" w:rsidTr="00D14685">
        <w:trPr>
          <w:cnfStyle w:val="100000000000" w:firstRow="1" w:lastRow="0" w:firstColumn="0" w:lastColumn="0" w:oddVBand="0" w:evenVBand="0" w:oddHBand="0" w:evenHBand="0" w:firstRowFirstColumn="0" w:firstRowLastColumn="0" w:lastRowFirstColumn="0" w:lastRowLastColumn="0"/>
        </w:trPr>
        <w:tc>
          <w:tcPr>
            <w:tcW w:w="2154" w:type="dxa"/>
          </w:tcPr>
          <w:p w14:paraId="0CD23726" w14:textId="4D631BAE" w:rsidR="00EE4278" w:rsidRPr="0065164E" w:rsidRDefault="0065164E" w:rsidP="00D14685">
            <w:pPr>
              <w:pStyle w:val="TSTableHeadingWhite-TopRow"/>
              <w:rPr>
                <w:color w:val="0094C5"/>
              </w:rPr>
            </w:pPr>
            <w:r w:rsidRPr="0065164E">
              <w:t>Cost estimate</w:t>
            </w:r>
          </w:p>
        </w:tc>
        <w:tc>
          <w:tcPr>
            <w:tcW w:w="6067" w:type="dxa"/>
          </w:tcPr>
          <w:p w14:paraId="779A6346" w14:textId="45856359" w:rsidR="00EE4278" w:rsidRPr="00C10E4E" w:rsidRDefault="00EE4278" w:rsidP="00D14685">
            <w:pPr>
              <w:pStyle w:val="TSTableHeadingWhite-TopRow"/>
              <w:rPr>
                <w:bCs/>
                <w:color w:val="0094C5"/>
                <w:sz w:val="32"/>
                <w:szCs w:val="32"/>
              </w:rPr>
            </w:pPr>
            <w:r w:rsidRPr="00C10E4E">
              <w:rPr>
                <w:bCs/>
              </w:rPr>
              <w:t xml:space="preserve">Potential for </w:t>
            </w:r>
            <w:proofErr w:type="gramStart"/>
            <w:r w:rsidRPr="00C10E4E">
              <w:rPr>
                <w:bCs/>
              </w:rPr>
              <w:t>double-counting</w:t>
            </w:r>
            <w:proofErr w:type="gramEnd"/>
            <w:r w:rsidRPr="00C10E4E">
              <w:rPr>
                <w:bCs/>
              </w:rPr>
              <w:t xml:space="preserve"> when aggregating or combining </w:t>
            </w:r>
            <w:r w:rsidR="0065164E">
              <w:rPr>
                <w:bCs/>
              </w:rPr>
              <w:t>values</w:t>
            </w:r>
          </w:p>
        </w:tc>
      </w:tr>
      <w:tr w:rsidR="00EE4278" w14:paraId="34CB3BE4" w14:textId="77777777" w:rsidTr="00D14685">
        <w:tc>
          <w:tcPr>
            <w:tcW w:w="2154" w:type="dxa"/>
          </w:tcPr>
          <w:p w14:paraId="2FD7D92F" w14:textId="6CCDE473" w:rsidR="00EE4278" w:rsidRPr="00FC65CA" w:rsidRDefault="00EE4278" w:rsidP="00FC65CA">
            <w:pPr>
              <w:pStyle w:val="TSBodyText"/>
              <w:rPr>
                <w:rFonts w:eastAsiaTheme="majorEastAsia" w:cstheme="majorBidi"/>
              </w:rPr>
            </w:pPr>
            <w:r w:rsidRPr="00FC65CA">
              <w:t>Increased risk of morbidity and mortality</w:t>
            </w:r>
          </w:p>
        </w:tc>
        <w:tc>
          <w:tcPr>
            <w:tcW w:w="6067" w:type="dxa"/>
          </w:tcPr>
          <w:p w14:paraId="06B3A4F0" w14:textId="31EC1B61" w:rsidR="00EE4278" w:rsidRPr="00FC65CA" w:rsidRDefault="0011759E" w:rsidP="00FC65CA">
            <w:pPr>
              <w:pStyle w:val="TSBodyText"/>
              <w:rPr>
                <w:rFonts w:eastAsiaTheme="majorEastAsia" w:cstheme="majorBidi"/>
              </w:rPr>
            </w:pPr>
            <w:r>
              <w:t>This cost estimate p</w:t>
            </w:r>
            <w:r w:rsidR="00EE4278" w:rsidRPr="00FC65CA">
              <w:t>otentially captures the full range of societal costs and should not be combined with any other cost estimates</w:t>
            </w:r>
            <w:r w:rsidR="00201E94">
              <w:t xml:space="preserve"> A</w:t>
            </w:r>
            <w:r>
              <w:t xml:space="preserve">lthough the extent to which </w:t>
            </w:r>
            <w:r w:rsidR="00201E94">
              <w:t xml:space="preserve">some specific costs without a direct disease/condition relationship </w:t>
            </w:r>
            <w:r w:rsidR="00D14D4C">
              <w:t>(</w:t>
            </w:r>
            <w:proofErr w:type="gramStart"/>
            <w:r w:rsidR="00D14D4C">
              <w:t>e.g.</w:t>
            </w:r>
            <w:proofErr w:type="gramEnd"/>
            <w:r w:rsidR="00D14D4C">
              <w:t xml:space="preserve"> absenteeism and presenteeism, incarceration) </w:t>
            </w:r>
            <w:r w:rsidR="00201E94">
              <w:t>are reflected</w:t>
            </w:r>
            <w:r w:rsidR="00D14D4C">
              <w:t xml:space="preserve"> is unclear</w:t>
            </w:r>
            <w:r w:rsidR="0065164E" w:rsidRPr="00FC65CA">
              <w:t>.</w:t>
            </w:r>
          </w:p>
        </w:tc>
      </w:tr>
      <w:tr w:rsidR="00EE4278" w14:paraId="4B30AD6B" w14:textId="77777777" w:rsidTr="00D14685">
        <w:trPr>
          <w:cnfStyle w:val="000000010000" w:firstRow="0" w:lastRow="0" w:firstColumn="0" w:lastColumn="0" w:oddVBand="0" w:evenVBand="0" w:oddHBand="0" w:evenHBand="1" w:firstRowFirstColumn="0" w:firstRowLastColumn="0" w:lastRowFirstColumn="0" w:lastRowLastColumn="0"/>
        </w:trPr>
        <w:tc>
          <w:tcPr>
            <w:tcW w:w="2154" w:type="dxa"/>
          </w:tcPr>
          <w:p w14:paraId="73C57636" w14:textId="7AE9648A" w:rsidR="00EE4278" w:rsidRPr="00FC65CA" w:rsidRDefault="00EE4278" w:rsidP="00FC65CA">
            <w:pPr>
              <w:pStyle w:val="TSBodyText"/>
              <w:rPr>
                <w:rFonts w:eastAsiaTheme="majorEastAsia" w:cstheme="majorBidi"/>
              </w:rPr>
            </w:pPr>
            <w:r w:rsidRPr="00FC65CA">
              <w:t>Key alcohol harm concerns (IPV, child maltreatment, road crashes)</w:t>
            </w:r>
          </w:p>
        </w:tc>
        <w:tc>
          <w:tcPr>
            <w:tcW w:w="6067" w:type="dxa"/>
          </w:tcPr>
          <w:p w14:paraId="7954F465" w14:textId="4635575B" w:rsidR="00EE4278" w:rsidRPr="00FC65CA" w:rsidRDefault="0011759E" w:rsidP="00FC65CA">
            <w:pPr>
              <w:pStyle w:val="TSBodyText"/>
              <w:rPr>
                <w:rFonts w:eastAsiaTheme="majorEastAsia" w:cstheme="majorBidi"/>
              </w:rPr>
            </w:pPr>
            <w:r>
              <w:t>These specific c</w:t>
            </w:r>
            <w:r w:rsidR="00EE4278" w:rsidRPr="00FC65CA">
              <w:t>ost</w:t>
            </w:r>
            <w:r w:rsidR="00FB1F02">
              <w:t>s</w:t>
            </w:r>
            <w:r w:rsidR="00EE4278" w:rsidRPr="00FC65CA">
              <w:t xml:space="preserve"> are likely reflected in the societal value of increased morbidity and mortality costs, health and disability system, ACC, social development and justice sector costs, so </w:t>
            </w:r>
            <w:r w:rsidR="00FB1F02">
              <w:t xml:space="preserve">they </w:t>
            </w:r>
            <w:r w:rsidR="00EE4278" w:rsidRPr="00FC65CA">
              <w:t xml:space="preserve">should not be combined with any of these cost estimates.  </w:t>
            </w:r>
          </w:p>
        </w:tc>
      </w:tr>
      <w:tr w:rsidR="00EE4278" w14:paraId="212EEB06" w14:textId="77777777" w:rsidTr="00D14685">
        <w:tc>
          <w:tcPr>
            <w:tcW w:w="2154" w:type="dxa"/>
          </w:tcPr>
          <w:p w14:paraId="2579BCE9" w14:textId="6354425E" w:rsidR="00EE4278" w:rsidRPr="00FC65CA" w:rsidRDefault="00EE4278" w:rsidP="00FC65CA">
            <w:pPr>
              <w:pStyle w:val="TSBodyText"/>
              <w:rPr>
                <w:rFonts w:eastAsiaTheme="majorEastAsia" w:cstheme="majorBidi"/>
              </w:rPr>
            </w:pPr>
            <w:r w:rsidRPr="00FC65CA">
              <w:t xml:space="preserve">Productivity losses </w:t>
            </w:r>
          </w:p>
        </w:tc>
        <w:tc>
          <w:tcPr>
            <w:tcW w:w="6067" w:type="dxa"/>
          </w:tcPr>
          <w:p w14:paraId="4A5104B8" w14:textId="04281C5A" w:rsidR="00EE4278" w:rsidRPr="00FC65CA" w:rsidRDefault="006662E0" w:rsidP="00FC65CA">
            <w:pPr>
              <w:pStyle w:val="TSBodyText"/>
              <w:rPr>
                <w:rFonts w:eastAsiaTheme="majorEastAsia" w:cstheme="majorBidi"/>
              </w:rPr>
            </w:pPr>
            <w:r>
              <w:t>In general,</w:t>
            </w:r>
            <w:r w:rsidR="00EE4278" w:rsidRPr="00FC65CA">
              <w:t xml:space="preserve"> productivity costs are </w:t>
            </w:r>
            <w:r w:rsidR="008E2060">
              <w:t xml:space="preserve">highly </w:t>
            </w:r>
            <w:r w:rsidR="00EE4278" w:rsidRPr="00FC65CA">
              <w:t xml:space="preserve">likely to be reflected in </w:t>
            </w:r>
            <w:r w:rsidR="0065164E" w:rsidRPr="00FC65CA">
              <w:t xml:space="preserve">the societal value of </w:t>
            </w:r>
            <w:r w:rsidR="00EE4278" w:rsidRPr="00FC65CA">
              <w:t>increased morbidity and mortality costs</w:t>
            </w:r>
            <w:r w:rsidR="00FB1F02">
              <w:t>,</w:t>
            </w:r>
            <w:r w:rsidR="00EE4278" w:rsidRPr="00FC65CA">
              <w:t xml:space="preserve"> so </w:t>
            </w:r>
            <w:r w:rsidR="00FB1F02">
              <w:t xml:space="preserve">they </w:t>
            </w:r>
            <w:r w:rsidR="00EE4278" w:rsidRPr="00FC65CA">
              <w:t>should not be combined with these cost estimates</w:t>
            </w:r>
            <w:r>
              <w:t xml:space="preserve">, however the extent to which absenteeism and presenteeism are reflected in societal values of mortality and morbidity risk </w:t>
            </w:r>
            <w:r w:rsidR="0011759E">
              <w:t>is unclear as there is no clear disease/condition relationship</w:t>
            </w:r>
            <w:r w:rsidR="00EE4278" w:rsidRPr="00FC65CA">
              <w:t>. Productivity losses associated with long-term disability are 80% reflected in ACC costs</w:t>
            </w:r>
            <w:r w:rsidR="00FB1F02">
              <w:t>,</w:t>
            </w:r>
            <w:r w:rsidR="00EE4278" w:rsidRPr="00FC65CA">
              <w:t xml:space="preserve"> so </w:t>
            </w:r>
            <w:r w:rsidR="00FB1F02">
              <w:t xml:space="preserve">they </w:t>
            </w:r>
            <w:r w:rsidR="00EE4278" w:rsidRPr="00FC65CA">
              <w:t>should not be combined with these. Productivity losses associated with alcohol-attributable incarceration are least likely to be reflected in other costs and pose a low</w:t>
            </w:r>
            <w:r w:rsidR="000168F0" w:rsidRPr="00FC65CA">
              <w:t>er</w:t>
            </w:r>
            <w:r w:rsidR="00EE4278" w:rsidRPr="00FC65CA">
              <w:t xml:space="preserve"> risk of double-counting if combined with other estimates. </w:t>
            </w:r>
          </w:p>
        </w:tc>
      </w:tr>
      <w:tr w:rsidR="00EE4278" w14:paraId="47009300" w14:textId="77777777" w:rsidTr="00D14685">
        <w:trPr>
          <w:cnfStyle w:val="000000010000" w:firstRow="0" w:lastRow="0" w:firstColumn="0" w:lastColumn="0" w:oddVBand="0" w:evenVBand="0" w:oddHBand="0" w:evenHBand="1" w:firstRowFirstColumn="0" w:firstRowLastColumn="0" w:lastRowFirstColumn="0" w:lastRowLastColumn="0"/>
        </w:trPr>
        <w:tc>
          <w:tcPr>
            <w:tcW w:w="2154" w:type="dxa"/>
          </w:tcPr>
          <w:p w14:paraId="1FFB1967" w14:textId="669BDAF2" w:rsidR="00EE4278" w:rsidRPr="00FC65CA" w:rsidRDefault="00EE4278" w:rsidP="00FC65CA">
            <w:pPr>
              <w:pStyle w:val="TSBodyText"/>
              <w:rPr>
                <w:rFonts w:eastAsiaTheme="majorEastAsia" w:cstheme="majorBidi"/>
              </w:rPr>
            </w:pPr>
            <w:r w:rsidRPr="00FC65CA">
              <w:lastRenderedPageBreak/>
              <w:t>Health and disability system costs</w:t>
            </w:r>
          </w:p>
        </w:tc>
        <w:tc>
          <w:tcPr>
            <w:tcW w:w="6067" w:type="dxa"/>
          </w:tcPr>
          <w:p w14:paraId="7F0A3E2F" w14:textId="63F8DFE8" w:rsidR="00EE4278" w:rsidRPr="00FC65CA" w:rsidRDefault="000168F0" w:rsidP="00FC65CA">
            <w:pPr>
              <w:pStyle w:val="TSBodyText"/>
              <w:rPr>
                <w:rFonts w:eastAsiaTheme="majorEastAsia" w:cstheme="majorBidi"/>
              </w:rPr>
            </w:pPr>
            <w:r w:rsidRPr="00FC65CA">
              <w:t>Health and disability system costs</w:t>
            </w:r>
            <w:r w:rsidR="00EE4278" w:rsidRPr="00FC65CA">
              <w:t xml:space="preserve"> are </w:t>
            </w:r>
            <w:r w:rsidR="008E2060">
              <w:t>highly likely to</w:t>
            </w:r>
            <w:r w:rsidR="00EE4278" w:rsidRPr="00FC65CA">
              <w:t xml:space="preserve"> be reflected in the societal value of increased morbidity and mortality costs</w:t>
            </w:r>
            <w:r w:rsidR="00FB1F02">
              <w:t>,</w:t>
            </w:r>
            <w:r w:rsidR="00EE4278" w:rsidRPr="00FC65CA">
              <w:t xml:space="preserve"> so</w:t>
            </w:r>
            <w:r w:rsidR="00FB1F02">
              <w:t xml:space="preserve"> they</w:t>
            </w:r>
            <w:r w:rsidR="00EE4278" w:rsidRPr="00FC65CA">
              <w:t xml:space="preserve"> should not be combined with these cost estimates. </w:t>
            </w:r>
          </w:p>
        </w:tc>
      </w:tr>
      <w:tr w:rsidR="00EE4278" w14:paraId="649C9294" w14:textId="77777777" w:rsidTr="00D14685">
        <w:tc>
          <w:tcPr>
            <w:tcW w:w="2154" w:type="dxa"/>
          </w:tcPr>
          <w:p w14:paraId="7C143FA3" w14:textId="10CFA08D" w:rsidR="00EE4278" w:rsidRPr="00FC65CA" w:rsidRDefault="00EE4278" w:rsidP="00FC65CA">
            <w:pPr>
              <w:pStyle w:val="TSBodyText"/>
              <w:rPr>
                <w:rFonts w:eastAsiaTheme="majorEastAsia" w:cstheme="majorBidi"/>
              </w:rPr>
            </w:pPr>
            <w:r w:rsidRPr="00FC65CA">
              <w:t>ACC worker compensation costs</w:t>
            </w:r>
          </w:p>
        </w:tc>
        <w:tc>
          <w:tcPr>
            <w:tcW w:w="6067" w:type="dxa"/>
          </w:tcPr>
          <w:p w14:paraId="2FDA4BD9" w14:textId="1E66543C" w:rsidR="00EE4278" w:rsidRPr="00FC65CA" w:rsidRDefault="000168F0" w:rsidP="00FC65CA">
            <w:pPr>
              <w:pStyle w:val="TSBodyText"/>
              <w:rPr>
                <w:rFonts w:eastAsiaTheme="majorEastAsia" w:cstheme="majorBidi"/>
              </w:rPr>
            </w:pPr>
            <w:r w:rsidRPr="00FC65CA">
              <w:t>Worker compensation costs</w:t>
            </w:r>
            <w:r w:rsidR="00EE4278" w:rsidRPr="00FC65CA">
              <w:t xml:space="preserve"> are</w:t>
            </w:r>
            <w:r w:rsidR="00362BD1">
              <w:t xml:space="preserve"> highly</w:t>
            </w:r>
            <w:r w:rsidR="00EE4278" w:rsidRPr="00FC65CA">
              <w:t xml:space="preserve"> likely to be reflected in the societal value of increased morbidity and mortality costs</w:t>
            </w:r>
            <w:r w:rsidR="00362BD1">
              <w:t xml:space="preserve"> as they </w:t>
            </w:r>
            <w:r w:rsidR="0016077C">
              <w:t>are directly related to productivity losses</w:t>
            </w:r>
            <w:r w:rsidR="00FB1F02">
              <w:t>,</w:t>
            </w:r>
            <w:r w:rsidR="00EE4278" w:rsidRPr="00FC65CA">
              <w:t xml:space="preserve"> so </w:t>
            </w:r>
            <w:r w:rsidR="00FB1F02">
              <w:t xml:space="preserve">they </w:t>
            </w:r>
            <w:r w:rsidR="00EE4278" w:rsidRPr="00FC65CA">
              <w:t>should not be combined with these cost estimates. These costs are also fully reflected in estimates of productivity loss associated with long-term disability.</w:t>
            </w:r>
          </w:p>
        </w:tc>
      </w:tr>
      <w:tr w:rsidR="00EE4278" w14:paraId="451051F3" w14:textId="77777777" w:rsidTr="00D14685">
        <w:trPr>
          <w:cnfStyle w:val="000000010000" w:firstRow="0" w:lastRow="0" w:firstColumn="0" w:lastColumn="0" w:oddVBand="0" w:evenVBand="0" w:oddHBand="0" w:evenHBand="1" w:firstRowFirstColumn="0" w:firstRowLastColumn="0" w:lastRowFirstColumn="0" w:lastRowLastColumn="0"/>
        </w:trPr>
        <w:tc>
          <w:tcPr>
            <w:tcW w:w="2154" w:type="dxa"/>
          </w:tcPr>
          <w:p w14:paraId="65B0344B" w14:textId="57986E00" w:rsidR="00EE4278" w:rsidRPr="00FC65CA" w:rsidRDefault="00EE4278" w:rsidP="00FC65CA">
            <w:pPr>
              <w:pStyle w:val="TSBodyText"/>
              <w:rPr>
                <w:rFonts w:eastAsiaTheme="majorEastAsia" w:cstheme="majorBidi"/>
              </w:rPr>
            </w:pPr>
            <w:r w:rsidRPr="00FC65CA">
              <w:t>Disability benefit and child disability allowance</w:t>
            </w:r>
          </w:p>
        </w:tc>
        <w:tc>
          <w:tcPr>
            <w:tcW w:w="6067" w:type="dxa"/>
          </w:tcPr>
          <w:p w14:paraId="33D31D1B" w14:textId="640A5DD6" w:rsidR="00EE4278" w:rsidRPr="00FC65CA" w:rsidRDefault="008504D0" w:rsidP="00FC65CA">
            <w:pPr>
              <w:pStyle w:val="TSBodyText"/>
              <w:rPr>
                <w:rFonts w:eastAsiaTheme="majorEastAsia" w:cstheme="majorBidi"/>
              </w:rPr>
            </w:pPr>
            <w:r w:rsidRPr="00FC65CA">
              <w:t>Disability benefit and child disability allowance c</w:t>
            </w:r>
            <w:r w:rsidR="00EE4278" w:rsidRPr="00FC65CA">
              <w:t xml:space="preserve">osts are </w:t>
            </w:r>
            <w:r w:rsidR="00362BD1">
              <w:t xml:space="preserve">highly </w:t>
            </w:r>
            <w:r w:rsidR="00EE4278" w:rsidRPr="00FC65CA">
              <w:t>likely to be reflected in the societal value of increased morbidity and mortality costs</w:t>
            </w:r>
            <w:r w:rsidR="00FB1F02">
              <w:t>,</w:t>
            </w:r>
            <w:r w:rsidR="00EE4278" w:rsidRPr="00FC65CA">
              <w:t xml:space="preserve"> so </w:t>
            </w:r>
            <w:r w:rsidR="00FB1F02">
              <w:t xml:space="preserve">they </w:t>
            </w:r>
            <w:r w:rsidR="00EE4278" w:rsidRPr="00FC65CA">
              <w:t xml:space="preserve">should not be combined with these cost estimates. </w:t>
            </w:r>
          </w:p>
        </w:tc>
      </w:tr>
      <w:tr w:rsidR="00EE4278" w14:paraId="11971730" w14:textId="77777777" w:rsidTr="00D14685">
        <w:tc>
          <w:tcPr>
            <w:tcW w:w="2154" w:type="dxa"/>
          </w:tcPr>
          <w:p w14:paraId="1E24B983" w14:textId="3B3402C9" w:rsidR="00EE4278" w:rsidRPr="00FC65CA" w:rsidRDefault="00EE4278" w:rsidP="00FC65CA">
            <w:pPr>
              <w:pStyle w:val="TSBodyText"/>
              <w:rPr>
                <w:rFonts w:eastAsiaTheme="majorEastAsia" w:cstheme="majorBidi"/>
              </w:rPr>
            </w:pPr>
            <w:r w:rsidRPr="00FC65CA">
              <w:t>Incarceration for alcohol-attributable crime</w:t>
            </w:r>
          </w:p>
        </w:tc>
        <w:tc>
          <w:tcPr>
            <w:tcW w:w="6067" w:type="dxa"/>
          </w:tcPr>
          <w:p w14:paraId="01ED8F17" w14:textId="03A22ADF" w:rsidR="00EE4278" w:rsidRPr="00FC65CA" w:rsidRDefault="003B347E" w:rsidP="00FC65CA">
            <w:pPr>
              <w:pStyle w:val="TSBodyText"/>
              <w:rPr>
                <w:rFonts w:eastAsiaTheme="majorEastAsia" w:cstheme="majorBidi"/>
              </w:rPr>
            </w:pPr>
            <w:r w:rsidRPr="00FC65CA">
              <w:t>J</w:t>
            </w:r>
            <w:r w:rsidR="00EE4278" w:rsidRPr="00FC65CA">
              <w:t xml:space="preserve">ustice sector costs </w:t>
            </w:r>
            <w:r w:rsidR="003C6FEC" w:rsidRPr="00FC65CA">
              <w:t xml:space="preserve">pose a lower risk of being </w:t>
            </w:r>
            <w:r w:rsidR="00EE4278" w:rsidRPr="00FC65CA">
              <w:t>reflected in the societal value of increased morbidity and mortalit</w:t>
            </w:r>
            <w:r w:rsidR="003C6FEC" w:rsidRPr="00FC65CA">
              <w:t>y</w:t>
            </w:r>
            <w:r w:rsidR="00D14685">
              <w:t xml:space="preserve"> although </w:t>
            </w:r>
            <w:r w:rsidR="00E20DDB">
              <w:t xml:space="preserve">the risk of </w:t>
            </w:r>
            <w:proofErr w:type="gramStart"/>
            <w:r w:rsidR="00D14685">
              <w:t>double-counting</w:t>
            </w:r>
            <w:proofErr w:type="gramEnd"/>
            <w:r w:rsidR="00D14685">
              <w:t xml:space="preserve"> </w:t>
            </w:r>
            <w:r w:rsidR="00E20DDB">
              <w:t xml:space="preserve">is likely to be </w:t>
            </w:r>
            <w:r w:rsidR="00456DAC">
              <w:t xml:space="preserve">greater </w:t>
            </w:r>
            <w:r w:rsidR="00354DC2">
              <w:t xml:space="preserve">for combining </w:t>
            </w:r>
            <w:r w:rsidR="00A55F9F">
              <w:t>these estimates</w:t>
            </w:r>
            <w:r w:rsidR="00D14685">
              <w:t xml:space="preserve"> with </w:t>
            </w:r>
            <w:r w:rsidR="00A55F9F">
              <w:t xml:space="preserve">specific </w:t>
            </w:r>
            <w:r w:rsidR="00D14685">
              <w:t xml:space="preserve">societal </w:t>
            </w:r>
            <w:r w:rsidR="00EF7D7A">
              <w:t>costs where there is a</w:t>
            </w:r>
            <w:r w:rsidR="00A55F9F">
              <w:t>n identifiable</w:t>
            </w:r>
            <w:r w:rsidR="00EF7D7A">
              <w:t xml:space="preserve"> </w:t>
            </w:r>
            <w:r w:rsidR="001805E8">
              <w:t xml:space="preserve">criminal dimension </w:t>
            </w:r>
            <w:r w:rsidR="007D24A2">
              <w:t xml:space="preserve">and this relationship has </w:t>
            </w:r>
            <w:r w:rsidR="00362BD1">
              <w:t xml:space="preserve">been specifically estimated </w:t>
            </w:r>
            <w:r w:rsidR="001805E8">
              <w:t xml:space="preserve">(IPV, child maltreatment, </w:t>
            </w:r>
            <w:r w:rsidR="00281C5B">
              <w:t>road crashes)</w:t>
            </w:r>
            <w:r w:rsidR="00EE4278" w:rsidRPr="00FC65CA">
              <w:t xml:space="preserve">. </w:t>
            </w:r>
          </w:p>
        </w:tc>
      </w:tr>
    </w:tbl>
    <w:p w14:paraId="5438F0D1" w14:textId="34ECB1BE" w:rsidR="00C47A52" w:rsidRDefault="0065164E" w:rsidP="00D14D4C">
      <w:pPr>
        <w:pStyle w:val="USSource"/>
        <w:rPr>
          <w:rFonts w:eastAsiaTheme="majorEastAsia" w:cstheme="majorBidi"/>
          <w:b/>
          <w:color w:val="0094C5"/>
          <w:sz w:val="32"/>
          <w:szCs w:val="32"/>
        </w:rPr>
      </w:pPr>
      <w:r>
        <w:t>Source: NZIER</w:t>
      </w:r>
      <w:r w:rsidR="00C47A52">
        <w:br w:type="page"/>
      </w:r>
    </w:p>
    <w:p w14:paraId="3DE4BD16" w14:textId="556664E1" w:rsidR="00BB1224" w:rsidRDefault="009F7701" w:rsidP="009F7701">
      <w:pPr>
        <w:pStyle w:val="Heading1"/>
      </w:pPr>
      <w:bookmarkStart w:id="244" w:name="_Toc160633875"/>
      <w:r>
        <w:lastRenderedPageBreak/>
        <w:t>Further considerations</w:t>
      </w:r>
      <w:bookmarkEnd w:id="244"/>
    </w:p>
    <w:p w14:paraId="57D92F37" w14:textId="6B2D9570" w:rsidR="00845B57" w:rsidRDefault="00193A97" w:rsidP="00EA2B5B">
      <w:pPr>
        <w:pStyle w:val="USBodyText"/>
      </w:pPr>
      <w:r>
        <w:t>This report does not present a comprehensive estimation of the costs of alcohol harms</w:t>
      </w:r>
      <w:r w:rsidR="00813235">
        <w:t>. But it presents new estimates where important evidence has emerged on critical issues of prevalence, impact and causal attribution</w:t>
      </w:r>
      <w:r w:rsidR="009038D8">
        <w:t>.</w:t>
      </w:r>
      <w:r w:rsidR="00EA2B5B">
        <w:t xml:space="preserve"> This is a useful exercise because it provides estimates based on the current local evidence base. However, there are important considerations regarding how this report, or others like it, should be used.</w:t>
      </w:r>
    </w:p>
    <w:p w14:paraId="584EDE26" w14:textId="11DECD23" w:rsidR="00E67D92" w:rsidRDefault="00915953" w:rsidP="00C17B82">
      <w:pPr>
        <w:pStyle w:val="Heading2"/>
      </w:pPr>
      <w:bookmarkStart w:id="245" w:name="_Toc160633876"/>
      <w:r>
        <w:t xml:space="preserve">Harms to others </w:t>
      </w:r>
      <w:r w:rsidR="00AE5322">
        <w:t xml:space="preserve">are a challenge to identify and are likely </w:t>
      </w:r>
      <w:proofErr w:type="gramStart"/>
      <w:r w:rsidR="00AE5322">
        <w:t>underestimated</w:t>
      </w:r>
      <w:bookmarkEnd w:id="245"/>
      <w:proofErr w:type="gramEnd"/>
    </w:p>
    <w:p w14:paraId="59476F12" w14:textId="5B9B3C7F" w:rsidR="00335485" w:rsidRDefault="006E1A04" w:rsidP="00335485">
      <w:pPr>
        <w:pStyle w:val="USBodyText"/>
      </w:pPr>
      <w:r>
        <w:t>A</w:t>
      </w:r>
      <w:r w:rsidR="00915953">
        <w:t>s noted, a</w:t>
      </w:r>
      <w:r>
        <w:t xml:space="preserve"> key area of limitation in this report is alcohol harms to others</w:t>
      </w:r>
      <w:r w:rsidR="008762A7">
        <w:t xml:space="preserve"> – harms experienced as a result of someone else’s drinking</w:t>
      </w:r>
      <w:r w:rsidR="00D85894">
        <w:t xml:space="preserve">. Apart from the DALY approach to estimating alcohol harms </w:t>
      </w:r>
      <w:r w:rsidR="004F1BE7">
        <w:t xml:space="preserve">in </w:t>
      </w:r>
      <w:r w:rsidR="00D85894">
        <w:t xml:space="preserve">which previous research has highlighted </w:t>
      </w:r>
      <w:r w:rsidR="004F1BE7">
        <w:t xml:space="preserve">the dominance of FASD, little evidence is available to </w:t>
      </w:r>
      <w:r w:rsidR="00991477">
        <w:t>identify the nature and scale of the harms, the private and fiscal costs, and the attribution to alcohol</w:t>
      </w:r>
      <w:r w:rsidR="00EE7973">
        <w:t>. This evidence gap</w:t>
      </w:r>
      <w:r>
        <w:t xml:space="preserve"> represents a significant source of underestimation</w:t>
      </w:r>
      <w:r w:rsidR="00EE7973">
        <w:t>, with key concerns being</w:t>
      </w:r>
      <w:r w:rsidR="00605E81">
        <w:t>:</w:t>
      </w:r>
    </w:p>
    <w:p w14:paraId="45E74DC4" w14:textId="45F697EC" w:rsidR="008762A7" w:rsidRDefault="00816A9A" w:rsidP="00335485">
      <w:pPr>
        <w:pStyle w:val="USBullet1"/>
      </w:pPr>
      <w:r>
        <w:t>i</w:t>
      </w:r>
      <w:r w:rsidR="008762A7">
        <w:t>njuries</w:t>
      </w:r>
      <w:r w:rsidR="00DF651D">
        <w:t xml:space="preserve"> experienced as a result of someone else’s drinking, resulting from road crashes, assaults</w:t>
      </w:r>
      <w:r>
        <w:t xml:space="preserve"> or other </w:t>
      </w:r>
      <w:proofErr w:type="gramStart"/>
      <w:r>
        <w:t>incidents</w:t>
      </w:r>
      <w:proofErr w:type="gramEnd"/>
    </w:p>
    <w:p w14:paraId="5DE95121" w14:textId="170F6D78" w:rsidR="00335485" w:rsidRDefault="000C4D5F" w:rsidP="00335485">
      <w:pPr>
        <w:pStyle w:val="USBullet1"/>
      </w:pPr>
      <w:r>
        <w:t>the broader impacts of alcohol on IPV and child maltreatment</w:t>
      </w:r>
    </w:p>
    <w:p w14:paraId="02A2F918" w14:textId="77777777" w:rsidR="00335485" w:rsidRDefault="000C4D5F" w:rsidP="00335485">
      <w:pPr>
        <w:pStyle w:val="USBullet1"/>
      </w:pPr>
      <w:r>
        <w:t>caregiver</w:t>
      </w:r>
      <w:r w:rsidR="00D559CB">
        <w:t xml:space="preserve"> costs of FASD</w:t>
      </w:r>
    </w:p>
    <w:p w14:paraId="6F1E3F47" w14:textId="77777777" w:rsidR="00335485" w:rsidRDefault="00D559CB" w:rsidP="00335485">
      <w:pPr>
        <w:pStyle w:val="USBullet1"/>
      </w:pPr>
      <w:r>
        <w:t>private costs of crime</w:t>
      </w:r>
    </w:p>
    <w:p w14:paraId="767A1941" w14:textId="53C24D20" w:rsidR="00722581" w:rsidRDefault="00722581" w:rsidP="00335485">
      <w:pPr>
        <w:pStyle w:val="USBullet1"/>
      </w:pPr>
      <w:r>
        <w:t xml:space="preserve">private costs </w:t>
      </w:r>
      <w:r w:rsidR="00027E25">
        <w:t xml:space="preserve">to families and </w:t>
      </w:r>
      <w:r w:rsidR="0053229C">
        <w:t>whānau</w:t>
      </w:r>
      <w:r w:rsidR="00027E25">
        <w:t xml:space="preserve"> of supporting a person</w:t>
      </w:r>
      <w:r w:rsidR="00786232">
        <w:t xml:space="preserve"> with</w:t>
      </w:r>
      <w:r w:rsidR="001D0742">
        <w:t xml:space="preserve"> alcohol use disorder</w:t>
      </w:r>
      <w:r w:rsidR="003D2AF0">
        <w:t xml:space="preserve">, particularly where a cultural response is </w:t>
      </w:r>
      <w:proofErr w:type="gramStart"/>
      <w:r w:rsidR="00EF74F8">
        <w:t>required</w:t>
      </w:r>
      <w:proofErr w:type="gramEnd"/>
    </w:p>
    <w:p w14:paraId="24B686D2" w14:textId="05D0FDE8" w:rsidR="006E1A04" w:rsidRDefault="006E1A04" w:rsidP="006E1A04">
      <w:pPr>
        <w:pStyle w:val="USBullet1"/>
      </w:pPr>
      <w:r>
        <w:t xml:space="preserve">intergenerational harms </w:t>
      </w:r>
    </w:p>
    <w:p w14:paraId="095EDBDE" w14:textId="3AE17CFD" w:rsidR="006E1A04" w:rsidRDefault="00BC5BB5" w:rsidP="006E1A04">
      <w:pPr>
        <w:pStyle w:val="USBullet1"/>
      </w:pPr>
      <w:r>
        <w:t xml:space="preserve">the impact of alcohol at the </w:t>
      </w:r>
      <w:r w:rsidR="006E1A04">
        <w:t>community level</w:t>
      </w:r>
      <w:r w:rsidR="0085188E">
        <w:t xml:space="preserve">, which may </w:t>
      </w:r>
      <w:r w:rsidR="00E90EE0">
        <w:t>generate</w:t>
      </w:r>
      <w:r w:rsidR="006E1A04">
        <w:t xml:space="preserve"> </w:t>
      </w:r>
      <w:r w:rsidR="000F2177">
        <w:t>‘</w:t>
      </w:r>
      <w:r w:rsidR="006E1A04">
        <w:t>neighbourhood</w:t>
      </w:r>
      <w:r w:rsidR="000F2177">
        <w:t xml:space="preserve">’ </w:t>
      </w:r>
      <w:r w:rsidR="006E1A04">
        <w:t xml:space="preserve">harms, including litter, noise, and feeling </w:t>
      </w:r>
      <w:proofErr w:type="gramStart"/>
      <w:r w:rsidR="006E1A04">
        <w:t>safe</w:t>
      </w:r>
      <w:proofErr w:type="gramEnd"/>
    </w:p>
    <w:p w14:paraId="13A3967A" w14:textId="0E119C9E" w:rsidR="00AB3088" w:rsidRDefault="00335485">
      <w:pPr>
        <w:pStyle w:val="USBullet1"/>
      </w:pPr>
      <w:r>
        <w:t>impacts on</w:t>
      </w:r>
      <w:r w:rsidR="00D36ADA" w:rsidRPr="00D36ADA">
        <w:t xml:space="preserve"> frontline staff (including Police, ambulance staff, ED staff, etc</w:t>
      </w:r>
      <w:r w:rsidR="000F2177">
        <w:t>.</w:t>
      </w:r>
      <w:r w:rsidR="00D36ADA" w:rsidRPr="00D36ADA">
        <w:t>)</w:t>
      </w:r>
      <w:r w:rsidR="00D36ADA">
        <w:t xml:space="preserve"> </w:t>
      </w:r>
      <w:r w:rsidR="00957BE7">
        <w:t xml:space="preserve">who </w:t>
      </w:r>
      <w:r w:rsidR="00D36ADA" w:rsidRPr="00D36ADA">
        <w:t>experience alcohol-related verbal and physical aggression.</w:t>
      </w:r>
    </w:p>
    <w:p w14:paraId="1502D0B5" w14:textId="733D1950" w:rsidR="006E1A04" w:rsidRDefault="006E1A04" w:rsidP="00AB3088">
      <w:pPr>
        <w:pStyle w:val="USBodyText"/>
      </w:pPr>
      <w:r>
        <w:t>The overall cost to society of alcohol use could be much greater if these impacts were able to be reliably valued.</w:t>
      </w:r>
    </w:p>
    <w:p w14:paraId="280D621C" w14:textId="7784B945" w:rsidR="006E1A04" w:rsidRDefault="00937AFE" w:rsidP="00C17B82">
      <w:pPr>
        <w:pStyle w:val="Heading2"/>
      </w:pPr>
      <w:bookmarkStart w:id="246" w:name="_Toc160633877"/>
      <w:r>
        <w:t>D</w:t>
      </w:r>
      <w:r w:rsidR="006E1A04">
        <w:t>isaggregation by ethnicity</w:t>
      </w:r>
      <w:r>
        <w:t xml:space="preserve"> is rarely possible</w:t>
      </w:r>
      <w:r w:rsidR="00102F1F">
        <w:t xml:space="preserve"> and </w:t>
      </w:r>
      <w:r w:rsidR="00244E6C">
        <w:t>not always</w:t>
      </w:r>
      <w:r w:rsidR="00102F1F">
        <w:t xml:space="preserve"> </w:t>
      </w:r>
      <w:r w:rsidR="00820BBF">
        <w:t>desirable</w:t>
      </w:r>
      <w:r w:rsidR="00244E6C">
        <w:t>, but private costs</w:t>
      </w:r>
      <w:r w:rsidR="001A7DC8">
        <w:t xml:space="preserve"> are expected to </w:t>
      </w:r>
      <w:r w:rsidR="0062491E">
        <w:t xml:space="preserve">be higher for </w:t>
      </w:r>
      <w:proofErr w:type="gramStart"/>
      <w:r w:rsidR="0062491E">
        <w:t>Māori</w:t>
      </w:r>
      <w:bookmarkEnd w:id="246"/>
      <w:proofErr w:type="gramEnd"/>
      <w:r w:rsidR="0062491E">
        <w:t xml:space="preserve"> </w:t>
      </w:r>
    </w:p>
    <w:p w14:paraId="2479820C" w14:textId="5029DCBE" w:rsidR="006E1A04" w:rsidRDefault="004F1805" w:rsidP="006E1A04">
      <w:pPr>
        <w:pStyle w:val="USBodyText"/>
      </w:pPr>
      <w:r>
        <w:t xml:space="preserve">Understanding alcohol harms experienced by specific communities is important from a policy and programme perspective. </w:t>
      </w:r>
    </w:p>
    <w:p w14:paraId="4BD1D56D" w14:textId="7CCE0B43" w:rsidR="00DC7EA2" w:rsidRDefault="00DC7EA2" w:rsidP="006E1A04">
      <w:pPr>
        <w:pStyle w:val="USBodyText"/>
      </w:pPr>
      <w:r>
        <w:t>Some data</w:t>
      </w:r>
      <w:r w:rsidR="00901AA2">
        <w:t xml:space="preserve"> on alcohol harms</w:t>
      </w:r>
      <w:r>
        <w:t xml:space="preserve"> is not available</w:t>
      </w:r>
      <w:r w:rsidR="000F2177">
        <w:t>,</w:t>
      </w:r>
      <w:r>
        <w:t xml:space="preserve"> disaggregated by ethnicity. Often</w:t>
      </w:r>
      <w:r w:rsidR="000F2177">
        <w:t>,</w:t>
      </w:r>
      <w:r>
        <w:t xml:space="preserve"> this is because reporting data by ethnicity is not helpful and may only serve to </w:t>
      </w:r>
      <w:r w:rsidR="00FE1CF9">
        <w:t>reinforce existing prejudice. This is a key concern for justice sector data</w:t>
      </w:r>
      <w:r w:rsidR="000F2177">
        <w:t>,</w:t>
      </w:r>
      <w:r w:rsidR="00FE1CF9">
        <w:t xml:space="preserve"> which is a major impact area for alcohol harms.</w:t>
      </w:r>
    </w:p>
    <w:p w14:paraId="7C7BE0AA" w14:textId="21F7E97C" w:rsidR="00216264" w:rsidRDefault="00216264" w:rsidP="006E1A04">
      <w:pPr>
        <w:pStyle w:val="USBodyText"/>
      </w:pPr>
      <w:r>
        <w:t xml:space="preserve">While there is interest in taking an equity perspective in research on alcohol harms, </w:t>
      </w:r>
      <w:r w:rsidR="001976AD">
        <w:t xml:space="preserve">presenting </w:t>
      </w:r>
      <w:r w:rsidR="0041647C">
        <w:t>fiscal cost</w:t>
      </w:r>
      <w:r w:rsidR="001976AD">
        <w:t>s</w:t>
      </w:r>
      <w:r w:rsidR="0041647C">
        <w:t xml:space="preserve"> by ethnicity </w:t>
      </w:r>
      <w:r w:rsidR="001976AD">
        <w:t xml:space="preserve">poses an ethical dilemma: </w:t>
      </w:r>
      <w:r w:rsidR="008A1074">
        <w:t>Higher fiscal costs</w:t>
      </w:r>
      <w:r w:rsidR="000F2177">
        <w:t>,</w:t>
      </w:r>
      <w:r w:rsidR="00523A6E">
        <w:t xml:space="preserve"> either in total or on a </w:t>
      </w:r>
      <w:r w:rsidR="000F2177">
        <w:t>per-</w:t>
      </w:r>
      <w:r w:rsidR="00523A6E">
        <w:t>person basis in some communities</w:t>
      </w:r>
      <w:r w:rsidR="000F2177">
        <w:t>,</w:t>
      </w:r>
      <w:r w:rsidR="00523A6E">
        <w:t xml:space="preserve"> might motivate greater investment in </w:t>
      </w:r>
      <w:r w:rsidR="00523A6E">
        <w:lastRenderedPageBreak/>
        <w:t xml:space="preserve">prevention in those communities, but </w:t>
      </w:r>
      <w:r w:rsidR="00D176EE">
        <w:t>can be interpreted to mean</w:t>
      </w:r>
      <w:r w:rsidR="00542781">
        <w:t xml:space="preserve"> </w:t>
      </w:r>
      <w:r w:rsidR="00D176EE">
        <w:t xml:space="preserve">some people </w:t>
      </w:r>
      <w:r w:rsidR="00AA73EE">
        <w:t>‘</w:t>
      </w:r>
      <w:r w:rsidR="00D176EE">
        <w:t>cost more</w:t>
      </w:r>
      <w:r w:rsidR="00AA73EE">
        <w:t xml:space="preserve">’ </w:t>
      </w:r>
      <w:r w:rsidR="00D176EE">
        <w:t xml:space="preserve">which may perversely </w:t>
      </w:r>
      <w:r w:rsidR="00A918E0">
        <w:t xml:space="preserve">feed arguments about </w:t>
      </w:r>
      <w:r w:rsidR="007C63F0">
        <w:t>spending less</w:t>
      </w:r>
      <w:r w:rsidR="00D176EE">
        <w:t xml:space="preserve">. </w:t>
      </w:r>
      <w:r w:rsidR="00101B54">
        <w:t xml:space="preserve">But from a practical perspective, </w:t>
      </w:r>
      <w:r w:rsidR="00871008">
        <w:t xml:space="preserve">fiscal costs </w:t>
      </w:r>
      <w:r w:rsidR="00AA73EE">
        <w:t>can rarely</w:t>
      </w:r>
      <w:r w:rsidR="00D32665">
        <w:t xml:space="preserve"> be differentiated by the ethnicity</w:t>
      </w:r>
      <w:r w:rsidR="00064A02">
        <w:t xml:space="preserve"> of </w:t>
      </w:r>
      <w:r w:rsidR="00180679">
        <w:t>the people they apply to</w:t>
      </w:r>
      <w:r w:rsidR="00AD1809">
        <w:t xml:space="preserve">: The unit costs made available for </w:t>
      </w:r>
      <w:r w:rsidR="00B64511">
        <w:t>cost and cost-benefit analyses tend to be averages</w:t>
      </w:r>
      <w:r w:rsidR="00EF1B18">
        <w:t>.</w:t>
      </w:r>
    </w:p>
    <w:p w14:paraId="02B067E6" w14:textId="5C890B78" w:rsidR="00434670" w:rsidRDefault="00EF1B18" w:rsidP="006E1A04">
      <w:pPr>
        <w:pStyle w:val="USBodyText"/>
      </w:pPr>
      <w:r>
        <w:t xml:space="preserve">Where </w:t>
      </w:r>
      <w:r w:rsidR="00FD15CA">
        <w:t xml:space="preserve">disaggregation by ethnicity would be most </w:t>
      </w:r>
      <w:r w:rsidR="001B5B89">
        <w:t xml:space="preserve">useful is </w:t>
      </w:r>
      <w:r w:rsidR="00D40C09">
        <w:t xml:space="preserve">in private </w:t>
      </w:r>
      <w:r w:rsidR="00362D2C">
        <w:t>costs of alcohol harms</w:t>
      </w:r>
      <w:r w:rsidR="00C03D81">
        <w:t xml:space="preserve">. </w:t>
      </w:r>
      <w:r w:rsidR="00434670" w:rsidRPr="00434670">
        <w:t xml:space="preserve">It is well recognised that Māori experience more harms from alcohol than non-Māori across a range of dimensions. It is also well recognised that culturally appropriate services to support Māori to reduce alcohol harms within their community or </w:t>
      </w:r>
      <w:r w:rsidR="0053229C">
        <w:t>whānau</w:t>
      </w:r>
      <w:r w:rsidR="00434670" w:rsidRPr="00434670">
        <w:t xml:space="preserve"> are in short supply, further increasing the </w:t>
      </w:r>
      <w:r w:rsidR="00434670">
        <w:t xml:space="preserve">private </w:t>
      </w:r>
      <w:r w:rsidR="00434670" w:rsidRPr="00434670">
        <w:t xml:space="preserve">burden on </w:t>
      </w:r>
      <w:r w:rsidR="0053229C">
        <w:t>whānau</w:t>
      </w:r>
      <w:r w:rsidR="00434670" w:rsidRPr="00434670">
        <w:t xml:space="preserve"> in dealing with alcohol harms</w:t>
      </w:r>
      <w:r w:rsidR="00AA73EE">
        <w:t>,</w:t>
      </w:r>
      <w:r w:rsidR="00042BEC">
        <w:t xml:space="preserve"> which can often </w:t>
      </w:r>
      <w:r w:rsidR="00C53E6F">
        <w:t>require</w:t>
      </w:r>
      <w:r w:rsidR="00042BEC">
        <w:t xml:space="preserve"> long-term </w:t>
      </w:r>
      <w:r w:rsidR="00C53E6F">
        <w:t>care and support</w:t>
      </w:r>
      <w:r w:rsidR="00434670" w:rsidRPr="00434670">
        <w:t>.</w:t>
      </w:r>
      <w:r w:rsidR="00434670">
        <w:t xml:space="preserve"> </w:t>
      </w:r>
    </w:p>
    <w:p w14:paraId="21CCD8E4" w14:textId="5D75DB76" w:rsidR="0037153B" w:rsidRDefault="003436AB" w:rsidP="006E1A04">
      <w:pPr>
        <w:pStyle w:val="USBodyText"/>
      </w:pPr>
      <w:r>
        <w:t xml:space="preserve">The impact of </w:t>
      </w:r>
      <w:r w:rsidR="00A05FD4">
        <w:t xml:space="preserve">increasing alcohol harms within a </w:t>
      </w:r>
      <w:r w:rsidR="0053229C">
        <w:t>whānau</w:t>
      </w:r>
      <w:r w:rsidR="00A05FD4">
        <w:t xml:space="preserve"> or community</w:t>
      </w:r>
      <w:r w:rsidR="002E4A40">
        <w:t xml:space="preserve"> may also </w:t>
      </w:r>
      <w:r w:rsidR="002A620F">
        <w:t xml:space="preserve">be </w:t>
      </w:r>
      <w:r w:rsidR="005B74B8">
        <w:t>greater than additive</w:t>
      </w:r>
      <w:r w:rsidR="00434670">
        <w:t>:</w:t>
      </w:r>
      <w:r w:rsidR="005B74B8">
        <w:t xml:space="preserve"> </w:t>
      </w:r>
      <w:r w:rsidR="00434670">
        <w:t>T</w:t>
      </w:r>
      <w:r w:rsidR="005B74B8">
        <w:t>hat is</w:t>
      </w:r>
      <w:r w:rsidR="00434670">
        <w:t>,</w:t>
      </w:r>
      <w:r w:rsidR="005B74B8">
        <w:t xml:space="preserve"> the impacts and costs of alcohol </w:t>
      </w:r>
      <w:r w:rsidR="005D5881">
        <w:t xml:space="preserve">when a greater proportion of individuals are </w:t>
      </w:r>
      <w:r w:rsidR="00434670">
        <w:t>harmed</w:t>
      </w:r>
      <w:r w:rsidR="005D5881">
        <w:t xml:space="preserve"> may be greater than the sum of </w:t>
      </w:r>
      <w:r w:rsidR="00AA73EE">
        <w:t>per-</w:t>
      </w:r>
      <w:r w:rsidR="00BB1A2E">
        <w:t xml:space="preserve">person </w:t>
      </w:r>
      <w:r w:rsidR="00A340B9">
        <w:t xml:space="preserve">cost estimates </w:t>
      </w:r>
      <w:r w:rsidR="005B7202">
        <w:t>derived from broader populations</w:t>
      </w:r>
      <w:r w:rsidR="004C6CF4">
        <w:t xml:space="preserve">. For example, a family </w:t>
      </w:r>
      <w:r w:rsidR="00B503A7">
        <w:t>w</w:t>
      </w:r>
      <w:r w:rsidR="00383528">
        <w:t>ith two</w:t>
      </w:r>
      <w:r w:rsidR="00383528" w:rsidRPr="00383528">
        <w:t xml:space="preserve"> members </w:t>
      </w:r>
      <w:r w:rsidR="00383528">
        <w:t xml:space="preserve">who have been </w:t>
      </w:r>
      <w:r w:rsidR="00383528" w:rsidRPr="00383528">
        <w:t xml:space="preserve">harmed </w:t>
      </w:r>
      <w:r w:rsidR="00383528">
        <w:t xml:space="preserve">or killed </w:t>
      </w:r>
      <w:r w:rsidR="00383528" w:rsidRPr="00383528">
        <w:t>in a car accident caused by a person intoxicated with alcohol</w:t>
      </w:r>
      <w:r w:rsidR="00383528">
        <w:t xml:space="preserve"> </w:t>
      </w:r>
      <w:r w:rsidR="00B503A7">
        <w:t xml:space="preserve">may experience more than double the harm </w:t>
      </w:r>
      <w:r w:rsidR="00AC73BC">
        <w:t xml:space="preserve">that is experienced in a family </w:t>
      </w:r>
      <w:r w:rsidR="00383528">
        <w:t>where one member has been harmed or killed in this way</w:t>
      </w:r>
      <w:r w:rsidR="00AC73BC">
        <w:t xml:space="preserve">. At a community level, </w:t>
      </w:r>
      <w:r w:rsidR="00AA73EE">
        <w:t xml:space="preserve">a </w:t>
      </w:r>
      <w:r w:rsidR="00D951AF">
        <w:t xml:space="preserve">higher prevalence of alcohol harms may </w:t>
      </w:r>
      <w:r w:rsidR="009053EF">
        <w:t xml:space="preserve">require more than proportionate resources to address. </w:t>
      </w:r>
    </w:p>
    <w:p w14:paraId="38446CD0" w14:textId="77777777" w:rsidR="0037153B" w:rsidRDefault="00300174" w:rsidP="006E1A04">
      <w:pPr>
        <w:pStyle w:val="USBodyText"/>
      </w:pPr>
      <w:r>
        <w:t xml:space="preserve">At this point in time, these issues remain largely </w:t>
      </w:r>
      <w:r w:rsidR="00C435F1">
        <w:t xml:space="preserve">qualitative due to </w:t>
      </w:r>
      <w:r w:rsidR="0037153B">
        <w:t>significant gaps in the evidence regarding:</w:t>
      </w:r>
    </w:p>
    <w:p w14:paraId="10466CBC" w14:textId="77777777" w:rsidR="0037153B" w:rsidRDefault="00C435F1">
      <w:pPr>
        <w:pStyle w:val="USBullet1"/>
      </w:pPr>
      <w:r>
        <w:t xml:space="preserve">the </w:t>
      </w:r>
      <w:r w:rsidR="00FA7051">
        <w:t xml:space="preserve">private costs of harms </w:t>
      </w:r>
    </w:p>
    <w:p w14:paraId="649CDBA8" w14:textId="7DE45724" w:rsidR="0037153B" w:rsidRDefault="001C4804">
      <w:pPr>
        <w:pStyle w:val="USBullet1"/>
      </w:pPr>
      <w:r>
        <w:t xml:space="preserve">the impacts on </w:t>
      </w:r>
      <w:r w:rsidR="0053229C">
        <w:t>whānau</w:t>
      </w:r>
      <w:r>
        <w:t xml:space="preserve"> and communities where the prevalence of alcohol harms </w:t>
      </w:r>
      <w:r w:rsidR="00EF2A46">
        <w:t>is</w:t>
      </w:r>
      <w:r>
        <w:t xml:space="preserve"> </w:t>
      </w:r>
      <w:proofErr w:type="gramStart"/>
      <w:r>
        <w:t>greater</w:t>
      </w:r>
      <w:proofErr w:type="gramEnd"/>
    </w:p>
    <w:p w14:paraId="6F47610E" w14:textId="0192588B" w:rsidR="001C4804" w:rsidRDefault="001C4804">
      <w:pPr>
        <w:pStyle w:val="USBullet1"/>
      </w:pPr>
      <w:r>
        <w:t xml:space="preserve">the costs associated with a cultural response to alcohol harms, which are often borne by </w:t>
      </w:r>
      <w:r w:rsidR="0053229C">
        <w:t>whānau</w:t>
      </w:r>
      <w:r w:rsidR="00EF2A46">
        <w:t>.</w:t>
      </w:r>
    </w:p>
    <w:p w14:paraId="701E90B5" w14:textId="78C62596" w:rsidR="006E1A04" w:rsidRDefault="006E1A04" w:rsidP="00C17B82">
      <w:pPr>
        <w:pStyle w:val="Heading2"/>
      </w:pPr>
      <w:bookmarkStart w:id="247" w:name="_Toc160633878"/>
      <w:r>
        <w:t xml:space="preserve">The strength of the evidence base for costs of alcohol harms indicates a need for ongoing research and a cross-sectoral </w:t>
      </w:r>
      <w:proofErr w:type="gramStart"/>
      <w:r>
        <w:t>approach</w:t>
      </w:r>
      <w:bookmarkEnd w:id="247"/>
      <w:proofErr w:type="gramEnd"/>
    </w:p>
    <w:p w14:paraId="5FA27054" w14:textId="0D7125CC" w:rsidR="006E1A04" w:rsidRDefault="006E1A04" w:rsidP="006E1A04">
      <w:pPr>
        <w:pStyle w:val="USBodyText"/>
      </w:pPr>
      <w:r>
        <w:t>The costs of alcohol harms are challenging to estimate due to the wide range of evidence and data needed. While we have focused on key areas where recent, New Zealand evidence is available, overall, the evidence base for this type of report has significant areas of weakness. While there is hope that more robust estimation is becoming possible with the emergence of local evidence on causal attribution in particular, currently the recent New Zealand-specific evidence base often consists of a single study supporting each area of harm or cost domain. Assessment of the quality of these published studies was outside th</w:t>
      </w:r>
      <w:r w:rsidR="008A2199">
        <w:t>is project's scope</w:t>
      </w:r>
      <w:r>
        <w:t xml:space="preserve">, but even a </w:t>
      </w:r>
      <w:proofErr w:type="gramStart"/>
      <w:r>
        <w:t>high quality</w:t>
      </w:r>
      <w:proofErr w:type="gramEnd"/>
      <w:r>
        <w:t xml:space="preserve"> study of a complex issue </w:t>
      </w:r>
      <w:r w:rsidR="00054614">
        <w:t>does not provide a strong</w:t>
      </w:r>
      <w:r>
        <w:t xml:space="preserve"> evidence base. </w:t>
      </w:r>
    </w:p>
    <w:p w14:paraId="75BC3B07" w14:textId="77777777" w:rsidR="006E1A04" w:rsidRDefault="006E1A04" w:rsidP="006E1A04">
      <w:pPr>
        <w:pStyle w:val="USBodyText"/>
      </w:pPr>
      <w:r>
        <w:t>All costs estimated in this report should be considered in this context. In future, with the emergence of new studies, the evidence and robustness of estimated costs may be expected to improve.</w:t>
      </w:r>
    </w:p>
    <w:p w14:paraId="513166B1" w14:textId="77777777" w:rsidR="006E1A04" w:rsidRDefault="006E1A04" w:rsidP="006E1A04">
      <w:pPr>
        <w:pStyle w:val="USBodyText"/>
      </w:pPr>
      <w:r>
        <w:t xml:space="preserve">In addition to highlighting the need for ongoing research into the harms associated with alcohol and alcohol’s specific contribution to these harms, the report’s major areas of evidence gaps point to a need for a cross-sectoral approach to ensuring the data collected </w:t>
      </w:r>
      <w:r>
        <w:lastRenderedPageBreak/>
        <w:t>by public sector agencies supports research, particularly health, social development and justice sector data. These sectors could work together to improve the evidence base for alcohol harms and their costs.</w:t>
      </w:r>
    </w:p>
    <w:p w14:paraId="45A7535B" w14:textId="3D501FD2" w:rsidR="006E3E82" w:rsidRDefault="00212B1D" w:rsidP="006E3E82">
      <w:pPr>
        <w:pStyle w:val="Heading2"/>
      </w:pPr>
      <w:bookmarkStart w:id="248" w:name="_Toc160633879"/>
      <w:r>
        <w:t>Making use of this report</w:t>
      </w:r>
      <w:bookmarkEnd w:id="248"/>
    </w:p>
    <w:p w14:paraId="5DE5A4BA" w14:textId="48C3B41D" w:rsidR="006E1A04" w:rsidRDefault="006E1A04" w:rsidP="006E1A04">
      <w:pPr>
        <w:pStyle w:val="USBodyText"/>
      </w:pPr>
      <w:r>
        <w:t xml:space="preserve">This report sought to update the evidence on </w:t>
      </w:r>
      <w:r w:rsidR="008A2199">
        <w:t xml:space="preserve">the </w:t>
      </w:r>
      <w:r>
        <w:t xml:space="preserve">costs of alcohol harms using updated evidence on harms and costs. Notwithstanding the important limitations of the report </w:t>
      </w:r>
      <w:r w:rsidR="008739BB">
        <w:t>as an</w:t>
      </w:r>
      <w:r>
        <w:t xml:space="preserve"> assessment of costs of alcohol harms, this report should nevertheless be of interest to policymakers because it:</w:t>
      </w:r>
    </w:p>
    <w:p w14:paraId="4DED6204" w14:textId="16E18E6F" w:rsidR="006E1A04" w:rsidRDefault="006E1A04" w:rsidP="006E1A04">
      <w:pPr>
        <w:pStyle w:val="USBullet1"/>
      </w:pPr>
      <w:r>
        <w:t>describes the most up</w:t>
      </w:r>
      <w:r w:rsidR="008A2199">
        <w:t>-to-</w:t>
      </w:r>
      <w:r>
        <w:t xml:space="preserve">date evidence and data on alcohol harms and their </w:t>
      </w:r>
      <w:proofErr w:type="gramStart"/>
      <w:r>
        <w:t>costs</w:t>
      </w:r>
      <w:proofErr w:type="gramEnd"/>
    </w:p>
    <w:p w14:paraId="26D60341" w14:textId="047B232D" w:rsidR="006E1A04" w:rsidRDefault="006E1A04" w:rsidP="006E1A04">
      <w:pPr>
        <w:pStyle w:val="USBullet1"/>
      </w:pPr>
      <w:r>
        <w:t>demonstrate</w:t>
      </w:r>
      <w:r w:rsidR="008739BB">
        <w:t>s</w:t>
      </w:r>
      <w:r>
        <w:t xml:space="preserve"> the significant evidence gaps on alcohol harms and their </w:t>
      </w:r>
      <w:proofErr w:type="gramStart"/>
      <w:r>
        <w:t>costs</w:t>
      </w:r>
      <w:proofErr w:type="gramEnd"/>
    </w:p>
    <w:p w14:paraId="697D1ED2" w14:textId="7D008634" w:rsidR="00B85511" w:rsidRDefault="006E1A04" w:rsidP="006E1A04">
      <w:pPr>
        <w:pStyle w:val="USBullet1"/>
      </w:pPr>
      <w:r>
        <w:t xml:space="preserve">shows how recent ground-breaking New Zealand research </w:t>
      </w:r>
      <w:r w:rsidR="00A25753">
        <w:t xml:space="preserve">on some specific alcohol harms </w:t>
      </w:r>
      <w:r>
        <w:t xml:space="preserve">has substantially improved the evidence base </w:t>
      </w:r>
      <w:r w:rsidR="00A25753">
        <w:t xml:space="preserve">for those harms </w:t>
      </w:r>
      <w:r>
        <w:t>and how this can be translated into an improved understanding of the costs of alcohol harms</w:t>
      </w:r>
      <w:r w:rsidR="00C061C6">
        <w:t xml:space="preserve"> in those </w:t>
      </w:r>
      <w:proofErr w:type="gramStart"/>
      <w:r w:rsidR="00C061C6">
        <w:t>areas</w:t>
      </w:r>
      <w:proofErr w:type="gramEnd"/>
    </w:p>
    <w:p w14:paraId="7B47993F" w14:textId="2DAD9D7C" w:rsidR="006E1A04" w:rsidRDefault="00B85511" w:rsidP="006E1A04">
      <w:pPr>
        <w:pStyle w:val="USBullet1"/>
      </w:pPr>
      <w:r>
        <w:t>highlights the areas where stronger evidence is needed</w:t>
      </w:r>
      <w:r w:rsidR="0066730B">
        <w:t xml:space="preserve"> due to the potential magnitude of some cost dimensions and their impact on total </w:t>
      </w:r>
      <w:proofErr w:type="gramStart"/>
      <w:r w:rsidR="0066730B">
        <w:t>costs</w:t>
      </w:r>
      <w:proofErr w:type="gramEnd"/>
      <w:r w:rsidR="006E1A04">
        <w:t xml:space="preserve"> </w:t>
      </w:r>
    </w:p>
    <w:p w14:paraId="04CEEE6A" w14:textId="77777777" w:rsidR="006E1A04" w:rsidRDefault="006E1A04" w:rsidP="006E1A04">
      <w:pPr>
        <w:pStyle w:val="USBullet1"/>
      </w:pPr>
      <w:r>
        <w:t xml:space="preserve">illustrates the wide range of impacts across New Zealand society and the challenges of identifying the full range of </w:t>
      </w:r>
      <w:proofErr w:type="gramStart"/>
      <w:r>
        <w:t>costs</w:t>
      </w:r>
      <w:proofErr w:type="gramEnd"/>
    </w:p>
    <w:p w14:paraId="7C2DF533" w14:textId="66220041" w:rsidR="005A6F92" w:rsidRDefault="005A6F92" w:rsidP="006E1A04">
      <w:pPr>
        <w:pStyle w:val="USBullet1"/>
      </w:pPr>
      <w:r>
        <w:t xml:space="preserve">quantifies and brings together a range of statistics on </w:t>
      </w:r>
      <w:r w:rsidR="00634092">
        <w:t>alcohol-</w:t>
      </w:r>
      <w:r>
        <w:t>related harms</w:t>
      </w:r>
      <w:r w:rsidR="001D04AC">
        <w:t xml:space="preserve">, which helps the understanding of the broad human and societal impact of these </w:t>
      </w:r>
      <w:proofErr w:type="gramStart"/>
      <w:r w:rsidR="001D04AC">
        <w:t>harms</w:t>
      </w:r>
      <w:proofErr w:type="gramEnd"/>
    </w:p>
    <w:p w14:paraId="119D1AF9" w14:textId="77777777" w:rsidR="006E1A04" w:rsidRDefault="006E1A04" w:rsidP="006E1A04">
      <w:pPr>
        <w:pStyle w:val="USBullet1"/>
      </w:pPr>
      <w:r>
        <w:t xml:space="preserve">allows the opportunity presented by key areas of avoidable harms to be better understood and inform policy decisions about </w:t>
      </w:r>
      <w:proofErr w:type="gramStart"/>
      <w:r>
        <w:t>interventions</w:t>
      </w:r>
      <w:proofErr w:type="gramEnd"/>
    </w:p>
    <w:p w14:paraId="53207A5A" w14:textId="77777777" w:rsidR="006E1A04" w:rsidRDefault="006E1A04" w:rsidP="006E1A04">
      <w:pPr>
        <w:pStyle w:val="USBullet1"/>
      </w:pPr>
      <w:r>
        <w:t xml:space="preserve">highlights that relatively little is known about the private costs of alcohol harms, which has significant equity implications due to the disproportionate harm being experienced by </w:t>
      </w:r>
      <w:proofErr w:type="gramStart"/>
      <w:r>
        <w:t>Māori</w:t>
      </w:r>
      <w:proofErr w:type="gramEnd"/>
      <w:r>
        <w:t xml:space="preserve"> </w:t>
      </w:r>
    </w:p>
    <w:p w14:paraId="2002BBDE" w14:textId="2A5ECBA9" w:rsidR="006E1A04" w:rsidRPr="00763BB3" w:rsidRDefault="006E1A04" w:rsidP="006E1A04">
      <w:pPr>
        <w:pStyle w:val="USBullet1"/>
      </w:pPr>
      <w:r>
        <w:t xml:space="preserve">confirms the </w:t>
      </w:r>
      <w:r w:rsidR="00B112DB">
        <w:t>very</w:t>
      </w:r>
      <w:r>
        <w:t xml:space="preserve"> high cost of alcohol harms in New Zealand from both a societal perspective and from a government perspective, especially when significant underestimation is known (</w:t>
      </w:r>
      <w:proofErr w:type="gramStart"/>
      <w:r>
        <w:t>e.g.</w:t>
      </w:r>
      <w:proofErr w:type="gramEnd"/>
      <w:r>
        <w:t xml:space="preserve"> the alcohol-attributable costs of government services and programmes).</w:t>
      </w:r>
    </w:p>
    <w:p w14:paraId="7D529BC2" w14:textId="44FCF414" w:rsidR="002D26AB" w:rsidRPr="00763BB3" w:rsidRDefault="0081348F" w:rsidP="0081348F">
      <w:pPr>
        <w:pStyle w:val="USBodyText"/>
      </w:pPr>
      <w:r>
        <w:fldChar w:fldCharType="begin"/>
      </w:r>
      <w:r>
        <w:instrText xml:space="preserve"> REF _Ref158567726 \r \h </w:instrText>
      </w:r>
      <w:r>
        <w:fldChar w:fldCharType="separate"/>
      </w:r>
      <w:r w:rsidR="00AE166D">
        <w:t>Appendix G</w:t>
      </w:r>
      <w:r>
        <w:fldChar w:fldCharType="end"/>
      </w:r>
      <w:r w:rsidR="002D26AB">
        <w:t xml:space="preserve"> presents a summary table of the evidence gaps currently preventing a comprehensive</w:t>
      </w:r>
      <w:r>
        <w:t xml:space="preserve"> assessment of the costs of alcohol harms in New Zealand.</w:t>
      </w:r>
    </w:p>
    <w:p w14:paraId="7CDBF7F7" w14:textId="42256D65" w:rsidR="00212B1D" w:rsidRDefault="00252086" w:rsidP="00212B1D">
      <w:pPr>
        <w:pStyle w:val="Heading4"/>
      </w:pPr>
      <w:r>
        <w:t>Decision-makers should consider not only costs but also the extent to which they</w:t>
      </w:r>
      <w:r w:rsidR="00212B1D">
        <w:t xml:space="preserve"> can be </w:t>
      </w:r>
      <w:proofErr w:type="gramStart"/>
      <w:r w:rsidR="00212B1D">
        <w:t>avoided</w:t>
      </w:r>
      <w:proofErr w:type="gramEnd"/>
    </w:p>
    <w:p w14:paraId="1DC4C887" w14:textId="57096408" w:rsidR="00212B1D" w:rsidRDefault="00212B1D" w:rsidP="00212B1D">
      <w:pPr>
        <w:pStyle w:val="USBodyText"/>
      </w:pPr>
      <w:r>
        <w:t xml:space="preserve">In this report, we estimated social and economic costs attributable to alcohol across a range of domains. For policy decisions, these estimates should be considered against </w:t>
      </w:r>
      <w:r w:rsidR="00CD64E1">
        <w:t>four</w:t>
      </w:r>
      <w:r>
        <w:t xml:space="preserve"> important questions:</w:t>
      </w:r>
    </w:p>
    <w:p w14:paraId="5E0B5082" w14:textId="5B1B07D4" w:rsidR="00083404" w:rsidRDefault="00083404" w:rsidP="00212B1D">
      <w:pPr>
        <w:pStyle w:val="USBullet1"/>
      </w:pPr>
      <w:r>
        <w:t xml:space="preserve">What is the full range of activities undertaken across the public sector and by NGOs to </w:t>
      </w:r>
      <w:r w:rsidR="00553D91">
        <w:t>minimise or address alcohol harms?</w:t>
      </w:r>
    </w:p>
    <w:p w14:paraId="214D9805" w14:textId="74D30247" w:rsidR="00212B1D" w:rsidRDefault="00212B1D" w:rsidP="00212B1D">
      <w:pPr>
        <w:pStyle w:val="USBullet1"/>
      </w:pPr>
      <w:r>
        <w:t>How cost-effective are current programmes and services in reducing harms?</w:t>
      </w:r>
    </w:p>
    <w:p w14:paraId="38CDBB67" w14:textId="77777777" w:rsidR="00212B1D" w:rsidRDefault="00212B1D" w:rsidP="00212B1D">
      <w:pPr>
        <w:pStyle w:val="USBullet1"/>
      </w:pPr>
      <w:r>
        <w:lastRenderedPageBreak/>
        <w:t>What fraction of harms is potentially avoidable through effective regulation, programmes and services?</w:t>
      </w:r>
    </w:p>
    <w:p w14:paraId="68C8F3D4" w14:textId="3A7A588C" w:rsidR="00CD64E1" w:rsidRDefault="00553D91" w:rsidP="00212B1D">
      <w:pPr>
        <w:pStyle w:val="USBullet1"/>
      </w:pPr>
      <w:r>
        <w:t xml:space="preserve">What is the most efficient approach to raising revenue to </w:t>
      </w:r>
      <w:r w:rsidR="00F26289">
        <w:t xml:space="preserve">minimise or </w:t>
      </w:r>
      <w:r>
        <w:t xml:space="preserve">address </w:t>
      </w:r>
      <w:r w:rsidR="00F26289">
        <w:t xml:space="preserve">alcohol </w:t>
      </w:r>
      <w:r>
        <w:t>harms?</w:t>
      </w:r>
    </w:p>
    <w:p w14:paraId="64BAC71A" w14:textId="77777777" w:rsidR="00B31DE6" w:rsidRDefault="00F26289" w:rsidP="00212B1D">
      <w:pPr>
        <w:pStyle w:val="USBodyText"/>
      </w:pPr>
      <w:r>
        <w:t xml:space="preserve">A stocktake of the full range of </w:t>
      </w:r>
      <w:r w:rsidR="009558DA">
        <w:t xml:space="preserve">activities across the public sector and NGOs </w:t>
      </w:r>
      <w:r w:rsidR="00212B1D">
        <w:t xml:space="preserve">is needed to answer the first question. The second question requires </w:t>
      </w:r>
      <w:r w:rsidR="009558DA">
        <w:t>a</w:t>
      </w:r>
      <w:r w:rsidR="009558DA" w:rsidRPr="009558DA">
        <w:t>n evaluation of programmes and services</w:t>
      </w:r>
      <w:r w:rsidR="00B31DE6">
        <w:t xml:space="preserve">. </w:t>
      </w:r>
    </w:p>
    <w:p w14:paraId="479B321D" w14:textId="2C26BA03" w:rsidR="00212B1D" w:rsidRDefault="00B31DE6" w:rsidP="00212B1D">
      <w:pPr>
        <w:pStyle w:val="USBodyText"/>
      </w:pPr>
      <w:r>
        <w:t>The third question requires</w:t>
      </w:r>
      <w:r w:rsidR="009558DA" w:rsidRPr="009558DA">
        <w:t xml:space="preserve"> </w:t>
      </w:r>
      <w:r w:rsidR="00212B1D">
        <w:t xml:space="preserve">evidence of the impact of effective programmes, which can then be monetised and considered against the estimated costs of harms to understand the potential value of investment to reduce harms caused by alcohol. Previously published research </w:t>
      </w:r>
      <w:r w:rsidR="00212B1D">
        <w:fldChar w:fldCharType="begin"/>
      </w:r>
      <w:r w:rsidR="00F244F6">
        <w:instrText xml:space="preserve"> ADDIN ZOTERO_ITEM CSL_CITATION {"citationID":"cUzHupvA","properties":{"custom":"(Chambers et al. 2023)","formattedCitation":"(Chambers et al. 2023)","plainCitation":"(Chambers et al. 2023)","noteIndex":0},"citationItems":[{"id":71436,"uris":["http://zotero.org/groups/4988515/items/NPCN76TR"],"itemData":{"id":71436,"type":"article-journal","abstract":"AIMS: To estimate the health impacts of key modelled alcohol interventions among Māori (indigenous peoples) and non-Māori in New Zealand (NZ).\nDESIGN: Multi-stage life-table intervention modelling study. We modelled two scenarios: (1) business-as-usual (BAU); and (2) an intervention package scenario that included a 50% alcohol tax increase, outlet density reduction from 63 to five outlets per 100 000 people, outlet hours reduction from 112 to 50 per week and a complete ban on all forms of alcohol marketing.\nSETTING AND PARTICIPANTS: The model's population replicates the 2018 NZ population by ethnicity (Māori/non-Māori), age and sex.\nMEASUREMENTS: Alcohol consumption was estimated using nationally representative survey data combined with sales data and corrected for tourist and unrecorded consumption. Disease incidence, prevalence and mortality were calculated using Ministry of Health data. We used dose-response relationships between alcohol and illness from the 2016 Global Burden of Disease study and calculated disability rates for each illness. Changes in consumption were based on the following effect sizes: total intervention package [-30.3%, standard deviation (SD) = 0.02); tax (-7.60%, SD = 0.01); outlet density (-8.64%, SD = 0.01); outlet hours (-9.24%, SD = 0.01); and marketing (-8.98%, SD = 0.02). We measured health gain using health-adjusted life years (HALYs) and life expectancy.\nFINDINGS: Compared with the BAU scenario, the total alcohol intervention package resulted in 726 000 [95% uncertainty interval (UI) = 492 000-913 000] HALYs gained during the life-time of the modelled population. Māori experienced greater HALY gains compared with non-Māori (0.21, 95% UI = 0.14-0.26 and 0.16, 95% UI = 0.11-0.20, respectively). When modelled individually, each alcohol intervention within the intervention package produced similar health gains (~200 000 HALYs per intervention) owing to the similar effect sizes.\nCONCLUSIONS: Modelled interventions for increased alcohol tax, reduced availability of alcohol and a ban on alcohol marketing among Māori and non-Māori in New Zealand (NZ) suggest substantial population-wide health gains and reduced health inequities between Māori and non-Māori.","container-title":"Addiction (Abingdon, England)","DOI":"10.1111/add.16331","ISSN":"1360-0443","journalAbbreviation":"Addiction","language":"eng","note":"PMID: 37649140","source":"PubMed","title":"The estimated health impact of alcohol interventions in New Zealand: A modelling study","title-short":"The estimated health impact of alcohol interventions in New Zealand","author":[{"family":"Chambers","given":"Tim"},{"family":"Mizdrak","given":"Anja"},{"family":"Herbert","given":"Sarah"},{"family":"Davies","given":"Anna"},{"family":"Jones","given":"Amanda"}],"issued":{"date-parts":[["2023",8,30]]}}}],"schema":"https://github.com/citation-style-language/schema/raw/master/csl-citation.json"} </w:instrText>
      </w:r>
      <w:r w:rsidR="00212B1D">
        <w:fldChar w:fldCharType="separate"/>
      </w:r>
      <w:r w:rsidR="00212B1D" w:rsidRPr="00CC0F5A">
        <w:rPr>
          <w:rFonts w:cs="Calibri"/>
        </w:rPr>
        <w:t>(Chambers et al. 2023)</w:t>
      </w:r>
      <w:r w:rsidR="00212B1D">
        <w:fldChar w:fldCharType="end"/>
      </w:r>
      <w:r w:rsidR="00212B1D" w:rsidRPr="00A036A4">
        <w:t xml:space="preserve"> </w:t>
      </w:r>
      <w:r w:rsidR="00212B1D">
        <w:t xml:space="preserve">has estimated that an effective intervention package, including </w:t>
      </w:r>
      <w:r w:rsidR="00212B1D" w:rsidRPr="00746AA4">
        <w:t>a 50</w:t>
      </w:r>
      <w:r w:rsidR="000329CB">
        <w:t xml:space="preserve"> percent</w:t>
      </w:r>
      <w:r w:rsidR="000329CB" w:rsidRPr="00746AA4">
        <w:t xml:space="preserve"> </w:t>
      </w:r>
      <w:r w:rsidR="00212B1D" w:rsidRPr="00746AA4">
        <w:t>alcohol tax increase</w:t>
      </w:r>
      <w:r w:rsidR="000329CB">
        <w:t>,</w:t>
      </w:r>
      <w:r w:rsidR="006047DD" w:rsidRPr="00CD19C4">
        <w:rPr>
          <w:rStyle w:val="FootnoteReference"/>
        </w:rPr>
        <w:footnoteReference w:id="18"/>
      </w:r>
      <w:r w:rsidR="00212B1D" w:rsidRPr="00746AA4">
        <w:t xml:space="preserve"> outlet density reduction from 63 to five outlets per 100</w:t>
      </w:r>
      <w:r w:rsidR="000329CB">
        <w:t>,</w:t>
      </w:r>
      <w:r w:rsidR="00212B1D" w:rsidRPr="00746AA4">
        <w:t>000 people, outlet hours reduction from 112 to 50 per week and a complete ban on all forms of alcohol marketing</w:t>
      </w:r>
      <w:r w:rsidR="00212B1D">
        <w:t>, could reduce alcohol-related harms but would not eliminate them. Relatively little is known about the potential impacts of services and programmes funded by the Ministry of Health through the Alcohol Levy or otherwise.</w:t>
      </w:r>
    </w:p>
    <w:p w14:paraId="06325340" w14:textId="27792CA2" w:rsidR="00B061D6" w:rsidRDefault="00B061D6" w:rsidP="00212B1D">
      <w:pPr>
        <w:pStyle w:val="USBodyText"/>
      </w:pPr>
      <w:r>
        <w:t xml:space="preserve">Finally, the fourth question requires consideration of the </w:t>
      </w:r>
      <w:r w:rsidR="00C438BD">
        <w:t xml:space="preserve">overall revenue raising and funding allocation process with regards to alcohol and alcohol-related </w:t>
      </w:r>
      <w:r w:rsidR="00E97006">
        <w:t>programmes and services.</w:t>
      </w:r>
    </w:p>
    <w:p w14:paraId="1957A27C" w14:textId="532264BD" w:rsidR="00FE66AA" w:rsidRDefault="00820004" w:rsidP="00D51E69">
      <w:pPr>
        <w:pStyle w:val="Heading4"/>
      </w:pPr>
      <w:r>
        <w:t xml:space="preserve">The Alcohol Levy and </w:t>
      </w:r>
      <w:r w:rsidR="005F6223">
        <w:t xml:space="preserve">the activities it funds exist within a broader </w:t>
      </w:r>
      <w:proofErr w:type="gramStart"/>
      <w:r w:rsidR="005F6223">
        <w:t>context</w:t>
      </w:r>
      <w:proofErr w:type="gramEnd"/>
    </w:p>
    <w:p w14:paraId="5A12CFF3" w14:textId="48379237" w:rsidR="005F6223" w:rsidRDefault="005F6223" w:rsidP="005F6223">
      <w:pPr>
        <w:pStyle w:val="USBodyText"/>
      </w:pPr>
      <w:r>
        <w:t>While this report has focused on costs of harms that were identified as relevant, or potentially relevant</w:t>
      </w:r>
      <w:r w:rsidR="001D1319">
        <w:t xml:space="preserve">, from the point of view of the Alcohol Levy, decisions regarding the Levy and the activities it funds should also </w:t>
      </w:r>
      <w:proofErr w:type="gramStart"/>
      <w:r w:rsidR="001D1319">
        <w:t>take into account</w:t>
      </w:r>
      <w:proofErr w:type="gramEnd"/>
      <w:r w:rsidR="001D1319">
        <w:t xml:space="preserve"> the broader context. This includes the alcohol excise tax as a demand moderating instrument, </w:t>
      </w:r>
      <w:r w:rsidR="00BB3980">
        <w:t xml:space="preserve">activities addressing alcohol harms undertaken by other agencies and </w:t>
      </w:r>
      <w:r w:rsidR="00623EDA">
        <w:t xml:space="preserve">NGOs, and secondary prevention </w:t>
      </w:r>
      <w:r w:rsidR="00E71F28">
        <w:t xml:space="preserve">activities funded through other revenue sources. </w:t>
      </w:r>
    </w:p>
    <w:p w14:paraId="3A49B6DE" w14:textId="38CF3B1F" w:rsidR="00E71F28" w:rsidRPr="005F6223" w:rsidRDefault="00E71F28" w:rsidP="005F6223">
      <w:pPr>
        <w:pStyle w:val="USBodyText"/>
      </w:pPr>
      <w:r>
        <w:t xml:space="preserve">A key objective for government should be </w:t>
      </w:r>
      <w:r w:rsidR="00917724">
        <w:t xml:space="preserve">a cohesive </w:t>
      </w:r>
      <w:r w:rsidR="00163201">
        <w:t>and coordinated approach to optimise not just the level of investment, but the collection of revenue</w:t>
      </w:r>
      <w:r w:rsidR="006A11CD">
        <w:t xml:space="preserve">, the prioritisation of investments, and the optimisation of roles and responsibilities </w:t>
      </w:r>
      <w:r w:rsidR="006075F8">
        <w:t>across agencies and stakeholders.</w:t>
      </w:r>
    </w:p>
    <w:p w14:paraId="03DBB0A8" w14:textId="6462542C" w:rsidR="00A83885" w:rsidRDefault="00605E81" w:rsidP="00D51E69">
      <w:pPr>
        <w:pStyle w:val="Heading4"/>
      </w:pPr>
      <w:r>
        <w:t>Direct e</w:t>
      </w:r>
      <w:r w:rsidR="00D51E69">
        <w:t xml:space="preserve">vidence on alcohol harms </w:t>
      </w:r>
      <w:r w:rsidR="00C37570">
        <w:t xml:space="preserve">remains important alongside estimates of </w:t>
      </w:r>
      <w:proofErr w:type="gramStart"/>
      <w:r w:rsidR="00C37570">
        <w:t>costs</w:t>
      </w:r>
      <w:proofErr w:type="gramEnd"/>
    </w:p>
    <w:p w14:paraId="4711A0B3" w14:textId="5B51273F" w:rsidR="00135DDE" w:rsidRDefault="00EA2B5B" w:rsidP="00A83885">
      <w:pPr>
        <w:pStyle w:val="USBodyText"/>
      </w:pPr>
      <w:r>
        <w:t>A key issue</w:t>
      </w:r>
      <w:r w:rsidR="00135DDE">
        <w:t xml:space="preserve"> is that </w:t>
      </w:r>
      <w:r>
        <w:t>m</w:t>
      </w:r>
      <w:r w:rsidR="00135DDE">
        <w:t>onetising harms</w:t>
      </w:r>
      <w:r w:rsidR="00A83885">
        <w:t>, rather than just quantifying harms across a range of domains,</w:t>
      </w:r>
      <w:r w:rsidR="00135DDE">
        <w:t xml:space="preserve"> comes with the additional uncertainty and potential for </w:t>
      </w:r>
      <w:proofErr w:type="gramStart"/>
      <w:r w:rsidR="00135DDE">
        <w:t>double-counting</w:t>
      </w:r>
      <w:proofErr w:type="gramEnd"/>
      <w:r w:rsidR="00135DDE">
        <w:t xml:space="preserve"> that monetisation introduces. Decision</w:t>
      </w:r>
      <w:r w:rsidR="000329CB">
        <w:t>-</w:t>
      </w:r>
      <w:r w:rsidR="00135DDE">
        <w:t>makers should consider whether decisions may be better informed by considering the extent of the burden across each impact area (</w:t>
      </w:r>
      <w:proofErr w:type="gramStart"/>
      <w:r w:rsidR="00135DDE">
        <w:t>e.g.</w:t>
      </w:r>
      <w:proofErr w:type="gramEnd"/>
      <w:r w:rsidR="00135DDE">
        <w:t xml:space="preserve"> hospitalisations, premature deaths, etc</w:t>
      </w:r>
      <w:r w:rsidR="000329CB">
        <w:t>.</w:t>
      </w:r>
      <w:r w:rsidR="00135DDE">
        <w:t>) rather than by a single monetary figure</w:t>
      </w:r>
      <w:r w:rsidR="00DA0492">
        <w:t xml:space="preserve"> or even the monetary value of each </w:t>
      </w:r>
      <w:r w:rsidR="0079133B">
        <w:t>component</w:t>
      </w:r>
      <w:r w:rsidR="00135DDE">
        <w:t xml:space="preserve">. </w:t>
      </w:r>
      <w:r w:rsidR="00A64D4A">
        <w:t>Either way, considering the direct evidence of harms, their nature, scale and distribution, as well as any trends over time</w:t>
      </w:r>
      <w:r w:rsidR="004D48ED">
        <w:t>, remains important even after harms have been monetised.</w:t>
      </w:r>
    </w:p>
    <w:p w14:paraId="47C62430" w14:textId="35D4FBFE" w:rsidR="007B4C5B" w:rsidRDefault="007B4C5B" w:rsidP="00D51654">
      <w:pPr>
        <w:pStyle w:val="Heading4"/>
      </w:pPr>
      <w:r>
        <w:lastRenderedPageBreak/>
        <w:t>The</w:t>
      </w:r>
      <w:r w:rsidR="00D51654">
        <w:t xml:space="preserve"> optimal</w:t>
      </w:r>
      <w:r>
        <w:t xml:space="preserve"> level of investment </w:t>
      </w:r>
      <w:r w:rsidR="00D51654">
        <w:t>and</w:t>
      </w:r>
      <w:r>
        <w:t xml:space="preserve"> investment priorities may not </w:t>
      </w:r>
      <w:r w:rsidR="00D51654">
        <w:t xml:space="preserve">reflect </w:t>
      </w:r>
      <w:r w:rsidR="000329CB">
        <w:t xml:space="preserve">the </w:t>
      </w:r>
      <w:r w:rsidR="00D51654">
        <w:t xml:space="preserve">costs of </w:t>
      </w:r>
      <w:proofErr w:type="gramStart"/>
      <w:r w:rsidR="00D51654">
        <w:t>harms</w:t>
      </w:r>
      <w:proofErr w:type="gramEnd"/>
    </w:p>
    <w:p w14:paraId="0A4ECDD8" w14:textId="304BCA0E" w:rsidR="00135DDE" w:rsidRDefault="000329CB" w:rsidP="00D51654">
      <w:pPr>
        <w:pStyle w:val="USBodyText"/>
      </w:pPr>
      <w:r>
        <w:t>Cost studies are of limited use when it comes to informing the level of investment that should be made or prioritising investment</w:t>
      </w:r>
      <w:r w:rsidR="00135DDE">
        <w:t xml:space="preserve">. The size of the appropriate investment is less a question of the size of the problem than of the extent to which the cost is avoidable through interventions, the range of investment opportunities, the effectiveness and cost-effectiveness of interventions, and the alternative investment opportunities that may address other issues facing society. </w:t>
      </w:r>
    </w:p>
    <w:p w14:paraId="4665BBF6" w14:textId="65ECE727" w:rsidR="00AD78FB" w:rsidRDefault="00AD78FB" w:rsidP="00AD78FB">
      <w:pPr>
        <w:pStyle w:val="USBodyText"/>
      </w:pPr>
      <w:r>
        <w:t>Cost estimates across the range of harms also may not align with the priorities and aspirations of New Zealand communities due to the lack of data that allows the full private, tangible and intangible impacts of harms to be converted into monetary values.</w:t>
      </w:r>
    </w:p>
    <w:p w14:paraId="1BEF5901" w14:textId="54BA57DC" w:rsidR="0040196C" w:rsidRDefault="0040196C" w:rsidP="0040196C">
      <w:pPr>
        <w:pStyle w:val="Heading4"/>
      </w:pPr>
      <w:r>
        <w:t xml:space="preserve">Costs of harms may not be able to be meaningfully tracked over </w:t>
      </w:r>
      <w:proofErr w:type="gramStart"/>
      <w:r>
        <w:t>time</w:t>
      </w:r>
      <w:proofErr w:type="gramEnd"/>
    </w:p>
    <w:p w14:paraId="0C3B90A4" w14:textId="14F33413" w:rsidR="00135DDE" w:rsidRPr="00CB2E48" w:rsidRDefault="000329CB" w:rsidP="0040196C">
      <w:pPr>
        <w:pStyle w:val="USBodyText"/>
      </w:pPr>
      <w:r>
        <w:t>Decision-</w:t>
      </w:r>
      <w:r w:rsidR="00135DDE">
        <w:t>makers are often interested in tracking a problem over time and understanding trends. While this is often possible by quantifying impacts over time using consistent definitions, cost</w:t>
      </w:r>
      <w:r w:rsidR="00135DDE" w:rsidRPr="00CB2E48">
        <w:t xml:space="preserve"> studies tend not to be comparable over time due to the imperative to incorporate new evidence for a more comprehensive </w:t>
      </w:r>
      <w:r w:rsidR="0040196C">
        <w:t>or</w:t>
      </w:r>
      <w:r w:rsidR="00135DDE">
        <w:t xml:space="preserve"> up-to-date assessment</w:t>
      </w:r>
      <w:r>
        <w:t>,</w:t>
      </w:r>
      <w:r w:rsidR="00135DDE">
        <w:t xml:space="preserve"> dominating the potential benefit of maintaining consistency of approach. This is most likely t</w:t>
      </w:r>
      <w:r w:rsidR="00A5122C">
        <w:t>he case for complex social problems that</w:t>
      </w:r>
      <w:r w:rsidR="00135DDE">
        <w:t xml:space="preserve"> are not well</w:t>
      </w:r>
      <w:r w:rsidR="00A5122C">
        <w:t xml:space="preserve"> </w:t>
      </w:r>
      <w:r w:rsidR="00135DDE">
        <w:t>understood.</w:t>
      </w:r>
      <w:r w:rsidR="00CD31E6">
        <w:t xml:space="preserve"> Additionally, some costs are influenced by current conditions. Productivity costs will vary simply because labour market conditions change</w:t>
      </w:r>
      <w:r w:rsidR="00A5122C">
        <w:t>,</w:t>
      </w:r>
      <w:r w:rsidR="00CD31E6">
        <w:t xml:space="preserve"> and current data on these influence the valuation of lost productivity</w:t>
      </w:r>
      <w:r w:rsidR="007D48B0">
        <w:t>. Measures like lost productive life years lend themselves to more robust time trend analysis. Similarly, estimates of the average cost of keeping a person in prison</w:t>
      </w:r>
      <w:r w:rsidR="00082B85">
        <w:t xml:space="preserve"> may be influenced by the current prison occupancy rate, with lower occupancy resulting in higher average cost</w:t>
      </w:r>
      <w:r w:rsidR="00634701">
        <w:t xml:space="preserve"> – a change that is unrelated to the problem or harm being measured.</w:t>
      </w:r>
    </w:p>
    <w:p w14:paraId="01ECF121" w14:textId="11C0794B" w:rsidR="00634701" w:rsidRPr="00CB2E48" w:rsidRDefault="000D42B1" w:rsidP="000D42B1">
      <w:pPr>
        <w:pStyle w:val="Heading4"/>
      </w:pPr>
      <w:r>
        <w:t xml:space="preserve">Costs of harms are rarely internationally </w:t>
      </w:r>
      <w:proofErr w:type="gramStart"/>
      <w:r>
        <w:t>comparable</w:t>
      </w:r>
      <w:proofErr w:type="gramEnd"/>
    </w:p>
    <w:p w14:paraId="6428ADC1" w14:textId="3FD1119A" w:rsidR="00135DDE" w:rsidRDefault="00135DDE" w:rsidP="000D42B1">
      <w:pPr>
        <w:pStyle w:val="USBodyText"/>
      </w:pPr>
      <w:r>
        <w:t xml:space="preserve">Local cost estimates are often held up against international estimates to support their validity, but international comparability of cost studies is also on shaky ground. Often, different costs have been included due to differences in data availability and definition, </w:t>
      </w:r>
      <w:r w:rsidR="000D42B1">
        <w:t xml:space="preserve"> </w:t>
      </w:r>
      <w:r>
        <w:t xml:space="preserve">local economic conditions </w:t>
      </w:r>
      <w:r w:rsidR="00EB2E7C">
        <w:t>may vary, affecting lost productivity estimates, unit</w:t>
      </w:r>
      <w:r>
        <w:t xml:space="preserve"> costs may differ substantially, different perspectives and methods may be used, and researchers may make radically different decisions regarding the relevance of internal versus external costs and </w:t>
      </w:r>
      <w:r w:rsidR="00EB2E7C">
        <w:t xml:space="preserve">assumptions about </w:t>
      </w:r>
      <w:r>
        <w:t>the counterfactual (which is not always explicit) against which costs are estimated</w:t>
      </w:r>
      <w:r w:rsidR="00DB30A7">
        <w:t xml:space="preserve"> (see</w:t>
      </w:r>
      <w:r w:rsidR="00A03AB4">
        <w:t xml:space="preserve"> </w:t>
      </w:r>
      <w:r w:rsidR="00A03AB4">
        <w:fldChar w:fldCharType="begin"/>
      </w:r>
      <w:r w:rsidR="00A03AB4">
        <w:instrText xml:space="preserve"> REF _Ref158654905 \r \h </w:instrText>
      </w:r>
      <w:r w:rsidR="00A03AB4">
        <w:fldChar w:fldCharType="separate"/>
      </w:r>
      <w:r w:rsidR="00AE166D">
        <w:t>Appendix C</w:t>
      </w:r>
      <w:r w:rsidR="00A03AB4">
        <w:fldChar w:fldCharType="end"/>
      </w:r>
      <w:r w:rsidR="00A03AB4">
        <w:t>).</w:t>
      </w:r>
    </w:p>
    <w:p w14:paraId="266A60CD" w14:textId="77777777" w:rsidR="00AE3651" w:rsidRDefault="00AE3651">
      <w:pPr>
        <w:spacing w:after="160" w:line="259" w:lineRule="auto"/>
        <w:rPr>
          <w:rFonts w:eastAsiaTheme="majorEastAsia" w:cstheme="majorBidi"/>
          <w:b/>
          <w:color w:val="0094C5"/>
          <w:sz w:val="32"/>
          <w:szCs w:val="32"/>
        </w:rPr>
      </w:pPr>
      <w:r>
        <w:br w:type="page"/>
      </w:r>
    </w:p>
    <w:p w14:paraId="4DDE33EB" w14:textId="3DB1087E" w:rsidR="00234B83" w:rsidRPr="007B2188" w:rsidRDefault="00234B83" w:rsidP="00B95BB9">
      <w:pPr>
        <w:pStyle w:val="Heading1"/>
      </w:pPr>
      <w:bookmarkStart w:id="249" w:name="_Toc160633880"/>
      <w:r w:rsidRPr="007B2188">
        <w:lastRenderedPageBreak/>
        <w:t>Recommendations</w:t>
      </w:r>
      <w:bookmarkEnd w:id="249"/>
    </w:p>
    <w:p w14:paraId="35104662" w14:textId="5089631A" w:rsidR="00B95BB9" w:rsidRDefault="0081348F" w:rsidP="00B95BB9">
      <w:pPr>
        <w:pStyle w:val="USBodyText"/>
      </w:pPr>
      <w:r>
        <w:t xml:space="preserve">In light of our </w:t>
      </w:r>
      <w:r w:rsidR="008B492B">
        <w:t xml:space="preserve">review of the recent evidence on alcohol harms and their costs, and the results of our analysis, </w:t>
      </w:r>
      <w:r w:rsidR="00B95BB9">
        <w:t xml:space="preserve">NZIER recommends that </w:t>
      </w:r>
      <w:r w:rsidR="00B95BB9" w:rsidRPr="00730A81">
        <w:t xml:space="preserve">Manatū </w:t>
      </w:r>
      <w:proofErr w:type="spellStart"/>
      <w:r w:rsidR="00B95BB9" w:rsidRPr="00730A81">
        <w:t>Hauora</w:t>
      </w:r>
      <w:r w:rsidR="00B95BB9">
        <w:t>|Ministry</w:t>
      </w:r>
      <w:proofErr w:type="spellEnd"/>
      <w:r w:rsidR="00B95BB9">
        <w:t xml:space="preserve"> of Health:</w:t>
      </w:r>
    </w:p>
    <w:p w14:paraId="4C68FDA9" w14:textId="77777777" w:rsidR="00B95BB9" w:rsidRDefault="00B95BB9" w:rsidP="00B95BB9">
      <w:pPr>
        <w:pStyle w:val="USBullet1"/>
      </w:pPr>
      <w:r>
        <w:t xml:space="preserve">focus decisions regarding the Alcohol Levy and the funding of services and programmes on evidence of impact, cost-effectiveness, and scale of unmet </w:t>
      </w:r>
      <w:proofErr w:type="gramStart"/>
      <w:r>
        <w:t>need</w:t>
      </w:r>
      <w:proofErr w:type="gramEnd"/>
    </w:p>
    <w:p w14:paraId="1307BFA7" w14:textId="77777777" w:rsidR="00E02988" w:rsidRDefault="00B95BB9" w:rsidP="00B95BB9">
      <w:pPr>
        <w:pStyle w:val="USBullet1"/>
      </w:pPr>
      <w:r>
        <w:t>consider using a portion of the Alcohol Levy revenue or other funds to fund</w:t>
      </w:r>
      <w:r w:rsidR="00E02988">
        <w:t>:</w:t>
      </w:r>
    </w:p>
    <w:p w14:paraId="72D810FC" w14:textId="248B58DD" w:rsidR="00B95BB9" w:rsidRDefault="00B95BB9" w:rsidP="00E02988">
      <w:pPr>
        <w:pStyle w:val="USBullet2"/>
      </w:pPr>
      <w:r>
        <w:t>a research programme to fill important evidence gaps regarding alcohol harms in New Zealand, potentially prioritising areas where insufficient recent evidence allows the problem to be quantified or valued, such as:</w:t>
      </w:r>
    </w:p>
    <w:p w14:paraId="66109685" w14:textId="7001830E" w:rsidR="00B95BB9" w:rsidRDefault="00A5122C" w:rsidP="00E02988">
      <w:pPr>
        <w:pStyle w:val="USBullet3"/>
      </w:pPr>
      <w:r>
        <w:t>health-</w:t>
      </w:r>
      <w:r w:rsidR="00B95BB9">
        <w:t xml:space="preserve">related victim impacts of alcohol-attributable crime, such as injuries and mental health </w:t>
      </w:r>
      <w:proofErr w:type="gramStart"/>
      <w:r w:rsidR="00B95BB9">
        <w:t>impacts</w:t>
      </w:r>
      <w:proofErr w:type="gramEnd"/>
      <w:r w:rsidR="00B95BB9">
        <w:t xml:space="preserve"> </w:t>
      </w:r>
    </w:p>
    <w:p w14:paraId="4B15E37E" w14:textId="76E0FCAF" w:rsidR="00E02988" w:rsidRDefault="00B95BB9" w:rsidP="00E02988">
      <w:pPr>
        <w:pStyle w:val="USBullet3"/>
      </w:pPr>
      <w:r>
        <w:t>alcohol-attributable use of outpatient services, mental health services, and aged residential care</w:t>
      </w:r>
    </w:p>
    <w:p w14:paraId="285A6E0F" w14:textId="4607FD45" w:rsidR="00E02988" w:rsidRDefault="00B16D3D" w:rsidP="00E02988">
      <w:pPr>
        <w:pStyle w:val="USBullet2"/>
      </w:pPr>
      <w:r>
        <w:t>activities that provide cost-effective solutions</w:t>
      </w:r>
      <w:r w:rsidR="00AD5116">
        <w:t xml:space="preserve"> in areas where there is strong causal attribution to </w:t>
      </w:r>
      <w:proofErr w:type="gramStart"/>
      <w:r w:rsidR="00AD5116">
        <w:t>alcohol</w:t>
      </w:r>
      <w:proofErr w:type="gramEnd"/>
    </w:p>
    <w:p w14:paraId="225A9C95" w14:textId="60DE2A42" w:rsidR="00B95BB9" w:rsidRDefault="00B95BB9" w:rsidP="00B95BB9">
      <w:pPr>
        <w:pStyle w:val="USBullet1"/>
      </w:pPr>
      <w:r>
        <w:t>collaborate with justice sector agencies</w:t>
      </w:r>
      <w:r w:rsidR="00CB10EF">
        <w:t>, social sector agencies and the Ministry of Education</w:t>
      </w:r>
      <w:r>
        <w:t xml:space="preserve"> to improve the evidence base regarding the </w:t>
      </w:r>
      <w:r w:rsidR="00CB10EF">
        <w:t xml:space="preserve">non-health </w:t>
      </w:r>
      <w:r>
        <w:t>costs of alcohol</w:t>
      </w:r>
      <w:r w:rsidR="00C67462">
        <w:t xml:space="preserve"> </w:t>
      </w:r>
      <w:proofErr w:type="gramStart"/>
      <w:r w:rsidR="00C67462">
        <w:t>harms</w:t>
      </w:r>
      <w:proofErr w:type="gramEnd"/>
    </w:p>
    <w:p w14:paraId="0935B5DB" w14:textId="3DEDE223" w:rsidR="00B95BB9" w:rsidRDefault="00B95BB9" w:rsidP="00B95BB9">
      <w:pPr>
        <w:pStyle w:val="USBullet1"/>
      </w:pPr>
      <w:bookmarkStart w:id="250" w:name="_Hlk158655125"/>
      <w:r>
        <w:t>consider using a portion of the Alcohol Levy revenue or other funds to address problems with a demonstrated strong causal attribution to alcohol, such as FASD where investment in diagnostic and therapeutic services is much needed</w:t>
      </w:r>
      <w:r w:rsidR="00DB50C8">
        <w:t xml:space="preserve"> (to improve outcomes, reduce the private burden of FASD, and </w:t>
      </w:r>
      <w:r w:rsidR="00EE446E">
        <w:t>help fill significant evidence gaps such as the prevalence of FASD in New Zealand)</w:t>
      </w:r>
      <w:r>
        <w:t xml:space="preserve">, including in </w:t>
      </w:r>
      <w:r w:rsidR="00DB50C8">
        <w:t xml:space="preserve">the </w:t>
      </w:r>
      <w:r>
        <w:t xml:space="preserve">youth justice </w:t>
      </w:r>
      <w:r w:rsidR="00DB50C8">
        <w:t xml:space="preserve">system </w:t>
      </w:r>
      <w:r>
        <w:t>and the prison population.</w:t>
      </w:r>
    </w:p>
    <w:bookmarkEnd w:id="250"/>
    <w:p w14:paraId="6C8E4F19" w14:textId="77777777" w:rsidR="00B95BB9" w:rsidRDefault="00B95BB9" w:rsidP="00B95BB9">
      <w:pPr>
        <w:pStyle w:val="USBodyText"/>
      </w:pPr>
    </w:p>
    <w:p w14:paraId="3BF19912" w14:textId="77777777" w:rsidR="00B95BB9" w:rsidRDefault="00B95BB9" w:rsidP="00234B83">
      <w:pPr>
        <w:pStyle w:val="USBodyText"/>
      </w:pPr>
    </w:p>
    <w:p w14:paraId="2CC3DB87" w14:textId="77777777" w:rsidR="008C742A" w:rsidRDefault="008C742A">
      <w:pPr>
        <w:spacing w:after="160" w:line="259" w:lineRule="auto"/>
        <w:rPr>
          <w:highlight w:val="lightGray"/>
        </w:rPr>
      </w:pPr>
      <w:r>
        <w:rPr>
          <w:highlight w:val="lightGray"/>
        </w:rPr>
        <w:br w:type="page"/>
      </w:r>
    </w:p>
    <w:p w14:paraId="7333EBDF" w14:textId="77777777" w:rsidR="008C742A" w:rsidRPr="007B2188" w:rsidRDefault="008C742A" w:rsidP="008C742A">
      <w:pPr>
        <w:pStyle w:val="Heading1"/>
      </w:pPr>
      <w:bookmarkStart w:id="251" w:name="_Toc160633881"/>
      <w:r w:rsidRPr="007B2188">
        <w:lastRenderedPageBreak/>
        <w:t>References</w:t>
      </w:r>
      <w:bookmarkEnd w:id="251"/>
    </w:p>
    <w:p w14:paraId="7DACF946" w14:textId="77777777" w:rsidR="003877BE" w:rsidRDefault="008C742A" w:rsidP="003877BE">
      <w:pPr>
        <w:pStyle w:val="Bibliography"/>
      </w:pPr>
      <w:r>
        <w:rPr>
          <w:highlight w:val="lightGray"/>
        </w:rPr>
        <w:fldChar w:fldCharType="begin"/>
      </w:r>
      <w:r w:rsidR="003877BE">
        <w:rPr>
          <w:highlight w:val="lightGray"/>
        </w:rPr>
        <w:instrText xml:space="preserve"> ADDIN ZOTERO_BIBL {"uncited":[],"omitted":[],"custom":[]} CSL_BIBLIOGRAPHY </w:instrText>
      </w:r>
      <w:r>
        <w:rPr>
          <w:highlight w:val="lightGray"/>
        </w:rPr>
        <w:fldChar w:fldCharType="separate"/>
      </w:r>
      <w:r w:rsidR="003877BE">
        <w:t xml:space="preserve">Abbey, Antonia. 2002. “Alcohol-Related Sexual Assault: A Common Problem among College Students.” </w:t>
      </w:r>
      <w:r w:rsidR="003877BE">
        <w:rPr>
          <w:i/>
          <w:iCs/>
        </w:rPr>
        <w:t>Journal of Studies on Alcohol. Supplement</w:t>
      </w:r>
      <w:r w:rsidR="003877BE">
        <w:t>, no. 14 (March): 118–28. https://doi.org/10.15288/jsas.2002.s14.118.</w:t>
      </w:r>
    </w:p>
    <w:p w14:paraId="6FE3E7D7" w14:textId="77777777" w:rsidR="003877BE" w:rsidRDefault="003877BE" w:rsidP="003877BE">
      <w:pPr>
        <w:pStyle w:val="Bibliography"/>
      </w:pPr>
      <w:r>
        <w:t>Alcohol Healthwatch. n.d. “Alcohol Healthwatch &gt; Issues &amp; Resources &gt; Harm to Māori.” Accessed December 8, 2023. https://www.ahw.org.nz/Issues-Resources/Harm-to-M%C4%81ori.</w:t>
      </w:r>
    </w:p>
    <w:p w14:paraId="15421539" w14:textId="77777777" w:rsidR="003877BE" w:rsidRDefault="003877BE" w:rsidP="003877BE">
      <w:pPr>
        <w:pStyle w:val="Bibliography"/>
      </w:pPr>
      <w:r>
        <w:t xml:space="preserve">Anderson, Benjamin O., Nino </w:t>
      </w:r>
      <w:proofErr w:type="spellStart"/>
      <w:r>
        <w:t>Berdzuli</w:t>
      </w:r>
      <w:proofErr w:type="spellEnd"/>
      <w:r>
        <w:t xml:space="preserve">, Andre </w:t>
      </w:r>
      <w:proofErr w:type="spellStart"/>
      <w:r>
        <w:t>Ilbawi</w:t>
      </w:r>
      <w:proofErr w:type="spellEnd"/>
      <w:r>
        <w:t xml:space="preserve">, </w:t>
      </w:r>
      <w:proofErr w:type="spellStart"/>
      <w:r>
        <w:t>Dévora</w:t>
      </w:r>
      <w:proofErr w:type="spellEnd"/>
      <w:r>
        <w:t xml:space="preserve"> </w:t>
      </w:r>
      <w:proofErr w:type="spellStart"/>
      <w:r>
        <w:t>Kestel</w:t>
      </w:r>
      <w:proofErr w:type="spellEnd"/>
      <w:r>
        <w:t xml:space="preserve">, Hans P. Kluge, </w:t>
      </w:r>
      <w:proofErr w:type="spellStart"/>
      <w:r>
        <w:t>Rüdiger</w:t>
      </w:r>
      <w:proofErr w:type="spellEnd"/>
      <w:r>
        <w:t xml:space="preserve"> </w:t>
      </w:r>
      <w:proofErr w:type="spellStart"/>
      <w:r>
        <w:t>Krech</w:t>
      </w:r>
      <w:proofErr w:type="spellEnd"/>
      <w:r>
        <w:t xml:space="preserve">, </w:t>
      </w:r>
      <w:proofErr w:type="spellStart"/>
      <w:r>
        <w:t>Bente</w:t>
      </w:r>
      <w:proofErr w:type="spellEnd"/>
      <w:r>
        <w:t xml:space="preserve"> Mikkelsen, et al. 2023. “Health and Cancer Risks Associated with Low Levels of Alcohol Consumption.” </w:t>
      </w:r>
      <w:r>
        <w:rPr>
          <w:i/>
          <w:iCs/>
        </w:rPr>
        <w:t>The Lancet Public Health</w:t>
      </w:r>
      <w:r>
        <w:t xml:space="preserve"> 8 (1): e6–7. https://doi.org/10.1016/S2468-2667(22)00317-6.</w:t>
      </w:r>
    </w:p>
    <w:p w14:paraId="2334F7C3" w14:textId="77777777" w:rsidR="003877BE" w:rsidRDefault="003877BE" w:rsidP="003877BE">
      <w:pPr>
        <w:pStyle w:val="Bibliography"/>
      </w:pPr>
      <w:proofErr w:type="spellStart"/>
      <w:r>
        <w:t>Ateara</w:t>
      </w:r>
      <w:proofErr w:type="spellEnd"/>
      <w:r>
        <w:t>-Minster, J, H Guiney, and S Cook. 2020. “</w:t>
      </w:r>
      <w:proofErr w:type="spellStart"/>
      <w:r>
        <w:t>Taeao</w:t>
      </w:r>
      <w:proofErr w:type="spellEnd"/>
      <w:r>
        <w:t xml:space="preserve"> Malama: Alcohol Use in Pacific Peoples. Results from the New Zealand Health Survey &amp; Attitudes and Behaviour towards Alcohol Survey.” Wellington: </w:t>
      </w:r>
      <w:proofErr w:type="spellStart"/>
      <w:r>
        <w:t>Te</w:t>
      </w:r>
      <w:proofErr w:type="spellEnd"/>
      <w:r>
        <w:t xml:space="preserve"> </w:t>
      </w:r>
      <w:proofErr w:type="spellStart"/>
      <w:r>
        <w:t>Hiringa</w:t>
      </w:r>
      <w:proofErr w:type="spellEnd"/>
      <w:r>
        <w:t xml:space="preserve"> Hauora/Health Promotion Agency. https://www.hpa.org.nz/sites/default/files/Taeao%20Malama%20-%20Alcohol%20use%20among%20Pacific%20peoples.pdf.</w:t>
      </w:r>
    </w:p>
    <w:p w14:paraId="4211B554" w14:textId="77777777" w:rsidR="003877BE" w:rsidRDefault="003877BE" w:rsidP="003877BE">
      <w:pPr>
        <w:pStyle w:val="Bibliography"/>
      </w:pPr>
      <w:r>
        <w:t xml:space="preserve">Bagley, Kerryn. 2018. “Responding to FASD: What Social and Community Service Professionals Do in the Absence of Diagnostic Services and Practice Standards.” </w:t>
      </w:r>
      <w:r>
        <w:rPr>
          <w:i/>
          <w:iCs/>
        </w:rPr>
        <w:t>Advances in Dual Diagnosis</w:t>
      </w:r>
      <w:r>
        <w:t xml:space="preserve"> 12 (1/2): 14–26. https://doi.org/10.1108/ADD-05-2018-0007.</w:t>
      </w:r>
    </w:p>
    <w:p w14:paraId="3C6627EA" w14:textId="77777777" w:rsidR="003877BE" w:rsidRDefault="003877BE" w:rsidP="003877BE">
      <w:pPr>
        <w:pStyle w:val="Bibliography"/>
      </w:pPr>
      <w:r>
        <w:t xml:space="preserve">Baumeister, Sebastian E., Anja Schumann, Terry T. </w:t>
      </w:r>
      <w:proofErr w:type="spellStart"/>
      <w:r>
        <w:t>Nakazono</w:t>
      </w:r>
      <w:proofErr w:type="spellEnd"/>
      <w:r>
        <w:t xml:space="preserve">, Dietrich Alte, Nele Friedrich, Ulrich John, and Henry </w:t>
      </w:r>
      <w:proofErr w:type="spellStart"/>
      <w:r>
        <w:t>Völzke</w:t>
      </w:r>
      <w:proofErr w:type="spellEnd"/>
      <w:r>
        <w:t xml:space="preserve">. 2006. “Alcohol Consumption and Out-Patient Services Utilization by Abstainers and Drinkers.” </w:t>
      </w:r>
      <w:r>
        <w:rPr>
          <w:i/>
          <w:iCs/>
        </w:rPr>
        <w:t>Addiction</w:t>
      </w:r>
      <w:r>
        <w:t xml:space="preserve"> 101 (9): 1285–91. https://doi.org/10.1111/j.1360-0443.2006.01538.x.</w:t>
      </w:r>
    </w:p>
    <w:p w14:paraId="36161207" w14:textId="77777777" w:rsidR="003877BE" w:rsidRDefault="003877BE" w:rsidP="003877BE">
      <w:pPr>
        <w:pStyle w:val="Bibliography"/>
      </w:pPr>
      <w:r>
        <w:t xml:space="preserve">Boden, Joseph M., David M. Fergusson, and L. John Horwood. 2012. “Alcohol Misuse and Violent </w:t>
      </w:r>
      <w:proofErr w:type="spellStart"/>
      <w:r>
        <w:t>Behavior</w:t>
      </w:r>
      <w:proofErr w:type="spellEnd"/>
      <w:r>
        <w:t xml:space="preserve">: Findings from a 30-Year Longitudinal Study.” </w:t>
      </w:r>
      <w:r>
        <w:rPr>
          <w:i/>
          <w:iCs/>
        </w:rPr>
        <w:t>Drug and Alcohol Dependence</w:t>
      </w:r>
      <w:r>
        <w:t xml:space="preserve"> 122 (1–2): 135–41. https://doi.org/10.1016/j.drugalcdep.2011.09.023.</w:t>
      </w:r>
    </w:p>
    <w:p w14:paraId="07BE5E1A" w14:textId="77777777" w:rsidR="003877BE" w:rsidRDefault="003877BE" w:rsidP="003877BE">
      <w:pPr>
        <w:pStyle w:val="Bibliography"/>
      </w:pPr>
      <w:r>
        <w:t xml:space="preserve">———. 2013. “Alcohol Misuse and Criminal Offending: Findings from a 30-Year Longitudinal Study.” </w:t>
      </w:r>
      <w:r>
        <w:rPr>
          <w:i/>
          <w:iCs/>
        </w:rPr>
        <w:t>Drug and Alcohol Dependence</w:t>
      </w:r>
      <w:r>
        <w:t xml:space="preserve"> 128 (1): 30–36. https://doi.org/10.1016/j.drugalcdep.2012.07.014.</w:t>
      </w:r>
    </w:p>
    <w:p w14:paraId="2D2CD0D5" w14:textId="77777777" w:rsidR="003877BE" w:rsidRDefault="003877BE" w:rsidP="003877BE">
      <w:pPr>
        <w:pStyle w:val="Bibliography"/>
      </w:pPr>
      <w:r>
        <w:t xml:space="preserve">Butcher, Josie. 2020. “The Revolving Door: Are We Sentencing People with FASD to a Life Trapped in the Criminal Justice System?” </w:t>
      </w:r>
      <w:r>
        <w:rPr>
          <w:i/>
          <w:iCs/>
        </w:rPr>
        <w:t>Auckland University Law Review</w:t>
      </w:r>
      <w:r>
        <w:t xml:space="preserve"> 26. http://www.nzlii.org/nz/journals/AukULawRw/2020/9.pdff.</w:t>
      </w:r>
    </w:p>
    <w:p w14:paraId="2B543680" w14:textId="77777777" w:rsidR="003877BE" w:rsidRDefault="003877BE" w:rsidP="003877BE">
      <w:pPr>
        <w:pStyle w:val="Bibliography"/>
      </w:pPr>
      <w:proofErr w:type="spellStart"/>
      <w:r>
        <w:t>Buvik</w:t>
      </w:r>
      <w:proofErr w:type="spellEnd"/>
      <w:r>
        <w:t xml:space="preserve">, Kristin, Inger </w:t>
      </w:r>
      <w:proofErr w:type="spellStart"/>
      <w:r>
        <w:t>Synnøve</w:t>
      </w:r>
      <w:proofErr w:type="spellEnd"/>
      <w:r>
        <w:t xml:space="preserve"> Moan, and </w:t>
      </w:r>
      <w:proofErr w:type="spellStart"/>
      <w:r>
        <w:t>Torleif</w:t>
      </w:r>
      <w:proofErr w:type="spellEnd"/>
      <w:r>
        <w:t xml:space="preserve"> </w:t>
      </w:r>
      <w:proofErr w:type="spellStart"/>
      <w:r>
        <w:t>Halkjelsvik</w:t>
      </w:r>
      <w:proofErr w:type="spellEnd"/>
      <w:r>
        <w:t xml:space="preserve">. 2018. “Alcohol-Related Absence and Presenteeism: Beyond Productivity Loss.” </w:t>
      </w:r>
      <w:r>
        <w:rPr>
          <w:i/>
          <w:iCs/>
        </w:rPr>
        <w:t>The International Journal on Drug Policy</w:t>
      </w:r>
      <w:r>
        <w:t xml:space="preserve"> 58 (August): 71–77. https://doi.org/10.1016/j.drugpo.2018.05.005.</w:t>
      </w:r>
    </w:p>
    <w:p w14:paraId="58BB8C0A" w14:textId="77777777" w:rsidR="003877BE" w:rsidRDefault="003877BE" w:rsidP="003877BE">
      <w:pPr>
        <w:pStyle w:val="Bibliography"/>
      </w:pPr>
      <w:r>
        <w:t xml:space="preserve">Callahan, Christopher M., and William M. Tierney. 1995. “Health Services Use and Mortality Among Older Primary Care Patients with Alcoholism.” </w:t>
      </w:r>
      <w:r>
        <w:rPr>
          <w:i/>
          <w:iCs/>
        </w:rPr>
        <w:t>Journal of the American Geriatrics Society</w:t>
      </w:r>
      <w:r>
        <w:t xml:space="preserve"> 43 (12): 1378–83. https://doi.org/10.1111/j.1532-5415.1995.tb06617.x.</w:t>
      </w:r>
    </w:p>
    <w:p w14:paraId="2DF836AC" w14:textId="77777777" w:rsidR="003877BE" w:rsidRDefault="003877BE" w:rsidP="003877BE">
      <w:pPr>
        <w:pStyle w:val="Bibliography"/>
      </w:pPr>
      <w:r>
        <w:t>Canadian Centre on Substance Use and Addiction. 2023. “Canadian Substance Use Costs and Harms 2007–2020.”</w:t>
      </w:r>
    </w:p>
    <w:p w14:paraId="26563290" w14:textId="77777777" w:rsidR="003877BE" w:rsidRDefault="003877BE" w:rsidP="003877BE">
      <w:pPr>
        <w:pStyle w:val="Bibliography"/>
      </w:pPr>
      <w:r>
        <w:t xml:space="preserve">Casswell, Sally, </w:t>
      </w:r>
      <w:proofErr w:type="spellStart"/>
      <w:r>
        <w:t>Taisia</w:t>
      </w:r>
      <w:proofErr w:type="spellEnd"/>
      <w:r>
        <w:t xml:space="preserve"> Huckle, Jose S. Romeo, Helen </w:t>
      </w:r>
      <w:proofErr w:type="spellStart"/>
      <w:r>
        <w:t>Moewaka</w:t>
      </w:r>
      <w:proofErr w:type="spellEnd"/>
      <w:r>
        <w:t xml:space="preserve"> Barnes, Jennie Connor, and Jurgen Rehm. 2023. “Quantifying Alcohol-Attributable Disability-Adjusted Life Years to Others than the Drinker in Aotearoa, New Zealand.” SSRN Scholarly Paper. Rochester, NY. https://doi.org/10.2139/ssrn.4425297.</w:t>
      </w:r>
    </w:p>
    <w:p w14:paraId="53DE7C21" w14:textId="77777777" w:rsidR="003877BE" w:rsidRDefault="003877BE" w:rsidP="003877BE">
      <w:pPr>
        <w:pStyle w:val="Bibliography"/>
      </w:pPr>
      <w:r>
        <w:t xml:space="preserve">Chambers, Tim, Nicki Jackson, and Janet Hoek. 2021. “New Zealand’s Proposed Ban on Alcohol Sponsorship of Sport: A Cost-Effective, pro-Equity and Feasible Move towards Reducing Alcohol-Related Harm.” </w:t>
      </w:r>
      <w:r>
        <w:rPr>
          <w:i/>
          <w:iCs/>
        </w:rPr>
        <w:t>The Lancet Regional Health: Western Pacific</w:t>
      </w:r>
      <w:r>
        <w:t xml:space="preserve"> 13 (July): 100218. https://doi.org/10.1016/j.lanwpc.2021.100218.</w:t>
      </w:r>
    </w:p>
    <w:p w14:paraId="194CD236" w14:textId="77777777" w:rsidR="003877BE" w:rsidRDefault="003877BE" w:rsidP="003877BE">
      <w:pPr>
        <w:pStyle w:val="Bibliography"/>
      </w:pPr>
      <w:r>
        <w:lastRenderedPageBreak/>
        <w:t xml:space="preserve">Chambers, Tim, Anja </w:t>
      </w:r>
      <w:proofErr w:type="spellStart"/>
      <w:r>
        <w:t>Mizdrak</w:t>
      </w:r>
      <w:proofErr w:type="spellEnd"/>
      <w:r>
        <w:t xml:space="preserve">, Sarah Herbert, Anna Davies, and Amanda Jones. 2023. “The Estimated Health Impact of Alcohol Interventions in New Zealand: A Modelling Study.” </w:t>
      </w:r>
      <w:r>
        <w:rPr>
          <w:i/>
          <w:iCs/>
        </w:rPr>
        <w:t>Addiction (Abingdon, England)</w:t>
      </w:r>
      <w:r>
        <w:t>, August. https://doi.org/10.1111/add.16331.</w:t>
      </w:r>
    </w:p>
    <w:p w14:paraId="33291B63" w14:textId="77777777" w:rsidR="003877BE" w:rsidRDefault="003877BE" w:rsidP="003877BE">
      <w:pPr>
        <w:pStyle w:val="Bibliography"/>
      </w:pPr>
      <w:proofErr w:type="spellStart"/>
      <w:r>
        <w:t>Cobiac</w:t>
      </w:r>
      <w:proofErr w:type="spellEnd"/>
      <w:r>
        <w:t>, Linda J., and Nick Wilson. 2018. “Alcohol and Mental Health: A Review of Evidence, with a Particular Focus on New Zealand.” Report prepared to inform the Mental Health and Addiction Inquiry underway in 2018 and funded by Alcohol Healthwatch. https://www.ahw.org.nz/Portals/5/Resources/Submissions/2018/Alcohol%20Healthwatch%20Alcohol%20and%20mental%20health%202018.pdf.</w:t>
      </w:r>
    </w:p>
    <w:p w14:paraId="4B0C8087" w14:textId="77777777" w:rsidR="003877BE" w:rsidRDefault="003877BE" w:rsidP="003877BE">
      <w:pPr>
        <w:pStyle w:val="Bibliography"/>
      </w:pPr>
      <w:r>
        <w:t>Community Law. 2023. “Working While in Prison.” Community Law. 2023. https://communitylaw.org.nz/community-law-manual/test/working-studying-and-other-activities-on-the-inside/working-while-in-prison/.</w:t>
      </w:r>
    </w:p>
    <w:p w14:paraId="39AB9389" w14:textId="77777777" w:rsidR="003877BE" w:rsidRDefault="003877BE" w:rsidP="003877BE">
      <w:pPr>
        <w:pStyle w:val="Bibliography"/>
      </w:pPr>
      <w:r>
        <w:t xml:space="preserve">Crampton, E., M. Burgess, and B. Taylor. 2012. “What’s in a Cost? Comparing Economic and Public Health Measures of Alcohol’s Social Costs.” </w:t>
      </w:r>
      <w:r>
        <w:rPr>
          <w:i/>
          <w:iCs/>
        </w:rPr>
        <w:t>New Zealand Medical Journal</w:t>
      </w:r>
      <w:r>
        <w:t xml:space="preserve"> 125 (1360). http://ir.canterbury.ac.nz/handle/10092/7696.</w:t>
      </w:r>
    </w:p>
    <w:p w14:paraId="0647B61B" w14:textId="77777777" w:rsidR="003877BE" w:rsidRDefault="003877BE" w:rsidP="003877BE">
      <w:pPr>
        <w:pStyle w:val="Bibliography"/>
      </w:pPr>
      <w:r>
        <w:t>Crampton, Eric, and Matt Burgess. 2009. “The Price of Everything, The Value of Nothing: A (Truly) External Review Of BERL’s Study Of Harmful Alcohol and Drug Use.” Working paper 10/2009.</w:t>
      </w:r>
    </w:p>
    <w:p w14:paraId="0821DA4A" w14:textId="77777777" w:rsidR="003877BE" w:rsidRDefault="003877BE" w:rsidP="003877BE">
      <w:pPr>
        <w:pStyle w:val="Bibliography"/>
      </w:pPr>
      <w:r>
        <w:t xml:space="preserve">Crossin, Rose, Lana Cleland, Annette </w:t>
      </w:r>
      <w:proofErr w:type="spellStart"/>
      <w:r>
        <w:t>Beautrais</w:t>
      </w:r>
      <w:proofErr w:type="spellEnd"/>
      <w:r>
        <w:t xml:space="preserve">, Katrina Witt, and Joseph M. Boden. 2022. “Acute Alcohol Use and Suicide Deaths: An Analysis of New Zealand Coronial Data from 2007-2020.” </w:t>
      </w:r>
      <w:r>
        <w:rPr>
          <w:i/>
          <w:iCs/>
        </w:rPr>
        <w:t>The New Zealand Medical Journal</w:t>
      </w:r>
      <w:r>
        <w:t xml:space="preserve"> 135 (1558): 65–78.</w:t>
      </w:r>
    </w:p>
    <w:p w14:paraId="15C0105E" w14:textId="77777777" w:rsidR="003877BE" w:rsidRDefault="003877BE" w:rsidP="003877BE">
      <w:pPr>
        <w:pStyle w:val="Bibliography"/>
      </w:pPr>
      <w:r>
        <w:t xml:space="preserve">Crossin, Rose, Lana Cleland, Chris Wilkins, Marta </w:t>
      </w:r>
      <w:proofErr w:type="spellStart"/>
      <w:r>
        <w:t>Rychert</w:t>
      </w:r>
      <w:proofErr w:type="spellEnd"/>
      <w:r>
        <w:t xml:space="preserve">, Simon Adamson, </w:t>
      </w:r>
      <w:proofErr w:type="spellStart"/>
      <w:r>
        <w:t>Tuari</w:t>
      </w:r>
      <w:proofErr w:type="spellEnd"/>
      <w:r>
        <w:t xml:space="preserve"> Potiki, Adam C Pomerleau, et al. 2023. “The New Zealand Drug Harms Ranking Study: A Multi-Criteria Decision Analysis.” </w:t>
      </w:r>
      <w:r>
        <w:rPr>
          <w:i/>
          <w:iCs/>
        </w:rPr>
        <w:t>Journal of Psychopharmacology</w:t>
      </w:r>
      <w:r>
        <w:t xml:space="preserve"> 37 (9): 891–903. https://doi.org/10.1177/02698811231182012.</w:t>
      </w:r>
    </w:p>
    <w:p w14:paraId="0440A491" w14:textId="77777777" w:rsidR="003877BE" w:rsidRDefault="003877BE" w:rsidP="003877BE">
      <w:pPr>
        <w:pStyle w:val="Bibliography"/>
      </w:pPr>
      <w:proofErr w:type="spellStart"/>
      <w:r>
        <w:t>Daroudi</w:t>
      </w:r>
      <w:proofErr w:type="spellEnd"/>
      <w:r>
        <w:t xml:space="preserve">, </w:t>
      </w:r>
      <w:proofErr w:type="spellStart"/>
      <w:r>
        <w:t>Rajabali</w:t>
      </w:r>
      <w:proofErr w:type="spellEnd"/>
      <w:r>
        <w:t xml:space="preserve">, Ali Akbari Sari, </w:t>
      </w:r>
      <w:proofErr w:type="spellStart"/>
      <w:r>
        <w:t>Azin</w:t>
      </w:r>
      <w:proofErr w:type="spellEnd"/>
      <w:r>
        <w:t xml:space="preserve"> </w:t>
      </w:r>
      <w:proofErr w:type="spellStart"/>
      <w:r>
        <w:t>Nahvijou</w:t>
      </w:r>
      <w:proofErr w:type="spellEnd"/>
      <w:r>
        <w:t xml:space="preserve">, and Ahmad </w:t>
      </w:r>
      <w:proofErr w:type="spellStart"/>
      <w:r>
        <w:t>Faramarzi</w:t>
      </w:r>
      <w:proofErr w:type="spellEnd"/>
      <w:r>
        <w:t xml:space="preserve">. 2021. “Cost per DALY Averted in Low, Middle- and High-Income Countries: Evidence from the Global Burden of Disease Study to Estimate the Cost-Effectiveness Thresholds.” </w:t>
      </w:r>
      <w:r>
        <w:rPr>
          <w:i/>
          <w:iCs/>
        </w:rPr>
        <w:t>Cost Effectiveness and Resource Allocation</w:t>
      </w:r>
      <w:r>
        <w:t xml:space="preserve"> 19 (1): 7. https://doi.org/10.1186/s12962-021-00260-0.</w:t>
      </w:r>
    </w:p>
    <w:p w14:paraId="3EF60DEA" w14:textId="77777777" w:rsidR="003877BE" w:rsidRDefault="003877BE" w:rsidP="003877BE">
      <w:pPr>
        <w:pStyle w:val="Bibliography"/>
      </w:pPr>
      <w:r>
        <w:t>Department of Corrections. 2022. “M.04.07 Release to Work.” February 21, 2022. https://www.corrections.govt.nz/resources/policy_and_legislation/Prison-Operations-Manual/Movement/M.04-External-movement-transportation-of-prisoners/M.04.07-release-to-work-RTW.</w:t>
      </w:r>
    </w:p>
    <w:p w14:paraId="0080AF8A" w14:textId="77777777" w:rsidR="003877BE" w:rsidRDefault="003877BE" w:rsidP="003877BE">
      <w:pPr>
        <w:pStyle w:val="Bibliography"/>
      </w:pPr>
      <w:r>
        <w:t>———. 2023. “Prison Facts and Statistics - September 2023. Quarterly Prison Statistics.” https://www.corrections.govt.nz/resources/statistics/quarterly_prison_statistics/prison_stats_september_2023.</w:t>
      </w:r>
    </w:p>
    <w:p w14:paraId="63DAF954" w14:textId="77777777" w:rsidR="003877BE" w:rsidRDefault="003877BE" w:rsidP="003877BE">
      <w:pPr>
        <w:pStyle w:val="Bibliography"/>
      </w:pPr>
      <w:r>
        <w:t xml:space="preserve">Devries, Karen M., Jennifer C. Child, Loraine J. Bacchus, Joelle </w:t>
      </w:r>
      <w:proofErr w:type="spellStart"/>
      <w:r>
        <w:t>Mak</w:t>
      </w:r>
      <w:proofErr w:type="spellEnd"/>
      <w:r>
        <w:t xml:space="preserve">, Gail Falder, Kathryn Graham, Charlotte Watts, and Lori </w:t>
      </w:r>
      <w:proofErr w:type="spellStart"/>
      <w:r>
        <w:t>Heise</w:t>
      </w:r>
      <w:proofErr w:type="spellEnd"/>
      <w:r>
        <w:t xml:space="preserve">. 2014. “Intimate Partner Violence Victimization and Alcohol Consumption in Women: A Systematic Review and Meta-Analysis.” </w:t>
      </w:r>
      <w:r>
        <w:rPr>
          <w:i/>
          <w:iCs/>
        </w:rPr>
        <w:t>Addiction (Abingdon, England)</w:t>
      </w:r>
      <w:r>
        <w:t xml:space="preserve"> 109 (3): 379–91. https://doi.org/10.1111/add.12393.</w:t>
      </w:r>
    </w:p>
    <w:p w14:paraId="629BEE32" w14:textId="77777777" w:rsidR="003877BE" w:rsidRDefault="003877BE" w:rsidP="003877BE">
      <w:pPr>
        <w:pStyle w:val="Bibliography"/>
      </w:pPr>
      <w:r>
        <w:t xml:space="preserve">Dissanayake, Harini, and Paul Bracewell. 2022. “Family Violence in the News: An Analysis of Media Reporting of Family Violence in Aotearoa New Zealand.” </w:t>
      </w:r>
      <w:proofErr w:type="spellStart"/>
      <w:r>
        <w:rPr>
          <w:i/>
          <w:iCs/>
        </w:rPr>
        <w:t>Kōtuitui</w:t>
      </w:r>
      <w:proofErr w:type="spellEnd"/>
      <w:r>
        <w:rPr>
          <w:i/>
          <w:iCs/>
        </w:rPr>
        <w:t>: New Zealand Journal of Social Sciences Online</w:t>
      </w:r>
      <w:r>
        <w:t xml:space="preserve"> 17 (2): 242–59. https://doi.org/10.1080/1177083X.2021.1976224.</w:t>
      </w:r>
    </w:p>
    <w:p w14:paraId="130DE1F0" w14:textId="77777777" w:rsidR="003877BE" w:rsidRDefault="003877BE" w:rsidP="003877BE">
      <w:pPr>
        <w:pStyle w:val="Bibliography"/>
      </w:pPr>
      <w:r>
        <w:t xml:space="preserve">Dunbar, R. I. M., Jacques Launay, Rafael </w:t>
      </w:r>
      <w:proofErr w:type="spellStart"/>
      <w:r>
        <w:t>Wlodarski</w:t>
      </w:r>
      <w:proofErr w:type="spellEnd"/>
      <w:r>
        <w:t xml:space="preserve">, Cole Robertson, </w:t>
      </w:r>
      <w:proofErr w:type="spellStart"/>
      <w:r>
        <w:t>Eiluned</w:t>
      </w:r>
      <w:proofErr w:type="spellEnd"/>
      <w:r>
        <w:t xml:space="preserve"> Pearce, James Carney, and Pádraig </w:t>
      </w:r>
      <w:proofErr w:type="spellStart"/>
      <w:r>
        <w:t>MacCarron</w:t>
      </w:r>
      <w:proofErr w:type="spellEnd"/>
      <w:r>
        <w:t xml:space="preserve">. 2017. “Functional Benefits of (Modest) Alcohol Consumption.” </w:t>
      </w:r>
      <w:r>
        <w:rPr>
          <w:i/>
          <w:iCs/>
        </w:rPr>
        <w:t xml:space="preserve">Adaptive Human </w:t>
      </w:r>
      <w:proofErr w:type="spellStart"/>
      <w:r>
        <w:rPr>
          <w:i/>
          <w:iCs/>
        </w:rPr>
        <w:t>Behavior</w:t>
      </w:r>
      <w:proofErr w:type="spellEnd"/>
      <w:r>
        <w:rPr>
          <w:i/>
          <w:iCs/>
        </w:rPr>
        <w:t xml:space="preserve"> and Physiology</w:t>
      </w:r>
      <w:r>
        <w:t xml:space="preserve"> 3 (2): 118–33. https://doi.org/10.1007/s40750-016-0058-4.</w:t>
      </w:r>
    </w:p>
    <w:p w14:paraId="16A16BA3" w14:textId="77777777" w:rsidR="003877BE" w:rsidRDefault="003877BE" w:rsidP="003877BE">
      <w:pPr>
        <w:pStyle w:val="Bibliography"/>
      </w:pPr>
      <w:r>
        <w:t xml:space="preserve">Easton, Brian, Larry </w:t>
      </w:r>
      <w:proofErr w:type="spellStart"/>
      <w:r>
        <w:t>Burd</w:t>
      </w:r>
      <w:proofErr w:type="spellEnd"/>
      <w:r>
        <w:t xml:space="preserve">, Jürgen Rehm, and Svetlana Popova. 2016. “Productivity Losses Associated with </w:t>
      </w:r>
      <w:proofErr w:type="spellStart"/>
      <w:r>
        <w:t>Fetal</w:t>
      </w:r>
      <w:proofErr w:type="spellEnd"/>
      <w:r>
        <w:t xml:space="preserve"> Alcohol Spectrum Disorder in New Zealand” 129 (1440).</w:t>
      </w:r>
    </w:p>
    <w:p w14:paraId="49AB0F93" w14:textId="77777777" w:rsidR="003877BE" w:rsidRDefault="003877BE" w:rsidP="003877BE">
      <w:pPr>
        <w:pStyle w:val="Bibliography"/>
      </w:pPr>
      <w:r>
        <w:t xml:space="preserve">Egerton-Warburton, Diana, Andrew </w:t>
      </w:r>
      <w:proofErr w:type="spellStart"/>
      <w:r>
        <w:t>Gosbell</w:t>
      </w:r>
      <w:proofErr w:type="spellEnd"/>
      <w:r>
        <w:t xml:space="preserve">, Katie Moore, Angela Wadsworth, Drew Richardson, and Daniel M. </w:t>
      </w:r>
      <w:proofErr w:type="spellStart"/>
      <w:r>
        <w:t>Fatovich</w:t>
      </w:r>
      <w:proofErr w:type="spellEnd"/>
      <w:r>
        <w:t xml:space="preserve">. 2018. “Alcohol-Related Harm in Emergency Departments: A Prospective, Multi-Centre Study.” </w:t>
      </w:r>
      <w:r>
        <w:rPr>
          <w:i/>
          <w:iCs/>
        </w:rPr>
        <w:t>Addiction</w:t>
      </w:r>
      <w:r>
        <w:t xml:space="preserve"> 113 (4): 623–32. https://doi.org/10.1111/add.14109.</w:t>
      </w:r>
    </w:p>
    <w:p w14:paraId="42815F8E" w14:textId="77777777" w:rsidR="003877BE" w:rsidRDefault="003877BE" w:rsidP="003877BE">
      <w:pPr>
        <w:pStyle w:val="Bibliography"/>
      </w:pPr>
      <w:proofErr w:type="spellStart"/>
      <w:r>
        <w:lastRenderedPageBreak/>
        <w:t>Fanslow</w:t>
      </w:r>
      <w:proofErr w:type="spellEnd"/>
      <w:r>
        <w:t xml:space="preserve">, Janet, Elizabeth Robinson, Sue </w:t>
      </w:r>
      <w:proofErr w:type="spellStart"/>
      <w:r>
        <w:t>Crengle</w:t>
      </w:r>
      <w:proofErr w:type="spellEnd"/>
      <w:r>
        <w:t xml:space="preserve">, and Lana </w:t>
      </w:r>
      <w:proofErr w:type="spellStart"/>
      <w:r>
        <w:t>Perese</w:t>
      </w:r>
      <w:proofErr w:type="spellEnd"/>
      <w:r>
        <w:t xml:space="preserve">. 2010. “Juxtaposing Beliefs and Reality: Prevalence Rates of Intimate Partner Violence and Attitudes to Violence and Gender Roles Reported by New Zealand Women.” </w:t>
      </w:r>
      <w:r>
        <w:rPr>
          <w:i/>
          <w:iCs/>
        </w:rPr>
        <w:t>Violence Against Women</w:t>
      </w:r>
      <w:r>
        <w:t xml:space="preserve"> 16 (7): 812–31. https://doi.org/10.1177/1077801210373710.</w:t>
      </w:r>
    </w:p>
    <w:p w14:paraId="783BACAA" w14:textId="77777777" w:rsidR="003877BE" w:rsidRDefault="003877BE" w:rsidP="003877BE">
      <w:pPr>
        <w:pStyle w:val="Bibliography"/>
      </w:pPr>
      <w:r>
        <w:t xml:space="preserve">Felson, Richard B., and Jeremy Staff. 2010. “The Effects of Alcohol Intoxication on Violent Versus Other Offending.” </w:t>
      </w:r>
      <w:r>
        <w:rPr>
          <w:i/>
          <w:iCs/>
        </w:rPr>
        <w:t xml:space="preserve">Criminal Justice and </w:t>
      </w:r>
      <w:proofErr w:type="spellStart"/>
      <w:r>
        <w:rPr>
          <w:i/>
          <w:iCs/>
        </w:rPr>
        <w:t>Behavior</w:t>
      </w:r>
      <w:proofErr w:type="spellEnd"/>
      <w:r>
        <w:t xml:space="preserve"> 37 (12): 1343–60. https://doi.org/10.1177/0093854810382003.</w:t>
      </w:r>
    </w:p>
    <w:p w14:paraId="245BED0C" w14:textId="77777777" w:rsidR="003877BE" w:rsidRDefault="003877BE" w:rsidP="003877BE">
      <w:pPr>
        <w:pStyle w:val="Bibliography"/>
      </w:pPr>
      <w:r>
        <w:t xml:space="preserve">Gibbs, Anita, and Kesia Sherwood. 2017. “Putting </w:t>
      </w:r>
      <w:proofErr w:type="spellStart"/>
      <w:r>
        <w:t>Fetal</w:t>
      </w:r>
      <w:proofErr w:type="spellEnd"/>
      <w:r>
        <w:t xml:space="preserve"> Alcohol Spectrum Disorder (FASD) on the Map in New Zealand: A Review of Health, Social, Political, Justice and Cultural Developments.” </w:t>
      </w:r>
      <w:r>
        <w:rPr>
          <w:i/>
          <w:iCs/>
        </w:rPr>
        <w:t>Psychiatry, Psychology, and Law: An Interdisciplinary Journal of the Australian and New Zealand Association of Psychiatry, Psychology and Law</w:t>
      </w:r>
      <w:r>
        <w:t xml:space="preserve"> 24 (6): 825–42. https://doi.org/10.1080/13218719.2017.1315784.</w:t>
      </w:r>
    </w:p>
    <w:p w14:paraId="75A19F6D" w14:textId="77777777" w:rsidR="003877BE" w:rsidRDefault="003877BE" w:rsidP="003877BE">
      <w:pPr>
        <w:pStyle w:val="Bibliography"/>
      </w:pPr>
      <w:proofErr w:type="spellStart"/>
      <w:r>
        <w:t>Gullliver</w:t>
      </w:r>
      <w:proofErr w:type="spellEnd"/>
      <w:r>
        <w:t xml:space="preserve">, Pauline, and Janet </w:t>
      </w:r>
      <w:proofErr w:type="spellStart"/>
      <w:r>
        <w:t>Fanslow</w:t>
      </w:r>
      <w:proofErr w:type="spellEnd"/>
      <w:r>
        <w:t>. 2012. “Measurement of Family Violence at a Population Level: What Might Be Needed to Develop Reliable and Valid Family Violence Indicators?” Issues Paper 2. New Zealand Family Violence Clearing House. https://scholar.google.co.nz/scholar_url?url=https://www.nzfvc.org.nz/sites/nzfvc.org.nz/files/Measurement-of-family-violence-at-a-population-level-June-2012.pdf&amp;hl=en&amp;sa=X&amp;ei=blLMZIq3NM6OygSauZrwBg&amp;scisig=AFWwaeb-x-_fixWCaBCEaY1fDkFc&amp;oi=scholarr.</w:t>
      </w:r>
    </w:p>
    <w:p w14:paraId="546E1008" w14:textId="77777777" w:rsidR="003877BE" w:rsidRDefault="003877BE" w:rsidP="003877BE">
      <w:pPr>
        <w:pStyle w:val="Bibliography"/>
      </w:pPr>
      <w:r>
        <w:t>Harvard T. H. Chan. 2022. “Alcohol: Balancing Risks and Benefits.” The Nutrition Source. 2022. https://www.hsph.harvard.edu/nutritionsource/healthy-drinks/drinks-to-consume-in-moderation/alcohol-full-story/.</w:t>
      </w:r>
    </w:p>
    <w:p w14:paraId="1D69F16E" w14:textId="77777777" w:rsidR="003877BE" w:rsidRDefault="003877BE" w:rsidP="003877BE">
      <w:pPr>
        <w:pStyle w:val="Bibliography"/>
      </w:pPr>
      <w:r>
        <w:t>Health Promotion Agency. 2021. “Monitoring Alcohol Affordability in Aotearoa New Zealand: 2020 Update.” https://apo.org.au/sites/default/files/resource-files/2021-10/apo-nid314661.pdf.</w:t>
      </w:r>
    </w:p>
    <w:p w14:paraId="045FB95E" w14:textId="77777777" w:rsidR="003877BE" w:rsidRDefault="003877BE" w:rsidP="003877BE">
      <w:pPr>
        <w:pStyle w:val="Bibliography"/>
      </w:pPr>
      <w:proofErr w:type="spellStart"/>
      <w:r>
        <w:t>Heyer</w:t>
      </w:r>
      <w:proofErr w:type="spellEnd"/>
      <w:r>
        <w:t xml:space="preserve">, Garth den. 2022. “New Zealand’s Dirty Secret: Family Violence.” In </w:t>
      </w:r>
      <w:r>
        <w:rPr>
          <w:i/>
          <w:iCs/>
        </w:rPr>
        <w:t>Understanding and Preventing Community Violence: Global Criminological and Sociological Perspectives</w:t>
      </w:r>
      <w:r>
        <w:t xml:space="preserve">, edited by James F. Albrecht and Garth den </w:t>
      </w:r>
      <w:proofErr w:type="spellStart"/>
      <w:r>
        <w:t>Heyer</w:t>
      </w:r>
      <w:proofErr w:type="spellEnd"/>
      <w:r>
        <w:t>, 235–53. Cham: Springer International Publishing. https://doi.org/10.1007/978-3-031-05075-6_14.</w:t>
      </w:r>
    </w:p>
    <w:p w14:paraId="67570BA9" w14:textId="77777777" w:rsidR="003877BE" w:rsidRDefault="003877BE" w:rsidP="003877BE">
      <w:pPr>
        <w:pStyle w:val="Bibliography"/>
      </w:pPr>
      <w:r>
        <w:t xml:space="preserve">Howe, David. 2005. </w:t>
      </w:r>
      <w:r>
        <w:rPr>
          <w:i/>
          <w:iCs/>
        </w:rPr>
        <w:t>Child Abuse and Neglect: Attachment, Development and Intervention</w:t>
      </w:r>
      <w:r>
        <w:t>. 1st edition. Basingstoke: Red Globe Press.</w:t>
      </w:r>
    </w:p>
    <w:p w14:paraId="11673B4C" w14:textId="77777777" w:rsidR="003877BE" w:rsidRDefault="003877BE" w:rsidP="003877BE">
      <w:pPr>
        <w:pStyle w:val="Bibliography"/>
      </w:pPr>
      <w:r>
        <w:t xml:space="preserve">Huckle, </w:t>
      </w:r>
      <w:proofErr w:type="spellStart"/>
      <w:r>
        <w:t>Taisia</w:t>
      </w:r>
      <w:proofErr w:type="spellEnd"/>
      <w:r>
        <w:t xml:space="preserve">, and Jose S. Romeo. 2023. “Estimating Child Maltreatment Cases That Could Be Alcohol-Attributable in New Zealand.” </w:t>
      </w:r>
      <w:r>
        <w:rPr>
          <w:i/>
          <w:iCs/>
        </w:rPr>
        <w:t>Addiction</w:t>
      </w:r>
      <w:r>
        <w:t xml:space="preserve"> 118 (4): 669–77. https://doi.org/10.1111/add.16111.</w:t>
      </w:r>
    </w:p>
    <w:p w14:paraId="405A9179" w14:textId="77777777" w:rsidR="003877BE" w:rsidRDefault="003877BE" w:rsidP="003877BE">
      <w:pPr>
        <w:pStyle w:val="Bibliography"/>
      </w:pPr>
      <w:r>
        <w:t>IHME. 2019. “Global Burden of Disease.” 2019. https://www.healthdata.org/research-analysis/gbd.</w:t>
      </w:r>
    </w:p>
    <w:p w14:paraId="6D8BB801" w14:textId="77777777" w:rsidR="003877BE" w:rsidRDefault="003877BE" w:rsidP="003877BE">
      <w:pPr>
        <w:pStyle w:val="Bibliography"/>
      </w:pPr>
      <w:r>
        <w:t>Institute for Health Metrics and Evaluation. 2019. “Global Burden of Disease 2019.” 2019. https://ourworldindata.org/grapher/number-of-deaths-by-risk-factor?country=~NZL.</w:t>
      </w:r>
    </w:p>
    <w:p w14:paraId="241EF188" w14:textId="77777777" w:rsidR="003877BE" w:rsidRDefault="003877BE" w:rsidP="003877BE">
      <w:pPr>
        <w:pStyle w:val="Bibliography"/>
      </w:pPr>
      <w:r>
        <w:t xml:space="preserve">Jury, Angela, Ashley Koning, Jennifer Lai, Charito </w:t>
      </w:r>
      <w:proofErr w:type="spellStart"/>
      <w:r>
        <w:t>Tuason</w:t>
      </w:r>
      <w:proofErr w:type="spellEnd"/>
      <w:r>
        <w:t xml:space="preserve">, Terry </w:t>
      </w:r>
      <w:proofErr w:type="spellStart"/>
      <w:r>
        <w:t>Huriwai</w:t>
      </w:r>
      <w:proofErr w:type="spellEnd"/>
      <w:r>
        <w:t xml:space="preserve">, and Sarah Hetrick. 2020. “Hazardous Drinking and General Practitioner Visits in the Past Year.” </w:t>
      </w:r>
      <w:r>
        <w:rPr>
          <w:i/>
          <w:iCs/>
        </w:rPr>
        <w:t>New Zealand Medical Journal</w:t>
      </w:r>
      <w:r>
        <w:t xml:space="preserve"> 133 (1518): 43–53.</w:t>
      </w:r>
    </w:p>
    <w:p w14:paraId="5224A8ED" w14:textId="77777777" w:rsidR="003877BE" w:rsidRDefault="003877BE" w:rsidP="003877BE">
      <w:pPr>
        <w:pStyle w:val="Bibliography"/>
      </w:pPr>
      <w:r>
        <w:t xml:space="preserve">Kahui, </w:t>
      </w:r>
      <w:proofErr w:type="spellStart"/>
      <w:r>
        <w:t>Sherilee</w:t>
      </w:r>
      <w:proofErr w:type="spellEnd"/>
      <w:r>
        <w:t>, and Suzanne Snively. 2014. “Measuring the Economic Costs of Child Abuse and Intimate Partner Violence to New Zealand.” Wellington: The Glenn Inquiry. http://ndhadeliver.natlib.govt.nz/delivery/DeliveryManagerServlet?dps_pid=IE25595234&amp;dps_custom_att_1=ilsdb.</w:t>
      </w:r>
    </w:p>
    <w:p w14:paraId="6371609D" w14:textId="77777777" w:rsidR="003877BE" w:rsidRDefault="003877BE" w:rsidP="003877BE">
      <w:pPr>
        <w:pStyle w:val="Bibliography"/>
      </w:pPr>
      <w:r>
        <w:t xml:space="preserve">Knell, Conor. 2023. “One Million More Drink Driving Tests than Last Year.” </w:t>
      </w:r>
      <w:r>
        <w:rPr>
          <w:i/>
          <w:iCs/>
        </w:rPr>
        <w:t>The Post</w:t>
      </w:r>
      <w:r>
        <w:t>, October 1, 2023. https://www.thepost.co.nz/nz-news/350081837/one-million-more-drink-driving-tests-last-year.</w:t>
      </w:r>
    </w:p>
    <w:p w14:paraId="0F94630B" w14:textId="77777777" w:rsidR="003877BE" w:rsidRDefault="003877BE" w:rsidP="003877BE">
      <w:pPr>
        <w:pStyle w:val="Bibliography"/>
      </w:pPr>
      <w:r>
        <w:t xml:space="preserve">Krug, Etienne G., Linda L. Dahlberg, James A. Mercy, Anthony B. </w:t>
      </w:r>
      <w:proofErr w:type="spellStart"/>
      <w:r>
        <w:t>Zwi</w:t>
      </w:r>
      <w:proofErr w:type="spellEnd"/>
      <w:r>
        <w:t>, and R Lozano. 2002. “World Report on Violence and Health.” World Health Organization. https://www.who.int/publications-detail-redirect/9241545615.</w:t>
      </w:r>
    </w:p>
    <w:p w14:paraId="4AA86813" w14:textId="77777777" w:rsidR="003877BE" w:rsidRDefault="003877BE" w:rsidP="003877BE">
      <w:pPr>
        <w:pStyle w:val="Bibliography"/>
      </w:pPr>
      <w:proofErr w:type="spellStart"/>
      <w:r>
        <w:t>Kvizhinadze</w:t>
      </w:r>
      <w:proofErr w:type="spellEnd"/>
      <w:r>
        <w:t>, Giorgi, Nick Wilson, Nisha Nair, Melissa McLeod, and Tony Blakely. 2015. “How Much Might a Society Spend on Life-Saving Interventions at Different Ages While Remaining Cost-</w:t>
      </w:r>
      <w:r>
        <w:lastRenderedPageBreak/>
        <w:t xml:space="preserve">Effective? A Case Study in a Country with Detailed Data.” </w:t>
      </w:r>
      <w:r>
        <w:rPr>
          <w:i/>
          <w:iCs/>
        </w:rPr>
        <w:t>Population Health Metrics</w:t>
      </w:r>
      <w:r>
        <w:t xml:space="preserve"> 13 (July): 15. https://doi.org/10.1186/s12963-015-0052-2.</w:t>
      </w:r>
    </w:p>
    <w:p w14:paraId="39AD7AE4" w14:textId="77777777" w:rsidR="003877BE" w:rsidRDefault="003877BE" w:rsidP="003877BE">
      <w:pPr>
        <w:pStyle w:val="Bibliography"/>
      </w:pPr>
      <w:r>
        <w:t xml:space="preserve">Law Commission, ed. 2010. </w:t>
      </w:r>
      <w:r>
        <w:rPr>
          <w:i/>
          <w:iCs/>
        </w:rPr>
        <w:t>Alcohol in Our Lives: Curbing the Harm: A Report on the Review of the Regulatory Framework for the Sale and Supply of Liquor</w:t>
      </w:r>
      <w:r>
        <w:t>. Report, no. 114. Wellington, N.Z: Law Commission.</w:t>
      </w:r>
    </w:p>
    <w:p w14:paraId="4F505C70" w14:textId="77777777" w:rsidR="003877BE" w:rsidRDefault="003877BE" w:rsidP="003877BE">
      <w:pPr>
        <w:pStyle w:val="Bibliography"/>
      </w:pPr>
      <w:proofErr w:type="spellStart"/>
      <w:r>
        <w:t>Lievore</w:t>
      </w:r>
      <w:proofErr w:type="spellEnd"/>
      <w:r>
        <w:t>, and Mayhew. 2007. “The Scale and Nature of Family Violence in New Zealand: A Review and Evaluation of Knowledge.” Ministry of Social Development. https://scholar.google.co.nz/scholar_url?url=https://www.msd.govt.nz/documents/about-msd-and-our-work/publications-resources/research/scale-nature/scale-and-nature.doc&amp;hl=en&amp;sa=X&amp;ei=01TMZKz8KuyEywSA_4GIAg&amp;scisig=AFWwaebX3ezs1FWcXc2lfIXB_nlE&amp;oi=scholarr.</w:t>
      </w:r>
    </w:p>
    <w:p w14:paraId="58F705D5" w14:textId="77777777" w:rsidR="003877BE" w:rsidRDefault="003877BE" w:rsidP="003877BE">
      <w:pPr>
        <w:pStyle w:val="Bibliography"/>
      </w:pPr>
      <w:r>
        <w:t xml:space="preserve">Madden, Mary, and Jim </w:t>
      </w:r>
      <w:proofErr w:type="spellStart"/>
      <w:r>
        <w:t>McCambridge</w:t>
      </w:r>
      <w:proofErr w:type="spellEnd"/>
      <w:r>
        <w:t xml:space="preserve">. 2021. “Alcohol Marketing versus Public Health: David and Goliath?” </w:t>
      </w:r>
      <w:r>
        <w:rPr>
          <w:i/>
          <w:iCs/>
        </w:rPr>
        <w:t>Globalization and Health</w:t>
      </w:r>
      <w:r>
        <w:t xml:space="preserve"> 17 (1): 45. https://doi.org/10.1186/s12992-021-00696-2.</w:t>
      </w:r>
    </w:p>
    <w:p w14:paraId="17A7B1B8" w14:textId="77777777" w:rsidR="003877BE" w:rsidRDefault="003877BE" w:rsidP="003877BE">
      <w:pPr>
        <w:pStyle w:val="Bibliography"/>
      </w:pPr>
      <w:r>
        <w:t>Mayo Clinic Health System. 2021. “Balancing Risks, Benefits of Alcohol.” Mayo Clinic Health System. 2021. https://www.mayoclinichealthsystem.org/hometown-health/speaking-of-health/balancing-the-risks-benefits-of-alcohol.</w:t>
      </w:r>
    </w:p>
    <w:p w14:paraId="1759A48E" w14:textId="77777777" w:rsidR="003877BE" w:rsidRDefault="003877BE" w:rsidP="003877BE">
      <w:pPr>
        <w:pStyle w:val="Bibliography"/>
      </w:pPr>
      <w:proofErr w:type="spellStart"/>
      <w:r>
        <w:t>Mellar</w:t>
      </w:r>
      <w:proofErr w:type="spellEnd"/>
      <w:r>
        <w:t xml:space="preserve">, Brooklyn M., </w:t>
      </w:r>
      <w:proofErr w:type="spellStart"/>
      <w:r>
        <w:t>Ladan</w:t>
      </w:r>
      <w:proofErr w:type="spellEnd"/>
      <w:r>
        <w:t xml:space="preserve"> Hashemi, Vanessa </w:t>
      </w:r>
      <w:proofErr w:type="spellStart"/>
      <w:r>
        <w:t>Selak</w:t>
      </w:r>
      <w:proofErr w:type="spellEnd"/>
      <w:r>
        <w:t xml:space="preserve">, Pauline J. Gulliver, Tracey K.D. McIntosh, and Janet L. </w:t>
      </w:r>
      <w:proofErr w:type="spellStart"/>
      <w:r>
        <w:t>Fanslow</w:t>
      </w:r>
      <w:proofErr w:type="spellEnd"/>
      <w:r>
        <w:t xml:space="preserve">. 2023. “Association Between Women’s Exposure to Intimate Partner Violence and Self-Reported Health Outcomes in New Zealand.” </w:t>
      </w:r>
      <w:r>
        <w:rPr>
          <w:i/>
          <w:iCs/>
        </w:rPr>
        <w:t>JAMA Network Open</w:t>
      </w:r>
      <w:r>
        <w:t xml:space="preserve"> 6 (3): e231311. https://doi.org/10.1001/jamanetworkopen.2023.1311.</w:t>
      </w:r>
    </w:p>
    <w:p w14:paraId="650AA4B7" w14:textId="77777777" w:rsidR="003877BE" w:rsidRDefault="003877BE" w:rsidP="003877BE">
      <w:pPr>
        <w:pStyle w:val="Bibliography"/>
      </w:pPr>
      <w:r>
        <w:t xml:space="preserve">Miller, Brenda A. 1990. “The Interrelationships between Alcohol and Drugs and Family Violence.” In </w:t>
      </w:r>
      <w:r>
        <w:rPr>
          <w:i/>
          <w:iCs/>
        </w:rPr>
        <w:t>Drugs and Violence: Causes, Correlates, and Consequences</w:t>
      </w:r>
      <w:r>
        <w:t>, edited by Mario De la Rosa, Elizabeth Y. Lambert, and Bernard A. Gropper. U.S. Department of Health and Human Services, Public Health Service, Alcohol, Drug Abuse, and Mental Health Administration, National Institute on Drug Abuse.</w:t>
      </w:r>
    </w:p>
    <w:p w14:paraId="645DE51B" w14:textId="77777777" w:rsidR="003877BE" w:rsidRDefault="003877BE" w:rsidP="003877BE">
      <w:pPr>
        <w:pStyle w:val="Bibliography"/>
      </w:pPr>
      <w:r>
        <w:t>Ministry of Health. 2022. “</w:t>
      </w:r>
      <w:proofErr w:type="spellStart"/>
      <w:r>
        <w:t>Fetal</w:t>
      </w:r>
      <w:proofErr w:type="spellEnd"/>
      <w:r>
        <w:t xml:space="preserve"> Alcohol Spectrum Disorder (FASD).” Ministry of Health NZ. 2022. https://www.health.govt.nz/your-health/conditions-and-treatments/disabilities/fetal-alcohol-spectrum-disorder-fasd.</w:t>
      </w:r>
    </w:p>
    <w:p w14:paraId="012B3AD8" w14:textId="77777777" w:rsidR="003877BE" w:rsidRDefault="003877BE" w:rsidP="003877BE">
      <w:pPr>
        <w:pStyle w:val="Bibliography"/>
      </w:pPr>
      <w:r>
        <w:t>———. 2023. “Annual Update of Key Results 2022/23: New Zealand Health Survey.” Ministry of Health NZ. 2023. https://www.health.govt.nz/publication/annual-update-key-results-2022-23-new-zealand-health-survey.</w:t>
      </w:r>
    </w:p>
    <w:p w14:paraId="727D1182" w14:textId="77777777" w:rsidR="003877BE" w:rsidRDefault="003877BE" w:rsidP="003877BE">
      <w:pPr>
        <w:pStyle w:val="Bibliography"/>
      </w:pPr>
      <w:r>
        <w:t>Ministry of Justice. 2023a. “Courts - Estimates by Vote - Budget 2023 - 18 May 2023.” Text. NZ 2023 Budget. 2023. https://www.budget.govt.nz.</w:t>
      </w:r>
    </w:p>
    <w:p w14:paraId="4315AC67" w14:textId="77777777" w:rsidR="003877BE" w:rsidRDefault="003877BE" w:rsidP="003877BE">
      <w:pPr>
        <w:pStyle w:val="Bibliography"/>
      </w:pPr>
      <w:r>
        <w:t>———. 2023b. “Family Violence Tables.” 2023. https://www.justice.govt.nz/justice-sector-policy/research-data/justice-statistics/data-tables.</w:t>
      </w:r>
    </w:p>
    <w:p w14:paraId="3183BA52" w14:textId="77777777" w:rsidR="003877BE" w:rsidRDefault="003877BE" w:rsidP="003877BE">
      <w:pPr>
        <w:pStyle w:val="Bibliography"/>
      </w:pPr>
      <w:r>
        <w:t>———. 2023c. “New Zealand Crime and Victims Survey. Key Findings – Cycle 5 Report. Descriptive Statistics. June 2023. Results Drawn from Cycle 5 (2021/22) of the New Zealand Crime and Victims Survey.” Wellington: Ministry of Justice.</w:t>
      </w:r>
    </w:p>
    <w:p w14:paraId="258F9988" w14:textId="77777777" w:rsidR="003877BE" w:rsidRDefault="003877BE" w:rsidP="003877BE">
      <w:pPr>
        <w:pStyle w:val="Bibliography"/>
      </w:pPr>
      <w:r>
        <w:t>Ministry of Social Development. 2023. “Letter Requesting a Breakdown of Disability Allowance by Age Group,” March 22, 2023. https://www.msd.govt.nz/documents/about-msd-and-our-work/publications-resources/official-information-responses/2023/march/22032023-requesting-a-breakdown-of-the-average-and-median-rates-of-disability-allowance-for-the-period-april-2020-to-present-broken-down-by-quarter-age-group-gender-and-ethnicity.pdf.</w:t>
      </w:r>
    </w:p>
    <w:p w14:paraId="1101C3A9" w14:textId="77777777" w:rsidR="003877BE" w:rsidRDefault="003877BE" w:rsidP="003877BE">
      <w:pPr>
        <w:pStyle w:val="Bibliography"/>
      </w:pPr>
      <w:r>
        <w:t>Ministry of Transport. 2021. “Social Cost of Road Crashes and Injuries - June 2020 Update.” Wellington: Ministry of Transport. https://www.transport.govt.nz/assets/Uploads/Social-Cost-of-Road-Crashes-and-Injuries-2020_final.pdf.</w:t>
      </w:r>
    </w:p>
    <w:p w14:paraId="0BBBE84A" w14:textId="77777777" w:rsidR="003877BE" w:rsidRDefault="003877BE" w:rsidP="003877BE">
      <w:pPr>
        <w:pStyle w:val="Bibliography"/>
      </w:pPr>
      <w:r>
        <w:t>———. 2022. “Alcohol and Drugs.” 2022. https://www.transport.govt.nz/statistics-and-insights/safety-annual-statistics/sheet/alcohol-and-drugs.</w:t>
      </w:r>
    </w:p>
    <w:p w14:paraId="42CB13B5" w14:textId="77777777" w:rsidR="003877BE" w:rsidRDefault="003877BE" w:rsidP="003877BE">
      <w:pPr>
        <w:pStyle w:val="Bibliography"/>
      </w:pPr>
      <w:r>
        <w:t xml:space="preserve">Miquel, Laia, Jakob </w:t>
      </w:r>
      <w:proofErr w:type="spellStart"/>
      <w:r>
        <w:t>Manthey</w:t>
      </w:r>
      <w:proofErr w:type="spellEnd"/>
      <w:r>
        <w:t xml:space="preserve">, Jürgen Rehm, Emili Vela, Montserrat </w:t>
      </w:r>
      <w:proofErr w:type="spellStart"/>
      <w:r>
        <w:t>Bustins</w:t>
      </w:r>
      <w:proofErr w:type="spellEnd"/>
      <w:r>
        <w:t xml:space="preserve">, Lidia Segura, Eduard Vieta, Joan Colom, Peter Anderson, and Antoni </w:t>
      </w:r>
      <w:proofErr w:type="spellStart"/>
      <w:r>
        <w:t>Gual</w:t>
      </w:r>
      <w:proofErr w:type="spellEnd"/>
      <w:r>
        <w:t xml:space="preserve">. 2018. “Risky Alcohol Use: The Impact on </w:t>
      </w:r>
      <w:r>
        <w:lastRenderedPageBreak/>
        <w:t xml:space="preserve">Health Service Use.” </w:t>
      </w:r>
      <w:r>
        <w:rPr>
          <w:i/>
          <w:iCs/>
        </w:rPr>
        <w:t>European Addiction Research</w:t>
      </w:r>
      <w:r>
        <w:t xml:space="preserve"> 24 (5): 234–44. https://doi.org/10.1159/000493884.</w:t>
      </w:r>
    </w:p>
    <w:p w14:paraId="03BFE2C5" w14:textId="77777777" w:rsidR="003877BE" w:rsidRDefault="003877BE" w:rsidP="003877BE">
      <w:pPr>
        <w:pStyle w:val="Bibliography"/>
      </w:pPr>
      <w:proofErr w:type="spellStart"/>
      <w:r>
        <w:t>Myran</w:t>
      </w:r>
      <w:proofErr w:type="spellEnd"/>
      <w:r>
        <w:t xml:space="preserve">, Daniel T., Amy T. Hsu, Glenys Smith, and Peter </w:t>
      </w:r>
      <w:proofErr w:type="spellStart"/>
      <w:r>
        <w:t>Tanuseputro</w:t>
      </w:r>
      <w:proofErr w:type="spellEnd"/>
      <w:r>
        <w:t xml:space="preserve">. 2019. “Rates of Emergency Department Visits Attributable to Alcohol Use in Ontario from 2003 to 2016: A Retrospective Population-Level Study.” </w:t>
      </w:r>
      <w:r>
        <w:rPr>
          <w:i/>
          <w:iCs/>
        </w:rPr>
        <w:t>CMAJ : Canadian Medical Association Journal</w:t>
      </w:r>
      <w:r>
        <w:t xml:space="preserve"> 191 (29): E804–10. https://doi.org/10.1503/cmaj.181575.</w:t>
      </w:r>
    </w:p>
    <w:p w14:paraId="736B5523" w14:textId="77777777" w:rsidR="003877BE" w:rsidRDefault="003877BE" w:rsidP="003877BE">
      <w:pPr>
        <w:pStyle w:val="Bibliography"/>
      </w:pPr>
      <w:r>
        <w:t>Nana, Ganesh. 2018. “Alcohol Costs – but, Who Pays?” Presented at the Alcohol Action NZ Conference, Wellington, New Zealand.</w:t>
      </w:r>
    </w:p>
    <w:p w14:paraId="77AE1B0B" w14:textId="77777777" w:rsidR="003877BE" w:rsidRDefault="003877BE" w:rsidP="003877BE">
      <w:pPr>
        <w:pStyle w:val="Bibliography"/>
      </w:pPr>
      <w:r>
        <w:t>New Zealand Family Violence Clearinghouse. 2017. “Data Summaries 2017: Snapshot.” https://nzfvc.org.nz/sites/nzfvc.org.nz/files/Data-summaries-snapshot-2017.pdf.</w:t>
      </w:r>
    </w:p>
    <w:p w14:paraId="6D507499" w14:textId="77777777" w:rsidR="003877BE" w:rsidRDefault="003877BE" w:rsidP="003877BE">
      <w:pPr>
        <w:pStyle w:val="Bibliography"/>
      </w:pPr>
      <w:r>
        <w:t>New Zealand Police. 2018. “Alcohol Action Plan 2018.” New Zealand Police. 2018. https://www.police.govt.nz/about-us/publication/alcohol-action-plan-2018.</w:t>
      </w:r>
    </w:p>
    <w:p w14:paraId="4295F84F" w14:textId="77777777" w:rsidR="003877BE" w:rsidRDefault="003877BE" w:rsidP="003877BE">
      <w:pPr>
        <w:pStyle w:val="Bibliography"/>
      </w:pPr>
      <w:r>
        <w:t>———. 2023. “Road Policing Driver Offence Data - January 2009 to June 2023.” New Zealand Police. 2023. https://www.police.govt.nz/about-us/publication/road-policing-driver-offence-data-january-2009-june-2023.</w:t>
      </w:r>
    </w:p>
    <w:p w14:paraId="0E63C9BE" w14:textId="77777777" w:rsidR="003877BE" w:rsidRDefault="003877BE" w:rsidP="003877BE">
      <w:pPr>
        <w:pStyle w:val="Bibliography"/>
      </w:pPr>
      <w:r>
        <w:t>———. n.d. “Alcohol – Laws and Penalties.” New Zealand Police. Accessed December 7, 2023. https://www.police.govt.nz/advice/drugs-and-alcohol/alcohol-laws-and-penalties.</w:t>
      </w:r>
    </w:p>
    <w:p w14:paraId="253F25BD" w14:textId="77777777" w:rsidR="003877BE" w:rsidRDefault="003877BE" w:rsidP="003877BE">
      <w:pPr>
        <w:pStyle w:val="Bibliography"/>
      </w:pPr>
      <w:proofErr w:type="spellStart"/>
      <w:r>
        <w:t>Nobilo</w:t>
      </w:r>
      <w:proofErr w:type="spellEnd"/>
      <w:r>
        <w:t xml:space="preserve">, Hilary. 2016. “Why Should We Care? The Abuse and Neglect of Children in New Zealand.” </w:t>
      </w:r>
      <w:r>
        <w:rPr>
          <w:i/>
          <w:iCs/>
        </w:rPr>
        <w:t>Brainwave Trust Aotearoa</w:t>
      </w:r>
      <w:r>
        <w:t xml:space="preserve"> (blog). 2016. https://brainwave.org.nz/article/why-should-we-care-the-abuse-and-neglect-of-children-in-new-zealand/.</w:t>
      </w:r>
    </w:p>
    <w:p w14:paraId="0297817B" w14:textId="217C7B3E" w:rsidR="003877BE" w:rsidRDefault="003877BE" w:rsidP="003877BE">
      <w:pPr>
        <w:pStyle w:val="Bibliography"/>
      </w:pPr>
      <w:r>
        <w:t>NZIER. 2022. “Alcohol Beverages Industry: A Thriving, Durable Industry Adding Value to New Zealand’s Financial, Environmental and Social Economies.” NZIER report to NZ Alcohol Beverages Council.</w:t>
      </w:r>
    </w:p>
    <w:p w14:paraId="094EF98B" w14:textId="77777777" w:rsidR="003877BE" w:rsidRDefault="003877BE" w:rsidP="003877BE">
      <w:pPr>
        <w:pStyle w:val="Bibliography"/>
      </w:pPr>
      <w:proofErr w:type="spellStart"/>
      <w:r>
        <w:t>Oranga</w:t>
      </w:r>
      <w:proofErr w:type="spellEnd"/>
      <w:r>
        <w:t xml:space="preserve"> Tamariki. 2023. “Prevalence of Harm to Children in Aotearoa New Zealand.” https://www.orangatamariki.govt.nz/assets/Uploads/About-us/Research/Latest-research/Prevalence-of-Harm-to-Children-and-Protective-Factors/Prevalence-of-Harm-to-Children-A3-2023.pdf.</w:t>
      </w:r>
    </w:p>
    <w:p w14:paraId="35C80345" w14:textId="77777777" w:rsidR="003877BE" w:rsidRDefault="003877BE" w:rsidP="003877BE">
      <w:pPr>
        <w:pStyle w:val="Bibliography"/>
      </w:pPr>
      <w:r>
        <w:t xml:space="preserve">Parthasarathy, S., C. </w:t>
      </w:r>
      <w:proofErr w:type="spellStart"/>
      <w:r>
        <w:t>Weisner</w:t>
      </w:r>
      <w:proofErr w:type="spellEnd"/>
      <w:r>
        <w:t xml:space="preserve">, T. W. Hu, and C. Moore. 2015. “Association of Outpatient Alcohol and Drug Treatment with Health Care Utilization and Cost: Revisiting the Offset Hypothesis.” </w:t>
      </w:r>
      <w:r>
        <w:rPr>
          <w:i/>
          <w:iCs/>
        </w:rPr>
        <w:t>Journal of Studies on Alcohol</w:t>
      </w:r>
      <w:r>
        <w:t>, January. https://doi.org/10.15288/jsa.2001.62.89.</w:t>
      </w:r>
    </w:p>
    <w:p w14:paraId="55323A42" w14:textId="77777777" w:rsidR="003877BE" w:rsidRDefault="003877BE" w:rsidP="003877BE">
      <w:pPr>
        <w:pStyle w:val="Bibliography"/>
      </w:pPr>
      <w:r>
        <w:t xml:space="preserve">Paton-Simpson, G., I. R. McCormick, A. Powell, P. Adams, and D. Bunbury. 2000. “Problem Drinking Profiles of Patients Presenting to General Practitioners: Analysis of Alcohol Use Disorders Identification Test (AUDIT) Scores for the Auckland Area.” </w:t>
      </w:r>
      <w:r>
        <w:rPr>
          <w:i/>
          <w:iCs/>
        </w:rPr>
        <w:t>The New Zealand Medical Journal</w:t>
      </w:r>
      <w:r>
        <w:t xml:space="preserve"> 113 (1105): 74–77.</w:t>
      </w:r>
    </w:p>
    <w:p w14:paraId="02F1DC7C" w14:textId="77777777" w:rsidR="003877BE" w:rsidRDefault="003877BE" w:rsidP="003877BE">
      <w:pPr>
        <w:pStyle w:val="Bibliography"/>
      </w:pPr>
      <w:proofErr w:type="spellStart"/>
      <w:r>
        <w:t>Pidd</w:t>
      </w:r>
      <w:proofErr w:type="spellEnd"/>
      <w:r>
        <w:t xml:space="preserve">, Kenneth J., </w:t>
      </w:r>
      <w:proofErr w:type="spellStart"/>
      <w:r>
        <w:t>Jesia</w:t>
      </w:r>
      <w:proofErr w:type="spellEnd"/>
      <w:r>
        <w:t xml:space="preserve"> G. Berry, Ann M. Roche, and James E. Harrison. 2006. “Estimating the Cost of Alcohol-Related Absenteeism in the Australian Workforce: The Importance of Consumption Patterns.” </w:t>
      </w:r>
      <w:r>
        <w:rPr>
          <w:i/>
          <w:iCs/>
        </w:rPr>
        <w:t>Medical Journal of Australia</w:t>
      </w:r>
      <w:r>
        <w:t xml:space="preserve"> 185 (11). https://www.mja.com.au/journal/2006/185/11/estimating-cost-alcohol-related-absenteeism-australian-workforce-importance.</w:t>
      </w:r>
    </w:p>
    <w:p w14:paraId="13A420BF" w14:textId="77777777" w:rsidR="003877BE" w:rsidRDefault="003877BE" w:rsidP="003877BE">
      <w:pPr>
        <w:pStyle w:val="Bibliography"/>
      </w:pPr>
      <w:r>
        <w:t xml:space="preserve">Probst, Charlotte, Jakob </w:t>
      </w:r>
      <w:proofErr w:type="spellStart"/>
      <w:r>
        <w:t>Manthey</w:t>
      </w:r>
      <w:proofErr w:type="spellEnd"/>
      <w:r>
        <w:t xml:space="preserve">, Alicia Martinez, and Jürgen Rehm. 2015. “Alcohol Use Disorder Severity and Reported Reasons Not to Seek Treatment: A Cross-Sectional Study in European Primary Care Practices.” </w:t>
      </w:r>
      <w:r>
        <w:rPr>
          <w:i/>
          <w:iCs/>
        </w:rPr>
        <w:t>Substance Abuse Treatment, Prevention, and Policy</w:t>
      </w:r>
      <w:r>
        <w:t xml:space="preserve"> 10 (1): 32. https://doi.org/10.1186/s13011-015-0028-z.</w:t>
      </w:r>
    </w:p>
    <w:p w14:paraId="1A88EC80" w14:textId="77777777" w:rsidR="003877BE" w:rsidRDefault="003877BE" w:rsidP="003877BE">
      <w:pPr>
        <w:pStyle w:val="Bibliography"/>
      </w:pPr>
      <w:r>
        <w:t xml:space="preserve">Romeo, Jose S., </w:t>
      </w:r>
      <w:proofErr w:type="spellStart"/>
      <w:r>
        <w:t>Taisia</w:t>
      </w:r>
      <w:proofErr w:type="spellEnd"/>
      <w:r>
        <w:t xml:space="preserve"> Huckle, Sally Casswell, Jennie Connor, Jurgen Rehm, and Valerie McGinn. 2023. “Foetal Alcohol Spectrum Disorder in Aotearoa, New Zealand: Estimates of Prevalence and Indications of Inequity.” </w:t>
      </w:r>
      <w:r>
        <w:rPr>
          <w:i/>
          <w:iCs/>
        </w:rPr>
        <w:t>Drug and Alcohol Review</w:t>
      </w:r>
      <w:r>
        <w:t xml:space="preserve"> 42 (4): 859–67. https://doi.org/10.1111/dar.13619.</w:t>
      </w:r>
    </w:p>
    <w:p w14:paraId="11E59BF5" w14:textId="77777777" w:rsidR="003877BE" w:rsidRDefault="003877BE" w:rsidP="003877BE">
      <w:pPr>
        <w:pStyle w:val="Bibliography"/>
      </w:pPr>
      <w:r>
        <w:t>Roper, Tim, and Andrew Thompson. 2006. “Estimating the Costs of Crime in New Zealand in 2003/04.” New Zealand Treasury Working Paper 06/04. Wellington: The Treasury.</w:t>
      </w:r>
    </w:p>
    <w:p w14:paraId="309CB4FC" w14:textId="77777777" w:rsidR="003877BE" w:rsidRDefault="003877BE" w:rsidP="003877BE">
      <w:pPr>
        <w:pStyle w:val="Bibliography"/>
      </w:pPr>
      <w:r>
        <w:t>Slack, A, G Nana, M Webster, F Stokes, and J Wu. 2009. “Costs of Harmful Alcohol and Other Drug Use.” Wellington: BERL.</w:t>
      </w:r>
    </w:p>
    <w:p w14:paraId="06D7FD1E" w14:textId="77777777" w:rsidR="003877BE" w:rsidRDefault="003877BE" w:rsidP="003877BE">
      <w:pPr>
        <w:pStyle w:val="Bibliography"/>
      </w:pPr>
      <w:r>
        <w:lastRenderedPageBreak/>
        <w:t xml:space="preserve">Sullivan, Trudy, Fiona Edgar, and Ian McAndrew. 2019. “The Hidden Costs of Employee Drinking: A Quantitative Analysis.” </w:t>
      </w:r>
      <w:r>
        <w:rPr>
          <w:i/>
          <w:iCs/>
        </w:rPr>
        <w:t>Drug and Alcohol Review</w:t>
      </w:r>
      <w:r>
        <w:t xml:space="preserve"> 38 (5): 543–53. https://doi.org/10.1111/dar.12935.</w:t>
      </w:r>
    </w:p>
    <w:p w14:paraId="27162C03" w14:textId="77777777" w:rsidR="003877BE" w:rsidRDefault="003877BE" w:rsidP="003877BE">
      <w:pPr>
        <w:pStyle w:val="Bibliography"/>
      </w:pPr>
      <w:proofErr w:type="spellStart"/>
      <w:r>
        <w:t>Superu</w:t>
      </w:r>
      <w:proofErr w:type="spellEnd"/>
      <w:r>
        <w:t xml:space="preserve">. 2015. “Reducing the Impact of Alcohol on Family Violence.” What Works. </w:t>
      </w:r>
      <w:proofErr w:type="spellStart"/>
      <w:r>
        <w:t>Superu</w:t>
      </w:r>
      <w:proofErr w:type="spellEnd"/>
      <w:r>
        <w:t xml:space="preserve"> Social Policy and Evaluation Research Unit. https://thehub.swa.govt.nz/assets/Uploads/What-works-Alcohol-Violence.pdf.</w:t>
      </w:r>
    </w:p>
    <w:p w14:paraId="18A326D7" w14:textId="77777777" w:rsidR="003877BE" w:rsidRDefault="003877BE" w:rsidP="003877BE">
      <w:pPr>
        <w:pStyle w:val="Bibliography"/>
      </w:pPr>
      <w:proofErr w:type="spellStart"/>
      <w:r>
        <w:t>Svensen</w:t>
      </w:r>
      <w:proofErr w:type="spellEnd"/>
      <w:r>
        <w:t xml:space="preserve">, Georgina, Bridget Kool, and Sarah Buller. 2019. “The Burden of Alcohol-Related Presentations to a Busy Urban New Zealand Hospital Emergency Department.” </w:t>
      </w:r>
      <w:r>
        <w:rPr>
          <w:i/>
          <w:iCs/>
        </w:rPr>
        <w:t>The New Zealand Medical Journal</w:t>
      </w:r>
      <w:r>
        <w:t xml:space="preserve"> 132 (1504): 56–66.</w:t>
      </w:r>
    </w:p>
    <w:p w14:paraId="4615BEFA" w14:textId="77777777" w:rsidR="003877BE" w:rsidRDefault="003877BE" w:rsidP="003877BE">
      <w:pPr>
        <w:pStyle w:val="Bibliography"/>
      </w:pPr>
      <w:proofErr w:type="spellStart"/>
      <w:r>
        <w:t>Te</w:t>
      </w:r>
      <w:proofErr w:type="spellEnd"/>
      <w:r>
        <w:t xml:space="preserve"> </w:t>
      </w:r>
      <w:proofErr w:type="spellStart"/>
      <w:r>
        <w:t>Whatu</w:t>
      </w:r>
      <w:proofErr w:type="spellEnd"/>
      <w:r>
        <w:t xml:space="preserve"> Ora Health New Zealand, Counties Manukau. 2020. “Do You Have to Pay?” https://www.countiesmanukau.health.nz/for-patients-and-visitors/do-you-have-to-pay/.</w:t>
      </w:r>
    </w:p>
    <w:p w14:paraId="4B4C517D" w14:textId="77777777" w:rsidR="003877BE" w:rsidRDefault="003877BE" w:rsidP="003877BE">
      <w:pPr>
        <w:pStyle w:val="Bibliography"/>
      </w:pPr>
      <w:r>
        <w:t xml:space="preserve">Testa, Maria, and Michael J. Cleveland. 2017. “Does Alcohol Contribute to College Men’s Sexual Assault Perpetration? Between- and Within-Person Effects Over Five Semesters.” </w:t>
      </w:r>
      <w:r>
        <w:rPr>
          <w:i/>
          <w:iCs/>
        </w:rPr>
        <w:t>Journal of Studies on Alcohol and Drugs</w:t>
      </w:r>
      <w:r>
        <w:t xml:space="preserve"> 78 (1): 5–13. https://doi.org/10.15288/jsad.2017.78.5.</w:t>
      </w:r>
    </w:p>
    <w:p w14:paraId="49DF0BFD" w14:textId="77777777" w:rsidR="003877BE" w:rsidRDefault="003877BE" w:rsidP="003877BE">
      <w:pPr>
        <w:pStyle w:val="Bibliography"/>
      </w:pPr>
      <w:r>
        <w:t xml:space="preserve">Thanh, Nguyen Xuan, and Egon Jonsson. 2016. “LIFE EXPECTANCY OF PEOPLE WITH FETAL ALCOHOL SYNDROME.” </w:t>
      </w:r>
      <w:r>
        <w:rPr>
          <w:i/>
          <w:iCs/>
        </w:rPr>
        <w:t>Journal of Population Therapeutics and Clinical Pharmacology</w:t>
      </w:r>
      <w:r>
        <w:t xml:space="preserve"> 23 (1). https://www.jptcp.com.</w:t>
      </w:r>
    </w:p>
    <w:p w14:paraId="0CDBD21D" w14:textId="77777777" w:rsidR="003877BE" w:rsidRDefault="003877BE" w:rsidP="003877BE">
      <w:pPr>
        <w:pStyle w:val="Bibliography"/>
      </w:pPr>
      <w:r>
        <w:t>The Treasury. 2022. “CBAX Impacts Database.” 2022. https://www.treasury.govt.nz/information-and-services/state-sector-leadership/investment-management/investment-planning/treasurys-cbax-tool.</w:t>
      </w:r>
    </w:p>
    <w:p w14:paraId="681856E8" w14:textId="77777777" w:rsidR="003877BE" w:rsidRDefault="003877BE" w:rsidP="003877BE">
      <w:pPr>
        <w:pStyle w:val="Bibliography"/>
      </w:pPr>
      <w:proofErr w:type="spellStart"/>
      <w:r>
        <w:t>Ubel</w:t>
      </w:r>
      <w:proofErr w:type="spellEnd"/>
      <w:r>
        <w:t xml:space="preserve">, Peter A., Richard A. </w:t>
      </w:r>
      <w:proofErr w:type="spellStart"/>
      <w:r>
        <w:t>Hirth</w:t>
      </w:r>
      <w:proofErr w:type="spellEnd"/>
      <w:r>
        <w:t xml:space="preserve">, Michael E. </w:t>
      </w:r>
      <w:proofErr w:type="spellStart"/>
      <w:r>
        <w:t>Chernew</w:t>
      </w:r>
      <w:proofErr w:type="spellEnd"/>
      <w:r>
        <w:t xml:space="preserve">, and A. Mark </w:t>
      </w:r>
      <w:proofErr w:type="spellStart"/>
      <w:r>
        <w:t>Fendrick</w:t>
      </w:r>
      <w:proofErr w:type="spellEnd"/>
      <w:r>
        <w:t xml:space="preserve">. 2003. “What Is the Price of Life and Why Doesn’t It Increase at the Rate of Inflation?” </w:t>
      </w:r>
      <w:r>
        <w:rPr>
          <w:i/>
          <w:iCs/>
        </w:rPr>
        <w:t>Archives of Internal Medicine</w:t>
      </w:r>
      <w:r>
        <w:t xml:space="preserve"> 163 (14): 1637–41. https://doi.org/10.1001/archinte.163.14.1637.</w:t>
      </w:r>
    </w:p>
    <w:p w14:paraId="08CB0137" w14:textId="77777777" w:rsidR="003877BE" w:rsidRDefault="003877BE" w:rsidP="003877BE">
      <w:pPr>
        <w:pStyle w:val="Bibliography"/>
      </w:pPr>
      <w:proofErr w:type="spellStart"/>
      <w:r>
        <w:t>Whetton</w:t>
      </w:r>
      <w:proofErr w:type="spellEnd"/>
      <w:r>
        <w:t xml:space="preserve">, Steve, Robert J. Tait, William Gilmore, Tania Dey, </w:t>
      </w:r>
      <w:proofErr w:type="spellStart"/>
      <w:r>
        <w:t>Seraina</w:t>
      </w:r>
      <w:proofErr w:type="spellEnd"/>
      <w:r>
        <w:t xml:space="preserve"> </w:t>
      </w:r>
      <w:proofErr w:type="spellStart"/>
      <w:r>
        <w:t>Agramunt</w:t>
      </w:r>
      <w:proofErr w:type="spellEnd"/>
      <w:r>
        <w:t>, Suraya Abdul Halim, Alice McEntee, et al. 2021. “Examining the Social and Economic Costs of Alcohol Use in Australia: 2017/18.” Pert WA: National Drug Research Institute, Curtin University.</w:t>
      </w:r>
    </w:p>
    <w:p w14:paraId="6EFA42EA" w14:textId="77777777" w:rsidR="003877BE" w:rsidRDefault="003877BE" w:rsidP="003877BE">
      <w:pPr>
        <w:pStyle w:val="Bibliography"/>
      </w:pPr>
      <w:r>
        <w:t xml:space="preserve">Wilkins, Chris, Jitesh Prasad, Helen </w:t>
      </w:r>
      <w:proofErr w:type="spellStart"/>
      <w:r>
        <w:t>Moewaka</w:t>
      </w:r>
      <w:proofErr w:type="spellEnd"/>
      <w:r>
        <w:t xml:space="preserve"> Barnes, J S Romeo, and Marta </w:t>
      </w:r>
      <w:proofErr w:type="spellStart"/>
      <w:r>
        <w:t>Rychert</w:t>
      </w:r>
      <w:proofErr w:type="spellEnd"/>
      <w:r>
        <w:t xml:space="preserve">. 2017. “New Zealand Arrestee Drug Use Monitoring (NZ-ADUM): 2016 Report.” Palmerston North: SHORE &amp; </w:t>
      </w:r>
      <w:proofErr w:type="spellStart"/>
      <w:r>
        <w:t>Whariki</w:t>
      </w:r>
      <w:proofErr w:type="spellEnd"/>
      <w:r>
        <w:t xml:space="preserve"> Research Centre College of Health, Massey University.</w:t>
      </w:r>
    </w:p>
    <w:p w14:paraId="11E60418" w14:textId="77777777" w:rsidR="003877BE" w:rsidRDefault="003877BE" w:rsidP="003877BE">
      <w:pPr>
        <w:pStyle w:val="Bibliography"/>
      </w:pPr>
      <w:r>
        <w:t>Women’s Refuge. 2022. “Annual Report 2021-22.” https://womensrefuge.org.nz/wp-content/uploads/2022/11/Annual-Report-2022-High-Res-1.pdf.</w:t>
      </w:r>
    </w:p>
    <w:p w14:paraId="4037D493" w14:textId="77777777" w:rsidR="003877BE" w:rsidRDefault="003877BE" w:rsidP="003877BE">
      <w:pPr>
        <w:pStyle w:val="Bibliography"/>
      </w:pPr>
      <w:r>
        <w:t>Work and Income. n.d. “Disability Allowance.” MSD. Accessed December 7, 2023. https://www.workandincome.govt.nz/products/a-z-benefits/disability-allowance.html.</w:t>
      </w:r>
    </w:p>
    <w:p w14:paraId="38E2ECA9" w14:textId="77777777" w:rsidR="003877BE" w:rsidRDefault="003877BE" w:rsidP="003877BE">
      <w:pPr>
        <w:pStyle w:val="Bibliography"/>
      </w:pPr>
      <w:r>
        <w:t>World Health Organization. 2006. “Policy Briefing – Interpersonal Violence and Alcohol.”</w:t>
      </w:r>
    </w:p>
    <w:p w14:paraId="749DE064" w14:textId="77777777" w:rsidR="003877BE" w:rsidRDefault="003877BE" w:rsidP="003877BE">
      <w:pPr>
        <w:pStyle w:val="Bibliography"/>
      </w:pPr>
      <w:r>
        <w:t xml:space="preserve">———. 2011. “Global Burden of Disease Methodology.” In </w:t>
      </w:r>
      <w:r>
        <w:rPr>
          <w:i/>
          <w:iCs/>
        </w:rPr>
        <w:t>World Report on Disability 2011</w:t>
      </w:r>
      <w:r>
        <w:t>. World Health Organization. https://www.ncbi.nlm.nih.gov/books/NBK304069/.</w:t>
      </w:r>
    </w:p>
    <w:p w14:paraId="67B643BA" w14:textId="77777777" w:rsidR="003877BE" w:rsidRDefault="003877BE" w:rsidP="003877BE">
      <w:pPr>
        <w:pStyle w:val="Bibliography"/>
      </w:pPr>
      <w:r>
        <w:t>———. 2022. “Alcohol.” 2022. https://www.who.int/news-room/fact-sheets/detail/alcohol.</w:t>
      </w:r>
    </w:p>
    <w:p w14:paraId="565129E2" w14:textId="77777777" w:rsidR="003877BE" w:rsidRDefault="003877BE" w:rsidP="003877BE">
      <w:pPr>
        <w:pStyle w:val="Bibliography"/>
      </w:pPr>
      <w:r>
        <w:t>World Health Organization. Europe. 2023. “No Level of Alcohol Consumption Is Safe for Our Health.” 2023. https://www.who.int/europe/news/item/04-01-2023-no-level-of-alcohol-consumption-is-safe-for-our-health.</w:t>
      </w:r>
    </w:p>
    <w:p w14:paraId="02C0B1DA" w14:textId="77777777" w:rsidR="003877BE" w:rsidRDefault="003877BE" w:rsidP="003877BE">
      <w:pPr>
        <w:pStyle w:val="Bibliography"/>
      </w:pPr>
      <w:r>
        <w:t xml:space="preserve">Young, Matthew M., </w:t>
      </w:r>
      <w:proofErr w:type="spellStart"/>
      <w:r>
        <w:t>Chealsea</w:t>
      </w:r>
      <w:proofErr w:type="spellEnd"/>
      <w:r>
        <w:t xml:space="preserve"> De Moor, Pam Kent, Tim Stockwell, Adam </w:t>
      </w:r>
      <w:proofErr w:type="spellStart"/>
      <w:r>
        <w:t>Sherk</w:t>
      </w:r>
      <w:proofErr w:type="spellEnd"/>
      <w:r>
        <w:t xml:space="preserve">, </w:t>
      </w:r>
      <w:proofErr w:type="spellStart"/>
      <w:r>
        <w:t>Jinhui</w:t>
      </w:r>
      <w:proofErr w:type="spellEnd"/>
      <w:r>
        <w:t xml:space="preserve"> Zhao, Justin T. Sorge, et al. 2021. “Attributable Fractions for Substance Use in Relation to Crime.” </w:t>
      </w:r>
      <w:r>
        <w:rPr>
          <w:i/>
          <w:iCs/>
        </w:rPr>
        <w:t>Addiction</w:t>
      </w:r>
      <w:r>
        <w:t xml:space="preserve"> 116 (11): 3198–3205. https://doi.org/10.1111/add.15494.</w:t>
      </w:r>
    </w:p>
    <w:p w14:paraId="78B6AF9C" w14:textId="1D5B13E2" w:rsidR="00234B83" w:rsidRDefault="008C742A" w:rsidP="000A50DB">
      <w:pPr>
        <w:pStyle w:val="Bibliography"/>
        <w:rPr>
          <w:highlight w:val="lightGray"/>
        </w:rPr>
      </w:pPr>
      <w:r>
        <w:rPr>
          <w:highlight w:val="lightGray"/>
        </w:rPr>
        <w:fldChar w:fldCharType="end"/>
      </w:r>
      <w:r w:rsidR="00234B83">
        <w:rPr>
          <w:highlight w:val="lightGray"/>
        </w:rPr>
        <w:br w:type="page"/>
      </w:r>
    </w:p>
    <w:p w14:paraId="00729544" w14:textId="00C08962" w:rsidR="00946E07" w:rsidRDefault="00946E07" w:rsidP="00E700E1">
      <w:pPr>
        <w:pStyle w:val="ApxHeading1"/>
        <w:numPr>
          <w:ilvl w:val="0"/>
          <w:numId w:val="10"/>
        </w:numPr>
      </w:pPr>
      <w:bookmarkStart w:id="252" w:name="_Toc160633882"/>
      <w:r>
        <w:lastRenderedPageBreak/>
        <w:t>Our approach in more detail</w:t>
      </w:r>
      <w:bookmarkEnd w:id="252"/>
    </w:p>
    <w:p w14:paraId="62B4E5FF" w14:textId="77777777" w:rsidR="00F2238C" w:rsidRDefault="00F2238C" w:rsidP="00F2238C">
      <w:pPr>
        <w:pStyle w:val="Heading4"/>
      </w:pPr>
      <w:r>
        <w:t xml:space="preserve">Different approaches are appropriate for different policy </w:t>
      </w:r>
      <w:proofErr w:type="gramStart"/>
      <w:r>
        <w:t>questions</w:t>
      </w:r>
      <w:proofErr w:type="gramEnd"/>
    </w:p>
    <w:p w14:paraId="50E85063" w14:textId="77777777" w:rsidR="00F2238C" w:rsidRDefault="00F2238C" w:rsidP="00F2238C">
      <w:pPr>
        <w:pStyle w:val="USBodyText"/>
      </w:pPr>
      <w:r>
        <w:t>Several key considerations regarding the approach that is appropriate for a cost report on alcohol harms are importantly related to the policy questions they are designed to address. These considerations include:</w:t>
      </w:r>
    </w:p>
    <w:p w14:paraId="7B60BD41" w14:textId="77777777" w:rsidR="00F2238C" w:rsidRDefault="00F2238C" w:rsidP="00F2238C">
      <w:pPr>
        <w:pStyle w:val="USBullet1"/>
      </w:pPr>
      <w:r>
        <w:t>The choice of a net costs or gross costs approach</w:t>
      </w:r>
    </w:p>
    <w:p w14:paraId="494957E8" w14:textId="77777777" w:rsidR="00F2238C" w:rsidRDefault="00F2238C" w:rsidP="00F2238C">
      <w:pPr>
        <w:pStyle w:val="USBullet1"/>
      </w:pPr>
      <w:r>
        <w:t>The inclusion of private costs and benefits</w:t>
      </w:r>
    </w:p>
    <w:p w14:paraId="1DBE2B56" w14:textId="77777777" w:rsidR="00F2238C" w:rsidRDefault="00F2238C" w:rsidP="00F2238C">
      <w:pPr>
        <w:pStyle w:val="USBullet1"/>
      </w:pPr>
      <w:r>
        <w:t xml:space="preserve">The counterfactual against which costs and benefits are estimated. </w:t>
      </w:r>
    </w:p>
    <w:p w14:paraId="239143BB" w14:textId="77777777" w:rsidR="00F2238C" w:rsidRDefault="00F2238C" w:rsidP="00F2238C">
      <w:pPr>
        <w:pStyle w:val="Heading4"/>
      </w:pPr>
      <w:r>
        <w:t>A net costs or gross costs approach</w:t>
      </w:r>
    </w:p>
    <w:p w14:paraId="16E02D56" w14:textId="4C7B7229" w:rsidR="00F2238C" w:rsidRDefault="00F2238C" w:rsidP="00F2238C">
      <w:pPr>
        <w:pStyle w:val="USBodyText"/>
      </w:pPr>
      <w:r>
        <w:t>Many previously published reports on the costs of alcohol harms have had a primary purpose of informing discussions about the appropriate scale of a corrective tax (a tax designed to reduce alcohol consumption to a socially optimal level). When adjustment to a corrective tax is the key information need</w:t>
      </w:r>
      <w:r w:rsidR="000A7C09">
        <w:t>ed, a report on the costs of alcohol harm</w:t>
      </w:r>
      <w:r>
        <w:t xml:space="preserve"> must comprehensively estimate all costs and benefits associated with the consumption and production of alcohol to estimate a net societal cost. The excise tax on alcohol in New Zealand, while originally implemented as a revenue tax, is currently treated as a corrective tax in policy decision-making: The level of the excise tax is influenced by the objective of encouraging consumers to shift consumption to a level that would occur if they faced the full and true costs of their choices (including both externalities and internalities</w:t>
      </w:r>
      <w:r w:rsidRPr="00CD19C4">
        <w:rPr>
          <w:rStyle w:val="FootnoteReference"/>
        </w:rPr>
        <w:footnoteReference w:id="19"/>
      </w:r>
      <w:r>
        <w:t>).</w:t>
      </w:r>
    </w:p>
    <w:p w14:paraId="3137EBE6" w14:textId="0047CD7A" w:rsidR="00F2238C" w:rsidRDefault="00F2238C" w:rsidP="00F2238C">
      <w:pPr>
        <w:pStyle w:val="USBodyText"/>
      </w:pPr>
      <w:r>
        <w:t xml:space="preserve">While few would disagree that the costs of alcohol harms are likely to far exceed any benefits from alcohol, what matters to the design of a corrective tax is not just whether harms exceed benefits, but the </w:t>
      </w:r>
      <w:r w:rsidRPr="001E3EEA">
        <w:rPr>
          <w:i/>
          <w:iCs/>
        </w:rPr>
        <w:t>extent</w:t>
      </w:r>
      <w:r>
        <w:t xml:space="preserve"> to which harms exceed benefits. This is not a matter </w:t>
      </w:r>
      <w:r w:rsidR="0018361F">
        <w:t xml:space="preserve">of </w:t>
      </w:r>
      <w:r>
        <w:t>guessing. In addition to the well-recognised costs of negative health impacts, premature mortality, criminal activity, productivity losses,</w:t>
      </w:r>
      <w:r w:rsidR="00B90274">
        <w:t xml:space="preserve"> and costs representing harms that may be less well described by data, </w:t>
      </w:r>
      <w:r>
        <w:t>a net costs approach requires detailed analysis of the less discussed potential benefits, including:</w:t>
      </w:r>
    </w:p>
    <w:p w14:paraId="49619E1C" w14:textId="5DA26F67" w:rsidR="00F2238C" w:rsidRDefault="005721DC" w:rsidP="00F2238C">
      <w:pPr>
        <w:pStyle w:val="USBullet1"/>
      </w:pPr>
      <w:r>
        <w:rPr>
          <w:b/>
          <w:bCs/>
        </w:rPr>
        <w:t>Any p</w:t>
      </w:r>
      <w:r w:rsidR="00F2238C" w:rsidRPr="00EB4F02">
        <w:rPr>
          <w:b/>
          <w:bCs/>
        </w:rPr>
        <w:t>otential health benefits of alcohol consumption.</w:t>
      </w:r>
      <w:r w:rsidR="00F2238C">
        <w:t xml:space="preserve"> These have often been discussed in the media and may figure strongly in many New Zealanders’ perceptions of alcohol. While these health benefits have been called into question by many health experts due to </w:t>
      </w:r>
      <w:r w:rsidR="00F2238C" w:rsidRPr="00EF28FF">
        <w:t>new evidence sugges</w:t>
      </w:r>
      <w:r w:rsidR="00F2238C">
        <w:t>ting</w:t>
      </w:r>
      <w:r w:rsidR="00F2238C" w:rsidRPr="00EF28FF">
        <w:t xml:space="preserve"> </w:t>
      </w:r>
      <w:r w:rsidR="00F2238C">
        <w:t xml:space="preserve">health </w:t>
      </w:r>
      <w:r w:rsidR="00F2238C" w:rsidRPr="00EF28FF">
        <w:t>benefits are l</w:t>
      </w:r>
      <w:r w:rsidR="00F2238C">
        <w:t>ess</w:t>
      </w:r>
      <w:r w:rsidR="00F2238C" w:rsidRPr="00EF28FF">
        <w:t xml:space="preserve"> and apply to a smaller group of the population than previously thought</w:t>
      </w:r>
      <w:r w:rsidR="00F2238C">
        <w:t xml:space="preserve">, numerous health research institutions internationally still make statements supporting the existence of benefits (e.g. Harvard T.H. Chan School of Public </w:t>
      </w:r>
      <w:r w:rsidR="00F2238C" w:rsidRPr="004153E6">
        <w:t xml:space="preserve">Health </w:t>
      </w:r>
      <w:r w:rsidR="00F2238C" w:rsidRPr="004153E6">
        <w:fldChar w:fldCharType="begin"/>
      </w:r>
      <w:r w:rsidR="00F244F6">
        <w:instrText xml:space="preserve"> ADDIN ZOTERO_ITEM CSL_CITATION {"citationID":"3VGe9Uyl","properties":{"formattedCitation":"(2022)","plainCitation":"(2022)","noteIndex":0},"citationItems":[{"id":71306,"uris":["http://zotero.org/groups/4944822/items/DTEY4NE7"],"itemData":{"id":71306,"type":"webpage","abstract":"Moderate drinking can be healthy—but not for everyone. You must weigh the risks and benefits. –Introduction –What’s Moderate Alcohol Intake? What’s a Drink? –The Downside of Alcohol –Po…","container-title":"The Nutrition Source","language":"en-us","title":"Alcohol: Balancing Risks and Benefits","title-short":"Alcohol","URL":"https://www.hsph.harvard.edu/nutritionsource/healthy-drinks/drinks-to-consume-in-moderation/alcohol-full-story/","author":[{"family":"Harvard T. H. Chan","given":""}],"accessed":{"date-parts":[["2023",12,7]]},"issued":{"date-parts":[["2022"]]}},"suppress-author":true}],"schema":"https://github.com/citation-style-language/schema/raw/master/csl-citation.json"} </w:instrText>
      </w:r>
      <w:r w:rsidR="00F2238C" w:rsidRPr="004153E6">
        <w:fldChar w:fldCharType="separate"/>
      </w:r>
      <w:r w:rsidR="00F2238C" w:rsidRPr="004153E6">
        <w:rPr>
          <w:rFonts w:cs="Calibri"/>
        </w:rPr>
        <w:t>(2022)</w:t>
      </w:r>
      <w:r w:rsidR="00F2238C" w:rsidRPr="004153E6">
        <w:fldChar w:fldCharType="end"/>
      </w:r>
      <w:r w:rsidR="00F2238C" w:rsidRPr="004153E6">
        <w:t>,</w:t>
      </w:r>
      <w:r w:rsidR="00F2238C">
        <w:t xml:space="preserve"> the Mayo Clinic</w:t>
      </w:r>
      <w:r w:rsidR="00F2238C" w:rsidRPr="004153E6">
        <w:t xml:space="preserve"> </w:t>
      </w:r>
      <w:r w:rsidR="00F2238C" w:rsidRPr="004153E6">
        <w:fldChar w:fldCharType="begin"/>
      </w:r>
      <w:r w:rsidR="00F244F6">
        <w:instrText xml:space="preserve"> ADDIN ZOTERO_ITEM CSL_CITATION {"citationID":"OxAhl5Wh","properties":{"formattedCitation":"(2021)","plainCitation":"(2021)","noteIndex":0},"citationItems":[{"id":71308,"uris":["http://zotero.org/groups/4944822/items/IHP4NEC2"],"itemData":{"id":71308,"type":"webpage","abstract":"Drinking alcohol in moderation can be good for your health, but you need to balance the risks and benefits.","container-title":"Mayo Clinic Health System","language":"en","title":"Balancing risks, benefits of alcohol","URL":"https://www.mayoclinichealthsystem.org/hometown-health/speaking-of-health/balancing-the-risks-benefits-of-alcohol","author":[{"family":"Mayo Clinic Health System","given":""}],"accessed":{"date-parts":[["2023",12,7]]},"issued":{"date-parts":[["2021"]]}},"suppress-author":true}],"schema":"https://github.com/citation-style-language/schema/raw/master/csl-citation.json"} </w:instrText>
      </w:r>
      <w:r w:rsidR="00F2238C" w:rsidRPr="004153E6">
        <w:fldChar w:fldCharType="separate"/>
      </w:r>
      <w:r w:rsidR="00F2238C" w:rsidRPr="004153E6">
        <w:rPr>
          <w:rFonts w:cs="Calibri"/>
        </w:rPr>
        <w:t>(2021)</w:t>
      </w:r>
      <w:r w:rsidR="00F2238C" w:rsidRPr="004153E6">
        <w:fldChar w:fldCharType="end"/>
      </w:r>
      <w:r w:rsidR="00F2238C" w:rsidRPr="004153E6">
        <w:t>)</w:t>
      </w:r>
      <w:r w:rsidR="00F2238C">
        <w:t xml:space="preserve"> and while the World Health Organization notes that on balance, alcohol has negative impacts on health and that no level of alcohol consumption should be considered safe overall, it acknowledges that the large negative impacts associated with some health conditions (e.g. cancer) may be partially offset by smaller protective effects in others (e.g. </w:t>
      </w:r>
      <w:r w:rsidR="00F2238C" w:rsidRPr="004153E6">
        <w:t xml:space="preserve">cardiovascular disease and diabetes) for light to moderate drinkers </w:t>
      </w:r>
      <w:r w:rsidR="00F2238C" w:rsidRPr="004153E6">
        <w:fldChar w:fldCharType="begin"/>
      </w:r>
      <w:r w:rsidR="00F244F6">
        <w:instrText xml:space="preserve"> ADDIN ZOTERO_ITEM CSL_CITATION {"citationID":"taAcqv3J","properties":{"formattedCitation":"(Anderson et al. 2023; World Health Organization. Europe 2023)","plainCitation":"(Anderson et al. 2023; World Health Organization. Europe 2023)","noteIndex":0},"citationItems":[{"id":71286,"uris":["http://zotero.org/groups/4944822/items/E3NWIZY4"],"itemData":{"id":71286,"type":"article-journal","container-title":"The Lancet Public Health","DOI":"10.1016/S2468-2667(22)00317-6","ISSN":"2468-2667","issue":"1","journalAbbreviation":"The Lancet Public Health","language":"English","note":"publisher: Elsevier\nPMID: 36603913","page":"e6-e7","source":"www.thelancet.com","title":"Health and cancer risks associated with low levels of alcohol consumption","volume":"8","author":[{"family":"Anderson","given":"Benjamin O."},{"family":"Berdzuli","given":"Nino"},{"family":"Ilbawi","given":"Andre"},{"family":"Kestel","given":"Dévora"},{"family":"Kluge","given":"Hans P."},{"family":"Krech","given":"Rüdiger"},{"family":"Mikkelsen","given":"Bente"},{"family":"Neufeld","given":"Maria"},{"family":"Poznyak","given":"Vladimir"},{"family":"Rekve","given":"Dag"},{"family":"Slama","given":"Slim"},{"family":"Tello","given":"Juan"},{"family":"Ferreira-Borges","given":"Carina"}],"issued":{"date-parts":[["2023",1,1]]}},"label":"page"},{"id":71310,"uris":["http://zotero.org/groups/4944822/items/QPNZBD7P"],"itemData":{"id":71310,"type":"webpage","abstract":"The risks and harms associated with drinking alcohol have been systematically evaluated over the years and are well documented.","language":"en","title":"No level of alcohol consumption is safe for our health","URL":"https://www.who.int/europe/news/item/04-01-2023-no-level-of-alcohol-consumption-is-safe-for-our-health","author":[{"family":"World Health Organization. Europe","given":""}],"accessed":{"date-parts":[["2023",12,7]]},"issued":{"date-parts":[["2023"]]}},"label":"page"}],"schema":"https://github.com/citation-style-language/schema/raw/master/csl-citation.json"} </w:instrText>
      </w:r>
      <w:r w:rsidR="00F2238C" w:rsidRPr="004153E6">
        <w:fldChar w:fldCharType="separate"/>
      </w:r>
      <w:r w:rsidR="00F2238C" w:rsidRPr="004153E6">
        <w:rPr>
          <w:rFonts w:cs="Calibri"/>
        </w:rPr>
        <w:t xml:space="preserve">(Anderson et </w:t>
      </w:r>
      <w:r w:rsidR="00F2238C" w:rsidRPr="004153E6">
        <w:rPr>
          <w:rFonts w:cs="Calibri"/>
        </w:rPr>
        <w:lastRenderedPageBreak/>
        <w:t>al. 2023; World Health Organization. Europe 2023)</w:t>
      </w:r>
      <w:r w:rsidR="00F2238C" w:rsidRPr="004153E6">
        <w:fldChar w:fldCharType="end"/>
      </w:r>
      <w:r w:rsidR="00F2238C" w:rsidRPr="004153E6">
        <w:t xml:space="preserve">. </w:t>
      </w:r>
      <w:r w:rsidR="00EC1AC3">
        <w:t>Our gross costs approach means we need not resolve</w:t>
      </w:r>
      <w:r w:rsidR="002257B4">
        <w:t xml:space="preserve"> or quantify this issue.</w:t>
      </w:r>
    </w:p>
    <w:p w14:paraId="40FB83EB" w14:textId="77777777" w:rsidR="00F2238C" w:rsidRDefault="00F2238C" w:rsidP="00F2238C">
      <w:pPr>
        <w:pStyle w:val="USBullet1"/>
      </w:pPr>
      <w:r w:rsidRPr="00EB4F02">
        <w:rPr>
          <w:b/>
          <w:bCs/>
        </w:rPr>
        <w:t>Potential fiscal benefits associated with early mortality.</w:t>
      </w:r>
      <w:r>
        <w:t xml:space="preserve"> People who die earlier than they otherwise </w:t>
      </w:r>
      <w:proofErr w:type="gramStart"/>
      <w:r>
        <w:t>would</w:t>
      </w:r>
      <w:proofErr w:type="gramEnd"/>
      <w:r>
        <w:t xml:space="preserve"> due to alcohol-attributable conditions and injuries cease to pay taxes but also cease to consume services, with health services and superannuation being key savings. </w:t>
      </w:r>
    </w:p>
    <w:p w14:paraId="0A542411" w14:textId="6A755697" w:rsidR="00814646" w:rsidRDefault="00F2238C" w:rsidP="00F2238C">
      <w:pPr>
        <w:pStyle w:val="USBullet1"/>
      </w:pPr>
      <w:r w:rsidRPr="006D47FC">
        <w:rPr>
          <w:b/>
          <w:bCs/>
        </w:rPr>
        <w:t xml:space="preserve">Consumer surplus associated with alcohol consumption. </w:t>
      </w:r>
      <w:r>
        <w:t>Consumers purchase and consume alcohol because they expect to enjoy consuming it or derive benefits associated with its consumption (</w:t>
      </w:r>
      <w:proofErr w:type="gramStart"/>
      <w:r>
        <w:t>e.g.</w:t>
      </w:r>
      <w:proofErr w:type="gramEnd"/>
      <w:r>
        <w:t xml:space="preserve"> social or even professional benefits). While it is fair to say that some people consume alcohol in ways that result in negative experiences</w:t>
      </w:r>
      <w:r w:rsidR="0017651C">
        <w:t>,</w:t>
      </w:r>
      <w:r>
        <w:t xml:space="preserve"> which will more than offset any benefits, </w:t>
      </w:r>
      <w:r w:rsidR="0017651C">
        <w:t xml:space="preserve">and </w:t>
      </w:r>
      <w:r>
        <w:t>others suffer from addiction</w:t>
      </w:r>
      <w:r w:rsidR="0017651C">
        <w:t>,</w:t>
      </w:r>
      <w:r>
        <w:t xml:space="preserve"> which compels them to purchase and consume alcohol in a way that doesn’t align with the economic concepts of utility from which consumer surplus is derived, </w:t>
      </w:r>
      <w:r w:rsidR="00AB2126">
        <w:t>others may</w:t>
      </w:r>
      <w:r>
        <w:t xml:space="preserve"> drink </w:t>
      </w:r>
      <w:r w:rsidR="000850A6">
        <w:t xml:space="preserve">with full knowledge and understanding of risks </w:t>
      </w:r>
      <w:r>
        <w:t xml:space="preserve">and </w:t>
      </w:r>
      <w:r w:rsidR="000850A6">
        <w:t xml:space="preserve">may </w:t>
      </w:r>
      <w:r>
        <w:t xml:space="preserve">value the ability to include moderate alcohol consumption in their lives. </w:t>
      </w:r>
    </w:p>
    <w:p w14:paraId="496EC22F" w14:textId="3287CFB3" w:rsidR="00814646" w:rsidRDefault="00F2238C" w:rsidP="00814646">
      <w:pPr>
        <w:pStyle w:val="USBullet1"/>
        <w:numPr>
          <w:ilvl w:val="0"/>
          <w:numId w:val="0"/>
        </w:numPr>
        <w:ind w:left="1276"/>
      </w:pPr>
      <w:r>
        <w:t>The Law Commission acknowledged in its 2010 report that not all alcohol consumption is excessive or harmful and that “balanced against these harms must be the pleasure many people derive from the consumption of alcohol” (Law Commission, p.7). The report quotes Otago University epidemiologist Professor Jennie Connor, who argues that: “Many [New Zealanders] drink in a low-risk manner and reap the social benefits</w:t>
      </w:r>
      <w:r w:rsidRPr="004153E6">
        <w:t xml:space="preserve">” </w:t>
      </w:r>
      <w:r w:rsidRPr="004153E6">
        <w:fldChar w:fldCharType="begin"/>
      </w:r>
      <w:r w:rsidR="00F244F6">
        <w:instrText xml:space="preserve"> ADDIN ZOTERO_ITEM CSL_CITATION {"citationID":"Ljdv8LTZ","properties":{"formattedCitation":"(Law Commission 2010)","plainCitation":"(Law Commission 2010)","noteIndex":0},"citationItems":[{"id":63466,"uris":["http://zotero.org/groups/4944822/items/YN554VEK"],"itemData":{"id":63466,"type":"book","call-number":"KUQ1543 .A23 2010","collection-number":"no. 114","collection-title":"Report","event-place":"Wellington, N.Z","ISBN":"978-1-877316-91-3","language":"en","number-of-pages":"514","publisher":"Law Commission","publisher-place":"Wellington, N.Z","source":"Library of Congress ISBN","title":"Alcohol in our lives: curbing the harm: a report on the review of the regulatory framework for the sale and supply of liquor","title-short":"Alcohol in our lives","editor":[{"family":"Law Commission","given":""}],"issued":{"date-parts":[["2010"]]}}}],"schema":"https://github.com/citation-style-language/schema/raw/master/csl-citation.json"} </w:instrText>
      </w:r>
      <w:r w:rsidRPr="004153E6">
        <w:fldChar w:fldCharType="separate"/>
      </w:r>
      <w:r w:rsidRPr="004153E6">
        <w:rPr>
          <w:rFonts w:cs="Calibri"/>
        </w:rPr>
        <w:t>(Law Commission 2010)</w:t>
      </w:r>
      <w:r w:rsidRPr="004153E6">
        <w:fldChar w:fldCharType="end"/>
      </w:r>
      <w:r w:rsidRPr="004153E6">
        <w:t>.</w:t>
      </w:r>
      <w:r w:rsidRPr="00CD19C4">
        <w:rPr>
          <w:rStyle w:val="FootnoteReference"/>
        </w:rPr>
        <w:footnoteReference w:id="20"/>
      </w:r>
      <w:r w:rsidRPr="004153E6">
        <w:t xml:space="preserve"> </w:t>
      </w:r>
    </w:p>
    <w:p w14:paraId="0C00AFDB" w14:textId="547B1679" w:rsidR="00F2238C" w:rsidRDefault="00C90B4E" w:rsidP="00814646">
      <w:pPr>
        <w:pStyle w:val="USBullet1"/>
        <w:numPr>
          <w:ilvl w:val="0"/>
          <w:numId w:val="0"/>
        </w:numPr>
        <w:ind w:left="1276"/>
      </w:pPr>
      <w:r>
        <w:t>In 2023, th</w:t>
      </w:r>
      <w:r w:rsidR="00E1478F">
        <w:t>ese views may now be re-considered as the evidence base for alcohol harms has evolved</w:t>
      </w:r>
      <w:r w:rsidR="006C3EA5">
        <w:t>, however many studies continue to confirm at least the social benefits of alcohol</w:t>
      </w:r>
      <w:r w:rsidR="00A4622A">
        <w:t>, such as</w:t>
      </w:r>
      <w:r w:rsidR="00093FCB">
        <w:t xml:space="preserve"> </w:t>
      </w:r>
      <w:r w:rsidR="00093FCB">
        <w:fldChar w:fldCharType="begin"/>
      </w:r>
      <w:r w:rsidR="00F244F6">
        <w:instrText xml:space="preserve"> ADDIN ZOTERO_ITEM CSL_CITATION {"citationID":"YMmJ6QGF","properties":{"custom":"Dunbar et al. (2017)","formattedCitation":"Dunbar et al. (2017)","plainCitation":"Dunbar et al. (2017)","noteIndex":0},"citationItems":[{"id":72462,"uris":["http://zotero.org/groups/4944822/items/A4HV7NXS"],"itemData":{"id":72462,"type":"article-journal","abstract":"Alcohol use has a long and ubiquitous history. Despite considerable research on the misuse of alcohol, no one has ever asked why it might have become universally adopted, although the conventional view assumes that its only benefit is hedonic. In contrast, we suggest that alcohol consumption was adopted because it has social benefits that relate both to health and social bonding. We combine data from a national survey with data from more detailed behavioural and observational studies to show that social drinkers have more friends on whom they can depend for emotional and other support, and feel more engaged with, and trusting of, their local community. Alcohol is known to trigger the endorphin system, and the social consumption of alcohol may thus have the same effect as the many other social activities such as laughter, singing and dancing that we use as a means of servicing and reinforcing social bonds.","container-title":"Adaptive Human Behavior and Physiology","DOI":"10.1007/s40750-016-0058-4","ISSN":"2198-7335","issue":"2","journalAbbreviation":"Adaptive Human Behavior and Physiology","language":"en","page":"118-133","source":"Springer Link","title":"Functional Benefits of (Modest) Alcohol Consumption","volume":"3","author":[{"family":"Dunbar","given":"R. I. M."},{"family":"Launay","given":"Jacques"},{"family":"Wlodarski","given":"Rafael"},{"family":"Robertson","given":"Cole"},{"family":"Pearce","given":"Eiluned"},{"family":"Carney","given":"James"},{"family":"MacCarron","given":"Pádraig"}],"issued":{"date-parts":[["2017",6,1]]}}}],"schema":"https://github.com/citation-style-language/schema/raw/master/csl-citation.json"} </w:instrText>
      </w:r>
      <w:r w:rsidR="00093FCB">
        <w:fldChar w:fldCharType="separate"/>
      </w:r>
      <w:r w:rsidR="00093FCB" w:rsidRPr="00093FCB">
        <w:rPr>
          <w:rFonts w:cs="Calibri"/>
        </w:rPr>
        <w:t>Dunbar et al. (2017)</w:t>
      </w:r>
      <w:r w:rsidR="00093FCB">
        <w:fldChar w:fldCharType="end"/>
      </w:r>
      <w:r w:rsidR="0017651C">
        <w:t>,</w:t>
      </w:r>
      <w:r w:rsidR="00A4622A">
        <w:t xml:space="preserve"> which </w:t>
      </w:r>
      <w:r w:rsidR="001A2F9A" w:rsidRPr="001A2F9A">
        <w:t>combine</w:t>
      </w:r>
      <w:r w:rsidR="001A2F9A">
        <w:t>d</w:t>
      </w:r>
      <w:r w:rsidR="001A2F9A" w:rsidRPr="001A2F9A">
        <w:t xml:space="preserve"> data from a national survey with data from detailed behavioural and observational studies </w:t>
      </w:r>
      <w:r w:rsidR="00093FCB">
        <w:t xml:space="preserve">and showed </w:t>
      </w:r>
      <w:r w:rsidR="001A2F9A" w:rsidRPr="001A2F9A">
        <w:t xml:space="preserve">that </w:t>
      </w:r>
      <w:r w:rsidR="00093FCB">
        <w:t>“</w:t>
      </w:r>
      <w:r w:rsidR="001A2F9A" w:rsidRPr="001A2F9A">
        <w:t>social drinkers have more friends on whom they can depend for emotional and other support, and feel more engaged with, and trusting of, their local community</w:t>
      </w:r>
      <w:r w:rsidR="00093FCB">
        <w:t>”</w:t>
      </w:r>
      <w:r w:rsidR="00A4622A" w:rsidRPr="00A4622A">
        <w:t>.</w:t>
      </w:r>
      <w:r w:rsidR="005662D8">
        <w:t xml:space="preserve"> </w:t>
      </w:r>
      <w:r w:rsidR="00286B33">
        <w:t xml:space="preserve"> </w:t>
      </w:r>
      <w:r w:rsidR="00EC188D">
        <w:t xml:space="preserve"> </w:t>
      </w:r>
    </w:p>
    <w:p w14:paraId="1167241A" w14:textId="3AFEF711" w:rsidR="00F2238C" w:rsidRPr="00E6643B" w:rsidRDefault="00F2238C" w:rsidP="00F2238C">
      <w:pPr>
        <w:pStyle w:val="USBullet1"/>
      </w:pPr>
      <w:r w:rsidRPr="005D4DCE">
        <w:rPr>
          <w:b/>
          <w:bCs/>
        </w:rPr>
        <w:t>Other economic benefits</w:t>
      </w:r>
      <w:r>
        <w:rPr>
          <w:b/>
          <w:bCs/>
        </w:rPr>
        <w:t xml:space="preserve"> associated with the alcohol industry. </w:t>
      </w:r>
      <w:r w:rsidRPr="00735530">
        <w:t>According to NZIER</w:t>
      </w:r>
      <w:r w:rsidR="00F244F6">
        <w:t xml:space="preserve"> </w:t>
      </w:r>
      <w:r w:rsidR="00F244F6">
        <w:fldChar w:fldCharType="begin"/>
      </w:r>
      <w:r w:rsidR="003877BE">
        <w:instrText xml:space="preserve"> ADDIN ZOTERO_ITEM CSL_CITATION {"citationID":"JZk2UsN9","properties":{"formattedCitation":"(2022)","plainCitation":"(2022)","noteIndex":0},"citationItems":[{"id":73582,"uris":["http://zotero.org/groups/4944822/items/9M2Z9FA3"],"itemData":{"id":73582,"type":"report","genre":"NZIER report to NZ Alcohol Beverages Council","title":"Alcohol beverages industry:  A thriving, durable industry adding value to New Zealand’s financial, environmental and social economies","author":[{"family":"NZIER","given":""}],"issued":{"date-parts":[["2022"]]}},"suppress-author":true}],"schema":"https://github.com/citation-style-language/schema/raw/master/csl-citation.json"} </w:instrText>
      </w:r>
      <w:r w:rsidR="00F244F6">
        <w:fldChar w:fldCharType="separate"/>
      </w:r>
      <w:r w:rsidR="00F244F6" w:rsidRPr="00F244F6">
        <w:rPr>
          <w:rFonts w:cs="Calibri"/>
        </w:rPr>
        <w:t>(2022)</w:t>
      </w:r>
      <w:r w:rsidR="00F244F6">
        <w:fldChar w:fldCharType="end"/>
      </w:r>
      <w:r w:rsidRPr="00735530">
        <w:t xml:space="preserve"> estimates, the alcohol industry in New Zealand contributes </w:t>
      </w:r>
      <w:r>
        <w:t xml:space="preserve">a total of </w:t>
      </w:r>
      <w:r w:rsidRPr="00735530">
        <w:t>$1.92 billion to GDP</w:t>
      </w:r>
      <w:r>
        <w:t xml:space="preserve"> annually (value added)</w:t>
      </w:r>
      <w:r w:rsidR="00F005E9">
        <w:t>,</w:t>
      </w:r>
      <w:r w:rsidRPr="00CD19C4">
        <w:rPr>
          <w:rStyle w:val="FootnoteReference"/>
        </w:rPr>
        <w:footnoteReference w:id="21"/>
      </w:r>
      <w:r>
        <w:t xml:space="preserve"> which includes $515 million in wages to the 10,210 people employed in the industry. </w:t>
      </w:r>
      <w:r>
        <w:rPr>
          <w:b/>
          <w:bCs/>
        </w:rPr>
        <w:t xml:space="preserve"> </w:t>
      </w:r>
    </w:p>
    <w:p w14:paraId="3CE0AE1F" w14:textId="77777777" w:rsidR="00F2238C" w:rsidRDefault="00F2238C" w:rsidP="00F2238C">
      <w:pPr>
        <w:pStyle w:val="USBodyText"/>
      </w:pPr>
      <w:r>
        <w:t xml:space="preserve">Unsurprisingly, even the most comprehensive reports on the costs of alcohol harms that claim to take a net costs approach omit some costs and, even more often, some benefits, either due to a lack of data or evidence or due to varied views on what should be included. </w:t>
      </w:r>
    </w:p>
    <w:p w14:paraId="06612C6D" w14:textId="0E93FC4E" w:rsidR="00F2238C" w:rsidRDefault="00F2238C" w:rsidP="00F2238C">
      <w:pPr>
        <w:pStyle w:val="USBodyText"/>
      </w:pPr>
      <w:r>
        <w:t xml:space="preserve">For example, a major Canadian project to estimate the costs of </w:t>
      </w:r>
      <w:r w:rsidRPr="004153E6">
        <w:t xml:space="preserve">alcohol </w:t>
      </w:r>
      <w:r w:rsidRPr="004153E6">
        <w:fldChar w:fldCharType="begin"/>
      </w:r>
      <w:r w:rsidR="00F244F6">
        <w:instrText xml:space="preserve"> ADDIN ZOTERO_ITEM CSL_CITATION {"citationID":"TYOs4OJ6","properties":{"formattedCitation":"(Canadian Centre on Substance Use and Addiction 2023)","plainCitation":"(Canadian Centre on Substance Use and Addiction 2023)","noteIndex":0},"citationItems":[{"id":71323,"uris":["http://zotero.org/groups/4944822/items/34XQL6NT"],"itemData":{"id":71323,"type":"report","language":"en","source":"Zotero","title":"Canadian Substance Use Costs and Harms 2007–2020","author":[{"family":"Canadian Centre on Substance Use and Addiction","given":""}],"issued":{"date-parts":[["2023"]]}}}],"schema":"https://github.com/citation-style-language/schema/raw/master/csl-citation.json"} </w:instrText>
      </w:r>
      <w:r w:rsidRPr="004153E6">
        <w:fldChar w:fldCharType="separate"/>
      </w:r>
      <w:r w:rsidRPr="004153E6">
        <w:rPr>
          <w:rFonts w:cs="Calibri"/>
        </w:rPr>
        <w:t>(Canadian Centre on Substance Use and Addiction 2023)</w:t>
      </w:r>
      <w:r w:rsidRPr="004153E6">
        <w:fldChar w:fldCharType="end"/>
      </w:r>
      <w:r w:rsidRPr="004153E6">
        <w:t xml:space="preserve"> claims to take a net costs approach but includes only the small health benefits of alcohol consumption and ignores the relatively more substantial benefits of fiscal savings from premature mortality, consumer surplus and other economic benefits.</w:t>
      </w:r>
      <w:r>
        <w:t xml:space="preserve"> </w:t>
      </w:r>
      <w:r w:rsidRPr="004153E6">
        <w:t xml:space="preserve">The previous New Zealand report on costs of alcohol harms conducted </w:t>
      </w:r>
      <w:r w:rsidRPr="004153E6">
        <w:lastRenderedPageBreak/>
        <w:t xml:space="preserve">by BERL in 2009 </w:t>
      </w:r>
      <w:r w:rsidRPr="004153E6">
        <w:fldChar w:fldCharType="begin"/>
      </w:r>
      <w:r w:rsidR="00F244F6">
        <w:instrText xml:space="preserve"> ADDIN ZOTERO_ITEM CSL_CITATION {"citationID":"3dJmD5cv","properties":{"formattedCitation":"(Slack et al. 2009)","plainCitation":"(Slack et al. 2009)","noteIndex":0},"citationItems":[{"id":63284,"uris":["http://zotero.org/groups/4944822/items/X7IYS9QE"],"itemData":{"id":63284,"type":"report","abstract":"See Crampton and Burgess's rebuttal to this report.\nThe study analyses two categories of drugs: alcohol and other drugs, where other drugs\ninclude both illegal and misused legal drugs. It does not cover tobacco. The focus of the\nstudy is on the harmful effects of drug use, that is, use that results in a net social cost. This\nreflects that society, as a whole, has fewer resources and less welfare than in the absence\nof harmful use. Given this focus, the study covers a broad range of personal, economic, and\nsocial impacts, which we denote collectively as ‘social costs’.\nThis report provides four broad answers. First, it estimates the total social costs from\nharmful drug use in the 2005/06 year. Second, it uses these estimates to characterise the\npotential level of costs that are avoidable. Third, it estimates the social cost stemming from\ninjuries as a result of alcohol and other drug use. Fourth, it provides an estimate of the\nsocial costs from harmful drug use borne by the government.","event-place":"Wellington","publisher":"BERL","publisher-place":"Wellington","title":"Costs of Harmful Alcohol and Other Drug Use","author":[{"family":"Slack","given":"A"},{"family":"Nana","given":"G"},{"family":"Webster","given":"M"},{"family":"Stokes","given":"F"},{"family":"Wu","given":"J"}],"issued":{"date-parts":[["2009"]]}}}],"schema":"https://github.com/citation-style-language/schema/raw/master/csl-citation.json"} </w:instrText>
      </w:r>
      <w:r w:rsidRPr="004153E6">
        <w:fldChar w:fldCharType="separate"/>
      </w:r>
      <w:r w:rsidRPr="004153E6">
        <w:rPr>
          <w:rFonts w:cs="Calibri"/>
        </w:rPr>
        <w:t>(Slack et al. 2009)</w:t>
      </w:r>
      <w:r w:rsidRPr="004153E6">
        <w:fldChar w:fldCharType="end"/>
      </w:r>
      <w:r w:rsidRPr="004153E6">
        <w:t xml:space="preserve"> </w:t>
      </w:r>
      <w:r w:rsidR="00E441F7">
        <w:t xml:space="preserve">with </w:t>
      </w:r>
      <w:r w:rsidR="00BC2A52">
        <w:t>an updated estimate proposed</w:t>
      </w:r>
      <w:r w:rsidRPr="004153E6">
        <w:t xml:space="preserve"> in 2018 </w:t>
      </w:r>
      <w:r w:rsidRPr="004153E6">
        <w:fldChar w:fldCharType="begin"/>
      </w:r>
      <w:r w:rsidR="00F244F6">
        <w:instrText xml:space="preserve"> ADDIN ZOTERO_ITEM CSL_CITATION {"citationID":"z2SaSBs4","properties":{"formattedCitation":"(Nana 2018)","plainCitation":"(Nana 2018)","noteIndex":0},"citationItems":[{"id":64196,"uris":["http://zotero.org/groups/4944822/items/ABX8RF3Y"],"itemData":{"id":64196,"type":"speech","event-place":"Presented at the Alcohol Action NZ Conference, Wellington, New Zealand","publisher-place":"Presented at the Alcohol Action NZ Conference, Wellington, New Zealand","title":"Alcohol costs – but, who pays?","author":[{"family":"Nana","given":"Ganesh"}],"issued":{"date-parts":[["2018"]]}}}],"schema":"https://github.com/citation-style-language/schema/raw/master/csl-citation.json"} </w:instrText>
      </w:r>
      <w:r w:rsidRPr="004153E6">
        <w:fldChar w:fldCharType="separate"/>
      </w:r>
      <w:r w:rsidRPr="004153E6">
        <w:rPr>
          <w:rFonts w:cs="Calibri"/>
        </w:rPr>
        <w:t>(Nana 2018)</w:t>
      </w:r>
      <w:r w:rsidRPr="004153E6">
        <w:fldChar w:fldCharType="end"/>
      </w:r>
      <w:r w:rsidR="00B13901">
        <w:t>,</w:t>
      </w:r>
      <w:r>
        <w:t xml:space="preserve"> which also purports to be a net costs report</w:t>
      </w:r>
      <w:r w:rsidR="00B13901">
        <w:t>,</w:t>
      </w:r>
      <w:r w:rsidRPr="004153E6">
        <w:t xml:space="preserve"> ignores consumer</w:t>
      </w:r>
      <w:r>
        <w:t xml:space="preserve"> surplus as a benefit of alcohol consumption as well as the potential health benefits suggested by research on alcohol-attributable fractions</w:t>
      </w:r>
      <w:r w:rsidR="00B13901">
        <w:t>.</w:t>
      </w:r>
      <w:r w:rsidRPr="00CD19C4">
        <w:rPr>
          <w:rStyle w:val="FootnoteReference"/>
        </w:rPr>
        <w:footnoteReference w:id="22"/>
      </w:r>
      <w:r>
        <w:t xml:space="preserve"> </w:t>
      </w:r>
    </w:p>
    <w:p w14:paraId="58F1FF74" w14:textId="77777777" w:rsidR="00F2238C" w:rsidRDefault="00F2238C" w:rsidP="00A41FB4">
      <w:pPr>
        <w:pStyle w:val="Heading4"/>
      </w:pPr>
      <w:r>
        <w:t>Inclusion or exclusion of private costs and benefits</w:t>
      </w:r>
    </w:p>
    <w:p w14:paraId="56E1E546" w14:textId="77777777" w:rsidR="00F2238C" w:rsidRDefault="00F2238C" w:rsidP="00F2238C">
      <w:pPr>
        <w:pStyle w:val="USBodyText"/>
      </w:pPr>
      <w:r>
        <w:t xml:space="preserve">A wide range of costs and benefits are associated with the consumption of alcohol. Costs can be classified as ‘private’ or ‘external’. </w:t>
      </w:r>
    </w:p>
    <w:p w14:paraId="332589FE" w14:textId="67BDE7F7" w:rsidR="00F2238C" w:rsidRDefault="00F2238C" w:rsidP="00F2238C">
      <w:pPr>
        <w:pStyle w:val="USBodyText"/>
      </w:pPr>
      <w:r>
        <w:t>Private costs and benefits are experienced by the person who consumes alcohol and include</w:t>
      </w:r>
      <w:r w:rsidR="00B13901">
        <w:t>s</w:t>
      </w:r>
      <w:r>
        <w:t xml:space="preserve"> such considerations as the enjoyment of the beverage or the social aspects of drinking, the unpleasantness of a hangover, lost wages, unemployment or reduced career advancement, positive and negative impacts on relationships, pain and suffering associated with health outcomes, the experience of consequences of criminal activity, and many others. </w:t>
      </w:r>
    </w:p>
    <w:p w14:paraId="422BADC4" w14:textId="095C9860" w:rsidR="00F2238C" w:rsidRDefault="00F2238C" w:rsidP="00F2238C">
      <w:pPr>
        <w:pStyle w:val="USBodyText"/>
      </w:pPr>
      <w:r>
        <w:t>External costs and benefits, sometimes called ‘</w:t>
      </w:r>
      <w:proofErr w:type="spellStart"/>
      <w:r>
        <w:t>spillover</w:t>
      </w:r>
      <w:proofErr w:type="spellEnd"/>
      <w:r>
        <w:t>’ effects or externalities, refer to the impacts of a person’s alcohol consumption on others. These might include the costs to victims of alcohol-fuelled violence and other crime</w:t>
      </w:r>
      <w:r w:rsidR="00B13901">
        <w:t>s</w:t>
      </w:r>
      <w:r>
        <w:t>, impacts on children who grow in households where resources are spent on alcohol and parenting is compromised by alcohol consumption, fiscal costs associated with addressing harms such as health system costs or justice system costs, the costs of delivering alcohol addiction programmes, and many others.</w:t>
      </w:r>
    </w:p>
    <w:p w14:paraId="20B5FF89" w14:textId="4781210C" w:rsidR="00F2238C" w:rsidRDefault="00F2238C" w:rsidP="00F2238C">
      <w:pPr>
        <w:pStyle w:val="USBodyText"/>
      </w:pPr>
      <w:r>
        <w:t xml:space="preserve">Some researchers argue that private costs should not be included in cost studies intended to inform policy decisions. Some researchers argue that private costs should be included, particularly where these are associated with alcohol addiction, on the basis that the individual is not making a rational choice, resulting in </w:t>
      </w:r>
      <w:r w:rsidR="00076F14">
        <w:t>‘</w:t>
      </w:r>
      <w:proofErr w:type="gramStart"/>
      <w:r>
        <w:t>internalities</w:t>
      </w:r>
      <w:r w:rsidR="00076F14">
        <w:t>’</w:t>
      </w:r>
      <w:proofErr w:type="gramEnd"/>
      <w:r w:rsidR="00076F14">
        <w:t xml:space="preserve">. </w:t>
      </w:r>
      <w:r>
        <w:t xml:space="preserve">Even amongst researchers who argue for the inclusion of private costs, there is no universal approach to which ones should or shouldn’t be included. </w:t>
      </w:r>
    </w:p>
    <w:p w14:paraId="0119019E" w14:textId="444D1F23" w:rsidR="00F2238C" w:rsidRDefault="00F2238C" w:rsidP="00F2238C">
      <w:pPr>
        <w:pStyle w:val="USBodyText"/>
      </w:pPr>
      <w:r>
        <w:t xml:space="preserve">At the very least, wherever private costs are included, if the intent is to produce an estimate of net costs, then any offsetting private benefits should also be included. This was a key concern noted about the 2009 BERL report </w:t>
      </w:r>
      <w:r w:rsidRPr="004153E6">
        <w:fldChar w:fldCharType="begin"/>
      </w:r>
      <w:r w:rsidR="00F244F6">
        <w:instrText xml:space="preserve"> ADDIN ZOTERO_ITEM CSL_CITATION {"citationID":"eA87dPhO","properties":{"formattedCitation":"(Eric Crampton and Burgess 2009; E. Crampton, Burgess, and Taylor 2012)","plainCitation":"(Eric Crampton and Burgess 2009; E. Crampton, Burgess, and Taylor 2012)","noteIndex":0},"citationItems":[{"id":63286,"uris":["http://zotero.org/groups/4944822/items/3QHMAJQD"],"itemData":{"id":63286,"type":"report","abstract":"In March 2009, Business and Economic Research Limited (\"BERL\") published “Costs of Harmful Alcohol and Other Drug Use,” a report jointly commissioned by the Ministry of Health and ACC. BERL was asked to measure the costs of drug and alcohol abuse to New Zealand society, but not to evaluate specific interventions. BERL calculated annual social costs of alcohol and illicit drug consumption of $6.8 billion, including $4.8 billion in social costs from alcohol alone. The report was cited by Law Commission President Sir Geoffrey Palmer as evidence in support of greater regulation, gaining considerable media coverage.","genre":"Working paper","language":"en","number":"10/2009","source":"Zotero","title":"The Price of Everything, The Value of Nothing: A (Truly) External Review Of BERL’s Study Of Harmful Alcohol and Drug Use","author":[{"family":"Crampton","given":"Eric"},{"family":"Burgess","given":"Matt"}],"issued":{"date-parts":[["2009"]]}},"label":"page"},{"id":63175,"uris":["http://zotero.org/groups/4944822/items/SXTFRACE"],"itemData":{"id":63175,"type":"article-journal","abstract":"Studies based on a cost of illness method frequently assert large social costs from a variety of risky activities, the harms from which most typically fall upon the risk-taker himself. Many of these costs are inadmissible in a standard economic framework; consequently, figures derived by the cost of illness method are not comparable with other economic notions of cost and are of very limited policy use.","container-title":"New Zealand Medical Journal","ISSN":"1175-8716","issue":"1360","language":"en","license":"http://library.canterbury.ac.nz/ir/rights.shtml","source":"ir.canterbury.ac.nz","title":"What's in a cost? Comparing economic and public health measures of alcohol's social costs","title-short":"What's in a cost?","URL":"http://ir.canterbury.ac.nz/handle/10092/7696","volume":"125","author":[{"family":"Crampton","given":"E."},{"family":"Burgess","given":"M."},{"family":"Taylor","given":"B."}],"accessed":{"date-parts":[["2014",8,20]]},"issued":{"date-parts":[["2012"]]}},"label":"page"}],"schema":"https://github.com/citation-style-language/schema/raw/master/csl-citation.json"} </w:instrText>
      </w:r>
      <w:r w:rsidRPr="004153E6">
        <w:fldChar w:fldCharType="separate"/>
      </w:r>
      <w:r w:rsidRPr="004153E6">
        <w:rPr>
          <w:rFonts w:cs="Calibri"/>
        </w:rPr>
        <w:t>(Eric Crampton and Burgess 2009; E. Crampton, Burgess, and Taylor 2012)</w:t>
      </w:r>
      <w:r w:rsidRPr="004153E6">
        <w:fldChar w:fldCharType="end"/>
      </w:r>
      <w:r w:rsidRPr="004153E6">
        <w:t>.</w:t>
      </w:r>
    </w:p>
    <w:p w14:paraId="375FAB85" w14:textId="77777777" w:rsidR="00F2238C" w:rsidRDefault="00F2238C" w:rsidP="00F2238C">
      <w:pPr>
        <w:pStyle w:val="Heading4"/>
      </w:pPr>
      <w:r>
        <w:t xml:space="preserve">The counterfactual is of critical </w:t>
      </w:r>
      <w:proofErr w:type="gramStart"/>
      <w:r>
        <w:t>importance</w:t>
      </w:r>
      <w:proofErr w:type="gramEnd"/>
    </w:p>
    <w:p w14:paraId="6C43CBBB" w14:textId="79404C3A" w:rsidR="00F2238C" w:rsidRDefault="00F2238C" w:rsidP="00F2238C">
      <w:pPr>
        <w:pStyle w:val="USBodyText"/>
      </w:pPr>
      <w:r>
        <w:t>The counterfactual against which costs are estimated is also relevant to the interpretation of results and the comparability of reports</w:t>
      </w:r>
      <w:r w:rsidR="00076F14">
        <w:t>,</w:t>
      </w:r>
      <w:r>
        <w:t xml:space="preserve"> as well as being a significant source of uncertainty. There are two major issues related to the assumed counterfactual in many studies of alcohol costs:</w:t>
      </w:r>
    </w:p>
    <w:p w14:paraId="7FEBB5FF" w14:textId="3FDDA167" w:rsidR="00F2238C" w:rsidRDefault="00F2238C" w:rsidP="00F2238C">
      <w:pPr>
        <w:pStyle w:val="USBullet1"/>
      </w:pPr>
      <w:r>
        <w:t xml:space="preserve">When costs of alcohol harms are estimated, they implicitly suggest that in the absence of alcohol, those costs would not be incurred because the harm would not occur. However, if a person avoids one harmful substance and the harmful behaviour resulting from consuming it, it is still possible for that person to consume alternative harmful substances and/or engage in equally or more harmful behaviour, or to experience or contribute to other harms which alcohol and/or the harmful behaviour </w:t>
      </w:r>
      <w:r>
        <w:lastRenderedPageBreak/>
        <w:t>they engaged in under the influence of alcohol reduced opportunities for. Illegal drugs may not be seen as a substitute for alcohol by the general population, but this is an area of particular uncertainty for criminal behaviour: If there is already an inclination to engage in criminal activity, the illegal status of other drugs may not be a deterrent. Many studies estimate productivity losses and fiscal costs associated with incarceration, with the implicit counterfactual being no criminal offending other than that caused by alcohol – a potentially optimistic assumption that has the effect of overstating the costs of alcohol.</w:t>
      </w:r>
    </w:p>
    <w:p w14:paraId="10B1FB97" w14:textId="1A434AFE" w:rsidR="00F2238C" w:rsidRDefault="00F2238C" w:rsidP="00F2238C">
      <w:pPr>
        <w:pStyle w:val="USBullet1"/>
      </w:pPr>
      <w:r>
        <w:t>Counterfactuals are often constructed from average population values (</w:t>
      </w:r>
      <w:proofErr w:type="gramStart"/>
      <w:r>
        <w:t>e.g.</w:t>
      </w:r>
      <w:proofErr w:type="gramEnd"/>
      <w:r>
        <w:t xml:space="preserve"> average productivity) and then applied to populations these values may not be realistic for. Sometimes little is known about the counterfactual productivity from which productivity costs may be estimated, but average labour market outcomes are unlikely to be relevant to large subpopulations affected by alcohol harms (e.g. convicted criminals, people with FASD, even victims of some crimes, like interpersonal violence, who are more likely to be young, Māori, and facing financial hardship </w:t>
      </w:r>
      <w:r w:rsidRPr="004153E6">
        <w:fldChar w:fldCharType="begin"/>
      </w:r>
      <w:r w:rsidR="00F244F6">
        <w:instrText xml:space="preserve"> ADDIN ZOTERO_ITEM CSL_CITATION {"citationID":"TxIgpVME","properties":{"formattedCitation":"(Ministry of Justice 2023c)","plainCitation":"(Ministry of Justice 2023c)","noteIndex":0},"citationItems":[{"id":71324,"uris":["http://zotero.org/groups/4944822/items/ALWVUVTM"],"itemData":{"id":71324,"type":"report","event-place":"Wellington","publisher":"Ministry of Justice","publisher-place":"Wellington","title":"New Zealand Crime and Victims Survey. Key findings – Cycle 5 report. Descriptive statistics. June 2023. Results drawn from Cycle 5 (2021/22) of the New Zealand Crime and Victims Survey.","author":[{"family":"Ministry of Justice","given":""}],"issued":{"date-parts":[["2023"]]}}}],"schema":"https://github.com/citation-style-language/schema/raw/master/csl-citation.json"} </w:instrText>
      </w:r>
      <w:r w:rsidRPr="004153E6">
        <w:fldChar w:fldCharType="separate"/>
      </w:r>
      <w:r w:rsidRPr="004153E6">
        <w:rPr>
          <w:rFonts w:cs="Calibri"/>
        </w:rPr>
        <w:t>(Ministry of Justice 2023c)</w:t>
      </w:r>
      <w:r w:rsidRPr="004153E6">
        <w:fldChar w:fldCharType="end"/>
      </w:r>
      <w:r w:rsidRPr="004153E6">
        <w:t>.</w:t>
      </w:r>
      <w:r>
        <w:t xml:space="preserve"> In such cases, researchers should attempt to use specific labour market outcomes to estimate costs. The use of ethnicity-specific labour market outcomes, however, is rare in productivity loss estimation due to ethical concerns about the translation of disadvantage and discrimination unless there is reason to believe that specific labour market outcomes are a poor measure of productivity (</w:t>
      </w:r>
      <w:proofErr w:type="gramStart"/>
      <w:r>
        <w:t>e.g.</w:t>
      </w:r>
      <w:proofErr w:type="gramEnd"/>
      <w:r>
        <w:t xml:space="preserve"> for minority ethnicities where discrimination may be the cause of poorer labour market outcomes). </w:t>
      </w:r>
    </w:p>
    <w:p w14:paraId="170D7E64" w14:textId="77777777" w:rsidR="00F2238C" w:rsidRDefault="00F2238C" w:rsidP="00F2238C">
      <w:pPr>
        <w:pStyle w:val="USBodyText"/>
      </w:pPr>
      <w:r>
        <w:t>Given the high degree of uncertainty regarding the counterfactual for alcohol-related harm, estimates should always be considered against the explicit and implicit assumptions made to inform the counterfactual.</w:t>
      </w:r>
    </w:p>
    <w:p w14:paraId="447B3C26" w14:textId="77777777" w:rsidR="00954D43" w:rsidRDefault="00954D43" w:rsidP="00954D43">
      <w:pPr>
        <w:pStyle w:val="Heading4"/>
      </w:pPr>
      <w:r>
        <w:t xml:space="preserve">Attribution is a key concern in cost </w:t>
      </w:r>
      <w:proofErr w:type="gramStart"/>
      <w:r>
        <w:t>studies</w:t>
      </w:r>
      <w:proofErr w:type="gramEnd"/>
    </w:p>
    <w:p w14:paraId="46BF49A2" w14:textId="6F26AC16" w:rsidR="00954D43" w:rsidRDefault="00954D43" w:rsidP="00954D43">
      <w:pPr>
        <w:pStyle w:val="USBodyText"/>
      </w:pPr>
      <w:r>
        <w:t>Alcohol is known to be involved</w:t>
      </w:r>
      <w:r w:rsidR="00F97184">
        <w:t xml:space="preserve"> in</w:t>
      </w:r>
      <w:r>
        <w:t xml:space="preserve"> </w:t>
      </w:r>
      <w:r w:rsidR="002C61FA">
        <w:t xml:space="preserve">or </w:t>
      </w:r>
      <w:r>
        <w:t xml:space="preserve">even contribute to a wide range of outcomes, from physical and mental health conditions to family violence, vehicle accidents, low productivity, suicide and many more. </w:t>
      </w:r>
    </w:p>
    <w:p w14:paraId="33789ECC" w14:textId="77777777" w:rsidR="00954D43" w:rsidRDefault="00954D43" w:rsidP="00954D43">
      <w:pPr>
        <w:pStyle w:val="USBodyText"/>
      </w:pPr>
      <w:r>
        <w:t>However, the complexity of the relationships between alcohol consumption and many other factors that are associated with the same outcomes, the potential for complex multi-directional causality, and the wide range of unobserved and unobservable factors mean that quantifying causal attribution to alcohol for many potential alcohol harms is not yet possible. Where research purports to have identified the causal attribution of harms to alcohol, this is usually on the basis of statistical or econometric controls for a range of other potentially causal factors. The quality of these controls can vary across studies.</w:t>
      </w:r>
    </w:p>
    <w:p w14:paraId="3570D4DF" w14:textId="77777777" w:rsidR="00954D43" w:rsidRDefault="00954D43" w:rsidP="00954D43">
      <w:pPr>
        <w:pStyle w:val="USBodyText"/>
      </w:pPr>
      <w:r w:rsidRPr="00DF0AE3">
        <w:t xml:space="preserve">Attributing causality to alcohol is fundamentally important to achieving good policy and investment decisions. </w:t>
      </w:r>
      <w:r>
        <w:t>Whatever the design of studies investigating alcohol harms and their costs, the key objective is to provide the best available evidence to inform policy and investment decisions to reduce alcohol harms. Poor evidence derived from ill-informed assumptions, outdated data, or conflating correlation and causation risks, can contribute to an inappropriate balance of investment within programmes and services designed to address alcohol harms, and across the range of investment opportunities that governments have to improve the wellbeing of populations.</w:t>
      </w:r>
    </w:p>
    <w:p w14:paraId="26CE04F3" w14:textId="0203E272" w:rsidR="00F2238C" w:rsidRDefault="00F2238C" w:rsidP="00E94570">
      <w:pPr>
        <w:pStyle w:val="Heading4"/>
      </w:pPr>
      <w:r>
        <w:lastRenderedPageBreak/>
        <w:t>Choice of approach</w:t>
      </w:r>
      <w:r w:rsidR="00954D43">
        <w:t xml:space="preserve"> for this report</w:t>
      </w:r>
    </w:p>
    <w:p w14:paraId="594C1BD5" w14:textId="3485B04E" w:rsidR="00F2238C" w:rsidRDefault="00EE7FE3" w:rsidP="00F2238C">
      <w:pPr>
        <w:pStyle w:val="USBodyText"/>
      </w:pPr>
      <w:r w:rsidRPr="00EE7FE3">
        <w:t>A wide range of published studies providing estimates of the costs of alcohol harms internationally has raised awareness that alcohol is associated with significant social and economic costs but has not provided confidence in the estimates produced due to widely differing methodologies and often extensive use of assumptions to fill evidence gaps. Reports produced for advocacy purposes</w:t>
      </w:r>
      <w:r w:rsidR="00076F14">
        <w:t>,</w:t>
      </w:r>
      <w:r w:rsidRPr="00EE7FE3">
        <w:t xml:space="preserve"> in particular</w:t>
      </w:r>
      <w:r w:rsidR="00076F14">
        <w:t>,</w:t>
      </w:r>
      <w:r w:rsidRPr="00EE7FE3">
        <w:t xml:space="preserve"> tend to pursue a more exhaustive list of cost estimates and particular methodologies to achieve a higher total cost result (Pike and Grosse 2018, </w:t>
      </w:r>
      <w:proofErr w:type="spellStart"/>
      <w:r w:rsidRPr="00EE7FE3">
        <w:t>Manthey</w:t>
      </w:r>
      <w:proofErr w:type="spellEnd"/>
      <w:r w:rsidRPr="00EE7FE3">
        <w:t xml:space="preserve"> et al. 2021). Of course, advocacy on either side of an issue may influence methodological choice.</w:t>
      </w:r>
    </w:p>
    <w:p w14:paraId="48A0A562" w14:textId="55C3F2F2" w:rsidR="00F2238C" w:rsidRDefault="00F2238C" w:rsidP="00F2238C">
      <w:pPr>
        <w:pStyle w:val="USBodyText"/>
      </w:pPr>
      <w:r>
        <w:t>I</w:t>
      </w:r>
      <w:r w:rsidRPr="0052178C">
        <w:t xml:space="preserve">n the scoping phase for this project, the Expert Advisory Group </w:t>
      </w:r>
      <w:r>
        <w:t xml:space="preserve">(EAG) </w:t>
      </w:r>
      <w:r w:rsidRPr="0052178C">
        <w:t xml:space="preserve">assembled by Manatū </w:t>
      </w:r>
      <w:proofErr w:type="spellStart"/>
      <w:r w:rsidRPr="0052178C">
        <w:t>Hauora|Ministry</w:t>
      </w:r>
      <w:proofErr w:type="spellEnd"/>
      <w:r w:rsidRPr="0052178C">
        <w:t xml:space="preserve"> of Health to support this project </w:t>
      </w:r>
      <w:r>
        <w:t xml:space="preserve">identified two reports </w:t>
      </w:r>
      <w:r w:rsidRPr="0052178C">
        <w:t>as potentially relevant to consideration of study design and methodology</w:t>
      </w:r>
      <w:r>
        <w:t>:</w:t>
      </w:r>
    </w:p>
    <w:p w14:paraId="55F588E7" w14:textId="77777777" w:rsidR="00F2238C" w:rsidRDefault="00F2238C" w:rsidP="00F2238C">
      <w:pPr>
        <w:pStyle w:val="USBullet1"/>
      </w:pPr>
      <w:r>
        <w:t>the</w:t>
      </w:r>
      <w:r w:rsidRPr="0052178C">
        <w:t xml:space="preserve"> BERL report on costs of harmful alcohol and other drug use (Slack et al. 2009)</w:t>
      </w:r>
    </w:p>
    <w:p w14:paraId="4791D9C3" w14:textId="77777777" w:rsidR="00F2238C" w:rsidRDefault="00F2238C" w:rsidP="00F2238C">
      <w:pPr>
        <w:pStyle w:val="USBullet1"/>
      </w:pPr>
      <w:r w:rsidRPr="0052178C">
        <w:t xml:space="preserve">the Canadian Substance Use Costs and Harms (CSUCH) project developed by the Canadian Centre on Substance Use and Addiction (CCSA) and the University of Victoria’s Canadian Institute for Substance Use Research (CISUR), which has published reports from 2015 to 2020 on the costs of alcohol and substance use since 2007. </w:t>
      </w:r>
    </w:p>
    <w:p w14:paraId="27A67C16" w14:textId="77777777" w:rsidR="00F2238C" w:rsidRDefault="00F2238C" w:rsidP="00F2238C">
      <w:pPr>
        <w:pStyle w:val="USBodyText"/>
      </w:pPr>
      <w:r>
        <w:t xml:space="preserve">These two reports have some common elements. Like most published reports of the costs of alcohol harms, both use a prevalence approach, estimating the costs associated with harms incurred in a specific year (including flows of costs over many years where relevant, such as in the case of mortality and incarceration). Both reports also use the human capital approach to estimate the value of lost productivity. </w:t>
      </w:r>
    </w:p>
    <w:p w14:paraId="38F31536" w14:textId="77777777" w:rsidR="00F2238C" w:rsidRDefault="00F2238C" w:rsidP="00F2238C">
      <w:pPr>
        <w:pStyle w:val="USBodyText"/>
      </w:pPr>
      <w:r>
        <w:t xml:space="preserve">However, there are important differences in approach between the two reports: </w:t>
      </w:r>
    </w:p>
    <w:p w14:paraId="60817B74" w14:textId="4CCCAF9D" w:rsidR="00F2238C" w:rsidRDefault="00F2238C" w:rsidP="00E94570">
      <w:pPr>
        <w:pStyle w:val="USBullet1"/>
      </w:pPr>
      <w:r>
        <w:t>The BERL report aimed to be exhaustive and drew on international evidence and the use of assumptions (the authors’ own assumptions or assumptions made by authors of previously published studies) to fill in evidence gaps. This report presents cost estimates for direct, indirect and intangible costs, as well as an aggregate cost derived by summing up the cost components, ignoring potential double-counting issues that have been highlighted in other reports.</w:t>
      </w:r>
    </w:p>
    <w:p w14:paraId="6269EBE1" w14:textId="03504286" w:rsidR="00F2238C" w:rsidRDefault="00F2238C" w:rsidP="00E94570">
      <w:pPr>
        <w:pStyle w:val="USBullet1"/>
      </w:pPr>
      <w:r>
        <w:t>The CSUCH project aimed to provide robust estimates supported by domestic (Canadian) administrative and survey data and other local evidence, with minimal use of assumptions and value transfers from other contexts. It also excluded intangible costs although the reasons for this are not stated in the reports. Unlike the BERL report, the CSUCH project has led to the publication of peer-reviewed studies on specific aspects of the project.</w:t>
      </w:r>
    </w:p>
    <w:p w14:paraId="148AEF4E" w14:textId="54E2BEBB" w:rsidR="00F2238C" w:rsidRDefault="00F2238C" w:rsidP="00F2238C">
      <w:pPr>
        <w:pStyle w:val="USBodyText"/>
      </w:pPr>
      <w:r>
        <w:t xml:space="preserve">On consideration of the merits of the two approaches, the </w:t>
      </w:r>
      <w:r w:rsidR="00E1365D">
        <w:t>Working Group</w:t>
      </w:r>
      <w:r>
        <w:t xml:space="preserve"> assembled by Manatū </w:t>
      </w:r>
      <w:proofErr w:type="spellStart"/>
      <w:r>
        <w:t>Hauora|Ministry</w:t>
      </w:r>
      <w:proofErr w:type="spellEnd"/>
      <w:r>
        <w:t xml:space="preserve"> of Health to support this project expressed an interest in taking an approach that was broadly aligned with the CSUCH project, but with the inclusion of intangible costs reflecting the pain and suffering of people who experience morbidity and/or mortality as a result of alcohol consumption.</w:t>
      </w:r>
    </w:p>
    <w:p w14:paraId="7F4C5EF0" w14:textId="77777777" w:rsidR="00F2238C" w:rsidRDefault="00F2238C" w:rsidP="00E94570">
      <w:pPr>
        <w:pStyle w:val="Heading4"/>
      </w:pPr>
      <w:r>
        <w:t>Implications of approach</w:t>
      </w:r>
    </w:p>
    <w:p w14:paraId="2FE31A2B" w14:textId="77777777" w:rsidR="00F2238C" w:rsidRPr="00F7174B" w:rsidRDefault="00F2238C" w:rsidP="00F2238C">
      <w:pPr>
        <w:pStyle w:val="USBodyText"/>
      </w:pPr>
      <w:r>
        <w:t>Consistent with the general approach of the CSUCH project, this report reflects the following considerations:</w:t>
      </w:r>
    </w:p>
    <w:p w14:paraId="366FBC90" w14:textId="19BBDF7B" w:rsidR="00F2238C" w:rsidRDefault="00F2238C" w:rsidP="00F2238C">
      <w:pPr>
        <w:pStyle w:val="USBullet1"/>
      </w:pPr>
      <w:r>
        <w:lastRenderedPageBreak/>
        <w:t xml:space="preserve">A gross costs approach. A gross costs approach means estimating the costs of </w:t>
      </w:r>
      <w:r w:rsidR="00971118">
        <w:t>alcohol-</w:t>
      </w:r>
      <w:r>
        <w:t xml:space="preserve">related harms and ignoring the potential benefits associated with alcohol production or consumption. This contrasts with a net costs approach in which the latter are netted out to provide a net societal cost. In addition to being consistent (and therefore comparable) with the CSUCH approach, a gross cost approach is aligned with the alcohol levy’s purpose as a cost recovery mechanism designed to support programmes and services that address alcohol harms irrespective of any benefits associated with alcohol. </w:t>
      </w:r>
    </w:p>
    <w:p w14:paraId="77A1AB16" w14:textId="57793977" w:rsidR="00F2238C" w:rsidRDefault="00F2238C" w:rsidP="00F2238C">
      <w:pPr>
        <w:pStyle w:val="USBullet1"/>
      </w:pPr>
      <w:r>
        <w:t xml:space="preserve">In addition to conservative approaches to cost estimation, consistent with the CSUCH project, this report avoids </w:t>
      </w:r>
      <w:r w:rsidR="00971118">
        <w:t>estimating</w:t>
      </w:r>
      <w:r>
        <w:t xml:space="preserve"> costs where there would be a heavy reliance on assumptions, outdated data, or estimates derived from overseas studies. This approach provides a clearer view of the current state of the evidence and evidence gaps.</w:t>
      </w:r>
    </w:p>
    <w:p w14:paraId="102D75D6" w14:textId="51AFA766" w:rsidR="00F2238C" w:rsidRDefault="00F2238C" w:rsidP="00F2238C">
      <w:pPr>
        <w:pStyle w:val="USBullet1"/>
      </w:pPr>
      <w:r>
        <w:t xml:space="preserve">Because New Zealand data and evidence may allow for a broader set of costs to be estimated than those which CSUCH estimated, we assessed all costs estimated in the BERL report for the feasibility of estimation against the CSUCH principles of local data and evidence and minimal use of assumptions. We also imposed a requirement that any data or evidence used must have been generated within the last ten years (since 2013). </w:t>
      </w:r>
    </w:p>
    <w:p w14:paraId="0B6F1E74" w14:textId="40F000DD" w:rsidR="00C7434E" w:rsidRDefault="00C7434E">
      <w:pPr>
        <w:spacing w:after="160" w:line="259" w:lineRule="auto"/>
      </w:pPr>
      <w:r>
        <w:br w:type="page"/>
      </w:r>
    </w:p>
    <w:p w14:paraId="09A5C8DA" w14:textId="77777777" w:rsidR="0022393E" w:rsidRDefault="0022393E" w:rsidP="0022393E">
      <w:pPr>
        <w:pStyle w:val="ApxHeading1"/>
      </w:pPr>
      <w:bookmarkStart w:id="253" w:name="_Toc160633883"/>
      <w:r w:rsidRPr="0022393E">
        <w:lastRenderedPageBreak/>
        <w:t>Comparison of relevant cost of alcohol studies</w:t>
      </w:r>
      <w:bookmarkEnd w:id="253"/>
    </w:p>
    <w:p w14:paraId="78441BAC" w14:textId="2E6B2120" w:rsidR="009565FC" w:rsidRPr="0079284A" w:rsidRDefault="007C5D30" w:rsidP="007C5D30">
      <w:pPr>
        <w:pStyle w:val="FigureCaption"/>
      </w:pPr>
      <w:bookmarkStart w:id="254" w:name="_Toc160633965"/>
      <w:r w:rsidRPr="00731CA6">
        <w:t xml:space="preserve">Table </w:t>
      </w:r>
      <w:fldSimple w:instr=" SEQ Table \* ARABIC ">
        <w:r w:rsidR="00AE166D">
          <w:rPr>
            <w:noProof/>
          </w:rPr>
          <w:t>58</w:t>
        </w:r>
      </w:fldSimple>
      <w:r w:rsidRPr="00731CA6">
        <w:t xml:space="preserve"> </w:t>
      </w:r>
      <w:r>
        <w:t>Comparison of this study with previous key studies</w:t>
      </w:r>
      <w:bookmarkEnd w:id="254"/>
    </w:p>
    <w:tbl>
      <w:tblPr>
        <w:tblStyle w:val="TableDefault"/>
        <w:tblW w:w="0" w:type="auto"/>
        <w:tblLook w:val="04A0" w:firstRow="1" w:lastRow="0" w:firstColumn="1" w:lastColumn="0" w:noHBand="0" w:noVBand="1"/>
      </w:tblPr>
      <w:tblGrid>
        <w:gridCol w:w="2381"/>
        <w:gridCol w:w="1000"/>
        <w:gridCol w:w="1057"/>
        <w:gridCol w:w="1644"/>
        <w:gridCol w:w="1871"/>
      </w:tblGrid>
      <w:tr w:rsidR="009565FC" w14:paraId="5B4AE688" w14:textId="77777777">
        <w:trPr>
          <w:cnfStyle w:val="100000000000" w:firstRow="1" w:lastRow="0" w:firstColumn="0" w:lastColumn="0" w:oddVBand="0" w:evenVBand="0" w:oddHBand="0" w:evenHBand="0" w:firstRowFirstColumn="0" w:firstRowLastColumn="0" w:lastRowFirstColumn="0" w:lastRowLastColumn="0"/>
        </w:trPr>
        <w:tc>
          <w:tcPr>
            <w:tcW w:w="2381" w:type="dxa"/>
          </w:tcPr>
          <w:p w14:paraId="67E68A4C" w14:textId="77777777" w:rsidR="009565FC" w:rsidRDefault="009565FC">
            <w:pPr>
              <w:pStyle w:val="TSTableHeadingWhite-TopRow"/>
            </w:pPr>
          </w:p>
        </w:tc>
        <w:tc>
          <w:tcPr>
            <w:tcW w:w="979" w:type="dxa"/>
          </w:tcPr>
          <w:p w14:paraId="12546658" w14:textId="77777777" w:rsidR="009565FC" w:rsidRDefault="009565FC">
            <w:pPr>
              <w:pStyle w:val="TSTableHeadingWhite-TopRow"/>
            </w:pPr>
            <w:r w:rsidRPr="00461466">
              <w:rPr>
                <w:rFonts w:cstheme="minorHAnsi"/>
                <w:sz w:val="20"/>
                <w:szCs w:val="20"/>
              </w:rPr>
              <w:t xml:space="preserve">BERL </w:t>
            </w:r>
            <w:r w:rsidRPr="00461466">
              <w:rPr>
                <w:rFonts w:cstheme="minorHAnsi"/>
                <w:bCs/>
                <w:sz w:val="20"/>
                <w:szCs w:val="20"/>
              </w:rPr>
              <w:t>200</w:t>
            </w:r>
            <w:r>
              <w:rPr>
                <w:rFonts w:cstheme="minorHAnsi"/>
                <w:bCs/>
                <w:sz w:val="20"/>
                <w:szCs w:val="20"/>
              </w:rPr>
              <w:t>9</w:t>
            </w:r>
          </w:p>
        </w:tc>
        <w:tc>
          <w:tcPr>
            <w:tcW w:w="1057" w:type="dxa"/>
          </w:tcPr>
          <w:p w14:paraId="4AE7048D" w14:textId="77777777" w:rsidR="009565FC" w:rsidRDefault="009565FC">
            <w:pPr>
              <w:pStyle w:val="TSTableHeadingWhite-TopRow"/>
            </w:pPr>
            <w:r w:rsidRPr="00461466">
              <w:rPr>
                <w:rFonts w:cstheme="minorHAnsi"/>
                <w:sz w:val="20"/>
                <w:szCs w:val="20"/>
              </w:rPr>
              <w:t>CSUCH 20</w:t>
            </w:r>
            <w:r>
              <w:rPr>
                <w:rFonts w:cstheme="minorHAnsi"/>
                <w:sz w:val="20"/>
                <w:szCs w:val="20"/>
              </w:rPr>
              <w:t>20</w:t>
            </w:r>
          </w:p>
        </w:tc>
        <w:tc>
          <w:tcPr>
            <w:tcW w:w="1644" w:type="dxa"/>
          </w:tcPr>
          <w:p w14:paraId="1BA6731C" w14:textId="77777777" w:rsidR="009565FC" w:rsidRDefault="009565FC">
            <w:pPr>
              <w:pStyle w:val="TSTableHeadingWhite-TopRow"/>
            </w:pPr>
            <w:r w:rsidRPr="00461466">
              <w:rPr>
                <w:rFonts w:cstheme="minorHAnsi"/>
                <w:sz w:val="20"/>
                <w:szCs w:val="20"/>
              </w:rPr>
              <w:t>NZIER</w:t>
            </w:r>
            <w:r>
              <w:rPr>
                <w:rFonts w:cstheme="minorHAnsi"/>
                <w:sz w:val="20"/>
                <w:szCs w:val="20"/>
              </w:rPr>
              <w:t xml:space="preserve"> 2023</w:t>
            </w:r>
          </w:p>
        </w:tc>
        <w:tc>
          <w:tcPr>
            <w:tcW w:w="1871" w:type="dxa"/>
          </w:tcPr>
          <w:p w14:paraId="5B9AC380" w14:textId="77777777" w:rsidR="009565FC" w:rsidRDefault="009565FC">
            <w:pPr>
              <w:pStyle w:val="TSTableHeadingWhite-TopRow"/>
            </w:pPr>
            <w:r w:rsidRPr="00461466">
              <w:rPr>
                <w:rFonts w:cstheme="minorHAnsi"/>
                <w:sz w:val="20"/>
                <w:szCs w:val="20"/>
              </w:rPr>
              <w:t xml:space="preserve">Rationale for </w:t>
            </w:r>
            <w:r>
              <w:rPr>
                <w:rFonts w:cstheme="minorHAnsi"/>
                <w:sz w:val="20"/>
                <w:szCs w:val="20"/>
              </w:rPr>
              <w:t>exclusion</w:t>
            </w:r>
          </w:p>
        </w:tc>
      </w:tr>
      <w:tr w:rsidR="009565FC" w14:paraId="6F94AD91" w14:textId="77777777">
        <w:tc>
          <w:tcPr>
            <w:tcW w:w="2381" w:type="dxa"/>
          </w:tcPr>
          <w:p w14:paraId="637AD1DC" w14:textId="77777777" w:rsidR="009565FC" w:rsidRPr="007E34D6" w:rsidRDefault="009565FC" w:rsidP="007E34D6">
            <w:pPr>
              <w:pStyle w:val="TSBodyText"/>
              <w:rPr>
                <w:b/>
                <w:bCs/>
              </w:rPr>
            </w:pPr>
            <w:r w:rsidRPr="007E34D6">
              <w:rPr>
                <w:b/>
                <w:bCs/>
              </w:rPr>
              <w:t>Direct costs</w:t>
            </w:r>
          </w:p>
        </w:tc>
        <w:tc>
          <w:tcPr>
            <w:tcW w:w="979" w:type="dxa"/>
          </w:tcPr>
          <w:p w14:paraId="79D1D8AF" w14:textId="77777777" w:rsidR="009565FC" w:rsidRDefault="009565FC" w:rsidP="007E34D6">
            <w:pPr>
              <w:pStyle w:val="TSBodyText"/>
            </w:pPr>
          </w:p>
        </w:tc>
        <w:tc>
          <w:tcPr>
            <w:tcW w:w="1057" w:type="dxa"/>
          </w:tcPr>
          <w:p w14:paraId="0272A3C5" w14:textId="77777777" w:rsidR="009565FC" w:rsidRDefault="009565FC" w:rsidP="007E34D6">
            <w:pPr>
              <w:pStyle w:val="TSBodyText"/>
            </w:pPr>
          </w:p>
        </w:tc>
        <w:tc>
          <w:tcPr>
            <w:tcW w:w="1644" w:type="dxa"/>
          </w:tcPr>
          <w:p w14:paraId="03016927" w14:textId="77777777" w:rsidR="009565FC" w:rsidRDefault="009565FC" w:rsidP="007E34D6">
            <w:pPr>
              <w:pStyle w:val="TSBodyText"/>
            </w:pPr>
          </w:p>
        </w:tc>
        <w:tc>
          <w:tcPr>
            <w:tcW w:w="1871" w:type="dxa"/>
          </w:tcPr>
          <w:p w14:paraId="682BB391" w14:textId="77777777" w:rsidR="009565FC" w:rsidRDefault="009565FC" w:rsidP="007E34D6">
            <w:pPr>
              <w:pStyle w:val="TSBodyText"/>
            </w:pPr>
          </w:p>
        </w:tc>
      </w:tr>
      <w:tr w:rsidR="009565FC" w14:paraId="0B2ABC2E"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35D37B74" w14:textId="77777777" w:rsidR="009565FC" w:rsidRDefault="009565FC" w:rsidP="007E34D6">
            <w:pPr>
              <w:pStyle w:val="TSBodyText"/>
            </w:pPr>
            <w:r w:rsidRPr="00461466">
              <w:t>Cost of substances/diverted inputs</w:t>
            </w:r>
          </w:p>
        </w:tc>
        <w:tc>
          <w:tcPr>
            <w:tcW w:w="979" w:type="dxa"/>
          </w:tcPr>
          <w:p w14:paraId="0D33DAA6" w14:textId="77777777" w:rsidR="009565FC" w:rsidRDefault="009565FC" w:rsidP="007E34D6">
            <w:pPr>
              <w:pStyle w:val="TSBodyText"/>
            </w:pPr>
            <w:r w:rsidRPr="00461466">
              <w:rPr>
                <w:rFonts w:ascii="Wingdings 2" w:eastAsia="Wingdings 2" w:hAnsi="Wingdings 2"/>
              </w:rPr>
              <w:t>P</w:t>
            </w:r>
          </w:p>
        </w:tc>
        <w:tc>
          <w:tcPr>
            <w:tcW w:w="1057" w:type="dxa"/>
          </w:tcPr>
          <w:p w14:paraId="1957CD0D" w14:textId="77777777" w:rsidR="009565FC" w:rsidRDefault="009565FC" w:rsidP="007E34D6">
            <w:pPr>
              <w:pStyle w:val="TSBodyText"/>
            </w:pPr>
          </w:p>
        </w:tc>
        <w:tc>
          <w:tcPr>
            <w:tcW w:w="1644" w:type="dxa"/>
          </w:tcPr>
          <w:p w14:paraId="58622EC8" w14:textId="77777777" w:rsidR="009565FC" w:rsidRDefault="009565FC" w:rsidP="007E34D6">
            <w:pPr>
              <w:pStyle w:val="TSBodyText"/>
            </w:pPr>
          </w:p>
        </w:tc>
        <w:tc>
          <w:tcPr>
            <w:tcW w:w="1871" w:type="dxa"/>
          </w:tcPr>
          <w:p w14:paraId="49A99E4D" w14:textId="07BEC542" w:rsidR="009565FC" w:rsidRDefault="009565FC" w:rsidP="007E34D6">
            <w:pPr>
              <w:pStyle w:val="TSBodyText"/>
            </w:pPr>
            <w:r w:rsidRPr="00C77B65">
              <w:t>Definition of alcohol harm</w:t>
            </w:r>
            <w:r w:rsidR="0006347B">
              <w:t>s</w:t>
            </w:r>
          </w:p>
        </w:tc>
      </w:tr>
      <w:tr w:rsidR="009565FC" w14:paraId="75A4D49B" w14:textId="77777777">
        <w:tc>
          <w:tcPr>
            <w:tcW w:w="2381" w:type="dxa"/>
          </w:tcPr>
          <w:p w14:paraId="0181D9C7" w14:textId="77777777" w:rsidR="009565FC" w:rsidRDefault="009565FC" w:rsidP="007E34D6">
            <w:pPr>
              <w:pStyle w:val="TSBodyText"/>
            </w:pPr>
            <w:r w:rsidRPr="00461466">
              <w:t>Road crashes</w:t>
            </w:r>
          </w:p>
        </w:tc>
        <w:tc>
          <w:tcPr>
            <w:tcW w:w="979" w:type="dxa"/>
          </w:tcPr>
          <w:p w14:paraId="6D8C4915" w14:textId="77777777" w:rsidR="009565FC" w:rsidRDefault="009565FC" w:rsidP="007E34D6">
            <w:pPr>
              <w:pStyle w:val="TSBodyText"/>
            </w:pPr>
            <w:r w:rsidRPr="00461466">
              <w:rPr>
                <w:rFonts w:ascii="Wingdings 2" w:eastAsia="Wingdings 2" w:hAnsi="Wingdings 2"/>
              </w:rPr>
              <w:t>P</w:t>
            </w:r>
          </w:p>
        </w:tc>
        <w:tc>
          <w:tcPr>
            <w:tcW w:w="1057" w:type="dxa"/>
          </w:tcPr>
          <w:p w14:paraId="39DCA7C3" w14:textId="77777777" w:rsidR="009565FC" w:rsidRDefault="009565FC" w:rsidP="007E34D6">
            <w:pPr>
              <w:pStyle w:val="TSBodyText"/>
            </w:pPr>
            <w:r w:rsidRPr="00461466">
              <w:rPr>
                <w:rFonts w:ascii="Wingdings 2" w:eastAsia="Wingdings 2" w:hAnsi="Wingdings 2"/>
              </w:rPr>
              <w:t>P</w:t>
            </w:r>
          </w:p>
        </w:tc>
        <w:tc>
          <w:tcPr>
            <w:tcW w:w="1644" w:type="dxa"/>
          </w:tcPr>
          <w:p w14:paraId="611CAFE4" w14:textId="77777777" w:rsidR="009565FC" w:rsidRDefault="009565FC" w:rsidP="007E34D6">
            <w:pPr>
              <w:pStyle w:val="TSBodyText"/>
            </w:pPr>
            <w:r w:rsidRPr="00461466">
              <w:rPr>
                <w:rFonts w:ascii="Wingdings 2" w:eastAsia="Wingdings 2" w:hAnsi="Wingdings 2"/>
              </w:rPr>
              <w:t>P</w:t>
            </w:r>
          </w:p>
        </w:tc>
        <w:tc>
          <w:tcPr>
            <w:tcW w:w="1871" w:type="dxa"/>
          </w:tcPr>
          <w:p w14:paraId="2494A5AE" w14:textId="77777777" w:rsidR="009565FC" w:rsidRDefault="009565FC" w:rsidP="007E34D6">
            <w:pPr>
              <w:pStyle w:val="TSBodyText"/>
            </w:pPr>
          </w:p>
        </w:tc>
      </w:tr>
      <w:tr w:rsidR="009565FC" w14:paraId="41E493ED"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4F7D3AB0" w14:textId="77777777" w:rsidR="009565FC" w:rsidRDefault="009565FC" w:rsidP="007E34D6">
            <w:pPr>
              <w:pStyle w:val="TSBodyText"/>
            </w:pPr>
            <w:r w:rsidRPr="00461466">
              <w:t>Police</w:t>
            </w:r>
          </w:p>
        </w:tc>
        <w:tc>
          <w:tcPr>
            <w:tcW w:w="979" w:type="dxa"/>
          </w:tcPr>
          <w:p w14:paraId="12415FDC" w14:textId="77777777" w:rsidR="009565FC" w:rsidRDefault="009565FC" w:rsidP="007E34D6">
            <w:pPr>
              <w:pStyle w:val="TSBodyText"/>
            </w:pPr>
            <w:r w:rsidRPr="00461466">
              <w:rPr>
                <w:rFonts w:ascii="Wingdings 2" w:eastAsia="Wingdings 2" w:hAnsi="Wingdings 2"/>
              </w:rPr>
              <w:t>P</w:t>
            </w:r>
          </w:p>
        </w:tc>
        <w:tc>
          <w:tcPr>
            <w:tcW w:w="1057" w:type="dxa"/>
          </w:tcPr>
          <w:p w14:paraId="7107404E" w14:textId="77777777" w:rsidR="009565FC" w:rsidRDefault="009565FC" w:rsidP="007E34D6">
            <w:pPr>
              <w:pStyle w:val="TSBodyText"/>
            </w:pPr>
            <w:r w:rsidRPr="00461466">
              <w:rPr>
                <w:rFonts w:ascii="Wingdings 2" w:eastAsia="Wingdings 2" w:hAnsi="Wingdings 2"/>
              </w:rPr>
              <w:t>P</w:t>
            </w:r>
          </w:p>
        </w:tc>
        <w:tc>
          <w:tcPr>
            <w:tcW w:w="1644" w:type="dxa"/>
          </w:tcPr>
          <w:p w14:paraId="3E3AD1D1" w14:textId="429FB642" w:rsidR="009565FC" w:rsidRPr="00BE404C" w:rsidRDefault="00237E6C" w:rsidP="007E34D6">
            <w:pPr>
              <w:pStyle w:val="TSBodyText"/>
            </w:pPr>
            <w:r w:rsidRPr="00461466">
              <w:rPr>
                <w:rFonts w:ascii="Wingdings 2" w:eastAsia="Wingdings 2" w:hAnsi="Wingdings 2"/>
              </w:rPr>
              <w:t>P</w:t>
            </w:r>
            <w:r>
              <w:t xml:space="preserve"> (Police </w:t>
            </w:r>
            <w:r w:rsidR="009565FC">
              <w:t>cost</w:t>
            </w:r>
            <w:r>
              <w:t>s</w:t>
            </w:r>
            <w:r w:rsidR="009565FC">
              <w:t xml:space="preserve"> of </w:t>
            </w:r>
            <w:r w:rsidR="009565FC" w:rsidRPr="00BE404C">
              <w:t>road crashes</w:t>
            </w:r>
            <w:r w:rsidR="00867BB4">
              <w:t xml:space="preserve"> only</w:t>
            </w:r>
            <w:r>
              <w:t>)</w:t>
            </w:r>
          </w:p>
        </w:tc>
        <w:tc>
          <w:tcPr>
            <w:tcW w:w="1871" w:type="dxa"/>
          </w:tcPr>
          <w:p w14:paraId="719024E7" w14:textId="041FD12E" w:rsidR="009565FC" w:rsidRDefault="009565FC" w:rsidP="007E34D6">
            <w:pPr>
              <w:pStyle w:val="TSBodyText"/>
            </w:pPr>
            <w:r>
              <w:t>L</w:t>
            </w:r>
            <w:r w:rsidRPr="00461466">
              <w:t>ack of recent costings/resource use data</w:t>
            </w:r>
            <w:r>
              <w:t xml:space="preserve"> </w:t>
            </w:r>
          </w:p>
        </w:tc>
      </w:tr>
      <w:tr w:rsidR="009565FC" w14:paraId="6EEABF6E" w14:textId="77777777">
        <w:tc>
          <w:tcPr>
            <w:tcW w:w="2381" w:type="dxa"/>
          </w:tcPr>
          <w:p w14:paraId="790BB50C" w14:textId="77777777" w:rsidR="009565FC" w:rsidRDefault="009565FC" w:rsidP="007E34D6">
            <w:pPr>
              <w:pStyle w:val="TSBodyText"/>
            </w:pPr>
            <w:r w:rsidRPr="00461466">
              <w:t>Courts</w:t>
            </w:r>
          </w:p>
        </w:tc>
        <w:tc>
          <w:tcPr>
            <w:tcW w:w="979" w:type="dxa"/>
          </w:tcPr>
          <w:p w14:paraId="512D9847" w14:textId="77777777" w:rsidR="009565FC" w:rsidRDefault="009565FC" w:rsidP="007E34D6">
            <w:pPr>
              <w:pStyle w:val="TSBodyText"/>
            </w:pPr>
            <w:r w:rsidRPr="00461466">
              <w:rPr>
                <w:rFonts w:ascii="Wingdings 2" w:eastAsia="Wingdings 2" w:hAnsi="Wingdings 2"/>
              </w:rPr>
              <w:t>P</w:t>
            </w:r>
          </w:p>
        </w:tc>
        <w:tc>
          <w:tcPr>
            <w:tcW w:w="1057" w:type="dxa"/>
          </w:tcPr>
          <w:p w14:paraId="5D37ACA4" w14:textId="77777777" w:rsidR="009565FC" w:rsidRDefault="009565FC" w:rsidP="007E34D6">
            <w:pPr>
              <w:pStyle w:val="TSBodyText"/>
            </w:pPr>
            <w:r w:rsidRPr="00461466">
              <w:rPr>
                <w:rFonts w:ascii="Wingdings 2" w:eastAsia="Wingdings 2" w:hAnsi="Wingdings 2"/>
              </w:rPr>
              <w:t>P</w:t>
            </w:r>
          </w:p>
        </w:tc>
        <w:tc>
          <w:tcPr>
            <w:tcW w:w="1644" w:type="dxa"/>
          </w:tcPr>
          <w:p w14:paraId="3BE6E90B" w14:textId="36E38FD9" w:rsidR="009565FC" w:rsidRDefault="009565FC" w:rsidP="007E34D6">
            <w:pPr>
              <w:pStyle w:val="TSBodyText"/>
            </w:pPr>
            <w:r w:rsidRPr="00461466">
              <w:rPr>
                <w:rFonts w:ascii="Wingdings 2" w:eastAsia="Wingdings 2" w:hAnsi="Wingdings 2"/>
              </w:rPr>
              <w:t>P</w:t>
            </w:r>
            <w:r w:rsidRPr="00461466">
              <w:t xml:space="preserve"> (</w:t>
            </w:r>
            <w:r w:rsidR="00237E6C">
              <w:t>C</w:t>
            </w:r>
            <w:r>
              <w:t>ourt costs of vehicle crashes</w:t>
            </w:r>
            <w:r w:rsidR="00867BB4">
              <w:t xml:space="preserve"> only</w:t>
            </w:r>
            <w:r w:rsidRPr="00461466">
              <w:t>)</w:t>
            </w:r>
          </w:p>
        </w:tc>
        <w:tc>
          <w:tcPr>
            <w:tcW w:w="1871" w:type="dxa"/>
          </w:tcPr>
          <w:p w14:paraId="24872031" w14:textId="77777777" w:rsidR="009565FC" w:rsidRDefault="009565FC" w:rsidP="007E34D6">
            <w:pPr>
              <w:pStyle w:val="TSBodyText"/>
            </w:pPr>
            <w:r w:rsidRPr="00461466">
              <w:t>Lack of recent costings/resource use data</w:t>
            </w:r>
          </w:p>
        </w:tc>
      </w:tr>
      <w:tr w:rsidR="009565FC" w14:paraId="1739331A"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3EBED1AD" w14:textId="77777777" w:rsidR="009565FC" w:rsidRDefault="009565FC" w:rsidP="007E34D6">
            <w:pPr>
              <w:pStyle w:val="TSBodyText"/>
            </w:pPr>
            <w:r w:rsidRPr="00461466">
              <w:t>Prisons</w:t>
            </w:r>
          </w:p>
        </w:tc>
        <w:tc>
          <w:tcPr>
            <w:tcW w:w="979" w:type="dxa"/>
          </w:tcPr>
          <w:p w14:paraId="397EB749" w14:textId="77777777" w:rsidR="009565FC" w:rsidRDefault="009565FC" w:rsidP="007E34D6">
            <w:pPr>
              <w:pStyle w:val="TSBodyText"/>
            </w:pPr>
            <w:r w:rsidRPr="00461466">
              <w:rPr>
                <w:rFonts w:ascii="Wingdings 2" w:eastAsia="Wingdings 2" w:hAnsi="Wingdings 2"/>
              </w:rPr>
              <w:t>P</w:t>
            </w:r>
          </w:p>
        </w:tc>
        <w:tc>
          <w:tcPr>
            <w:tcW w:w="1057" w:type="dxa"/>
          </w:tcPr>
          <w:p w14:paraId="4D4A3267" w14:textId="77777777" w:rsidR="009565FC" w:rsidRDefault="009565FC" w:rsidP="007E34D6">
            <w:pPr>
              <w:pStyle w:val="TSBodyText"/>
            </w:pPr>
            <w:r w:rsidRPr="00461466">
              <w:rPr>
                <w:rFonts w:ascii="Wingdings 2" w:eastAsia="Wingdings 2" w:hAnsi="Wingdings 2"/>
              </w:rPr>
              <w:t>P</w:t>
            </w:r>
          </w:p>
        </w:tc>
        <w:tc>
          <w:tcPr>
            <w:tcW w:w="1644" w:type="dxa"/>
          </w:tcPr>
          <w:p w14:paraId="327C6CD0" w14:textId="77777777" w:rsidR="009565FC" w:rsidRDefault="009565FC" w:rsidP="007E34D6">
            <w:pPr>
              <w:pStyle w:val="TSBodyText"/>
            </w:pPr>
            <w:r w:rsidRPr="00461466">
              <w:rPr>
                <w:rFonts w:ascii="Wingdings 2" w:eastAsia="Wingdings 2" w:hAnsi="Wingdings 2"/>
              </w:rPr>
              <w:t>P</w:t>
            </w:r>
          </w:p>
        </w:tc>
        <w:tc>
          <w:tcPr>
            <w:tcW w:w="1871" w:type="dxa"/>
          </w:tcPr>
          <w:p w14:paraId="6A6747C5" w14:textId="77777777" w:rsidR="009565FC" w:rsidRDefault="009565FC" w:rsidP="007E34D6">
            <w:pPr>
              <w:pStyle w:val="TSBodyText"/>
            </w:pPr>
          </w:p>
        </w:tc>
      </w:tr>
      <w:tr w:rsidR="009565FC" w14:paraId="104BBE52" w14:textId="77777777">
        <w:tc>
          <w:tcPr>
            <w:tcW w:w="2381" w:type="dxa"/>
          </w:tcPr>
          <w:p w14:paraId="086A1A74" w14:textId="77777777" w:rsidR="009565FC" w:rsidRDefault="009565FC" w:rsidP="007E34D6">
            <w:pPr>
              <w:pStyle w:val="TSBodyText"/>
            </w:pPr>
            <w:r w:rsidRPr="00461466">
              <w:t>Community sentences</w:t>
            </w:r>
          </w:p>
        </w:tc>
        <w:tc>
          <w:tcPr>
            <w:tcW w:w="979" w:type="dxa"/>
          </w:tcPr>
          <w:p w14:paraId="69859BD8" w14:textId="77777777" w:rsidR="009565FC" w:rsidRDefault="009565FC" w:rsidP="007E34D6">
            <w:pPr>
              <w:pStyle w:val="TSBodyText"/>
            </w:pPr>
            <w:r w:rsidRPr="00461466">
              <w:rPr>
                <w:rFonts w:ascii="Wingdings 2" w:eastAsia="Wingdings 2" w:hAnsi="Wingdings 2"/>
              </w:rPr>
              <w:t>P</w:t>
            </w:r>
          </w:p>
        </w:tc>
        <w:tc>
          <w:tcPr>
            <w:tcW w:w="1057" w:type="dxa"/>
          </w:tcPr>
          <w:p w14:paraId="45B8A727" w14:textId="77777777" w:rsidR="009565FC" w:rsidRDefault="009565FC" w:rsidP="007E34D6">
            <w:pPr>
              <w:pStyle w:val="TSBodyText"/>
            </w:pPr>
          </w:p>
        </w:tc>
        <w:tc>
          <w:tcPr>
            <w:tcW w:w="1644" w:type="dxa"/>
          </w:tcPr>
          <w:p w14:paraId="57F15C68" w14:textId="77777777" w:rsidR="009565FC" w:rsidRDefault="009565FC" w:rsidP="007E34D6">
            <w:pPr>
              <w:pStyle w:val="TSBodyText"/>
            </w:pPr>
          </w:p>
        </w:tc>
        <w:tc>
          <w:tcPr>
            <w:tcW w:w="1871" w:type="dxa"/>
          </w:tcPr>
          <w:p w14:paraId="6172E86E" w14:textId="77777777" w:rsidR="009565FC" w:rsidRDefault="009565FC" w:rsidP="007E34D6">
            <w:pPr>
              <w:pStyle w:val="TSBodyText"/>
            </w:pPr>
            <w:r w:rsidRPr="00461466">
              <w:t>Lack of recent costings</w:t>
            </w:r>
          </w:p>
        </w:tc>
      </w:tr>
      <w:tr w:rsidR="009565FC" w14:paraId="341DA43F"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44D11B04" w14:textId="77777777" w:rsidR="009565FC" w:rsidRDefault="009565FC" w:rsidP="007E34D6">
            <w:pPr>
              <w:pStyle w:val="TSBodyText"/>
            </w:pPr>
            <w:r w:rsidRPr="00461466">
              <w:t>Pharmaceuticals</w:t>
            </w:r>
          </w:p>
        </w:tc>
        <w:tc>
          <w:tcPr>
            <w:tcW w:w="979" w:type="dxa"/>
          </w:tcPr>
          <w:p w14:paraId="25065061" w14:textId="77777777" w:rsidR="009565FC" w:rsidRDefault="009565FC" w:rsidP="007E34D6">
            <w:pPr>
              <w:pStyle w:val="TSBodyText"/>
            </w:pPr>
            <w:r w:rsidRPr="00461466">
              <w:rPr>
                <w:rFonts w:ascii="Wingdings 2" w:eastAsia="Wingdings 2" w:hAnsi="Wingdings 2"/>
              </w:rPr>
              <w:t>P</w:t>
            </w:r>
          </w:p>
        </w:tc>
        <w:tc>
          <w:tcPr>
            <w:tcW w:w="1057" w:type="dxa"/>
          </w:tcPr>
          <w:p w14:paraId="7E46709A" w14:textId="77777777" w:rsidR="009565FC" w:rsidRDefault="009565FC" w:rsidP="007E34D6">
            <w:pPr>
              <w:pStyle w:val="TSBodyText"/>
            </w:pPr>
            <w:r w:rsidRPr="00461466">
              <w:rPr>
                <w:rFonts w:ascii="Wingdings 2" w:eastAsia="Wingdings 2" w:hAnsi="Wingdings 2"/>
              </w:rPr>
              <w:t>P</w:t>
            </w:r>
          </w:p>
        </w:tc>
        <w:tc>
          <w:tcPr>
            <w:tcW w:w="1644" w:type="dxa"/>
          </w:tcPr>
          <w:p w14:paraId="6F5ABC34" w14:textId="77777777" w:rsidR="009565FC" w:rsidRDefault="009565FC" w:rsidP="007E34D6">
            <w:pPr>
              <w:pStyle w:val="TSBodyText"/>
            </w:pPr>
          </w:p>
        </w:tc>
        <w:tc>
          <w:tcPr>
            <w:tcW w:w="1871" w:type="dxa"/>
          </w:tcPr>
          <w:p w14:paraId="06F30544" w14:textId="0F39EC53" w:rsidR="009565FC" w:rsidRDefault="009565FC" w:rsidP="007E34D6">
            <w:pPr>
              <w:pStyle w:val="TSBodyText"/>
            </w:pPr>
            <w:r w:rsidRPr="00461466">
              <w:t xml:space="preserve">Lack of evidence for </w:t>
            </w:r>
            <w:r>
              <w:t xml:space="preserve">the </w:t>
            </w:r>
            <w:r w:rsidRPr="00461466">
              <w:t>application of AAFs</w:t>
            </w:r>
            <w:r w:rsidR="0007444B">
              <w:t xml:space="preserve"> in this context</w:t>
            </w:r>
          </w:p>
        </w:tc>
      </w:tr>
      <w:tr w:rsidR="009565FC" w14:paraId="09CFC709" w14:textId="77777777">
        <w:tc>
          <w:tcPr>
            <w:tcW w:w="2381" w:type="dxa"/>
          </w:tcPr>
          <w:p w14:paraId="7032D49C" w14:textId="77777777" w:rsidR="009565FC" w:rsidRDefault="009565FC" w:rsidP="007E34D6">
            <w:pPr>
              <w:pStyle w:val="TSBodyText"/>
            </w:pPr>
            <w:r w:rsidRPr="00461466">
              <w:t>Primary care</w:t>
            </w:r>
          </w:p>
        </w:tc>
        <w:tc>
          <w:tcPr>
            <w:tcW w:w="979" w:type="dxa"/>
          </w:tcPr>
          <w:p w14:paraId="691348B3" w14:textId="77777777" w:rsidR="009565FC" w:rsidRDefault="009565FC" w:rsidP="007E34D6">
            <w:pPr>
              <w:pStyle w:val="TSBodyText"/>
            </w:pPr>
            <w:r w:rsidRPr="00461466">
              <w:rPr>
                <w:rFonts w:ascii="Wingdings 2" w:eastAsia="Wingdings 2" w:hAnsi="Wingdings 2"/>
              </w:rPr>
              <w:t>P</w:t>
            </w:r>
          </w:p>
        </w:tc>
        <w:tc>
          <w:tcPr>
            <w:tcW w:w="1057" w:type="dxa"/>
          </w:tcPr>
          <w:p w14:paraId="23D8E7C0" w14:textId="77777777" w:rsidR="009565FC" w:rsidRDefault="009565FC" w:rsidP="007E34D6">
            <w:pPr>
              <w:pStyle w:val="TSBodyText"/>
            </w:pPr>
          </w:p>
        </w:tc>
        <w:tc>
          <w:tcPr>
            <w:tcW w:w="1644" w:type="dxa"/>
          </w:tcPr>
          <w:p w14:paraId="533F79BB" w14:textId="77777777" w:rsidR="009565FC" w:rsidRDefault="009565FC" w:rsidP="007E34D6">
            <w:pPr>
              <w:pStyle w:val="TSBodyText"/>
            </w:pPr>
            <w:r w:rsidRPr="00461466">
              <w:rPr>
                <w:rFonts w:ascii="Wingdings 2" w:eastAsia="Wingdings 2" w:hAnsi="Wingdings 2"/>
              </w:rPr>
              <w:t>P</w:t>
            </w:r>
          </w:p>
        </w:tc>
        <w:tc>
          <w:tcPr>
            <w:tcW w:w="1871" w:type="dxa"/>
          </w:tcPr>
          <w:p w14:paraId="452DD1A0" w14:textId="77777777" w:rsidR="009565FC" w:rsidRDefault="009565FC" w:rsidP="007E34D6">
            <w:pPr>
              <w:pStyle w:val="TSBodyText"/>
            </w:pPr>
          </w:p>
        </w:tc>
      </w:tr>
      <w:tr w:rsidR="009565FC" w14:paraId="323A64D0"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03136AEE" w14:textId="77777777" w:rsidR="009565FC" w:rsidRDefault="009565FC" w:rsidP="007E34D6">
            <w:pPr>
              <w:pStyle w:val="TSBodyText"/>
            </w:pPr>
            <w:r w:rsidRPr="00461466">
              <w:t>Ambulance services</w:t>
            </w:r>
          </w:p>
        </w:tc>
        <w:tc>
          <w:tcPr>
            <w:tcW w:w="979" w:type="dxa"/>
          </w:tcPr>
          <w:p w14:paraId="1AF9EAF4" w14:textId="77777777" w:rsidR="009565FC" w:rsidRDefault="009565FC" w:rsidP="007E34D6">
            <w:pPr>
              <w:pStyle w:val="TSBodyText"/>
            </w:pPr>
            <w:r w:rsidRPr="00461466">
              <w:rPr>
                <w:rFonts w:ascii="Wingdings 2" w:eastAsia="Wingdings 2" w:hAnsi="Wingdings 2"/>
              </w:rPr>
              <w:t>P</w:t>
            </w:r>
          </w:p>
        </w:tc>
        <w:tc>
          <w:tcPr>
            <w:tcW w:w="1057" w:type="dxa"/>
          </w:tcPr>
          <w:p w14:paraId="00B758DB" w14:textId="77777777" w:rsidR="009565FC" w:rsidRDefault="009565FC" w:rsidP="007E34D6">
            <w:pPr>
              <w:pStyle w:val="TSBodyText"/>
            </w:pPr>
            <w:r w:rsidRPr="00461466">
              <w:rPr>
                <w:rFonts w:ascii="Wingdings 2" w:eastAsia="Wingdings 2" w:hAnsi="Wingdings 2"/>
              </w:rPr>
              <w:t>P</w:t>
            </w:r>
            <w:r w:rsidRPr="00461466">
              <w:t xml:space="preserve"> </w:t>
            </w:r>
          </w:p>
        </w:tc>
        <w:tc>
          <w:tcPr>
            <w:tcW w:w="1644" w:type="dxa"/>
          </w:tcPr>
          <w:p w14:paraId="14D8753F" w14:textId="77777777" w:rsidR="009565FC" w:rsidRDefault="009565FC" w:rsidP="007E34D6">
            <w:pPr>
              <w:pStyle w:val="TSBodyText"/>
            </w:pPr>
            <w:r w:rsidRPr="00461466">
              <w:rPr>
                <w:rFonts w:ascii="Wingdings 2" w:eastAsia="Wingdings 2" w:hAnsi="Wingdings 2"/>
              </w:rPr>
              <w:t>P</w:t>
            </w:r>
          </w:p>
        </w:tc>
        <w:tc>
          <w:tcPr>
            <w:tcW w:w="1871" w:type="dxa"/>
          </w:tcPr>
          <w:p w14:paraId="4F16A164" w14:textId="77777777" w:rsidR="009565FC" w:rsidRDefault="009565FC" w:rsidP="007E34D6">
            <w:pPr>
              <w:pStyle w:val="TSBodyText"/>
            </w:pPr>
          </w:p>
        </w:tc>
      </w:tr>
      <w:tr w:rsidR="009565FC" w14:paraId="4E3BDD38" w14:textId="77777777">
        <w:tc>
          <w:tcPr>
            <w:tcW w:w="2381" w:type="dxa"/>
          </w:tcPr>
          <w:p w14:paraId="053A5BE1" w14:textId="77777777" w:rsidR="009565FC" w:rsidRDefault="009565FC" w:rsidP="007E34D6">
            <w:pPr>
              <w:pStyle w:val="TSBodyText"/>
            </w:pPr>
            <w:r w:rsidRPr="00461466">
              <w:t>Hospitalisation</w:t>
            </w:r>
          </w:p>
        </w:tc>
        <w:tc>
          <w:tcPr>
            <w:tcW w:w="979" w:type="dxa"/>
          </w:tcPr>
          <w:p w14:paraId="2AE371D3" w14:textId="77777777" w:rsidR="009565FC" w:rsidRDefault="009565FC" w:rsidP="007E34D6">
            <w:pPr>
              <w:pStyle w:val="TSBodyText"/>
            </w:pPr>
            <w:r w:rsidRPr="00461466">
              <w:rPr>
                <w:rFonts w:ascii="Wingdings 2" w:eastAsia="Wingdings 2" w:hAnsi="Wingdings 2"/>
              </w:rPr>
              <w:t>P</w:t>
            </w:r>
          </w:p>
        </w:tc>
        <w:tc>
          <w:tcPr>
            <w:tcW w:w="1057" w:type="dxa"/>
          </w:tcPr>
          <w:p w14:paraId="72927022" w14:textId="77777777" w:rsidR="009565FC" w:rsidRDefault="009565FC" w:rsidP="007E34D6">
            <w:pPr>
              <w:pStyle w:val="TSBodyText"/>
            </w:pPr>
            <w:r w:rsidRPr="00461466">
              <w:rPr>
                <w:rFonts w:ascii="Wingdings 2" w:eastAsia="Wingdings 2" w:hAnsi="Wingdings 2"/>
              </w:rPr>
              <w:t>P</w:t>
            </w:r>
            <w:r w:rsidRPr="00461466">
              <w:t xml:space="preserve"> </w:t>
            </w:r>
          </w:p>
        </w:tc>
        <w:tc>
          <w:tcPr>
            <w:tcW w:w="1644" w:type="dxa"/>
          </w:tcPr>
          <w:p w14:paraId="76E4C94D" w14:textId="77777777" w:rsidR="009565FC" w:rsidRDefault="009565FC" w:rsidP="007E34D6">
            <w:pPr>
              <w:pStyle w:val="TSBodyText"/>
            </w:pPr>
            <w:r w:rsidRPr="00461466">
              <w:rPr>
                <w:rFonts w:ascii="Wingdings 2" w:eastAsia="Wingdings 2" w:hAnsi="Wingdings 2"/>
              </w:rPr>
              <w:t>P</w:t>
            </w:r>
          </w:p>
        </w:tc>
        <w:tc>
          <w:tcPr>
            <w:tcW w:w="1871" w:type="dxa"/>
          </w:tcPr>
          <w:p w14:paraId="420B800A" w14:textId="77777777" w:rsidR="009565FC" w:rsidRDefault="009565FC" w:rsidP="007E34D6">
            <w:pPr>
              <w:pStyle w:val="TSBodyText"/>
            </w:pPr>
          </w:p>
        </w:tc>
      </w:tr>
      <w:tr w:rsidR="009565FC" w14:paraId="62481CC8"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69A28229" w14:textId="77777777" w:rsidR="009565FC" w:rsidRDefault="009565FC" w:rsidP="007E34D6">
            <w:pPr>
              <w:pStyle w:val="TSBodyText"/>
            </w:pPr>
            <w:r w:rsidRPr="00461466">
              <w:t>Health care for road crash victims</w:t>
            </w:r>
          </w:p>
        </w:tc>
        <w:tc>
          <w:tcPr>
            <w:tcW w:w="979" w:type="dxa"/>
          </w:tcPr>
          <w:p w14:paraId="1A68506A" w14:textId="77777777" w:rsidR="009565FC" w:rsidRDefault="009565FC" w:rsidP="007E34D6">
            <w:pPr>
              <w:pStyle w:val="TSBodyText"/>
            </w:pPr>
            <w:r w:rsidRPr="00461466">
              <w:rPr>
                <w:rFonts w:ascii="Wingdings 2" w:eastAsia="Wingdings 2" w:hAnsi="Wingdings 2"/>
              </w:rPr>
              <w:t>P</w:t>
            </w:r>
          </w:p>
        </w:tc>
        <w:tc>
          <w:tcPr>
            <w:tcW w:w="1057" w:type="dxa"/>
          </w:tcPr>
          <w:p w14:paraId="2EE1AD1A" w14:textId="77777777" w:rsidR="009565FC" w:rsidRDefault="009565FC" w:rsidP="007E34D6">
            <w:pPr>
              <w:pStyle w:val="TSBodyText"/>
            </w:pPr>
            <w:r w:rsidRPr="00461466">
              <w:rPr>
                <w:rFonts w:ascii="Wingdings 2" w:eastAsia="Wingdings 2" w:hAnsi="Wingdings 2"/>
              </w:rPr>
              <w:t>P</w:t>
            </w:r>
            <w:r w:rsidRPr="00461466">
              <w:t xml:space="preserve"> </w:t>
            </w:r>
          </w:p>
        </w:tc>
        <w:tc>
          <w:tcPr>
            <w:tcW w:w="1644" w:type="dxa"/>
          </w:tcPr>
          <w:p w14:paraId="22BA99EF" w14:textId="77777777" w:rsidR="009565FC" w:rsidRDefault="009565FC" w:rsidP="007E34D6">
            <w:pPr>
              <w:pStyle w:val="TSBodyText"/>
            </w:pPr>
            <w:r w:rsidRPr="00461466">
              <w:rPr>
                <w:rFonts w:ascii="Wingdings 2" w:eastAsia="Wingdings 2" w:hAnsi="Wingdings 2"/>
              </w:rPr>
              <w:t>P</w:t>
            </w:r>
          </w:p>
        </w:tc>
        <w:tc>
          <w:tcPr>
            <w:tcW w:w="1871" w:type="dxa"/>
          </w:tcPr>
          <w:p w14:paraId="6BB03758" w14:textId="77777777" w:rsidR="009565FC" w:rsidRDefault="009565FC" w:rsidP="007E34D6">
            <w:pPr>
              <w:pStyle w:val="TSBodyText"/>
            </w:pPr>
          </w:p>
        </w:tc>
      </w:tr>
      <w:tr w:rsidR="009565FC" w14:paraId="5EA524CB" w14:textId="77777777">
        <w:tc>
          <w:tcPr>
            <w:tcW w:w="2381" w:type="dxa"/>
          </w:tcPr>
          <w:p w14:paraId="03852191" w14:textId="77777777" w:rsidR="009565FC" w:rsidRDefault="009565FC" w:rsidP="007E34D6">
            <w:pPr>
              <w:pStyle w:val="TSBodyText"/>
            </w:pPr>
            <w:r w:rsidRPr="00461466">
              <w:t>Health care for crime victims</w:t>
            </w:r>
          </w:p>
        </w:tc>
        <w:tc>
          <w:tcPr>
            <w:tcW w:w="979" w:type="dxa"/>
          </w:tcPr>
          <w:p w14:paraId="25656349" w14:textId="77777777" w:rsidR="009565FC" w:rsidRDefault="009565FC" w:rsidP="007E34D6">
            <w:pPr>
              <w:pStyle w:val="TSBodyText"/>
            </w:pPr>
            <w:r w:rsidRPr="00461466">
              <w:rPr>
                <w:rFonts w:ascii="Wingdings 2" w:eastAsia="Wingdings 2" w:hAnsi="Wingdings 2"/>
              </w:rPr>
              <w:t>P</w:t>
            </w:r>
          </w:p>
        </w:tc>
        <w:tc>
          <w:tcPr>
            <w:tcW w:w="1057" w:type="dxa"/>
          </w:tcPr>
          <w:p w14:paraId="3D9EB66B" w14:textId="77777777" w:rsidR="009565FC" w:rsidRDefault="009565FC" w:rsidP="007E34D6">
            <w:pPr>
              <w:pStyle w:val="TSBodyText"/>
            </w:pPr>
            <w:r>
              <w:t>unclear</w:t>
            </w:r>
          </w:p>
        </w:tc>
        <w:tc>
          <w:tcPr>
            <w:tcW w:w="1644" w:type="dxa"/>
          </w:tcPr>
          <w:p w14:paraId="0CC90AFB" w14:textId="77777777" w:rsidR="009565FC" w:rsidRDefault="009565FC" w:rsidP="007E34D6">
            <w:pPr>
              <w:pStyle w:val="TSBodyText"/>
            </w:pPr>
            <w:r w:rsidRPr="00461466">
              <w:rPr>
                <w:rFonts w:ascii="Wingdings 2" w:eastAsia="Wingdings 2" w:hAnsi="Wingdings 2"/>
              </w:rPr>
              <w:t>P</w:t>
            </w:r>
            <w:r w:rsidRPr="00461466">
              <w:t xml:space="preserve"> (ED visits – dependent on assessment of alcohol involvement)</w:t>
            </w:r>
          </w:p>
        </w:tc>
        <w:tc>
          <w:tcPr>
            <w:tcW w:w="1871" w:type="dxa"/>
          </w:tcPr>
          <w:p w14:paraId="17B6E613" w14:textId="609E6484" w:rsidR="009565FC" w:rsidRPr="00B85637" w:rsidRDefault="009565FC" w:rsidP="007E34D6">
            <w:pPr>
              <w:pStyle w:val="TSBodyText"/>
            </w:pPr>
            <w:r w:rsidRPr="00B85637">
              <w:t xml:space="preserve">Lack of NZ evidence of </w:t>
            </w:r>
            <w:r w:rsidR="0025087A" w:rsidRPr="00B85637">
              <w:t>alcohol</w:t>
            </w:r>
            <w:r w:rsidR="0025087A">
              <w:t>-</w:t>
            </w:r>
            <w:r w:rsidRPr="00B85637">
              <w:t>attributable utilisation</w:t>
            </w:r>
            <w:r>
              <w:t xml:space="preserve"> by crime victims for most health services</w:t>
            </w:r>
          </w:p>
        </w:tc>
      </w:tr>
      <w:tr w:rsidR="009565FC" w14:paraId="28ACDE3E"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00815AF0" w14:textId="77777777" w:rsidR="009565FC" w:rsidRDefault="009565FC" w:rsidP="007E34D6">
            <w:pPr>
              <w:pStyle w:val="TSBodyText"/>
            </w:pPr>
            <w:r w:rsidRPr="00461466">
              <w:t>Nursing home stays</w:t>
            </w:r>
          </w:p>
        </w:tc>
        <w:tc>
          <w:tcPr>
            <w:tcW w:w="979" w:type="dxa"/>
          </w:tcPr>
          <w:p w14:paraId="7D8A5ED5" w14:textId="77777777" w:rsidR="009565FC" w:rsidRDefault="009565FC" w:rsidP="007E34D6">
            <w:pPr>
              <w:pStyle w:val="TSBodyText"/>
            </w:pPr>
          </w:p>
        </w:tc>
        <w:tc>
          <w:tcPr>
            <w:tcW w:w="1057" w:type="dxa"/>
          </w:tcPr>
          <w:p w14:paraId="406513AE" w14:textId="77777777" w:rsidR="009565FC" w:rsidRDefault="009565FC" w:rsidP="007E34D6">
            <w:pPr>
              <w:pStyle w:val="TSBodyText"/>
            </w:pPr>
          </w:p>
        </w:tc>
        <w:tc>
          <w:tcPr>
            <w:tcW w:w="1644" w:type="dxa"/>
          </w:tcPr>
          <w:p w14:paraId="00B0DACC" w14:textId="77777777" w:rsidR="009565FC" w:rsidRDefault="009565FC" w:rsidP="007E34D6">
            <w:pPr>
              <w:pStyle w:val="TSBodyText"/>
            </w:pPr>
          </w:p>
        </w:tc>
        <w:tc>
          <w:tcPr>
            <w:tcW w:w="1871" w:type="dxa"/>
          </w:tcPr>
          <w:p w14:paraId="1BC67CC2" w14:textId="37831770" w:rsidR="009565FC" w:rsidRDefault="009565FC" w:rsidP="007E34D6">
            <w:pPr>
              <w:pStyle w:val="TSBodyText"/>
            </w:pPr>
            <w:r w:rsidRPr="00B85637">
              <w:t xml:space="preserve">Lack of NZ evidence of </w:t>
            </w:r>
            <w:r w:rsidR="0025087A" w:rsidRPr="00B85637">
              <w:t>alcohol</w:t>
            </w:r>
            <w:r w:rsidR="0025087A">
              <w:t>-</w:t>
            </w:r>
            <w:r w:rsidRPr="00B85637">
              <w:t>attributable utilisation</w:t>
            </w:r>
          </w:p>
        </w:tc>
      </w:tr>
      <w:tr w:rsidR="009565FC" w14:paraId="0CCD35A4" w14:textId="77777777">
        <w:tc>
          <w:tcPr>
            <w:tcW w:w="2381" w:type="dxa"/>
          </w:tcPr>
          <w:p w14:paraId="0AD6C59C" w14:textId="77777777" w:rsidR="009565FC" w:rsidRDefault="009565FC" w:rsidP="007E34D6">
            <w:pPr>
              <w:pStyle w:val="TSBodyText"/>
            </w:pPr>
            <w:r w:rsidRPr="00461466">
              <w:t>Community care</w:t>
            </w:r>
          </w:p>
        </w:tc>
        <w:tc>
          <w:tcPr>
            <w:tcW w:w="979" w:type="dxa"/>
          </w:tcPr>
          <w:p w14:paraId="6C679BAB" w14:textId="77777777" w:rsidR="009565FC" w:rsidRDefault="009565FC" w:rsidP="007E34D6">
            <w:pPr>
              <w:pStyle w:val="TSBodyText"/>
            </w:pPr>
            <w:r w:rsidRPr="00461466">
              <w:rPr>
                <w:rFonts w:ascii="Wingdings 2" w:eastAsia="Wingdings 2" w:hAnsi="Wingdings 2"/>
              </w:rPr>
              <w:t>P</w:t>
            </w:r>
          </w:p>
        </w:tc>
        <w:tc>
          <w:tcPr>
            <w:tcW w:w="1057" w:type="dxa"/>
          </w:tcPr>
          <w:p w14:paraId="5DCBD4D6" w14:textId="77777777" w:rsidR="009565FC" w:rsidRDefault="009565FC" w:rsidP="007E34D6">
            <w:pPr>
              <w:pStyle w:val="TSBodyText"/>
            </w:pPr>
          </w:p>
        </w:tc>
        <w:tc>
          <w:tcPr>
            <w:tcW w:w="1644" w:type="dxa"/>
          </w:tcPr>
          <w:p w14:paraId="6FB0F293" w14:textId="77777777" w:rsidR="009565FC" w:rsidRDefault="009565FC" w:rsidP="007E34D6">
            <w:pPr>
              <w:pStyle w:val="TSBodyText"/>
            </w:pPr>
          </w:p>
        </w:tc>
        <w:tc>
          <w:tcPr>
            <w:tcW w:w="1871" w:type="dxa"/>
          </w:tcPr>
          <w:p w14:paraId="7256F3A0" w14:textId="3B26E45A" w:rsidR="009565FC" w:rsidRDefault="009565FC" w:rsidP="007E34D6">
            <w:pPr>
              <w:pStyle w:val="TSBodyText"/>
            </w:pPr>
            <w:r w:rsidRPr="00B85637">
              <w:t xml:space="preserve">Lack of NZ evidence of </w:t>
            </w:r>
            <w:r w:rsidR="0025087A" w:rsidRPr="00B85637">
              <w:t>alcohol</w:t>
            </w:r>
            <w:r w:rsidR="0025087A">
              <w:t>-</w:t>
            </w:r>
            <w:r w:rsidRPr="00B85637">
              <w:t>attributable utilisation</w:t>
            </w:r>
          </w:p>
        </w:tc>
      </w:tr>
      <w:tr w:rsidR="009565FC" w14:paraId="5957D442"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378F9970" w14:textId="77777777" w:rsidR="009565FC" w:rsidRDefault="009565FC" w:rsidP="007E34D6">
            <w:pPr>
              <w:pStyle w:val="TSBodyText"/>
            </w:pPr>
            <w:r w:rsidRPr="00461466">
              <w:t>Professional services (other than physicians)</w:t>
            </w:r>
          </w:p>
        </w:tc>
        <w:tc>
          <w:tcPr>
            <w:tcW w:w="979" w:type="dxa"/>
          </w:tcPr>
          <w:p w14:paraId="1AFE34C2" w14:textId="77777777" w:rsidR="009565FC" w:rsidRDefault="009565FC" w:rsidP="007E34D6">
            <w:pPr>
              <w:pStyle w:val="TSBodyText"/>
            </w:pPr>
          </w:p>
        </w:tc>
        <w:tc>
          <w:tcPr>
            <w:tcW w:w="1057" w:type="dxa"/>
          </w:tcPr>
          <w:p w14:paraId="253AAC80" w14:textId="77777777" w:rsidR="009565FC" w:rsidRDefault="009565FC" w:rsidP="007E34D6">
            <w:pPr>
              <w:pStyle w:val="TSBodyText"/>
            </w:pPr>
          </w:p>
        </w:tc>
        <w:tc>
          <w:tcPr>
            <w:tcW w:w="1644" w:type="dxa"/>
          </w:tcPr>
          <w:p w14:paraId="56F882EA" w14:textId="77777777" w:rsidR="009565FC" w:rsidRDefault="009565FC" w:rsidP="007E34D6">
            <w:pPr>
              <w:pStyle w:val="TSBodyText"/>
            </w:pPr>
          </w:p>
        </w:tc>
        <w:tc>
          <w:tcPr>
            <w:tcW w:w="1871" w:type="dxa"/>
          </w:tcPr>
          <w:p w14:paraId="16C331BD" w14:textId="5E13212B" w:rsidR="009565FC" w:rsidRPr="00B85637" w:rsidRDefault="009565FC" w:rsidP="007E34D6">
            <w:pPr>
              <w:pStyle w:val="TSBodyText"/>
            </w:pPr>
            <w:r w:rsidRPr="00B85637">
              <w:t>Lack of NZ evidence</w:t>
            </w:r>
            <w:r>
              <w:t xml:space="preserve"> of </w:t>
            </w:r>
            <w:r w:rsidR="0025087A">
              <w:t>alcohol-</w:t>
            </w:r>
            <w:r>
              <w:t>attributable utilisation</w:t>
            </w:r>
          </w:p>
        </w:tc>
      </w:tr>
      <w:tr w:rsidR="009565FC" w14:paraId="7A9FC2DE" w14:textId="77777777">
        <w:tc>
          <w:tcPr>
            <w:tcW w:w="2381" w:type="dxa"/>
          </w:tcPr>
          <w:p w14:paraId="1976D573" w14:textId="77777777" w:rsidR="009565FC" w:rsidRDefault="009565FC" w:rsidP="007E34D6">
            <w:pPr>
              <w:pStyle w:val="TSBodyText"/>
            </w:pPr>
            <w:r w:rsidRPr="00461466">
              <w:t>Special</w:t>
            </w:r>
            <w:r>
              <w:t>i</w:t>
            </w:r>
            <w:r w:rsidRPr="00461466">
              <w:t>ty institutions (including substance abuse treatment facilities)</w:t>
            </w:r>
          </w:p>
        </w:tc>
        <w:tc>
          <w:tcPr>
            <w:tcW w:w="979" w:type="dxa"/>
          </w:tcPr>
          <w:p w14:paraId="7EE75EB6" w14:textId="77777777" w:rsidR="009565FC" w:rsidRDefault="009565FC" w:rsidP="007E34D6">
            <w:pPr>
              <w:pStyle w:val="TSBodyText"/>
            </w:pPr>
            <w:r w:rsidRPr="00461466">
              <w:rPr>
                <w:rFonts w:ascii="Wingdings 2" w:eastAsia="Wingdings 2" w:hAnsi="Wingdings 2"/>
              </w:rPr>
              <w:t>P</w:t>
            </w:r>
            <w:r w:rsidRPr="00461466">
              <w:t xml:space="preserve"> (</w:t>
            </w:r>
            <w:r>
              <w:t>alcohol and drugs combined</w:t>
            </w:r>
            <w:r w:rsidRPr="00461466">
              <w:t>)</w:t>
            </w:r>
          </w:p>
        </w:tc>
        <w:tc>
          <w:tcPr>
            <w:tcW w:w="1057" w:type="dxa"/>
          </w:tcPr>
          <w:p w14:paraId="0D296654" w14:textId="77777777" w:rsidR="009565FC" w:rsidRDefault="009565FC" w:rsidP="007E34D6">
            <w:pPr>
              <w:pStyle w:val="TSBodyText"/>
            </w:pPr>
          </w:p>
        </w:tc>
        <w:tc>
          <w:tcPr>
            <w:tcW w:w="1644" w:type="dxa"/>
          </w:tcPr>
          <w:p w14:paraId="084761E3" w14:textId="77777777" w:rsidR="009565FC" w:rsidRDefault="009565FC" w:rsidP="007E34D6">
            <w:pPr>
              <w:pStyle w:val="TSBodyText"/>
            </w:pPr>
          </w:p>
        </w:tc>
        <w:tc>
          <w:tcPr>
            <w:tcW w:w="1871" w:type="dxa"/>
          </w:tcPr>
          <w:p w14:paraId="3582EBE0" w14:textId="77777777" w:rsidR="009565FC" w:rsidRDefault="009565FC" w:rsidP="007E34D6">
            <w:pPr>
              <w:pStyle w:val="TSBodyText"/>
            </w:pPr>
            <w:r w:rsidRPr="00461466">
              <w:t>Lack of NZ evidence to allow separate estimation for alcohol</w:t>
            </w:r>
            <w:r>
              <w:t xml:space="preserve"> vs drugs</w:t>
            </w:r>
          </w:p>
        </w:tc>
      </w:tr>
      <w:tr w:rsidR="009565FC" w14:paraId="3E5BE87B"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5E03BE53" w14:textId="77777777" w:rsidR="009565FC" w:rsidRDefault="009565FC" w:rsidP="007E34D6">
            <w:pPr>
              <w:pStyle w:val="TSBodyText"/>
            </w:pPr>
            <w:r w:rsidRPr="00461466">
              <w:t>Intimate partner violence</w:t>
            </w:r>
          </w:p>
        </w:tc>
        <w:tc>
          <w:tcPr>
            <w:tcW w:w="979" w:type="dxa"/>
          </w:tcPr>
          <w:p w14:paraId="50A963C6" w14:textId="77777777" w:rsidR="009565FC" w:rsidRDefault="009565FC" w:rsidP="007E34D6">
            <w:pPr>
              <w:pStyle w:val="TSBodyText"/>
            </w:pPr>
          </w:p>
        </w:tc>
        <w:tc>
          <w:tcPr>
            <w:tcW w:w="1057" w:type="dxa"/>
          </w:tcPr>
          <w:p w14:paraId="0D6572CF" w14:textId="77777777" w:rsidR="009565FC" w:rsidRDefault="009565FC" w:rsidP="007E34D6">
            <w:pPr>
              <w:pStyle w:val="TSBodyText"/>
            </w:pPr>
          </w:p>
        </w:tc>
        <w:tc>
          <w:tcPr>
            <w:tcW w:w="1644" w:type="dxa"/>
          </w:tcPr>
          <w:p w14:paraId="07F21471" w14:textId="77777777" w:rsidR="009565FC" w:rsidRDefault="009565FC" w:rsidP="007E34D6">
            <w:pPr>
              <w:pStyle w:val="TSBodyText"/>
            </w:pPr>
            <w:r w:rsidRPr="00461466">
              <w:rPr>
                <w:rFonts w:ascii="Wingdings 2" w:eastAsia="Wingdings 2" w:hAnsi="Wingdings 2"/>
              </w:rPr>
              <w:t>P</w:t>
            </w:r>
          </w:p>
        </w:tc>
        <w:tc>
          <w:tcPr>
            <w:tcW w:w="1871" w:type="dxa"/>
          </w:tcPr>
          <w:p w14:paraId="6D06F117" w14:textId="77777777" w:rsidR="009565FC" w:rsidRDefault="009565FC" w:rsidP="007E34D6">
            <w:pPr>
              <w:pStyle w:val="TSBodyText"/>
            </w:pPr>
          </w:p>
        </w:tc>
      </w:tr>
      <w:tr w:rsidR="009565FC" w14:paraId="729FB8D7" w14:textId="77777777">
        <w:tc>
          <w:tcPr>
            <w:tcW w:w="2381" w:type="dxa"/>
          </w:tcPr>
          <w:p w14:paraId="66F28A87" w14:textId="77777777" w:rsidR="009565FC" w:rsidRDefault="009565FC" w:rsidP="007E34D6">
            <w:pPr>
              <w:pStyle w:val="TSBodyText"/>
            </w:pPr>
            <w:r w:rsidRPr="00461466">
              <w:t>Child abuse and neglect</w:t>
            </w:r>
          </w:p>
        </w:tc>
        <w:tc>
          <w:tcPr>
            <w:tcW w:w="979" w:type="dxa"/>
          </w:tcPr>
          <w:p w14:paraId="01B940B4" w14:textId="77777777" w:rsidR="009565FC" w:rsidRDefault="009565FC" w:rsidP="007E34D6">
            <w:pPr>
              <w:pStyle w:val="TSBodyText"/>
            </w:pPr>
          </w:p>
        </w:tc>
        <w:tc>
          <w:tcPr>
            <w:tcW w:w="1057" w:type="dxa"/>
          </w:tcPr>
          <w:p w14:paraId="3AF3DCD5" w14:textId="77777777" w:rsidR="009565FC" w:rsidRDefault="009565FC" w:rsidP="007E34D6">
            <w:pPr>
              <w:pStyle w:val="TSBodyText"/>
            </w:pPr>
          </w:p>
        </w:tc>
        <w:tc>
          <w:tcPr>
            <w:tcW w:w="1644" w:type="dxa"/>
          </w:tcPr>
          <w:p w14:paraId="386BAE00" w14:textId="77777777" w:rsidR="009565FC" w:rsidRDefault="009565FC" w:rsidP="007E34D6">
            <w:pPr>
              <w:pStyle w:val="TSBodyText"/>
            </w:pPr>
            <w:r w:rsidRPr="00461466">
              <w:rPr>
                <w:rFonts w:ascii="Wingdings 2" w:eastAsia="Wingdings 2" w:hAnsi="Wingdings 2"/>
              </w:rPr>
              <w:t>P</w:t>
            </w:r>
          </w:p>
        </w:tc>
        <w:tc>
          <w:tcPr>
            <w:tcW w:w="1871" w:type="dxa"/>
          </w:tcPr>
          <w:p w14:paraId="15FEFF95" w14:textId="77777777" w:rsidR="009565FC" w:rsidRDefault="009565FC" w:rsidP="007E34D6">
            <w:pPr>
              <w:pStyle w:val="TSBodyText"/>
            </w:pPr>
          </w:p>
        </w:tc>
      </w:tr>
      <w:tr w:rsidR="009565FC" w14:paraId="1B428EEF"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7482F568" w14:textId="32B5D61D" w:rsidR="009565FC" w:rsidRDefault="009565FC" w:rsidP="007E34D6">
            <w:pPr>
              <w:pStyle w:val="TSBodyText"/>
            </w:pPr>
            <w:r w:rsidRPr="00461466">
              <w:lastRenderedPageBreak/>
              <w:t xml:space="preserve">Prevention </w:t>
            </w:r>
            <w:r w:rsidR="00B422E4" w:rsidRPr="00461466">
              <w:t>program</w:t>
            </w:r>
            <w:r w:rsidR="00B422E4">
              <w:t>mes</w:t>
            </w:r>
          </w:p>
        </w:tc>
        <w:tc>
          <w:tcPr>
            <w:tcW w:w="979" w:type="dxa"/>
          </w:tcPr>
          <w:p w14:paraId="5F0D86CC" w14:textId="77777777" w:rsidR="009565FC" w:rsidRDefault="009565FC" w:rsidP="007E34D6">
            <w:pPr>
              <w:pStyle w:val="TSBodyText"/>
            </w:pPr>
          </w:p>
        </w:tc>
        <w:tc>
          <w:tcPr>
            <w:tcW w:w="1057" w:type="dxa"/>
          </w:tcPr>
          <w:p w14:paraId="24F92F3B" w14:textId="77777777" w:rsidR="009565FC" w:rsidRDefault="009565FC" w:rsidP="007E34D6">
            <w:pPr>
              <w:pStyle w:val="TSBodyText"/>
            </w:pPr>
            <w:r w:rsidRPr="00461466">
              <w:rPr>
                <w:rFonts w:ascii="Wingdings 2" w:eastAsia="Wingdings 2" w:hAnsi="Wingdings 2"/>
              </w:rPr>
              <w:t>P</w:t>
            </w:r>
          </w:p>
        </w:tc>
        <w:tc>
          <w:tcPr>
            <w:tcW w:w="1644" w:type="dxa"/>
          </w:tcPr>
          <w:p w14:paraId="0695AC39" w14:textId="77777777" w:rsidR="009565FC" w:rsidRDefault="009565FC" w:rsidP="007E34D6">
            <w:pPr>
              <w:pStyle w:val="TSBodyText"/>
            </w:pPr>
          </w:p>
        </w:tc>
        <w:tc>
          <w:tcPr>
            <w:tcW w:w="1871" w:type="dxa"/>
          </w:tcPr>
          <w:p w14:paraId="36FCCC9E" w14:textId="77777777" w:rsidR="009565FC" w:rsidRDefault="009565FC" w:rsidP="007E34D6">
            <w:pPr>
              <w:pStyle w:val="TSBodyText"/>
            </w:pPr>
            <w:r>
              <w:t>Definition of alcohol harm</w:t>
            </w:r>
          </w:p>
        </w:tc>
      </w:tr>
      <w:tr w:rsidR="009565FC" w14:paraId="19B01F6C" w14:textId="77777777">
        <w:tc>
          <w:tcPr>
            <w:tcW w:w="2381" w:type="dxa"/>
          </w:tcPr>
          <w:p w14:paraId="63722FE1" w14:textId="06436D0D" w:rsidR="009565FC" w:rsidRPr="007E34D6" w:rsidRDefault="009565FC" w:rsidP="007E34D6">
            <w:pPr>
              <w:pStyle w:val="TSBodyText"/>
              <w:rPr>
                <w:b/>
                <w:bCs/>
              </w:rPr>
            </w:pPr>
            <w:r w:rsidRPr="007E34D6">
              <w:rPr>
                <w:b/>
                <w:bCs/>
              </w:rPr>
              <w:t xml:space="preserve">Tangible costs </w:t>
            </w:r>
            <w:r w:rsidR="007E34D6">
              <w:rPr>
                <w:b/>
                <w:bCs/>
              </w:rPr>
              <w:t>–</w:t>
            </w:r>
            <w:r w:rsidRPr="007E34D6">
              <w:rPr>
                <w:b/>
                <w:bCs/>
              </w:rPr>
              <w:t xml:space="preserve"> indirect</w:t>
            </w:r>
          </w:p>
        </w:tc>
        <w:tc>
          <w:tcPr>
            <w:tcW w:w="979" w:type="dxa"/>
          </w:tcPr>
          <w:p w14:paraId="2EA3A866" w14:textId="77777777" w:rsidR="009565FC" w:rsidRDefault="009565FC" w:rsidP="007E34D6">
            <w:pPr>
              <w:pStyle w:val="TSBodyText"/>
            </w:pPr>
          </w:p>
        </w:tc>
        <w:tc>
          <w:tcPr>
            <w:tcW w:w="1057" w:type="dxa"/>
          </w:tcPr>
          <w:p w14:paraId="57802CD7" w14:textId="77777777" w:rsidR="009565FC" w:rsidRDefault="009565FC" w:rsidP="007E34D6">
            <w:pPr>
              <w:pStyle w:val="TSBodyText"/>
            </w:pPr>
          </w:p>
        </w:tc>
        <w:tc>
          <w:tcPr>
            <w:tcW w:w="1644" w:type="dxa"/>
          </w:tcPr>
          <w:p w14:paraId="6B452180" w14:textId="77777777" w:rsidR="009565FC" w:rsidRDefault="009565FC" w:rsidP="007E34D6">
            <w:pPr>
              <w:pStyle w:val="TSBodyText"/>
            </w:pPr>
          </w:p>
        </w:tc>
        <w:tc>
          <w:tcPr>
            <w:tcW w:w="1871" w:type="dxa"/>
          </w:tcPr>
          <w:p w14:paraId="56230CD5" w14:textId="77777777" w:rsidR="009565FC" w:rsidRDefault="009565FC" w:rsidP="007E34D6">
            <w:pPr>
              <w:pStyle w:val="TSBodyText"/>
            </w:pPr>
          </w:p>
        </w:tc>
      </w:tr>
      <w:tr w:rsidR="009565FC" w14:paraId="2129C302"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14B2361F" w14:textId="77777777" w:rsidR="009565FC" w:rsidRPr="00214CE3" w:rsidRDefault="009565FC" w:rsidP="007E34D6">
            <w:pPr>
              <w:pStyle w:val="TSBodyText"/>
            </w:pPr>
            <w:r>
              <w:t>Productivity</w:t>
            </w:r>
            <w:r w:rsidRPr="00461466">
              <w:t xml:space="preserve"> costs – reduced workforce</w:t>
            </w:r>
            <w:r>
              <w:t xml:space="preserve"> (premature mortality)</w:t>
            </w:r>
          </w:p>
        </w:tc>
        <w:tc>
          <w:tcPr>
            <w:tcW w:w="979" w:type="dxa"/>
          </w:tcPr>
          <w:p w14:paraId="13D30C78"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22921CD4" w14:textId="77777777" w:rsidR="009565FC" w:rsidRPr="00214CE3" w:rsidRDefault="009565FC" w:rsidP="007E34D6">
            <w:pPr>
              <w:pStyle w:val="TSBodyText"/>
            </w:pPr>
            <w:r w:rsidRPr="00461466">
              <w:rPr>
                <w:rFonts w:ascii="Wingdings 2" w:eastAsia="Wingdings 2" w:hAnsi="Wingdings 2"/>
              </w:rPr>
              <w:t>P</w:t>
            </w:r>
          </w:p>
        </w:tc>
        <w:tc>
          <w:tcPr>
            <w:tcW w:w="1644" w:type="dxa"/>
          </w:tcPr>
          <w:p w14:paraId="5A68C48F" w14:textId="77777777" w:rsidR="009565FC" w:rsidRPr="00214CE3" w:rsidRDefault="009565FC" w:rsidP="007E34D6">
            <w:pPr>
              <w:pStyle w:val="TSBodyText"/>
            </w:pPr>
            <w:r w:rsidRPr="00461466">
              <w:rPr>
                <w:rFonts w:ascii="Wingdings 2" w:eastAsia="Wingdings 2" w:hAnsi="Wingdings 2"/>
              </w:rPr>
              <w:t>P</w:t>
            </w:r>
            <w:r w:rsidRPr="00461466">
              <w:t xml:space="preserve"> </w:t>
            </w:r>
          </w:p>
        </w:tc>
        <w:tc>
          <w:tcPr>
            <w:tcW w:w="1871" w:type="dxa"/>
          </w:tcPr>
          <w:p w14:paraId="00499019" w14:textId="77777777" w:rsidR="009565FC" w:rsidRPr="00214CE3" w:rsidRDefault="009565FC" w:rsidP="007E34D6">
            <w:pPr>
              <w:pStyle w:val="TSBodyText"/>
            </w:pPr>
          </w:p>
        </w:tc>
      </w:tr>
      <w:tr w:rsidR="009565FC" w:rsidRPr="003B1E4F" w14:paraId="3A643FFC" w14:textId="77777777">
        <w:tc>
          <w:tcPr>
            <w:tcW w:w="2381" w:type="dxa"/>
          </w:tcPr>
          <w:p w14:paraId="5A2AF8D8" w14:textId="77777777" w:rsidR="009565FC" w:rsidRPr="00214CE3" w:rsidRDefault="009565FC" w:rsidP="007E34D6">
            <w:pPr>
              <w:pStyle w:val="TSBodyText"/>
            </w:pPr>
            <w:r>
              <w:t>Productivity</w:t>
            </w:r>
            <w:r w:rsidRPr="00461466">
              <w:t xml:space="preserve"> costs - excess unemployment</w:t>
            </w:r>
          </w:p>
        </w:tc>
        <w:tc>
          <w:tcPr>
            <w:tcW w:w="979" w:type="dxa"/>
          </w:tcPr>
          <w:p w14:paraId="3D996BE2"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41CC88C8" w14:textId="77777777" w:rsidR="009565FC" w:rsidRPr="00214CE3" w:rsidRDefault="009565FC" w:rsidP="007E34D6">
            <w:pPr>
              <w:pStyle w:val="TSBodyText"/>
            </w:pPr>
          </w:p>
        </w:tc>
        <w:tc>
          <w:tcPr>
            <w:tcW w:w="1644" w:type="dxa"/>
          </w:tcPr>
          <w:p w14:paraId="5EA825AA" w14:textId="77777777" w:rsidR="009565FC" w:rsidRPr="00214CE3" w:rsidRDefault="009565FC" w:rsidP="007E34D6">
            <w:pPr>
              <w:pStyle w:val="TSBodyText"/>
            </w:pPr>
          </w:p>
        </w:tc>
        <w:tc>
          <w:tcPr>
            <w:tcW w:w="1871" w:type="dxa"/>
          </w:tcPr>
          <w:p w14:paraId="73B9CFC2" w14:textId="77777777" w:rsidR="009565FC" w:rsidRPr="00214CE3" w:rsidRDefault="009565FC" w:rsidP="007E34D6">
            <w:pPr>
              <w:pStyle w:val="TSBodyText"/>
            </w:pPr>
            <w:r w:rsidRPr="00214CE3">
              <w:t>Lack of evidence regarding alcohol-attributable unemployment</w:t>
            </w:r>
          </w:p>
        </w:tc>
      </w:tr>
      <w:tr w:rsidR="009565FC" w14:paraId="71DE6D67"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32F77FCA" w14:textId="77777777" w:rsidR="009565FC" w:rsidRPr="00214CE3" w:rsidRDefault="009565FC" w:rsidP="007E34D6">
            <w:pPr>
              <w:pStyle w:val="TSBodyText"/>
            </w:pPr>
            <w:r>
              <w:t>Productivity</w:t>
            </w:r>
            <w:r w:rsidRPr="00461466">
              <w:t xml:space="preserve"> costs - absenteeism</w:t>
            </w:r>
          </w:p>
        </w:tc>
        <w:tc>
          <w:tcPr>
            <w:tcW w:w="979" w:type="dxa"/>
          </w:tcPr>
          <w:p w14:paraId="5BEE28AB"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5A9B227A" w14:textId="77777777" w:rsidR="009565FC" w:rsidRPr="00214CE3" w:rsidRDefault="009565FC" w:rsidP="007E34D6">
            <w:pPr>
              <w:pStyle w:val="TSBodyText"/>
            </w:pPr>
          </w:p>
        </w:tc>
        <w:tc>
          <w:tcPr>
            <w:tcW w:w="1644" w:type="dxa"/>
          </w:tcPr>
          <w:p w14:paraId="0C8693EA" w14:textId="77777777" w:rsidR="009565FC" w:rsidRPr="00214CE3" w:rsidRDefault="009565FC" w:rsidP="007E34D6">
            <w:pPr>
              <w:pStyle w:val="TSBodyText"/>
            </w:pPr>
            <w:r w:rsidRPr="00461466">
              <w:rPr>
                <w:rFonts w:ascii="Wingdings 2" w:eastAsia="Wingdings 2" w:hAnsi="Wingdings 2"/>
              </w:rPr>
              <w:t>P</w:t>
            </w:r>
            <w:r w:rsidRPr="00461466">
              <w:t xml:space="preserve"> </w:t>
            </w:r>
          </w:p>
        </w:tc>
        <w:tc>
          <w:tcPr>
            <w:tcW w:w="1871" w:type="dxa"/>
          </w:tcPr>
          <w:p w14:paraId="21E53992" w14:textId="77777777" w:rsidR="009565FC" w:rsidRPr="00214CE3" w:rsidRDefault="009565FC" w:rsidP="007E34D6">
            <w:pPr>
              <w:pStyle w:val="TSBodyText"/>
            </w:pPr>
          </w:p>
        </w:tc>
      </w:tr>
      <w:tr w:rsidR="009565FC" w14:paraId="1D9827B2" w14:textId="77777777">
        <w:tc>
          <w:tcPr>
            <w:tcW w:w="2381" w:type="dxa"/>
          </w:tcPr>
          <w:p w14:paraId="7D1800AD" w14:textId="77777777" w:rsidR="009565FC" w:rsidRPr="00214CE3" w:rsidRDefault="009565FC" w:rsidP="007E34D6">
            <w:pPr>
              <w:pStyle w:val="TSBodyText"/>
            </w:pPr>
            <w:r>
              <w:t>Productivity</w:t>
            </w:r>
            <w:r w:rsidRPr="00461466">
              <w:t xml:space="preserve"> costs – presenteeism/reduced productivity</w:t>
            </w:r>
          </w:p>
        </w:tc>
        <w:tc>
          <w:tcPr>
            <w:tcW w:w="979" w:type="dxa"/>
          </w:tcPr>
          <w:p w14:paraId="1CDEDB38"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2C8CBC40" w14:textId="77777777" w:rsidR="009565FC" w:rsidRPr="00214CE3" w:rsidRDefault="009565FC" w:rsidP="007E34D6">
            <w:pPr>
              <w:pStyle w:val="TSBodyText"/>
            </w:pPr>
          </w:p>
        </w:tc>
        <w:tc>
          <w:tcPr>
            <w:tcW w:w="1644" w:type="dxa"/>
          </w:tcPr>
          <w:p w14:paraId="2E1EB2FA" w14:textId="77777777" w:rsidR="009565FC" w:rsidRPr="00214CE3" w:rsidRDefault="009565FC" w:rsidP="007E34D6">
            <w:pPr>
              <w:pStyle w:val="TSBodyText"/>
            </w:pPr>
            <w:r w:rsidRPr="00461466">
              <w:rPr>
                <w:rFonts w:ascii="Wingdings 2" w:eastAsia="Wingdings 2" w:hAnsi="Wingdings 2"/>
              </w:rPr>
              <w:t>P</w:t>
            </w:r>
            <w:r w:rsidRPr="00461466">
              <w:t xml:space="preserve"> </w:t>
            </w:r>
          </w:p>
        </w:tc>
        <w:tc>
          <w:tcPr>
            <w:tcW w:w="1871" w:type="dxa"/>
          </w:tcPr>
          <w:p w14:paraId="6AC4DE7C" w14:textId="77777777" w:rsidR="009565FC" w:rsidRPr="00214CE3" w:rsidRDefault="009565FC" w:rsidP="007E34D6">
            <w:pPr>
              <w:pStyle w:val="TSBodyText"/>
            </w:pPr>
          </w:p>
        </w:tc>
      </w:tr>
      <w:tr w:rsidR="009565FC" w14:paraId="1198794B"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713799D3" w14:textId="77777777" w:rsidR="009565FC" w:rsidRPr="00214CE3" w:rsidRDefault="009565FC" w:rsidP="007E34D6">
            <w:pPr>
              <w:pStyle w:val="TSBodyText"/>
            </w:pPr>
            <w:r>
              <w:t>Productivity</w:t>
            </w:r>
            <w:r w:rsidRPr="00461466">
              <w:t xml:space="preserve"> costs - FASD</w:t>
            </w:r>
          </w:p>
        </w:tc>
        <w:tc>
          <w:tcPr>
            <w:tcW w:w="979" w:type="dxa"/>
          </w:tcPr>
          <w:p w14:paraId="7D151C66" w14:textId="77777777" w:rsidR="009565FC" w:rsidRPr="00214CE3" w:rsidRDefault="009565FC" w:rsidP="007E34D6">
            <w:pPr>
              <w:pStyle w:val="TSBodyText"/>
            </w:pPr>
          </w:p>
        </w:tc>
        <w:tc>
          <w:tcPr>
            <w:tcW w:w="1057" w:type="dxa"/>
          </w:tcPr>
          <w:p w14:paraId="2DEF72DC" w14:textId="77777777" w:rsidR="009565FC" w:rsidRPr="00214CE3" w:rsidRDefault="009565FC" w:rsidP="007E34D6">
            <w:pPr>
              <w:pStyle w:val="TSBodyText"/>
            </w:pPr>
          </w:p>
        </w:tc>
        <w:tc>
          <w:tcPr>
            <w:tcW w:w="1644" w:type="dxa"/>
          </w:tcPr>
          <w:p w14:paraId="56163ADC" w14:textId="77777777" w:rsidR="009565FC" w:rsidRPr="00214CE3" w:rsidRDefault="009565FC" w:rsidP="007E34D6">
            <w:pPr>
              <w:pStyle w:val="TSBodyText"/>
            </w:pPr>
            <w:r w:rsidRPr="00461466">
              <w:rPr>
                <w:rFonts w:ascii="Wingdings 2" w:eastAsia="Wingdings 2" w:hAnsi="Wingdings 2"/>
              </w:rPr>
              <w:t>P</w:t>
            </w:r>
          </w:p>
        </w:tc>
        <w:tc>
          <w:tcPr>
            <w:tcW w:w="1871" w:type="dxa"/>
          </w:tcPr>
          <w:p w14:paraId="2DDCFB11" w14:textId="77777777" w:rsidR="009565FC" w:rsidRPr="00214CE3" w:rsidRDefault="009565FC" w:rsidP="007E34D6">
            <w:pPr>
              <w:pStyle w:val="TSBodyText"/>
            </w:pPr>
          </w:p>
        </w:tc>
      </w:tr>
      <w:tr w:rsidR="009565FC" w14:paraId="13E31C7D" w14:textId="77777777">
        <w:tc>
          <w:tcPr>
            <w:tcW w:w="2381" w:type="dxa"/>
          </w:tcPr>
          <w:p w14:paraId="2171FBFA" w14:textId="77777777" w:rsidR="009565FC" w:rsidRPr="00214CE3" w:rsidRDefault="009565FC" w:rsidP="007E34D6">
            <w:pPr>
              <w:pStyle w:val="TSBodyText"/>
            </w:pPr>
            <w:r w:rsidRPr="00461466">
              <w:t>Foregone consumption</w:t>
            </w:r>
          </w:p>
        </w:tc>
        <w:tc>
          <w:tcPr>
            <w:tcW w:w="979" w:type="dxa"/>
          </w:tcPr>
          <w:p w14:paraId="2CDC7578"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209359A8" w14:textId="77777777" w:rsidR="009565FC" w:rsidRPr="00214CE3" w:rsidRDefault="009565FC" w:rsidP="007E34D6">
            <w:pPr>
              <w:pStyle w:val="TSBodyText"/>
            </w:pPr>
          </w:p>
        </w:tc>
        <w:tc>
          <w:tcPr>
            <w:tcW w:w="1644" w:type="dxa"/>
          </w:tcPr>
          <w:p w14:paraId="4FE34C6F" w14:textId="77777777" w:rsidR="009565FC" w:rsidRPr="00214CE3" w:rsidRDefault="009565FC" w:rsidP="007E34D6">
            <w:pPr>
              <w:pStyle w:val="TSBodyText"/>
            </w:pPr>
          </w:p>
        </w:tc>
        <w:tc>
          <w:tcPr>
            <w:tcW w:w="1871" w:type="dxa"/>
          </w:tcPr>
          <w:p w14:paraId="5DF82653" w14:textId="77777777" w:rsidR="009565FC" w:rsidRPr="00214CE3" w:rsidRDefault="009565FC" w:rsidP="007E34D6">
            <w:pPr>
              <w:pStyle w:val="TSBodyText"/>
            </w:pPr>
            <w:r>
              <w:t>Definition of alcohol harm</w:t>
            </w:r>
          </w:p>
        </w:tc>
      </w:tr>
      <w:tr w:rsidR="009565FC" w14:paraId="5851C951"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0AC8B530" w14:textId="77777777" w:rsidR="009565FC" w:rsidRPr="00461466" w:rsidRDefault="009565FC" w:rsidP="007E34D6">
            <w:pPr>
              <w:pStyle w:val="TSBodyText"/>
            </w:pPr>
            <w:r>
              <w:t>Productivity costs – long-term disability</w:t>
            </w:r>
          </w:p>
        </w:tc>
        <w:tc>
          <w:tcPr>
            <w:tcW w:w="979" w:type="dxa"/>
          </w:tcPr>
          <w:p w14:paraId="50DBBABE" w14:textId="77777777" w:rsidR="009565FC" w:rsidRPr="00461466" w:rsidRDefault="009565FC" w:rsidP="007E34D6">
            <w:pPr>
              <w:pStyle w:val="TSBodyText"/>
              <w:rPr>
                <w:rFonts w:ascii="Wingdings 2" w:eastAsia="Wingdings 2" w:hAnsi="Wingdings 2"/>
              </w:rPr>
            </w:pPr>
          </w:p>
        </w:tc>
        <w:tc>
          <w:tcPr>
            <w:tcW w:w="1057" w:type="dxa"/>
          </w:tcPr>
          <w:p w14:paraId="1897EFBB" w14:textId="77777777" w:rsidR="009565FC" w:rsidRPr="00214CE3" w:rsidRDefault="009565FC" w:rsidP="007E34D6">
            <w:pPr>
              <w:pStyle w:val="TSBodyText"/>
            </w:pPr>
            <w:r w:rsidRPr="00461466">
              <w:rPr>
                <w:rFonts w:ascii="Wingdings 2" w:eastAsia="Wingdings 2" w:hAnsi="Wingdings 2"/>
              </w:rPr>
              <w:t>P</w:t>
            </w:r>
          </w:p>
        </w:tc>
        <w:tc>
          <w:tcPr>
            <w:tcW w:w="1644" w:type="dxa"/>
          </w:tcPr>
          <w:p w14:paraId="17D49135" w14:textId="77777777" w:rsidR="009565FC" w:rsidRPr="00214CE3" w:rsidRDefault="009565FC" w:rsidP="007E34D6">
            <w:pPr>
              <w:pStyle w:val="TSBodyText"/>
            </w:pPr>
          </w:p>
        </w:tc>
        <w:tc>
          <w:tcPr>
            <w:tcW w:w="1871" w:type="dxa"/>
          </w:tcPr>
          <w:p w14:paraId="50D3618A" w14:textId="77777777" w:rsidR="009565FC" w:rsidRDefault="009565FC" w:rsidP="007E34D6">
            <w:pPr>
              <w:pStyle w:val="TSBodyText"/>
            </w:pPr>
            <w:r w:rsidRPr="00214CE3">
              <w:t>Lack of NZ evidence regarding employment of people with alcohol-attributable disability</w:t>
            </w:r>
          </w:p>
        </w:tc>
      </w:tr>
      <w:tr w:rsidR="009565FC" w14:paraId="5FEA1D85" w14:textId="77777777">
        <w:tc>
          <w:tcPr>
            <w:tcW w:w="2381" w:type="dxa"/>
          </w:tcPr>
          <w:p w14:paraId="54A50EA1" w14:textId="77777777" w:rsidR="009565FC" w:rsidRDefault="009565FC" w:rsidP="007E34D6">
            <w:pPr>
              <w:pStyle w:val="TSBodyText"/>
            </w:pPr>
            <w:r>
              <w:t>Productivity costs – short term disability</w:t>
            </w:r>
          </w:p>
        </w:tc>
        <w:tc>
          <w:tcPr>
            <w:tcW w:w="979" w:type="dxa"/>
          </w:tcPr>
          <w:p w14:paraId="5B2F0709" w14:textId="77777777" w:rsidR="009565FC" w:rsidRPr="00461466" w:rsidRDefault="009565FC" w:rsidP="007E34D6">
            <w:pPr>
              <w:pStyle w:val="TSBodyText"/>
              <w:rPr>
                <w:rFonts w:ascii="Wingdings 2" w:eastAsia="Wingdings 2" w:hAnsi="Wingdings 2"/>
              </w:rPr>
            </w:pPr>
          </w:p>
        </w:tc>
        <w:tc>
          <w:tcPr>
            <w:tcW w:w="1057" w:type="dxa"/>
          </w:tcPr>
          <w:p w14:paraId="362DC83A" w14:textId="77777777" w:rsidR="009565FC" w:rsidRPr="00461466" w:rsidRDefault="009565FC" w:rsidP="007E34D6">
            <w:pPr>
              <w:pStyle w:val="TSBodyText"/>
              <w:rPr>
                <w:rFonts w:ascii="Wingdings 2" w:eastAsia="Wingdings 2" w:hAnsi="Wingdings 2"/>
              </w:rPr>
            </w:pPr>
            <w:r w:rsidRPr="00461466">
              <w:rPr>
                <w:rFonts w:ascii="Wingdings 2" w:eastAsia="Wingdings 2" w:hAnsi="Wingdings 2"/>
              </w:rPr>
              <w:t>P</w:t>
            </w:r>
          </w:p>
        </w:tc>
        <w:tc>
          <w:tcPr>
            <w:tcW w:w="1644" w:type="dxa"/>
          </w:tcPr>
          <w:p w14:paraId="15671863" w14:textId="77777777" w:rsidR="009565FC" w:rsidRPr="00461466" w:rsidRDefault="009565FC" w:rsidP="007E34D6">
            <w:pPr>
              <w:pStyle w:val="TSBodyText"/>
              <w:rPr>
                <w:rFonts w:ascii="Wingdings 2" w:eastAsia="Wingdings 2" w:hAnsi="Wingdings 2"/>
              </w:rPr>
            </w:pPr>
            <w:r w:rsidRPr="00461466">
              <w:rPr>
                <w:rFonts w:ascii="Wingdings 2" w:eastAsia="Wingdings 2" w:hAnsi="Wingdings 2"/>
              </w:rPr>
              <w:t>P</w:t>
            </w:r>
            <w:r w:rsidRPr="00461466">
              <w:t xml:space="preserve"> </w:t>
            </w:r>
          </w:p>
        </w:tc>
        <w:tc>
          <w:tcPr>
            <w:tcW w:w="1871" w:type="dxa"/>
          </w:tcPr>
          <w:p w14:paraId="2F1F5419" w14:textId="77777777" w:rsidR="009565FC" w:rsidRDefault="009565FC" w:rsidP="007E34D6">
            <w:pPr>
              <w:pStyle w:val="TSBodyText"/>
            </w:pPr>
          </w:p>
        </w:tc>
      </w:tr>
      <w:tr w:rsidR="009565FC" w14:paraId="30719C88"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337B5A5F" w14:textId="77777777" w:rsidR="009565FC" w:rsidRPr="00770559" w:rsidRDefault="009565FC" w:rsidP="007E34D6">
            <w:pPr>
              <w:pStyle w:val="TSBodyText"/>
              <w:rPr>
                <w:b/>
                <w:bCs/>
              </w:rPr>
            </w:pPr>
            <w:r w:rsidRPr="00770559">
              <w:rPr>
                <w:b/>
                <w:bCs/>
              </w:rPr>
              <w:t>Intangible costs</w:t>
            </w:r>
          </w:p>
        </w:tc>
        <w:tc>
          <w:tcPr>
            <w:tcW w:w="979" w:type="dxa"/>
          </w:tcPr>
          <w:p w14:paraId="1E46CD4C" w14:textId="77777777" w:rsidR="009565FC" w:rsidRPr="00214CE3" w:rsidRDefault="009565FC" w:rsidP="007E34D6">
            <w:pPr>
              <w:pStyle w:val="TSBodyText"/>
            </w:pPr>
          </w:p>
        </w:tc>
        <w:tc>
          <w:tcPr>
            <w:tcW w:w="1057" w:type="dxa"/>
          </w:tcPr>
          <w:p w14:paraId="1D3EADD6" w14:textId="77777777" w:rsidR="009565FC" w:rsidRPr="00214CE3" w:rsidRDefault="009565FC" w:rsidP="007E34D6">
            <w:pPr>
              <w:pStyle w:val="TSBodyText"/>
            </w:pPr>
          </w:p>
        </w:tc>
        <w:tc>
          <w:tcPr>
            <w:tcW w:w="1644" w:type="dxa"/>
          </w:tcPr>
          <w:p w14:paraId="089F9A53" w14:textId="77777777" w:rsidR="009565FC" w:rsidRPr="00214CE3" w:rsidRDefault="009565FC" w:rsidP="007E34D6">
            <w:pPr>
              <w:pStyle w:val="TSBodyText"/>
            </w:pPr>
          </w:p>
        </w:tc>
        <w:tc>
          <w:tcPr>
            <w:tcW w:w="1871" w:type="dxa"/>
          </w:tcPr>
          <w:p w14:paraId="6DF022BD" w14:textId="77777777" w:rsidR="009565FC" w:rsidRPr="00214CE3" w:rsidRDefault="009565FC" w:rsidP="007E34D6">
            <w:pPr>
              <w:pStyle w:val="TSBodyText"/>
            </w:pPr>
          </w:p>
        </w:tc>
      </w:tr>
      <w:tr w:rsidR="009565FC" w14:paraId="26EC1B10" w14:textId="77777777">
        <w:tc>
          <w:tcPr>
            <w:tcW w:w="2381" w:type="dxa"/>
          </w:tcPr>
          <w:p w14:paraId="118EC83A" w14:textId="77777777" w:rsidR="009565FC" w:rsidRPr="00214CE3" w:rsidRDefault="009565FC" w:rsidP="007E34D6">
            <w:pPr>
              <w:pStyle w:val="TSBodyText"/>
            </w:pPr>
            <w:r w:rsidRPr="00461466">
              <w:t>Pain and suffering – road crash victims</w:t>
            </w:r>
          </w:p>
        </w:tc>
        <w:tc>
          <w:tcPr>
            <w:tcW w:w="979" w:type="dxa"/>
          </w:tcPr>
          <w:p w14:paraId="2DA4231A"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0CE3619C" w14:textId="77777777" w:rsidR="009565FC" w:rsidRPr="00214CE3" w:rsidRDefault="009565FC" w:rsidP="007E34D6">
            <w:pPr>
              <w:pStyle w:val="TSBodyText"/>
            </w:pPr>
          </w:p>
        </w:tc>
        <w:tc>
          <w:tcPr>
            <w:tcW w:w="1644" w:type="dxa"/>
          </w:tcPr>
          <w:p w14:paraId="0A2443E4" w14:textId="63236658" w:rsidR="009565FC" w:rsidRPr="00214CE3" w:rsidRDefault="009565FC" w:rsidP="007E34D6">
            <w:pPr>
              <w:pStyle w:val="TSBodyText"/>
            </w:pPr>
            <w:r w:rsidRPr="00214CE3">
              <w:t>Included in costs of road crashes and partly reflected in DALYs, but not separately identifiable</w:t>
            </w:r>
          </w:p>
        </w:tc>
        <w:tc>
          <w:tcPr>
            <w:tcW w:w="1871" w:type="dxa"/>
          </w:tcPr>
          <w:p w14:paraId="2C4D275E" w14:textId="77777777" w:rsidR="009565FC" w:rsidRPr="00214CE3" w:rsidRDefault="009565FC" w:rsidP="007E34D6">
            <w:pPr>
              <w:pStyle w:val="TSBodyText"/>
            </w:pPr>
          </w:p>
        </w:tc>
      </w:tr>
      <w:tr w:rsidR="009565FC" w14:paraId="6B54FB1B"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4AD70D74" w14:textId="77777777" w:rsidR="009565FC" w:rsidRPr="00214CE3" w:rsidRDefault="009565FC" w:rsidP="007E34D6">
            <w:pPr>
              <w:pStyle w:val="TSBodyText"/>
            </w:pPr>
            <w:r w:rsidRPr="00461466">
              <w:t>Pain and suffering - victims of crime</w:t>
            </w:r>
          </w:p>
        </w:tc>
        <w:tc>
          <w:tcPr>
            <w:tcW w:w="979" w:type="dxa"/>
          </w:tcPr>
          <w:p w14:paraId="372BF069"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2BB2BABF" w14:textId="77777777" w:rsidR="009565FC" w:rsidRPr="00214CE3" w:rsidRDefault="009565FC" w:rsidP="007E34D6">
            <w:pPr>
              <w:pStyle w:val="TSBodyText"/>
            </w:pPr>
          </w:p>
        </w:tc>
        <w:tc>
          <w:tcPr>
            <w:tcW w:w="1644" w:type="dxa"/>
          </w:tcPr>
          <w:p w14:paraId="02B2F99F" w14:textId="77777777" w:rsidR="009565FC" w:rsidRPr="00214CE3" w:rsidRDefault="009565FC" w:rsidP="007E34D6">
            <w:pPr>
              <w:pStyle w:val="TSBodyText"/>
            </w:pPr>
            <w:r w:rsidRPr="00214CE3">
              <w:t>Included in victims of crime costs but not separately identifiable from other private costs</w:t>
            </w:r>
          </w:p>
        </w:tc>
        <w:tc>
          <w:tcPr>
            <w:tcW w:w="1871" w:type="dxa"/>
          </w:tcPr>
          <w:p w14:paraId="271F0023" w14:textId="77777777" w:rsidR="009565FC" w:rsidRPr="00214CE3" w:rsidRDefault="009565FC" w:rsidP="007E34D6">
            <w:pPr>
              <w:pStyle w:val="TSBodyText"/>
            </w:pPr>
          </w:p>
        </w:tc>
      </w:tr>
      <w:tr w:rsidR="009565FC" w14:paraId="14A5EDA3" w14:textId="77777777">
        <w:tc>
          <w:tcPr>
            <w:tcW w:w="2381" w:type="dxa"/>
          </w:tcPr>
          <w:p w14:paraId="36323B16" w14:textId="77777777" w:rsidR="009565FC" w:rsidRPr="00214CE3" w:rsidRDefault="009565FC" w:rsidP="007E34D6">
            <w:pPr>
              <w:pStyle w:val="TSBodyText"/>
            </w:pPr>
            <w:r w:rsidRPr="00461466">
              <w:t>Pain and suffering related to users</w:t>
            </w:r>
            <w:r>
              <w:t>’</w:t>
            </w:r>
            <w:r w:rsidRPr="00461466">
              <w:t xml:space="preserve"> health </w:t>
            </w:r>
          </w:p>
        </w:tc>
        <w:tc>
          <w:tcPr>
            <w:tcW w:w="979" w:type="dxa"/>
          </w:tcPr>
          <w:p w14:paraId="401193A2" w14:textId="77777777" w:rsidR="009565FC" w:rsidRPr="00214CE3" w:rsidRDefault="009565FC" w:rsidP="007E34D6">
            <w:pPr>
              <w:pStyle w:val="TSBodyText"/>
            </w:pPr>
            <w:r w:rsidRPr="00461466">
              <w:rPr>
                <w:rFonts w:ascii="Wingdings 2" w:eastAsia="Wingdings 2" w:hAnsi="Wingdings 2"/>
              </w:rPr>
              <w:t>P</w:t>
            </w:r>
          </w:p>
        </w:tc>
        <w:tc>
          <w:tcPr>
            <w:tcW w:w="1057" w:type="dxa"/>
          </w:tcPr>
          <w:p w14:paraId="7D59831E" w14:textId="77777777" w:rsidR="009565FC" w:rsidRPr="00214CE3" w:rsidRDefault="009565FC" w:rsidP="007E34D6">
            <w:pPr>
              <w:pStyle w:val="TSBodyText"/>
            </w:pPr>
          </w:p>
        </w:tc>
        <w:tc>
          <w:tcPr>
            <w:tcW w:w="1644" w:type="dxa"/>
          </w:tcPr>
          <w:p w14:paraId="6E080ADC" w14:textId="77777777" w:rsidR="009565FC" w:rsidRPr="00214CE3" w:rsidRDefault="009565FC" w:rsidP="007E34D6">
            <w:pPr>
              <w:pStyle w:val="TSBodyText"/>
            </w:pPr>
            <w:r w:rsidRPr="00461466">
              <w:t xml:space="preserve">Included in total </w:t>
            </w:r>
            <w:proofErr w:type="gramStart"/>
            <w:r w:rsidRPr="00461466">
              <w:t>alcohol-related</w:t>
            </w:r>
            <w:proofErr w:type="gramEnd"/>
            <w:r w:rsidRPr="00461466">
              <w:t xml:space="preserve"> DALYs</w:t>
            </w:r>
          </w:p>
        </w:tc>
        <w:tc>
          <w:tcPr>
            <w:tcW w:w="1871" w:type="dxa"/>
          </w:tcPr>
          <w:p w14:paraId="45958897" w14:textId="77777777" w:rsidR="009565FC" w:rsidRPr="00214CE3" w:rsidRDefault="009565FC" w:rsidP="007E34D6">
            <w:pPr>
              <w:pStyle w:val="TSBodyText"/>
            </w:pPr>
          </w:p>
        </w:tc>
      </w:tr>
      <w:tr w:rsidR="009565FC" w14:paraId="4886622E" w14:textId="77777777">
        <w:trPr>
          <w:cnfStyle w:val="000000010000" w:firstRow="0" w:lastRow="0" w:firstColumn="0" w:lastColumn="0" w:oddVBand="0" w:evenVBand="0" w:oddHBand="0" w:evenHBand="1" w:firstRowFirstColumn="0" w:firstRowLastColumn="0" w:lastRowFirstColumn="0" w:lastRowLastColumn="0"/>
        </w:trPr>
        <w:tc>
          <w:tcPr>
            <w:tcW w:w="2381" w:type="dxa"/>
          </w:tcPr>
          <w:p w14:paraId="3C9A4574" w14:textId="77777777" w:rsidR="009565FC" w:rsidRDefault="009565FC" w:rsidP="007E34D6">
            <w:pPr>
              <w:pStyle w:val="TSBodyText"/>
            </w:pPr>
            <w:r w:rsidRPr="00461466">
              <w:t>Value of lost life to the deceased</w:t>
            </w:r>
          </w:p>
        </w:tc>
        <w:tc>
          <w:tcPr>
            <w:tcW w:w="979" w:type="dxa"/>
          </w:tcPr>
          <w:p w14:paraId="056758AC" w14:textId="77777777" w:rsidR="009565FC" w:rsidRDefault="009565FC" w:rsidP="007E34D6">
            <w:pPr>
              <w:pStyle w:val="TSBodyText"/>
            </w:pPr>
            <w:r w:rsidRPr="00461466">
              <w:rPr>
                <w:rFonts w:ascii="Wingdings 2" w:eastAsia="Wingdings 2" w:hAnsi="Wingdings 2"/>
              </w:rPr>
              <w:t>P</w:t>
            </w:r>
          </w:p>
        </w:tc>
        <w:tc>
          <w:tcPr>
            <w:tcW w:w="1057" w:type="dxa"/>
          </w:tcPr>
          <w:p w14:paraId="68C176AE" w14:textId="77777777" w:rsidR="009565FC" w:rsidRDefault="009565FC" w:rsidP="007E34D6">
            <w:pPr>
              <w:pStyle w:val="TSBodyText"/>
            </w:pPr>
          </w:p>
        </w:tc>
        <w:tc>
          <w:tcPr>
            <w:tcW w:w="1644" w:type="dxa"/>
          </w:tcPr>
          <w:p w14:paraId="60F2D3E4" w14:textId="77777777" w:rsidR="009565FC" w:rsidRDefault="009565FC" w:rsidP="007E34D6">
            <w:pPr>
              <w:pStyle w:val="TSBodyText"/>
            </w:pPr>
            <w:r w:rsidRPr="00461466">
              <w:rPr>
                <w:rFonts w:ascii="Wingdings 2" w:eastAsia="Wingdings 2" w:hAnsi="Wingdings 2"/>
              </w:rPr>
              <w:t>P</w:t>
            </w:r>
            <w:r w:rsidRPr="00461466">
              <w:t xml:space="preserve"> (social value of DALYs)</w:t>
            </w:r>
          </w:p>
        </w:tc>
        <w:tc>
          <w:tcPr>
            <w:tcW w:w="1871" w:type="dxa"/>
          </w:tcPr>
          <w:p w14:paraId="5EB7B422" w14:textId="77777777" w:rsidR="009565FC" w:rsidRDefault="009565FC" w:rsidP="007E34D6">
            <w:pPr>
              <w:pStyle w:val="TSBodyText"/>
            </w:pPr>
          </w:p>
        </w:tc>
      </w:tr>
    </w:tbl>
    <w:p w14:paraId="667152C7" w14:textId="77777777" w:rsidR="009565FC" w:rsidRDefault="009565FC" w:rsidP="00B46332">
      <w:pPr>
        <w:pStyle w:val="USSource"/>
      </w:pPr>
      <w:r>
        <w:t>Source: NZIER</w:t>
      </w:r>
    </w:p>
    <w:p w14:paraId="385638AF" w14:textId="77777777" w:rsidR="00472945" w:rsidRDefault="009565FC" w:rsidP="00472945">
      <w:pPr>
        <w:pStyle w:val="ApxHeading1"/>
      </w:pPr>
      <w:r>
        <w:br w:type="page"/>
      </w:r>
      <w:bookmarkStart w:id="255" w:name="_Ref158654905"/>
      <w:bookmarkStart w:id="256" w:name="_Toc160633884"/>
      <w:r w:rsidR="00472945" w:rsidRPr="00472945">
        <w:lastRenderedPageBreak/>
        <w:t>Methods for estimation of productivity losses</w:t>
      </w:r>
      <w:bookmarkEnd w:id="255"/>
      <w:bookmarkEnd w:id="256"/>
    </w:p>
    <w:p w14:paraId="710966D5" w14:textId="1229F34C" w:rsidR="00E46650" w:rsidRDefault="00E46650" w:rsidP="00E46650">
      <w:pPr>
        <w:pStyle w:val="USBodyText"/>
      </w:pPr>
      <w:r>
        <w:t>There are two main methodological approaches to estimating productivity losses, each with its own challenges and shortcomings. The t</w:t>
      </w:r>
      <w:r w:rsidR="00A62FF0">
        <w:t xml:space="preserve">wo </w:t>
      </w:r>
      <w:r>
        <w:t>main approaches are:</w:t>
      </w:r>
    </w:p>
    <w:p w14:paraId="10BAE62E" w14:textId="77777777" w:rsidR="00E46650" w:rsidRDefault="00E46650" w:rsidP="00E46650">
      <w:pPr>
        <w:pStyle w:val="USBullet1"/>
      </w:pPr>
      <w:r>
        <w:t>The human capital approach (HCA)</w:t>
      </w:r>
    </w:p>
    <w:p w14:paraId="6D1D1C4B" w14:textId="77777777" w:rsidR="00E46650" w:rsidRDefault="00E46650" w:rsidP="00E46650">
      <w:pPr>
        <w:pStyle w:val="USBullet1"/>
      </w:pPr>
      <w:r>
        <w:t>The friction cost approach (FCA)</w:t>
      </w:r>
    </w:p>
    <w:p w14:paraId="10D3622F" w14:textId="77777777" w:rsidR="00E46650" w:rsidRDefault="00E46650" w:rsidP="00E46650">
      <w:pPr>
        <w:pStyle w:val="USBodyText"/>
      </w:pPr>
      <w:r>
        <w:t>These are summarised below.</w:t>
      </w:r>
    </w:p>
    <w:p w14:paraId="186A5F25" w14:textId="6E6768DF" w:rsidR="00E46650" w:rsidRDefault="00E46650" w:rsidP="00E46650">
      <w:pPr>
        <w:pStyle w:val="Heading4"/>
        <w:rPr>
          <w:bCs/>
        </w:rPr>
      </w:pPr>
      <w:r w:rsidRPr="001D4C44">
        <w:rPr>
          <w:bCs/>
        </w:rPr>
        <w:t xml:space="preserve">Human </w:t>
      </w:r>
      <w:r w:rsidR="00F65298">
        <w:rPr>
          <w:bCs/>
        </w:rPr>
        <w:t>c</w:t>
      </w:r>
      <w:r w:rsidR="00F65298" w:rsidRPr="001D4C44">
        <w:rPr>
          <w:bCs/>
        </w:rPr>
        <w:t xml:space="preserve">apital </w:t>
      </w:r>
      <w:r w:rsidR="00F65298">
        <w:rPr>
          <w:bCs/>
        </w:rPr>
        <w:t>a</w:t>
      </w:r>
      <w:r w:rsidR="00F65298" w:rsidRPr="001D4C44">
        <w:rPr>
          <w:bCs/>
        </w:rPr>
        <w:t>pproach</w:t>
      </w:r>
      <w:r w:rsidR="00F65298">
        <w:rPr>
          <w:bCs/>
        </w:rPr>
        <w:t xml:space="preserve"> </w:t>
      </w:r>
    </w:p>
    <w:p w14:paraId="43D0DF84" w14:textId="102F310B" w:rsidR="00E46650" w:rsidRDefault="00E46650" w:rsidP="00E46650">
      <w:pPr>
        <w:pStyle w:val="USBodyText"/>
      </w:pPr>
      <w:r w:rsidRPr="00867580">
        <w:t xml:space="preserve">The traditional method for estimating productivity losses has been the </w:t>
      </w:r>
      <w:r>
        <w:t>HCA</w:t>
      </w:r>
      <w:r w:rsidRPr="00867580">
        <w:t xml:space="preserve">. This </w:t>
      </w:r>
      <w:r>
        <w:t xml:space="preserve">approach </w:t>
      </w:r>
      <w:r w:rsidRPr="00867580">
        <w:t xml:space="preserve">assumes that </w:t>
      </w:r>
      <w:r>
        <w:t>people</w:t>
      </w:r>
      <w:r w:rsidRPr="00867580">
        <w:t xml:space="preserve"> have the potential to produce a stream of </w:t>
      </w:r>
      <w:r>
        <w:t>outputs (production</w:t>
      </w:r>
      <w:r w:rsidRPr="00867580">
        <w:t>) over their working life</w:t>
      </w:r>
      <w:r>
        <w:t xml:space="preserve">. </w:t>
      </w:r>
      <w:r w:rsidRPr="00867580">
        <w:t xml:space="preserve">The human capital approach measures lost productivity as the amount of time by which </w:t>
      </w:r>
      <w:r>
        <w:t xml:space="preserve">that </w:t>
      </w:r>
      <w:r w:rsidRPr="00867580">
        <w:t>working life is reduced</w:t>
      </w:r>
      <w:r>
        <w:t xml:space="preserve"> (due to short term or </w:t>
      </w:r>
      <w:proofErr w:type="gramStart"/>
      <w:r>
        <w:t>long term</w:t>
      </w:r>
      <w:proofErr w:type="gramEnd"/>
      <w:r>
        <w:t xml:space="preserve"> causes)</w:t>
      </w:r>
      <w:r w:rsidRPr="00867580">
        <w:t xml:space="preserve">. </w:t>
      </w:r>
      <w:r>
        <w:t>W</w:t>
      </w:r>
      <w:r w:rsidRPr="00867580">
        <w:t>ork time lost is valued at the market wage</w:t>
      </w:r>
      <w:r w:rsidR="00307981">
        <w:t>,</w:t>
      </w:r>
      <w:r>
        <w:t xml:space="preserve"> which is assumed to </w:t>
      </w:r>
      <w:r w:rsidRPr="00867580">
        <w:t xml:space="preserve">reflect the value of </w:t>
      </w:r>
      <w:r>
        <w:t>people’s work</w:t>
      </w:r>
      <w:r w:rsidRPr="00867580">
        <w:t xml:space="preserve">. </w:t>
      </w:r>
      <w:r>
        <w:t>In estimating productivity loss for a population, adjustment is made to</w:t>
      </w:r>
      <w:r w:rsidRPr="00867580">
        <w:t xml:space="preserve"> account for labour force participation (the proportion of the population who wish to be employed) and unemployment (the proportion of </w:t>
      </w:r>
      <w:r>
        <w:t xml:space="preserve">the </w:t>
      </w:r>
      <w:r w:rsidRPr="00867580">
        <w:t xml:space="preserve">labour force </w:t>
      </w:r>
      <w:r>
        <w:t>that is</w:t>
      </w:r>
      <w:r w:rsidRPr="00867580">
        <w:t xml:space="preserve"> unemployed). </w:t>
      </w:r>
      <w:r>
        <w:t xml:space="preserve">This approach is commonly used in contexts where a wide range of occupations and industries are involved because all that is needed is </w:t>
      </w:r>
      <w:r w:rsidRPr="00867580">
        <w:t xml:space="preserve">the </w:t>
      </w:r>
      <w:r>
        <w:t xml:space="preserve">length of </w:t>
      </w:r>
      <w:r w:rsidRPr="00867580">
        <w:t xml:space="preserve">time </w:t>
      </w:r>
      <w:r>
        <w:t>over which output is reduced</w:t>
      </w:r>
      <w:r w:rsidRPr="00867580">
        <w:t xml:space="preserve">, the market wage, the labour force participation rate and </w:t>
      </w:r>
      <w:r w:rsidR="00E71DFD">
        <w:t xml:space="preserve">the </w:t>
      </w:r>
      <w:r w:rsidRPr="00867580">
        <w:t>unemployment rate.</w:t>
      </w:r>
      <w:r>
        <w:t xml:space="preserve"> </w:t>
      </w:r>
    </w:p>
    <w:p w14:paraId="3F1B92F6" w14:textId="7D793A8D" w:rsidR="00E46650" w:rsidRDefault="00E46650" w:rsidP="00E46650">
      <w:pPr>
        <w:pStyle w:val="USBodyText"/>
      </w:pPr>
      <w:r>
        <w:t>In practice, t</w:t>
      </w:r>
      <w:r w:rsidRPr="00D8069E">
        <w:t xml:space="preserve">he </w:t>
      </w:r>
      <w:r>
        <w:t>HCA</w:t>
      </w:r>
      <w:r w:rsidRPr="00D8069E">
        <w:t xml:space="preserve"> </w:t>
      </w:r>
      <w:r>
        <w:t xml:space="preserve">often </w:t>
      </w:r>
      <w:r w:rsidRPr="00D8069E">
        <w:t>measures ‘potential’ lost productivity rather than the actual loss incurred by society</w:t>
      </w:r>
      <w:r>
        <w:t xml:space="preserve"> due to the application of average labour market outcomes to specific groups where this assumption may not be realistic. </w:t>
      </w:r>
    </w:p>
    <w:p w14:paraId="1FE1B033" w14:textId="77777777" w:rsidR="00E46650" w:rsidRDefault="00E46650" w:rsidP="00E46650">
      <w:pPr>
        <w:pStyle w:val="USBodyText"/>
      </w:pPr>
      <w:r>
        <w:t>Other concerns related to the HCA approach are that absence from work or an event that reduces the output of a worker may not actually result in a reduction in overall output, implying no loss to society. This can occur if:</w:t>
      </w:r>
    </w:p>
    <w:p w14:paraId="30315D49" w14:textId="2EC81EF9" w:rsidR="00E46650" w:rsidRDefault="00E46650" w:rsidP="00E46650">
      <w:pPr>
        <w:pStyle w:val="USBullet1"/>
      </w:pPr>
      <w:r>
        <w:t>workers do not always work at maximum productivity, resulting in an ability at the individual or firm level to compensate for periods of lower than usual productivity (</w:t>
      </w:r>
      <w:proofErr w:type="gramStart"/>
      <w:r>
        <w:t>e.g.</w:t>
      </w:r>
      <w:proofErr w:type="gramEnd"/>
      <w:r>
        <w:t xml:space="preserve"> workers who are absent or less productive on some days increase their productivity on other days or co-workers take on the additional work, increasing their productivity)</w:t>
      </w:r>
    </w:p>
    <w:p w14:paraId="70D47B4E" w14:textId="77777777" w:rsidR="00E46650" w:rsidRDefault="00E46650" w:rsidP="00E46650">
      <w:pPr>
        <w:pStyle w:val="USBullet1"/>
      </w:pPr>
      <w:r>
        <w:t>there is unused available labour in the labour market, allowing employers to substitute for workers who are absent for longer periods of time or permanently, resulting in no lost production or at least significantly reduced lost production.</w:t>
      </w:r>
      <w:r w:rsidDel="00BA0121">
        <w:t xml:space="preserve"> </w:t>
      </w:r>
    </w:p>
    <w:p w14:paraId="228B4B9C" w14:textId="7F45B127" w:rsidR="00E46650" w:rsidRDefault="00E46650" w:rsidP="00E46650">
      <w:pPr>
        <w:pStyle w:val="Heading4"/>
      </w:pPr>
      <w:r w:rsidRPr="001D4C44">
        <w:t xml:space="preserve">Friction </w:t>
      </w:r>
      <w:r w:rsidR="00E71DFD">
        <w:t>c</w:t>
      </w:r>
      <w:r w:rsidRPr="001D4C44">
        <w:t xml:space="preserve">ost </w:t>
      </w:r>
      <w:r w:rsidR="00E71DFD">
        <w:t>a</w:t>
      </w:r>
      <w:r w:rsidRPr="001D4C44">
        <w:t>pproach</w:t>
      </w:r>
      <w:r>
        <w:t xml:space="preserve"> </w:t>
      </w:r>
    </w:p>
    <w:p w14:paraId="54E06548" w14:textId="0E2D20A7" w:rsidR="00E46650" w:rsidRDefault="00E46650" w:rsidP="00E46650">
      <w:pPr>
        <w:pStyle w:val="USBodyText"/>
      </w:pPr>
      <w:r w:rsidRPr="00B9481F">
        <w:t xml:space="preserve">The </w:t>
      </w:r>
      <w:r>
        <w:t>FCA</w:t>
      </w:r>
      <w:r w:rsidRPr="00B9481F">
        <w:t xml:space="preserve"> was developed in response to the </w:t>
      </w:r>
      <w:r>
        <w:t>shortcomings</w:t>
      </w:r>
      <w:r w:rsidRPr="00B9481F">
        <w:t xml:space="preserve"> of the </w:t>
      </w:r>
      <w:r>
        <w:t>HCA</w:t>
      </w:r>
      <w:r w:rsidRPr="00B9481F">
        <w:t xml:space="preserve">. </w:t>
      </w:r>
      <w:r w:rsidRPr="001D4C44">
        <w:t xml:space="preserve">The </w:t>
      </w:r>
      <w:r>
        <w:t>FCA</w:t>
      </w:r>
      <w:r w:rsidRPr="001D4C44">
        <w:t xml:space="preserve"> is a method that focuses on the short-term impact of productivity losses</w:t>
      </w:r>
      <w:r>
        <w:t xml:space="preserve"> on the assumption that employers will seek to restore production by </w:t>
      </w:r>
      <w:r w:rsidRPr="001D4C44">
        <w:t>replac</w:t>
      </w:r>
      <w:r>
        <w:t>ing</w:t>
      </w:r>
      <w:r w:rsidRPr="001D4C44">
        <w:t xml:space="preserve"> absent worker</w:t>
      </w:r>
      <w:r>
        <w:t>s</w:t>
      </w:r>
      <w:r w:rsidRPr="001D4C44">
        <w:t xml:space="preserve">. </w:t>
      </w:r>
      <w:r>
        <w:t>T</w:t>
      </w:r>
      <w:r w:rsidRPr="001D4C44">
        <w:t xml:space="preserve">his approach considers </w:t>
      </w:r>
      <w:r>
        <w:t xml:space="preserve">that productivity loss only exists in the </w:t>
      </w:r>
      <w:r w:rsidR="00E71DFD">
        <w:t>‘</w:t>
      </w:r>
      <w:r w:rsidRPr="001D4C44">
        <w:t>friction period</w:t>
      </w:r>
      <w:r w:rsidR="00E71DFD">
        <w:t xml:space="preserve">’ </w:t>
      </w:r>
      <w:r>
        <w:t>– the period of time</w:t>
      </w:r>
      <w:r w:rsidRPr="001D4C44">
        <w:t xml:space="preserve"> until the </w:t>
      </w:r>
      <w:r>
        <w:t>level of production</w:t>
      </w:r>
      <w:r w:rsidRPr="001D4C44">
        <w:t xml:space="preserve"> returns to normal.</w:t>
      </w:r>
      <w:r>
        <w:t xml:space="preserve"> The FCA </w:t>
      </w:r>
      <w:proofErr w:type="gramStart"/>
      <w:r>
        <w:t>is based on the assumption</w:t>
      </w:r>
      <w:proofErr w:type="gramEnd"/>
      <w:r>
        <w:t xml:space="preserve"> that it is generally possible to restore production, so productivity loss is temporary.</w:t>
      </w:r>
    </w:p>
    <w:p w14:paraId="3F9A4B2E" w14:textId="744A5F03" w:rsidR="00E46650" w:rsidRPr="001D4C44" w:rsidRDefault="00E46650" w:rsidP="00E46650">
      <w:pPr>
        <w:pStyle w:val="USBodyText"/>
      </w:pPr>
      <w:r>
        <w:t xml:space="preserve">As with the HCA, the FCA values losses using </w:t>
      </w:r>
      <w:r w:rsidRPr="008739CC">
        <w:t>the market wage</w:t>
      </w:r>
      <w:r>
        <w:t xml:space="preserve"> over the </w:t>
      </w:r>
      <w:r w:rsidRPr="008739CC">
        <w:t>length of the friction period</w:t>
      </w:r>
      <w:r>
        <w:t>. The friction period is a function of the l</w:t>
      </w:r>
      <w:r w:rsidRPr="008739CC">
        <w:t>evel of unemployment</w:t>
      </w:r>
      <w:r w:rsidR="00E71DFD">
        <w:t>,</w:t>
      </w:r>
      <w:r w:rsidRPr="008739CC">
        <w:t xml:space="preserve"> </w:t>
      </w:r>
      <w:r>
        <w:t>which influences how easily employers can find</w:t>
      </w:r>
      <w:r w:rsidRPr="008739CC">
        <w:t xml:space="preserve"> replacement worker</w:t>
      </w:r>
      <w:r>
        <w:t xml:space="preserve">s and the </w:t>
      </w:r>
      <w:r w:rsidRPr="008739CC">
        <w:t xml:space="preserve">efficiency of </w:t>
      </w:r>
      <w:r>
        <w:t xml:space="preserve">the recruitment </w:t>
      </w:r>
      <w:r>
        <w:lastRenderedPageBreak/>
        <w:t>and replacement process</w:t>
      </w:r>
      <w:r w:rsidRPr="008739CC">
        <w:t>.</w:t>
      </w:r>
      <w:r>
        <w:t xml:space="preserve"> Th</w:t>
      </w:r>
      <w:r w:rsidRPr="008739CC">
        <w:t xml:space="preserve">ese factors vary by industry, </w:t>
      </w:r>
      <w:r>
        <w:t>occupation</w:t>
      </w:r>
      <w:r w:rsidRPr="008739CC">
        <w:t xml:space="preserve"> and over time</w:t>
      </w:r>
      <w:r>
        <w:t xml:space="preserve">, making the </w:t>
      </w:r>
      <w:r w:rsidRPr="008739CC">
        <w:t xml:space="preserve">friction period </w:t>
      </w:r>
      <w:r>
        <w:t>a</w:t>
      </w:r>
      <w:r w:rsidRPr="008739CC">
        <w:t xml:space="preserve"> context</w:t>
      </w:r>
      <w:r>
        <w:t xml:space="preserve"> and time</w:t>
      </w:r>
      <w:r w:rsidRPr="008739CC">
        <w:t>-specific</w:t>
      </w:r>
      <w:r>
        <w:t xml:space="preserve"> variable, the estimation of which is not often feasible</w:t>
      </w:r>
      <w:r w:rsidRPr="008739CC">
        <w:t>.</w:t>
      </w:r>
      <w:r>
        <w:t xml:space="preserve"> When the FCA is applied in economy-wide studies (as opposed to industry-specific studies), blunt rules of thumb, such as a standard 3-month friction period, are sometimes used</w:t>
      </w:r>
      <w:r w:rsidR="00E71DFD">
        <w:t>,</w:t>
      </w:r>
      <w:r>
        <w:t xml:space="preserve"> which is inconsistent with the intention of the FCA method to capture actual lost production.</w:t>
      </w:r>
    </w:p>
    <w:p w14:paraId="2AE17930" w14:textId="77777777" w:rsidR="00472945" w:rsidRDefault="00472945" w:rsidP="00472945">
      <w:pPr>
        <w:pStyle w:val="USBodyText"/>
      </w:pPr>
    </w:p>
    <w:p w14:paraId="514D8D43" w14:textId="77777777" w:rsidR="00472945" w:rsidRDefault="00472945" w:rsidP="00472945">
      <w:pPr>
        <w:pStyle w:val="USBodyText"/>
      </w:pPr>
    </w:p>
    <w:p w14:paraId="20CF0FAE" w14:textId="77777777" w:rsidR="00472945" w:rsidRDefault="00472945" w:rsidP="00472945">
      <w:pPr>
        <w:pStyle w:val="USBodyText"/>
      </w:pPr>
    </w:p>
    <w:p w14:paraId="0E4943F4" w14:textId="77777777" w:rsidR="00472945" w:rsidRDefault="00472945" w:rsidP="00472945">
      <w:pPr>
        <w:pStyle w:val="USBodyText"/>
      </w:pPr>
    </w:p>
    <w:p w14:paraId="1830D262" w14:textId="77777777" w:rsidR="00472945" w:rsidRDefault="00472945" w:rsidP="00472945">
      <w:pPr>
        <w:pStyle w:val="USBodyText"/>
      </w:pPr>
    </w:p>
    <w:p w14:paraId="3C41A7DE" w14:textId="3DD1D3D4" w:rsidR="00472945" w:rsidRDefault="00472945">
      <w:pPr>
        <w:spacing w:after="160" w:line="259" w:lineRule="auto"/>
      </w:pPr>
      <w:r>
        <w:br w:type="page"/>
      </w:r>
    </w:p>
    <w:p w14:paraId="7FFF4C96" w14:textId="77777777" w:rsidR="00673D9F" w:rsidRDefault="00673D9F" w:rsidP="00673D9F">
      <w:pPr>
        <w:pStyle w:val="ApxHeading1"/>
      </w:pPr>
      <w:bookmarkStart w:id="257" w:name="_Toc160633885"/>
      <w:r w:rsidRPr="00673D9F">
        <w:lastRenderedPageBreak/>
        <w:t>Health-adjusted life years</w:t>
      </w:r>
      <w:bookmarkEnd w:id="257"/>
    </w:p>
    <w:p w14:paraId="2EAD8D4C" w14:textId="77777777" w:rsidR="003401F8" w:rsidRDefault="0032315E" w:rsidP="003856C4">
      <w:pPr>
        <w:pStyle w:val="USBodyText"/>
      </w:pPr>
      <w:r>
        <w:t xml:space="preserve">This appendix contains </w:t>
      </w:r>
      <w:r w:rsidR="003401F8">
        <w:t xml:space="preserve">some background on </w:t>
      </w:r>
      <w:r w:rsidR="003401F8" w:rsidRPr="003401F8">
        <w:t>Health-Adjusted Life Years (HALYs)</w:t>
      </w:r>
      <w:r w:rsidR="003401F8">
        <w:t xml:space="preserve">, including DALYs and QALYs, and the valuation of such measures. </w:t>
      </w:r>
    </w:p>
    <w:p w14:paraId="6E4074D2" w14:textId="4BF7A388" w:rsidR="003401F8" w:rsidRDefault="003401F8" w:rsidP="003401F8">
      <w:pPr>
        <w:pStyle w:val="Heading4"/>
      </w:pPr>
      <w:r>
        <w:t>Health-adjusted life years</w:t>
      </w:r>
    </w:p>
    <w:p w14:paraId="704330EF" w14:textId="1961690A" w:rsidR="003856C4" w:rsidRDefault="003856C4" w:rsidP="003856C4">
      <w:pPr>
        <w:pStyle w:val="USBodyText"/>
      </w:pPr>
      <w:r>
        <w:t xml:space="preserve">The following </w:t>
      </w:r>
      <w:r w:rsidR="00255DFF">
        <w:t xml:space="preserve">text </w:t>
      </w:r>
      <w:r>
        <w:t>is an excerpt from the National Collaborating Centre for Infectious Diseases</w:t>
      </w:r>
      <w:r w:rsidR="00D31EC0">
        <w:t xml:space="preserve"> (Canada)</w:t>
      </w:r>
      <w:r>
        <w:t>:</w:t>
      </w:r>
    </w:p>
    <w:p w14:paraId="5CB92DB2" w14:textId="77777777" w:rsidR="003856C4" w:rsidRPr="004053F9" w:rsidRDefault="003856C4" w:rsidP="003856C4">
      <w:pPr>
        <w:pStyle w:val="USBodyText"/>
        <w:rPr>
          <w:i/>
          <w:iCs/>
        </w:rPr>
      </w:pPr>
      <w:r w:rsidRPr="004053F9">
        <w:rPr>
          <w:i/>
          <w:iCs/>
        </w:rPr>
        <w:t>The ability to consistently describe the relative importance of diseases is important for public health decision-making and planning. Summary measures of the burden of disease in a population are popular and widely used, as they can simplify complex information about diseases, including risk factors, and the likelihood of resulting disability or other harm (morbidity), or death (mortality).</w:t>
      </w:r>
    </w:p>
    <w:p w14:paraId="471ADCA8" w14:textId="3E1BB94B" w:rsidR="003856C4" w:rsidRPr="004053F9" w:rsidRDefault="003856C4" w:rsidP="003856C4">
      <w:pPr>
        <w:pStyle w:val="USBodyText"/>
        <w:rPr>
          <w:i/>
          <w:iCs/>
        </w:rPr>
      </w:pPr>
      <w:r w:rsidRPr="004053F9">
        <w:rPr>
          <w:i/>
          <w:iCs/>
        </w:rPr>
        <w:t>Health-</w:t>
      </w:r>
      <w:r w:rsidR="00FD657F" w:rsidRPr="004053F9">
        <w:rPr>
          <w:i/>
          <w:iCs/>
        </w:rPr>
        <w:t>a</w:t>
      </w:r>
      <w:r w:rsidRPr="004053F9">
        <w:rPr>
          <w:i/>
          <w:iCs/>
        </w:rPr>
        <w:t xml:space="preserve">djusted </w:t>
      </w:r>
      <w:r w:rsidR="00FD657F" w:rsidRPr="004053F9">
        <w:rPr>
          <w:i/>
          <w:iCs/>
        </w:rPr>
        <w:t>l</w:t>
      </w:r>
      <w:r w:rsidRPr="004053F9">
        <w:rPr>
          <w:i/>
          <w:iCs/>
        </w:rPr>
        <w:t xml:space="preserve">ife </w:t>
      </w:r>
      <w:r w:rsidR="00FD657F" w:rsidRPr="004053F9">
        <w:rPr>
          <w:i/>
          <w:iCs/>
        </w:rPr>
        <w:t>y</w:t>
      </w:r>
      <w:r w:rsidRPr="004053F9">
        <w:rPr>
          <w:i/>
          <w:iCs/>
        </w:rPr>
        <w:t xml:space="preserve">ears (HALYs) are the population health summary measures typically used in estimates of the burden of disease. They measure the combined effects of mortality and morbidity in populations, allowing for comparisons across illnesses or interventions as well as between populations. Two common approaches to measuring HALYs are </w:t>
      </w:r>
      <w:r w:rsidR="00FD657F" w:rsidRPr="004053F9">
        <w:rPr>
          <w:i/>
          <w:iCs/>
        </w:rPr>
        <w:t>d</w:t>
      </w:r>
      <w:r w:rsidRPr="004053F9">
        <w:rPr>
          <w:i/>
          <w:iCs/>
        </w:rPr>
        <w:t>isability-</w:t>
      </w:r>
      <w:r w:rsidR="00FD657F" w:rsidRPr="004053F9">
        <w:rPr>
          <w:i/>
          <w:iCs/>
        </w:rPr>
        <w:t>a</w:t>
      </w:r>
      <w:r w:rsidRPr="004053F9">
        <w:rPr>
          <w:i/>
          <w:iCs/>
        </w:rPr>
        <w:t xml:space="preserve">djusted </w:t>
      </w:r>
      <w:r w:rsidR="00FD657F" w:rsidRPr="004053F9">
        <w:rPr>
          <w:i/>
          <w:iCs/>
        </w:rPr>
        <w:t>l</w:t>
      </w:r>
      <w:r w:rsidRPr="004053F9">
        <w:rPr>
          <w:i/>
          <w:iCs/>
        </w:rPr>
        <w:t xml:space="preserve">ife </w:t>
      </w:r>
      <w:r w:rsidR="00FD657F" w:rsidRPr="004053F9">
        <w:rPr>
          <w:i/>
          <w:iCs/>
        </w:rPr>
        <w:t>y</w:t>
      </w:r>
      <w:r w:rsidRPr="004053F9">
        <w:rPr>
          <w:i/>
          <w:iCs/>
        </w:rPr>
        <w:t xml:space="preserve">ears (DALYs) and </w:t>
      </w:r>
      <w:r w:rsidR="00FD657F" w:rsidRPr="004053F9">
        <w:rPr>
          <w:i/>
          <w:iCs/>
        </w:rPr>
        <w:t>q</w:t>
      </w:r>
      <w:r w:rsidRPr="004053F9">
        <w:rPr>
          <w:i/>
          <w:iCs/>
        </w:rPr>
        <w:t>uality-</w:t>
      </w:r>
      <w:r w:rsidR="00FD657F" w:rsidRPr="004053F9">
        <w:rPr>
          <w:i/>
          <w:iCs/>
        </w:rPr>
        <w:t>a</w:t>
      </w:r>
      <w:r w:rsidRPr="004053F9">
        <w:rPr>
          <w:i/>
          <w:iCs/>
        </w:rPr>
        <w:t xml:space="preserve">djusted </w:t>
      </w:r>
      <w:r w:rsidR="00FD657F" w:rsidRPr="004053F9">
        <w:rPr>
          <w:i/>
          <w:iCs/>
        </w:rPr>
        <w:t>l</w:t>
      </w:r>
      <w:r w:rsidRPr="004053F9">
        <w:rPr>
          <w:i/>
          <w:iCs/>
        </w:rPr>
        <w:t xml:space="preserve">ife </w:t>
      </w:r>
      <w:r w:rsidR="00FD657F" w:rsidRPr="004053F9">
        <w:rPr>
          <w:i/>
          <w:iCs/>
        </w:rPr>
        <w:t>y</w:t>
      </w:r>
      <w:r w:rsidRPr="004053F9">
        <w:rPr>
          <w:i/>
          <w:iCs/>
        </w:rPr>
        <w:t>ears (QALYs).</w:t>
      </w:r>
    </w:p>
    <w:p w14:paraId="6C8FEE72" w14:textId="71BAC4E7" w:rsidR="003856C4" w:rsidRPr="004053F9" w:rsidRDefault="003856C4" w:rsidP="003856C4">
      <w:pPr>
        <w:pStyle w:val="USBodyText"/>
        <w:rPr>
          <w:i/>
          <w:iCs/>
        </w:rPr>
      </w:pPr>
      <w:r w:rsidRPr="004053F9">
        <w:rPr>
          <w:i/>
          <w:iCs/>
        </w:rPr>
        <w:t>Both DALYs and QALYs are based on the latest available epidemiological data. The data must be assessed for completeness and diagnostic accuracy and can be drawn from a variety of sources, such as vital statistics, reportable disease registries, healthcare administration databases, censuses, national and local surveillance data, autopsies, hospital records, surveys (</w:t>
      </w:r>
      <w:proofErr w:type="gramStart"/>
      <w:r w:rsidRPr="004053F9">
        <w:rPr>
          <w:i/>
          <w:iCs/>
        </w:rPr>
        <w:t>e.g.</w:t>
      </w:r>
      <w:proofErr w:type="gramEnd"/>
      <w:r w:rsidRPr="004053F9">
        <w:rPr>
          <w:i/>
          <w:iCs/>
        </w:rPr>
        <w:t xml:space="preserve"> road safety, institutional, household or health surveys), </w:t>
      </w:r>
      <w:r w:rsidR="006A0BB2">
        <w:rPr>
          <w:i/>
          <w:iCs/>
        </w:rPr>
        <w:t>p</w:t>
      </w:r>
      <w:r w:rsidRPr="004053F9">
        <w:rPr>
          <w:i/>
          <w:iCs/>
        </w:rPr>
        <w:t>olice records, death certificates and mortuary records. Ideally, all the data should be valid, timely, locally derived, and disaggregated by age and sex. It is important to note that health conditions are often under-reported or underdiagnosed.</w:t>
      </w:r>
    </w:p>
    <w:p w14:paraId="68BB8E50" w14:textId="77777777" w:rsidR="003856C4" w:rsidRPr="004053F9" w:rsidRDefault="003856C4" w:rsidP="003856C4">
      <w:pPr>
        <w:pStyle w:val="USBodyText"/>
        <w:rPr>
          <w:i/>
          <w:iCs/>
        </w:rPr>
      </w:pPr>
      <w:r w:rsidRPr="004053F9">
        <w:rPr>
          <w:i/>
          <w:iCs/>
        </w:rPr>
        <w:t>Regardless of whether DALYs, QALYs or some other calculations of HALYs are measured, there are three steps involved:</w:t>
      </w:r>
    </w:p>
    <w:p w14:paraId="7E4F797C" w14:textId="0BC2F256" w:rsidR="003856C4" w:rsidRPr="004053F9" w:rsidRDefault="003856C4" w:rsidP="0052036F">
      <w:pPr>
        <w:pStyle w:val="USNumber1"/>
        <w:rPr>
          <w:i/>
          <w:iCs/>
        </w:rPr>
      </w:pPr>
      <w:r w:rsidRPr="004053F9">
        <w:rPr>
          <w:i/>
          <w:iCs/>
        </w:rPr>
        <w:t>The health state or disease conditions associated with a pathogen or disease analysed are defined and described (morbidity)</w:t>
      </w:r>
    </w:p>
    <w:p w14:paraId="49F495DD" w14:textId="3BFE9DF2" w:rsidR="003856C4" w:rsidRPr="004053F9" w:rsidRDefault="003856C4" w:rsidP="0052036F">
      <w:pPr>
        <w:pStyle w:val="USNumber1"/>
        <w:rPr>
          <w:i/>
          <w:iCs/>
        </w:rPr>
      </w:pPr>
      <w:r w:rsidRPr="004053F9">
        <w:rPr>
          <w:i/>
          <w:iCs/>
        </w:rPr>
        <w:t>Each health state described in step 1 is given a weighted value, often called a Health-Related Quality of Life (HRQL) value; and</w:t>
      </w:r>
    </w:p>
    <w:p w14:paraId="47261707" w14:textId="0D45D9C5" w:rsidR="003856C4" w:rsidRPr="004053F9" w:rsidRDefault="003856C4" w:rsidP="0052036F">
      <w:pPr>
        <w:pStyle w:val="USNumber1"/>
        <w:rPr>
          <w:i/>
          <w:iCs/>
        </w:rPr>
      </w:pPr>
      <w:r w:rsidRPr="004053F9">
        <w:rPr>
          <w:i/>
          <w:iCs/>
        </w:rPr>
        <w:t>The value of each health state is combined with estimates of life expectancy (mortality).</w:t>
      </w:r>
    </w:p>
    <w:p w14:paraId="1B4E35EC" w14:textId="205D7C63" w:rsidR="003856C4" w:rsidRPr="0093561C" w:rsidRDefault="003856C4" w:rsidP="003856C4">
      <w:pPr>
        <w:pStyle w:val="USBodyText"/>
        <w:rPr>
          <w:i/>
          <w:iCs/>
        </w:rPr>
      </w:pPr>
      <w:r w:rsidRPr="0093561C">
        <w:rPr>
          <w:i/>
          <w:iCs/>
        </w:rPr>
        <w:t xml:space="preserve">DALYs are currently the most common methods used for estimating burden of disease. For example, they were used in the 2012 international reports on the Global Burden of Disease (GBD 2010). DALYs measure the difference between the current state of population health and an ideal </w:t>
      </w:r>
      <w:proofErr w:type="gramStart"/>
      <w:r w:rsidRPr="0093561C">
        <w:rPr>
          <w:i/>
          <w:iCs/>
        </w:rPr>
        <w:t>situation;</w:t>
      </w:r>
      <w:proofErr w:type="gramEnd"/>
      <w:r w:rsidRPr="0093561C">
        <w:rPr>
          <w:i/>
          <w:iCs/>
        </w:rPr>
        <w:t xml:space="preserve"> i.e., where everyone reaches the age of standard life expectancy in perfect health. DALYs </w:t>
      </w:r>
      <w:proofErr w:type="gramStart"/>
      <w:r w:rsidRPr="0093561C">
        <w:rPr>
          <w:i/>
          <w:iCs/>
        </w:rPr>
        <w:t>are based on an assumption</w:t>
      </w:r>
      <w:proofErr w:type="gramEnd"/>
      <w:r w:rsidRPr="0093561C">
        <w:rPr>
          <w:i/>
          <w:iCs/>
        </w:rPr>
        <w:t xml:space="preserve"> that “time” is the most appropriate measure for the burden of disease: the greater the time lived with a disability, or with the disabling results of an illness, or lost due to premature mortality, the greater the burden of disease is considered to be.</w:t>
      </w:r>
    </w:p>
    <w:p w14:paraId="22775210" w14:textId="07D906B8" w:rsidR="003856C4" w:rsidRPr="0093561C" w:rsidRDefault="003856C4" w:rsidP="003856C4">
      <w:pPr>
        <w:pStyle w:val="USBodyText"/>
        <w:rPr>
          <w:i/>
          <w:iCs/>
        </w:rPr>
      </w:pPr>
      <w:r w:rsidRPr="0093561C">
        <w:rPr>
          <w:i/>
          <w:iCs/>
        </w:rPr>
        <w:lastRenderedPageBreak/>
        <w:t>DALYs measure the total length of time that a specific illness is disabling to an individual over the course of his or her life. When applied to a population, they are the measure of the total disability incurred due to a specific disease.</w:t>
      </w:r>
    </w:p>
    <w:p w14:paraId="5693F38C" w14:textId="2A91A6AE" w:rsidR="003856C4" w:rsidRPr="0093561C" w:rsidRDefault="003856C4" w:rsidP="003856C4">
      <w:pPr>
        <w:pStyle w:val="USBodyText"/>
        <w:rPr>
          <w:i/>
          <w:iCs/>
        </w:rPr>
      </w:pPr>
      <w:r w:rsidRPr="0093561C">
        <w:rPr>
          <w:i/>
          <w:iCs/>
        </w:rPr>
        <w:t>QALYs, as the name implies, measure both the quantity and the quality of life lived. They are typically used to analyse the cost-effectiveness of clinical (or public health) interventions and for social welfare improvement</w:t>
      </w:r>
      <w:r w:rsidR="00042720">
        <w:rPr>
          <w:i/>
          <w:iCs/>
        </w:rPr>
        <w:t xml:space="preserve">. </w:t>
      </w:r>
      <w:r w:rsidRPr="0093561C">
        <w:rPr>
          <w:i/>
          <w:iCs/>
        </w:rPr>
        <w:t xml:space="preserve"> For example, QALYs can compare an intervention that helps prolong life but has serious side effects (such as permanent disability caused by radiation or chemotherapy for cancer) with an intervention that improves the quality of life without prolonging it (such as palliative pain management).</w:t>
      </w:r>
    </w:p>
    <w:p w14:paraId="04F3237F" w14:textId="30B43D39" w:rsidR="003856C4" w:rsidRPr="0093561C" w:rsidRDefault="003856C4" w:rsidP="003856C4">
      <w:pPr>
        <w:pStyle w:val="USBodyText"/>
        <w:rPr>
          <w:i/>
          <w:iCs/>
        </w:rPr>
      </w:pPr>
      <w:r w:rsidRPr="0093561C">
        <w:rPr>
          <w:i/>
          <w:iCs/>
        </w:rPr>
        <w:t>The HRQL in QALYs is not linked to any particular disease. It is based on values assigned by individuals about their own health state (known as patient-based weights) or on the values assigned by others about a particular health state (community-based weights)</w:t>
      </w:r>
      <w:r w:rsidR="00042720">
        <w:rPr>
          <w:i/>
          <w:iCs/>
        </w:rPr>
        <w:t>.</w:t>
      </w:r>
      <w:r w:rsidRPr="0093561C">
        <w:rPr>
          <w:i/>
          <w:iCs/>
        </w:rPr>
        <w:t xml:space="preserve"> Respondents are asked to assign a numerical value to what they would be willing to sacrifice in order to return from poor to perfect health, where a year of perfect health is given a value of 1 and death is considered to be 0. If the year is not spent in perfect health (</w:t>
      </w:r>
      <w:proofErr w:type="gramStart"/>
      <w:r w:rsidRPr="0093561C">
        <w:rPr>
          <w:i/>
          <w:iCs/>
        </w:rPr>
        <w:t>e.g.</w:t>
      </w:r>
      <w:proofErr w:type="gramEnd"/>
      <w:r w:rsidRPr="0093561C">
        <w:rPr>
          <w:i/>
          <w:iCs/>
        </w:rPr>
        <w:t xml:space="preserve"> living with chronic pain), the value is between 1 and 0.</w:t>
      </w:r>
    </w:p>
    <w:p w14:paraId="7EA5663F" w14:textId="77777777" w:rsidR="003856C4" w:rsidRPr="0093561C" w:rsidRDefault="003856C4" w:rsidP="003856C4">
      <w:pPr>
        <w:pStyle w:val="USBodyText"/>
        <w:rPr>
          <w:i/>
          <w:iCs/>
        </w:rPr>
      </w:pPr>
      <w:r w:rsidRPr="0093561C">
        <w:rPr>
          <w:i/>
          <w:iCs/>
        </w:rPr>
        <w:t xml:space="preserve">This score </w:t>
      </w:r>
      <w:proofErr w:type="gramStart"/>
      <w:r w:rsidRPr="0093561C">
        <w:rPr>
          <w:i/>
          <w:iCs/>
        </w:rPr>
        <w:t>takes into account</w:t>
      </w:r>
      <w:proofErr w:type="gramEnd"/>
      <w:r w:rsidRPr="0093561C">
        <w:rPr>
          <w:i/>
          <w:iCs/>
        </w:rPr>
        <w:t xml:space="preserve"> five dimensions: a) mobility, b) pain or discomfort, c) self-care, d) anxiety-depression, and e) usual activities.</w:t>
      </w:r>
    </w:p>
    <w:p w14:paraId="4717175C" w14:textId="2A50780C" w:rsidR="00673D9F" w:rsidRPr="0093561C" w:rsidRDefault="003856C4" w:rsidP="003856C4">
      <w:pPr>
        <w:pStyle w:val="USBodyText"/>
        <w:rPr>
          <w:i/>
          <w:iCs/>
        </w:rPr>
      </w:pPr>
      <w:r w:rsidRPr="0093561C">
        <w:rPr>
          <w:i/>
          <w:iCs/>
        </w:rPr>
        <w:t xml:space="preserve">This means that QALY estimates are able to integrate </w:t>
      </w:r>
      <w:proofErr w:type="gramStart"/>
      <w:r w:rsidRPr="0093561C">
        <w:rPr>
          <w:i/>
          <w:iCs/>
        </w:rPr>
        <w:t>psycho-social</w:t>
      </w:r>
      <w:proofErr w:type="gramEnd"/>
      <w:r w:rsidRPr="0093561C">
        <w:rPr>
          <w:i/>
          <w:iCs/>
        </w:rPr>
        <w:t xml:space="preserve"> as well as biomedical aspects of the burden of a disease.</w:t>
      </w:r>
    </w:p>
    <w:p w14:paraId="5F61DF42" w14:textId="7B906266" w:rsidR="00673D9F" w:rsidRDefault="00CC7035" w:rsidP="003401F8">
      <w:pPr>
        <w:pStyle w:val="Heading4"/>
      </w:pPr>
      <w:r>
        <w:t xml:space="preserve">Valuation of </w:t>
      </w:r>
      <w:r w:rsidR="003401F8">
        <w:t>health-adjusted life years</w:t>
      </w:r>
      <w:r w:rsidR="0032315E">
        <w:t xml:space="preserve"> </w:t>
      </w:r>
    </w:p>
    <w:p w14:paraId="3A16D6C0" w14:textId="2680C3AD" w:rsidR="00CC7035" w:rsidRDefault="0032315E" w:rsidP="00CC7035">
      <w:pPr>
        <w:pStyle w:val="USBodyText"/>
      </w:pPr>
      <w:r w:rsidRPr="0032315E">
        <w:t>There is no single right way of placing a monetary value on any of the measures of health outcomes</w:t>
      </w:r>
      <w:r>
        <w:t xml:space="preserve"> </w:t>
      </w:r>
      <w:r w:rsidR="00CC7035">
        <w:t xml:space="preserve">measured as QALYs or DALYs. Although there is no consensus on the approach to monetising these measures, some jurisdictions use threshold values to approximate society’s willingness to pay to achieve improvements in health outcomes through health sector interventions. For example, in the UK, the National Institute of Health Care Excellence (NICE) uses a threshold range of </w:t>
      </w:r>
      <w:r w:rsidR="00CC7035" w:rsidRPr="00A111E5">
        <w:t xml:space="preserve">£20,000 </w:t>
      </w:r>
      <w:r w:rsidR="00CC7035">
        <w:t>to</w:t>
      </w:r>
      <w:r w:rsidR="00CC7035" w:rsidRPr="00A111E5">
        <w:t xml:space="preserve"> £30,000 per QALY gained</w:t>
      </w:r>
      <w:r w:rsidR="00CC7035">
        <w:t xml:space="preserve">. In the United States, a threshold of US$50,000 to US$100,000 (approximately NZ$75,000 to NZ$150,000 in 2022) is frequently and currently referenced, despite these values having been first put forward in 1982 </w:t>
      </w:r>
      <w:r w:rsidR="00CC7035" w:rsidRPr="002D608F">
        <w:fldChar w:fldCharType="begin"/>
      </w:r>
      <w:r w:rsidR="00F244F6">
        <w:instrText xml:space="preserve"> ADDIN ZOTERO_ITEM CSL_CITATION {"citationID":"EdkYmE3A","properties":{"formattedCitation":"(Ubel et al. 2003)","plainCitation":"(Ubel et al. 2003)","noteIndex":0},"citationItems":[{"id":71343,"uris":["http://zotero.org/groups/4944822/items/UUYMJIRF"],"itemData":{"id":71343,"type":"article-journal","abstract":"AN ARTICLE in the February 2000 issue of JAMA concluded that annual retinal screening for many individuals with type 2 diabetes mellitus may not be warranted on grounds of cost-effectiveness. Vijan et al reported that, compared with biannual screening, annual retinopathy screening for low-risk patients with diabetes costs more than $100 000 for each additional quality-adjusted life year (QALY) gained. The results of a study published in the March 2000 issue of the New England Journal of Medicine concluded that extending hospital stays beyond 4 days for patients with uncomplicated myocardial infarctions was economically unattractive, costing more than $105 000 per QALY gained. These studies demonstrate that commonly used interventions may not be worthwhile investments of health care resources. By contrast, a study published in the June 2000 issue of the Annals of Internal Medicine concluded that, compared with no treatment, sildenafil (Viagra) is a cost-effective treatment for erectile dysfunction, producing an incremental QALY for the relatively low cost of $11 000. The latter study raises questions about whether many health care insurers were hasty in deciding that they would not add sildenafil to the list of services covered by their health plans.","container-title":"Archives of Internal Medicine","DOI":"10.1001/archinte.163.14.1637","ISSN":"0003-9926","issue":"14","journalAbbreviation":"Archives of Internal Medicine","page":"1637-1641","source":"Silverchair","title":"What Is the Price of Life and Why Doesn't It Increase at the Rate of Inflation?","volume":"163","author":[{"family":"Ubel","given":"Peter A."},{"family":"Hirth","given":"Richard A."},{"family":"Chernew","given":"Michael E."},{"family":"Fendrick","given":"A. Mark"}],"issued":{"date-parts":[["2003",7,28]]}}}],"schema":"https://github.com/citation-style-language/schema/raw/master/csl-citation.json"} </w:instrText>
      </w:r>
      <w:r w:rsidR="00CC7035" w:rsidRPr="002D608F">
        <w:fldChar w:fldCharType="separate"/>
      </w:r>
      <w:r w:rsidR="00CC7035" w:rsidRPr="002D608F">
        <w:rPr>
          <w:rFonts w:cs="Calibri"/>
        </w:rPr>
        <w:t>(</w:t>
      </w:r>
      <w:proofErr w:type="spellStart"/>
      <w:r w:rsidR="00CC7035" w:rsidRPr="002D608F">
        <w:rPr>
          <w:rFonts w:cs="Calibri"/>
        </w:rPr>
        <w:t>Ubel</w:t>
      </w:r>
      <w:proofErr w:type="spellEnd"/>
      <w:r w:rsidR="00CC7035" w:rsidRPr="002D608F">
        <w:rPr>
          <w:rFonts w:cs="Calibri"/>
        </w:rPr>
        <w:t xml:space="preserve"> et al. 2003)</w:t>
      </w:r>
      <w:r w:rsidR="00CC7035" w:rsidRPr="002D608F">
        <w:fldChar w:fldCharType="end"/>
      </w:r>
      <w:r w:rsidR="00CC7035">
        <w:t>.</w:t>
      </w:r>
    </w:p>
    <w:p w14:paraId="19395033" w14:textId="2705EA5E" w:rsidR="00CC7035" w:rsidRDefault="00CC7035" w:rsidP="00CC7035">
      <w:pPr>
        <w:pStyle w:val="USBodyText"/>
      </w:pPr>
      <w:r>
        <w:t xml:space="preserve">Published research has produced more estimates for QALYs and DALYs, including estimates of DALY values for high and high </w:t>
      </w:r>
      <w:r w:rsidRPr="002A79DF">
        <w:t>Human Development Index</w:t>
      </w:r>
      <w:r>
        <w:t xml:space="preserve"> (HDI) countries, such as the range of one to two times GDP per capita as estimated by </w:t>
      </w:r>
      <w:r w:rsidRPr="002D608F">
        <w:fldChar w:fldCharType="begin"/>
      </w:r>
      <w:r w:rsidR="00F244F6">
        <w:instrText xml:space="preserve"> ADDIN ZOTERO_ITEM CSL_CITATION {"citationID":"3s0vfpzF","properties":{"formattedCitation":"(Daroudi et al. 2021)","plainCitation":"(Daroudi et al. 2021)","dontUpdate":true,"noteIndex":0},"citationItems":[{"id":71345,"uris":["http://zotero.org/groups/4944822/items/GYFVJY69"],"itemData":{"id":71345,"type":"article-journal","abstract":"Determining the cost-effectiveness thresholds for healthcare interventions has been a severe challenge for policymakers, especially in low- and middle-income countries. This study aimed to estimate the cost per disability-adjusted life-year (DALY) averted for countries with different levels of Human Development Index (HDI) and Gross Domestic Product (GDP).","container-title":"Cost Effectiveness and Resource Allocation","DOI":"10.1186/s12962-021-00260-0","ISSN":"1478-7547","issue":"1","journalAbbreviation":"Cost Effectiveness and Resource Allocation","page":"7","source":"BioMed Central","title":"Cost per DALY averted in low, middle- and high-income countries: evidence from the global burden of disease study to estimate the cost-effectiveness thresholds","title-short":"Cost per DALY averted in low, middle- and high-income countries","volume":"19","author":[{"family":"Daroudi","given":"Rajabali"},{"family":"Akbari Sari","given":"Ali"},{"family":"Nahvijou","given":"Azin"},{"family":"Faramarzi","given":"Ahmad"}],"issued":{"date-parts":[["2021",2,4]]}}}],"schema":"https://github.com/citation-style-language/schema/raw/master/csl-citation.json"} </w:instrText>
      </w:r>
      <w:r w:rsidRPr="002D608F">
        <w:fldChar w:fldCharType="separate"/>
      </w:r>
      <w:proofErr w:type="spellStart"/>
      <w:r w:rsidRPr="002D608F">
        <w:rPr>
          <w:rFonts w:cs="Calibri"/>
        </w:rPr>
        <w:t>Daroudi</w:t>
      </w:r>
      <w:proofErr w:type="spellEnd"/>
      <w:r w:rsidRPr="002D608F">
        <w:rPr>
          <w:rFonts w:cs="Calibri"/>
        </w:rPr>
        <w:t xml:space="preserve"> et al. (2021)</w:t>
      </w:r>
      <w:r w:rsidRPr="002D608F">
        <w:fldChar w:fldCharType="end"/>
      </w:r>
      <w:r>
        <w:t xml:space="preserve"> using</w:t>
      </w:r>
      <w:r w:rsidRPr="00B17868">
        <w:t xml:space="preserve"> data from the </w:t>
      </w:r>
      <w:r w:rsidR="008B7F14">
        <w:t xml:space="preserve">GBD </w:t>
      </w:r>
      <w:r w:rsidRPr="00B17868">
        <w:t>study</w:t>
      </w:r>
      <w:r>
        <w:t>.</w:t>
      </w:r>
    </w:p>
    <w:p w14:paraId="46C66AA0" w14:textId="31808596" w:rsidR="00CC7035" w:rsidRDefault="00CC7035" w:rsidP="00CC7035">
      <w:pPr>
        <w:pStyle w:val="USBodyText"/>
      </w:pPr>
      <w:r w:rsidRPr="002D608F">
        <w:t>Comparatively</w:t>
      </w:r>
      <w:r w:rsidR="005F4AEA">
        <w:t>,</w:t>
      </w:r>
      <w:r w:rsidRPr="002D608F">
        <w:t xml:space="preserve"> less research has offered values for HALYs; some New Zealand research proposes </w:t>
      </w:r>
      <w:r w:rsidR="005F4AEA">
        <w:t>using</w:t>
      </w:r>
      <w:r w:rsidRPr="002D608F">
        <w:t xml:space="preserve"> the WHO CHOICE approach</w:t>
      </w:r>
      <w:r w:rsidR="005F4AEA">
        <w:t>,</w:t>
      </w:r>
      <w:r w:rsidRPr="002D608F">
        <w:t xml:space="preserve"> which indicates a threshold value equal to GDP per capita </w:t>
      </w:r>
      <w:r w:rsidRPr="002D608F">
        <w:fldChar w:fldCharType="begin"/>
      </w:r>
      <w:r w:rsidR="00F244F6">
        <w:instrText xml:space="preserve"> ADDIN ZOTERO_ITEM CSL_CITATION {"citationID":"4YOBpc4h","properties":{"formattedCitation":"(Kvizhinadze et al. 2015)","plainCitation":"(Kvizhinadze et al. 2015)","noteIndex":0},"citationItems":[{"id":71348,"uris":["http://zotero.org/groups/4944822/items/BVW2T4Q4"],"itemData":{"id":71348,"type":"article-journal","abstract":"Objective\nWe aimed to estimate the maximum intervention cost (EMIC) a society could invest in a life-saving intervention at different ages while remaining cost-effective according to a user-specified cost-effectiveness threshold.\n\nMethods\nNew Zealand (NZ) was used as a case study, and a health system perspective was taken. Data from NZ life tables and morbidity data from a burden of disease study were used to estimate health-adjusted life-years (HALYs) gained by a life-saving intervention. Health system costs were estimated from a national database of all publicly funded health events (hospitalizations, outpatient events, pharmaceuticals, etc.). For illustrative purposes we followed the WHO-CHOICE approach and used a cost-effectiveness threshold of the gross domestic product (GDP) per capita (NZ$45,000 or US$30,000 per HALY). We then calculated EMICs for an “ideal” life-saving intervention that fully returned survivors to the same average morbidity, mortality, and cost trajectories as the rest of their cohort.\n\nFindings\nThe EMIC of the “ideal” life-saving intervention varied markedly by age: NZ$1.3 million (US$880,000) for an intervention to save the life of a child, NZ$0.8 million (US$540,000) for a 50-year-old, and NZ$0.235 million (US$158,000) for an 80-year-old. These results were predictably very sensitive to the choice of discount rate and to the selected cost-effectiveness threshold. Using WHO data, we produced an online calculator to allow the performance of similar calculations for all other countries.\n\nConclusions\nWe present an approach to estimating maximal cost-effective investment in life-saving health interventions, under various assumptions. Our online calculator allows this approach to be applied in other countries. Policymakers could use these estimates as a rapid screening tool to determine if more detailed cost-effectiveness analyses of potential life-saving interventions might be worthwhile or which proposed life-saving interventions are very unlikely to benefit from such additional research.\n\nElectronic supplementary material\nThe online version of this article (doi:10.1186/s12963-015-0052-2) contains supplementary material, which is available to authorized users.","container-title":"Population Health Metrics","DOI":"10.1186/s12963-015-0052-2","ISSN":"1478-7954","journalAbbreviation":"Popul Health Metr","note":"PMID: 26155199\nPMCID: PMC4493819","page":"15","source":"PubMed Central","title":"How much might a society spend on life-saving interventions at different ages while remaining cost-effective? A case study in a country with detailed data","title-short":"How much might a society spend on life-saving interventions at different ages while remaining cost-effective?","volume":"13","author":[{"family":"Kvizhinadze","given":"Giorgi"},{"family":"Wilson","given":"Nick"},{"family":"Nair","given":"Nisha"},{"family":"McLeod","given":"Melissa"},{"family":"Blakely","given":"Tony"}],"issued":{"date-parts":[["2015",7,8]]}}}],"schema":"https://github.com/citation-style-language/schema/raw/master/csl-citation.json"} </w:instrText>
      </w:r>
      <w:r w:rsidRPr="002D608F">
        <w:fldChar w:fldCharType="separate"/>
      </w:r>
      <w:r w:rsidRPr="002D608F">
        <w:rPr>
          <w:rFonts w:cs="Calibri"/>
        </w:rPr>
        <w:t>(</w:t>
      </w:r>
      <w:proofErr w:type="spellStart"/>
      <w:r w:rsidRPr="002D608F">
        <w:rPr>
          <w:rFonts w:cs="Calibri"/>
        </w:rPr>
        <w:t>Kvizhinadze</w:t>
      </w:r>
      <w:proofErr w:type="spellEnd"/>
      <w:r w:rsidRPr="002D608F">
        <w:rPr>
          <w:rFonts w:cs="Calibri"/>
        </w:rPr>
        <w:t xml:space="preserve"> et al. 2015)</w:t>
      </w:r>
      <w:r w:rsidRPr="002D608F">
        <w:fldChar w:fldCharType="end"/>
      </w:r>
      <w:r w:rsidR="000B56C3">
        <w:t>, although the WHO itself now discourages this approach</w:t>
      </w:r>
      <w:r w:rsidRPr="002D608F">
        <w:t>.</w:t>
      </w:r>
    </w:p>
    <w:p w14:paraId="44F55B82" w14:textId="77777777" w:rsidR="00CC7035" w:rsidRDefault="00CC7035" w:rsidP="00CC7035">
      <w:pPr>
        <w:pStyle w:val="USBodyText"/>
      </w:pPr>
      <w:r>
        <w:t>In general, there has been and continues to be significant debate regarding the value of life years (with or without any form of adjustment for quality of life), making the estimation of a monetary value for health loss an exercise that is fraught with uncertainty. In such cases, it can be helpful, if a value is required, to consider a range of possible approaches.</w:t>
      </w:r>
    </w:p>
    <w:p w14:paraId="5C9E1991" w14:textId="2BC033AE" w:rsidR="003856C4" w:rsidRDefault="003856C4">
      <w:pPr>
        <w:spacing w:after="160" w:line="259" w:lineRule="auto"/>
      </w:pPr>
      <w:r>
        <w:br w:type="page"/>
      </w:r>
    </w:p>
    <w:p w14:paraId="532E8B36" w14:textId="0D9D8FA6" w:rsidR="00D145A1" w:rsidRDefault="00D145A1" w:rsidP="00D145A1">
      <w:pPr>
        <w:pStyle w:val="ApxHeading1"/>
      </w:pPr>
      <w:bookmarkStart w:id="258" w:name="_Toc160633886"/>
      <w:r w:rsidRPr="00D145A1">
        <w:lastRenderedPageBreak/>
        <w:t xml:space="preserve">ICD-10 codes for </w:t>
      </w:r>
      <w:r w:rsidR="0025087A" w:rsidRPr="00D145A1">
        <w:t>alcohol</w:t>
      </w:r>
      <w:r w:rsidR="0025087A">
        <w:t>-</w:t>
      </w:r>
      <w:r w:rsidRPr="00D145A1">
        <w:t>attributable and partially attributable conditions</w:t>
      </w:r>
      <w:bookmarkEnd w:id="258"/>
    </w:p>
    <w:p w14:paraId="6909FE78" w14:textId="511E3554" w:rsidR="007303E3" w:rsidRPr="00173426" w:rsidRDefault="007303E3" w:rsidP="007303E3">
      <w:pPr>
        <w:pStyle w:val="TableCaption"/>
      </w:pPr>
      <w:bookmarkStart w:id="259" w:name="_Toc160633966"/>
      <w:r w:rsidRPr="00731CA6">
        <w:t xml:space="preserve">Table </w:t>
      </w:r>
      <w:fldSimple w:instr=" SEQ Table \* ARABIC ">
        <w:r w:rsidR="00AE166D">
          <w:rPr>
            <w:noProof/>
          </w:rPr>
          <w:t>59</w:t>
        </w:r>
      </w:fldSimple>
      <w:r w:rsidRPr="00731CA6">
        <w:t xml:space="preserve"> </w:t>
      </w:r>
      <w:r>
        <w:t>ICD-10 Codes</w:t>
      </w:r>
      <w:bookmarkEnd w:id="259"/>
    </w:p>
    <w:tbl>
      <w:tblPr>
        <w:tblStyle w:val="TableDefault"/>
        <w:tblW w:w="0" w:type="auto"/>
        <w:tblLook w:val="04A0" w:firstRow="1" w:lastRow="0" w:firstColumn="1" w:lastColumn="0" w:noHBand="0" w:noVBand="1"/>
      </w:tblPr>
      <w:tblGrid>
        <w:gridCol w:w="3118"/>
        <w:gridCol w:w="5102"/>
      </w:tblGrid>
      <w:tr w:rsidR="007303E3" w14:paraId="29964FBC" w14:textId="77777777">
        <w:trPr>
          <w:cnfStyle w:val="100000000000" w:firstRow="1" w:lastRow="0" w:firstColumn="0" w:lastColumn="0" w:oddVBand="0" w:evenVBand="0" w:oddHBand="0" w:evenHBand="0" w:firstRowFirstColumn="0" w:firstRowLastColumn="0" w:lastRowFirstColumn="0" w:lastRowLastColumn="0"/>
        </w:trPr>
        <w:tc>
          <w:tcPr>
            <w:tcW w:w="3118" w:type="dxa"/>
          </w:tcPr>
          <w:p w14:paraId="3F743DE6" w14:textId="77777777" w:rsidR="007303E3" w:rsidRPr="006373ED" w:rsidRDefault="007303E3">
            <w:pPr>
              <w:pStyle w:val="TSTableHeadingWhite-TopRow"/>
            </w:pPr>
            <w:bookmarkStart w:id="260" w:name="_Hlk156300441"/>
            <w:r w:rsidRPr="006373ED">
              <w:t>Alcohol-attributable conditions</w:t>
            </w:r>
          </w:p>
        </w:tc>
        <w:tc>
          <w:tcPr>
            <w:tcW w:w="5102" w:type="dxa"/>
          </w:tcPr>
          <w:p w14:paraId="69778781" w14:textId="77777777" w:rsidR="007303E3" w:rsidRPr="006373ED" w:rsidRDefault="007303E3">
            <w:pPr>
              <w:pStyle w:val="TSTableHeadingWhite-TopRow"/>
            </w:pPr>
            <w:r w:rsidRPr="006373ED">
              <w:t>ICD-10-AM codes</w:t>
            </w:r>
          </w:p>
        </w:tc>
      </w:tr>
      <w:tr w:rsidR="007303E3" w14:paraId="4C3117BB" w14:textId="77777777">
        <w:tc>
          <w:tcPr>
            <w:tcW w:w="3118" w:type="dxa"/>
          </w:tcPr>
          <w:p w14:paraId="067D9A0B" w14:textId="77777777" w:rsidR="007303E3" w:rsidRDefault="007303E3">
            <w:pPr>
              <w:pStyle w:val="TSBodyText"/>
            </w:pPr>
            <w:r w:rsidRPr="00FD7FDB">
              <w:rPr>
                <w:lang w:val="en-US"/>
              </w:rPr>
              <w:t>Transport injuries</w:t>
            </w:r>
          </w:p>
        </w:tc>
        <w:tc>
          <w:tcPr>
            <w:tcW w:w="5102" w:type="dxa"/>
          </w:tcPr>
          <w:p w14:paraId="1B8B5B0F" w14:textId="77777777" w:rsidR="007303E3" w:rsidRDefault="007303E3">
            <w:pPr>
              <w:pStyle w:val="TSBodyText"/>
            </w:pPr>
            <w:r w:rsidRPr="00FD7FDB">
              <w:rPr>
                <w:lang w:val="en-US"/>
              </w:rPr>
              <w:t>V00-V99, Y85</w:t>
            </w:r>
          </w:p>
        </w:tc>
      </w:tr>
      <w:tr w:rsidR="007303E3" w14:paraId="0EB9983D"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2682D24" w14:textId="77777777" w:rsidR="007303E3" w:rsidRDefault="007303E3">
            <w:pPr>
              <w:pStyle w:val="TSBodyText"/>
            </w:pPr>
            <w:r w:rsidRPr="00FD7FDB">
              <w:rPr>
                <w:lang w:val="en-US"/>
              </w:rPr>
              <w:t>Unintentional injuries</w:t>
            </w:r>
          </w:p>
        </w:tc>
        <w:tc>
          <w:tcPr>
            <w:tcW w:w="5102" w:type="dxa"/>
          </w:tcPr>
          <w:p w14:paraId="41986724" w14:textId="77777777" w:rsidR="007303E3" w:rsidRDefault="007303E3">
            <w:pPr>
              <w:pStyle w:val="TSBodyText"/>
            </w:pPr>
            <w:r w:rsidRPr="00FD7FDB">
              <w:rPr>
                <w:rFonts w:eastAsia="Calibri" w:cs="Times New Roman"/>
                <w:lang w:val="en-US"/>
              </w:rPr>
              <w:t>W00-W99, X00-X44, X46-X59, Y10-Y14, Y16-Y34, Y40-Y84, Y86, Y88</w:t>
            </w:r>
          </w:p>
        </w:tc>
      </w:tr>
      <w:tr w:rsidR="007303E3" w14:paraId="32E43557" w14:textId="77777777">
        <w:tc>
          <w:tcPr>
            <w:tcW w:w="3118" w:type="dxa"/>
          </w:tcPr>
          <w:p w14:paraId="01120C91" w14:textId="77777777" w:rsidR="007303E3" w:rsidRDefault="007303E3">
            <w:pPr>
              <w:pStyle w:val="TSBodyText"/>
            </w:pPr>
            <w:r w:rsidRPr="00FD7FDB">
              <w:rPr>
                <w:lang w:val="en-US"/>
              </w:rPr>
              <w:t>Interpersonal injuries</w:t>
            </w:r>
          </w:p>
        </w:tc>
        <w:tc>
          <w:tcPr>
            <w:tcW w:w="5102" w:type="dxa"/>
          </w:tcPr>
          <w:p w14:paraId="2C78D731" w14:textId="77777777" w:rsidR="007303E3" w:rsidRDefault="007303E3">
            <w:pPr>
              <w:pStyle w:val="TSBodyText"/>
            </w:pPr>
            <w:r w:rsidRPr="00FD7FDB">
              <w:rPr>
                <w:rFonts w:eastAsia="Calibri" w:cs="Times New Roman"/>
                <w:lang w:val="en-US"/>
              </w:rPr>
              <w:t>X85-X99, Y00-Y09, Y87</w:t>
            </w:r>
          </w:p>
        </w:tc>
      </w:tr>
      <w:tr w:rsidR="007303E3" w14:paraId="2931EA00"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7DF14F8" w14:textId="77777777" w:rsidR="007303E3" w:rsidRDefault="007303E3">
            <w:pPr>
              <w:pStyle w:val="TSBodyText"/>
            </w:pPr>
            <w:r w:rsidRPr="00FD7FDB">
              <w:rPr>
                <w:lang w:val="en-US"/>
              </w:rPr>
              <w:t>Self-harm</w:t>
            </w:r>
          </w:p>
        </w:tc>
        <w:tc>
          <w:tcPr>
            <w:tcW w:w="5102" w:type="dxa"/>
          </w:tcPr>
          <w:p w14:paraId="443465CB" w14:textId="77777777" w:rsidR="007303E3" w:rsidRDefault="007303E3">
            <w:pPr>
              <w:pStyle w:val="TSBodyText"/>
            </w:pPr>
            <w:r w:rsidRPr="00FD7FDB">
              <w:rPr>
                <w:rFonts w:eastAsia="Calibri" w:cs="Times New Roman"/>
                <w:lang w:val="en-US"/>
              </w:rPr>
              <w:t>X60-X64, X66-X84</w:t>
            </w:r>
          </w:p>
        </w:tc>
      </w:tr>
      <w:tr w:rsidR="007303E3" w14:paraId="48599A8A" w14:textId="77777777">
        <w:tc>
          <w:tcPr>
            <w:tcW w:w="3118" w:type="dxa"/>
          </w:tcPr>
          <w:p w14:paraId="7AEABFE3" w14:textId="77777777" w:rsidR="007303E3" w:rsidRDefault="007303E3">
            <w:pPr>
              <w:pStyle w:val="TSBodyText"/>
            </w:pPr>
            <w:r w:rsidRPr="00FD7FDB">
              <w:rPr>
                <w:lang w:val="en-US"/>
              </w:rPr>
              <w:t>Alcohol use disorders</w:t>
            </w:r>
          </w:p>
        </w:tc>
        <w:tc>
          <w:tcPr>
            <w:tcW w:w="5102" w:type="dxa"/>
          </w:tcPr>
          <w:p w14:paraId="1AD06905" w14:textId="77777777" w:rsidR="007303E3" w:rsidRDefault="007303E3">
            <w:pPr>
              <w:pStyle w:val="TSBodyText"/>
            </w:pPr>
            <w:r w:rsidRPr="00FD7FDB">
              <w:rPr>
                <w:lang w:val="en-US"/>
              </w:rPr>
              <w:t>F10, X45, X65, Y15</w:t>
            </w:r>
          </w:p>
        </w:tc>
      </w:tr>
      <w:tr w:rsidR="007303E3" w14:paraId="2BAA3326"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308A830A" w14:textId="77777777" w:rsidR="007303E3" w:rsidRDefault="007303E3">
            <w:pPr>
              <w:pStyle w:val="TSBodyText"/>
            </w:pPr>
            <w:r w:rsidRPr="00FD7FDB">
              <w:rPr>
                <w:lang w:val="en-US"/>
              </w:rPr>
              <w:t>Breast cancer (female)</w:t>
            </w:r>
          </w:p>
        </w:tc>
        <w:tc>
          <w:tcPr>
            <w:tcW w:w="5102" w:type="dxa"/>
          </w:tcPr>
          <w:p w14:paraId="4CD1E77B" w14:textId="77777777" w:rsidR="007303E3" w:rsidRDefault="007303E3">
            <w:pPr>
              <w:pStyle w:val="TSBodyText"/>
            </w:pPr>
            <w:r w:rsidRPr="00FD7FDB">
              <w:t>C50</w:t>
            </w:r>
          </w:p>
        </w:tc>
      </w:tr>
      <w:tr w:rsidR="007303E3" w14:paraId="57B55C34" w14:textId="77777777">
        <w:tc>
          <w:tcPr>
            <w:tcW w:w="3118" w:type="dxa"/>
          </w:tcPr>
          <w:p w14:paraId="3B790E00" w14:textId="77777777" w:rsidR="007303E3" w:rsidRPr="00FD7FDB" w:rsidRDefault="007303E3">
            <w:pPr>
              <w:pStyle w:val="TSBodyText"/>
              <w:rPr>
                <w:lang w:val="en-US"/>
              </w:rPr>
            </w:pPr>
            <w:r w:rsidRPr="00FD7FDB">
              <w:rPr>
                <w:lang w:val="en-US"/>
              </w:rPr>
              <w:t>Colorectal cancer</w:t>
            </w:r>
          </w:p>
        </w:tc>
        <w:tc>
          <w:tcPr>
            <w:tcW w:w="5102" w:type="dxa"/>
          </w:tcPr>
          <w:p w14:paraId="2E1ADDA2" w14:textId="77777777" w:rsidR="007303E3" w:rsidRPr="00FD7FDB" w:rsidRDefault="007303E3">
            <w:pPr>
              <w:pStyle w:val="TSBodyText"/>
            </w:pPr>
            <w:r w:rsidRPr="00FD7FDB">
              <w:rPr>
                <w:lang w:val="en-US"/>
              </w:rPr>
              <w:t>C18-C21</w:t>
            </w:r>
          </w:p>
        </w:tc>
      </w:tr>
      <w:tr w:rsidR="007303E3" w14:paraId="5E852F8F"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639F1440" w14:textId="77777777" w:rsidR="007303E3" w:rsidRPr="00FD7FDB" w:rsidRDefault="007303E3">
            <w:pPr>
              <w:pStyle w:val="TSBodyText"/>
              <w:rPr>
                <w:lang w:val="en-US"/>
              </w:rPr>
            </w:pPr>
            <w:r w:rsidRPr="00FD7FDB">
              <w:rPr>
                <w:lang w:val="en-US"/>
              </w:rPr>
              <w:t>Larynx cancer</w:t>
            </w:r>
          </w:p>
        </w:tc>
        <w:tc>
          <w:tcPr>
            <w:tcW w:w="5102" w:type="dxa"/>
          </w:tcPr>
          <w:p w14:paraId="68D8C186" w14:textId="77777777" w:rsidR="007303E3" w:rsidRPr="00FD7FDB" w:rsidRDefault="007303E3">
            <w:pPr>
              <w:pStyle w:val="TSBodyText"/>
            </w:pPr>
            <w:r w:rsidRPr="00FD7FDB">
              <w:rPr>
                <w:lang w:val="en-US"/>
              </w:rPr>
              <w:t>C32</w:t>
            </w:r>
          </w:p>
        </w:tc>
      </w:tr>
      <w:tr w:rsidR="007303E3" w14:paraId="0CC80EBB" w14:textId="77777777">
        <w:tc>
          <w:tcPr>
            <w:tcW w:w="3118" w:type="dxa"/>
          </w:tcPr>
          <w:p w14:paraId="367E60C9" w14:textId="77777777" w:rsidR="007303E3" w:rsidRPr="00FD7FDB" w:rsidRDefault="007303E3">
            <w:pPr>
              <w:pStyle w:val="TSBodyText"/>
              <w:rPr>
                <w:lang w:val="en-US"/>
              </w:rPr>
            </w:pPr>
            <w:r w:rsidRPr="00FD7FDB">
              <w:rPr>
                <w:lang w:val="en-US"/>
              </w:rPr>
              <w:t>Lip and oral cavity cancer</w:t>
            </w:r>
          </w:p>
        </w:tc>
        <w:tc>
          <w:tcPr>
            <w:tcW w:w="5102" w:type="dxa"/>
          </w:tcPr>
          <w:p w14:paraId="2953BEB6" w14:textId="77777777" w:rsidR="007303E3" w:rsidRPr="00FD7FDB" w:rsidRDefault="007303E3">
            <w:pPr>
              <w:pStyle w:val="TSBodyText"/>
            </w:pPr>
            <w:r w:rsidRPr="00FD7FDB">
              <w:rPr>
                <w:lang w:val="en-US"/>
              </w:rPr>
              <w:t>C00-C08</w:t>
            </w:r>
          </w:p>
        </w:tc>
      </w:tr>
      <w:tr w:rsidR="007303E3" w14:paraId="3A43429A"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1E9E1C4" w14:textId="77777777" w:rsidR="007303E3" w:rsidRPr="00FD7FDB" w:rsidRDefault="007303E3">
            <w:pPr>
              <w:pStyle w:val="TSBodyText"/>
              <w:rPr>
                <w:lang w:val="en-US"/>
              </w:rPr>
            </w:pPr>
            <w:r w:rsidRPr="00FD7FDB">
              <w:rPr>
                <w:lang w:val="en-US"/>
              </w:rPr>
              <w:t>Liver cancer</w:t>
            </w:r>
          </w:p>
        </w:tc>
        <w:tc>
          <w:tcPr>
            <w:tcW w:w="5102" w:type="dxa"/>
          </w:tcPr>
          <w:p w14:paraId="34870122" w14:textId="77777777" w:rsidR="007303E3" w:rsidRPr="00FD7FDB" w:rsidRDefault="007303E3">
            <w:pPr>
              <w:pStyle w:val="TSBodyText"/>
            </w:pPr>
            <w:r w:rsidRPr="00FD7FDB">
              <w:rPr>
                <w:lang w:val="en-US"/>
              </w:rPr>
              <w:t>C22</w:t>
            </w:r>
          </w:p>
        </w:tc>
      </w:tr>
      <w:tr w:rsidR="007303E3" w14:paraId="76AA6D7D" w14:textId="77777777">
        <w:tc>
          <w:tcPr>
            <w:tcW w:w="3118" w:type="dxa"/>
          </w:tcPr>
          <w:p w14:paraId="415EF233" w14:textId="77777777" w:rsidR="007303E3" w:rsidRPr="00FD7FDB" w:rsidRDefault="007303E3">
            <w:pPr>
              <w:pStyle w:val="TSBodyText"/>
              <w:rPr>
                <w:lang w:val="en-US"/>
              </w:rPr>
            </w:pPr>
            <w:proofErr w:type="spellStart"/>
            <w:r w:rsidRPr="00FD7FDB">
              <w:rPr>
                <w:lang w:val="mi-NZ"/>
              </w:rPr>
              <w:t>Nasopharynx</w:t>
            </w:r>
            <w:proofErr w:type="spellEnd"/>
            <w:r w:rsidRPr="00FD7FDB">
              <w:rPr>
                <w:lang w:val="mi-NZ"/>
              </w:rPr>
              <w:t xml:space="preserve"> </w:t>
            </w:r>
            <w:proofErr w:type="spellStart"/>
            <w:r w:rsidRPr="00FD7FDB">
              <w:rPr>
                <w:lang w:val="mi-NZ"/>
              </w:rPr>
              <w:t>cancer</w:t>
            </w:r>
            <w:proofErr w:type="spellEnd"/>
          </w:p>
        </w:tc>
        <w:tc>
          <w:tcPr>
            <w:tcW w:w="5102" w:type="dxa"/>
          </w:tcPr>
          <w:p w14:paraId="727E69B6" w14:textId="77777777" w:rsidR="007303E3" w:rsidRPr="00FD7FDB" w:rsidRDefault="007303E3">
            <w:pPr>
              <w:pStyle w:val="TSBodyText"/>
            </w:pPr>
            <w:r w:rsidRPr="00FD7FDB">
              <w:rPr>
                <w:lang w:val="en-US"/>
              </w:rPr>
              <w:t>C11</w:t>
            </w:r>
          </w:p>
        </w:tc>
      </w:tr>
      <w:tr w:rsidR="007303E3" w14:paraId="779759F4"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033756B7" w14:textId="77777777" w:rsidR="007303E3" w:rsidRPr="00FD7FDB" w:rsidRDefault="007303E3">
            <w:pPr>
              <w:pStyle w:val="TSBodyText"/>
              <w:rPr>
                <w:lang w:val="en-US"/>
              </w:rPr>
            </w:pPr>
            <w:proofErr w:type="spellStart"/>
            <w:r w:rsidRPr="00FD7FDB">
              <w:rPr>
                <w:lang w:val="en-US"/>
              </w:rPr>
              <w:t>Oesophageal</w:t>
            </w:r>
            <w:proofErr w:type="spellEnd"/>
            <w:r w:rsidRPr="00FD7FDB">
              <w:rPr>
                <w:lang w:val="en-US"/>
              </w:rPr>
              <w:t xml:space="preserve"> cancer</w:t>
            </w:r>
          </w:p>
        </w:tc>
        <w:tc>
          <w:tcPr>
            <w:tcW w:w="5102" w:type="dxa"/>
          </w:tcPr>
          <w:p w14:paraId="7D065928" w14:textId="77777777" w:rsidR="007303E3" w:rsidRPr="00FD7FDB" w:rsidRDefault="007303E3">
            <w:pPr>
              <w:pStyle w:val="TSBodyText"/>
            </w:pPr>
            <w:r w:rsidRPr="00FD7FDB">
              <w:rPr>
                <w:lang w:val="en-US"/>
              </w:rPr>
              <w:t>C15</w:t>
            </w:r>
          </w:p>
        </w:tc>
      </w:tr>
      <w:tr w:rsidR="007303E3" w14:paraId="77F9054B" w14:textId="77777777">
        <w:tc>
          <w:tcPr>
            <w:tcW w:w="3118" w:type="dxa"/>
          </w:tcPr>
          <w:p w14:paraId="0462D151" w14:textId="6CDCE5C1" w:rsidR="007303E3" w:rsidRPr="00FD7FDB" w:rsidRDefault="004044DD">
            <w:pPr>
              <w:pStyle w:val="TSBodyText"/>
              <w:rPr>
                <w:lang w:val="en-US"/>
              </w:rPr>
            </w:pPr>
            <w:r w:rsidRPr="00FD7FDB">
              <w:rPr>
                <w:lang w:val="en-US"/>
              </w:rPr>
              <w:t>Pharynx</w:t>
            </w:r>
            <w:r w:rsidR="007303E3" w:rsidRPr="00FD7FDB">
              <w:rPr>
                <w:lang w:val="en-US"/>
              </w:rPr>
              <w:t xml:space="preserve"> cancer</w:t>
            </w:r>
          </w:p>
        </w:tc>
        <w:tc>
          <w:tcPr>
            <w:tcW w:w="5102" w:type="dxa"/>
          </w:tcPr>
          <w:p w14:paraId="5E04C4A6" w14:textId="77777777" w:rsidR="007303E3" w:rsidRPr="00FD7FDB" w:rsidRDefault="007303E3">
            <w:pPr>
              <w:pStyle w:val="TSBodyText"/>
            </w:pPr>
            <w:r w:rsidRPr="00FD7FDB">
              <w:rPr>
                <w:lang w:val="en-US"/>
              </w:rPr>
              <w:t>C09-C10, C12-C14</w:t>
            </w:r>
          </w:p>
        </w:tc>
      </w:tr>
      <w:tr w:rsidR="007303E3" w14:paraId="27B578DA"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274D0B27" w14:textId="77777777" w:rsidR="007303E3" w:rsidRPr="00FD7FDB" w:rsidRDefault="007303E3">
            <w:pPr>
              <w:pStyle w:val="TSBodyText"/>
              <w:rPr>
                <w:lang w:val="en-US"/>
              </w:rPr>
            </w:pPr>
            <w:r w:rsidRPr="00FD7FDB">
              <w:rPr>
                <w:lang w:val="en-US"/>
              </w:rPr>
              <w:t>Alcoholic cardiomyopathy</w:t>
            </w:r>
          </w:p>
        </w:tc>
        <w:tc>
          <w:tcPr>
            <w:tcW w:w="5102" w:type="dxa"/>
          </w:tcPr>
          <w:p w14:paraId="51B1A937" w14:textId="77777777" w:rsidR="007303E3" w:rsidRPr="00FD7FDB" w:rsidRDefault="007303E3">
            <w:pPr>
              <w:pStyle w:val="TSBodyText"/>
            </w:pPr>
            <w:r w:rsidRPr="00FD7FDB">
              <w:rPr>
                <w:lang w:val="en-US"/>
              </w:rPr>
              <w:t>I42 (ratio applied post extraction)</w:t>
            </w:r>
          </w:p>
        </w:tc>
      </w:tr>
      <w:tr w:rsidR="007303E3" w14:paraId="708620F4" w14:textId="77777777">
        <w:tc>
          <w:tcPr>
            <w:tcW w:w="3118" w:type="dxa"/>
          </w:tcPr>
          <w:p w14:paraId="77E9FCD0" w14:textId="77777777" w:rsidR="007303E3" w:rsidRPr="00FD7FDB" w:rsidRDefault="007303E3">
            <w:pPr>
              <w:pStyle w:val="TSBodyText"/>
              <w:rPr>
                <w:lang w:val="en-US"/>
              </w:rPr>
            </w:pPr>
            <w:r w:rsidRPr="00FD7FDB">
              <w:rPr>
                <w:lang w:val="en-US"/>
              </w:rPr>
              <w:t>Atrial fibrillation and cardia arrhythmia</w:t>
            </w:r>
          </w:p>
        </w:tc>
        <w:tc>
          <w:tcPr>
            <w:tcW w:w="5102" w:type="dxa"/>
          </w:tcPr>
          <w:p w14:paraId="6694AB8D" w14:textId="77777777" w:rsidR="007303E3" w:rsidRPr="00FD7FDB" w:rsidRDefault="007303E3">
            <w:pPr>
              <w:pStyle w:val="TSBodyText"/>
            </w:pPr>
            <w:r w:rsidRPr="00FD7FDB">
              <w:rPr>
                <w:lang w:val="en-US"/>
              </w:rPr>
              <w:t>I48</w:t>
            </w:r>
          </w:p>
        </w:tc>
      </w:tr>
      <w:tr w:rsidR="007303E3" w14:paraId="37CAD04F"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64AB1D96" w14:textId="77777777" w:rsidR="007303E3" w:rsidRPr="00FD7FDB" w:rsidRDefault="007303E3">
            <w:pPr>
              <w:pStyle w:val="TSBodyText"/>
              <w:rPr>
                <w:lang w:val="en-US"/>
              </w:rPr>
            </w:pPr>
            <w:r w:rsidRPr="00FD7FDB">
              <w:rPr>
                <w:lang w:val="en-US"/>
              </w:rPr>
              <w:t>Stroke</w:t>
            </w:r>
          </w:p>
        </w:tc>
        <w:tc>
          <w:tcPr>
            <w:tcW w:w="5102" w:type="dxa"/>
          </w:tcPr>
          <w:p w14:paraId="139AE188" w14:textId="77777777" w:rsidR="007303E3" w:rsidRPr="00FD7FDB" w:rsidRDefault="007303E3">
            <w:pPr>
              <w:pStyle w:val="TSBodyText"/>
            </w:pPr>
            <w:r w:rsidRPr="00FD7FDB">
              <w:rPr>
                <w:lang w:val="en-US"/>
              </w:rPr>
              <w:t>G45-G46, I60-I69 (ratio applied post extraction)</w:t>
            </w:r>
          </w:p>
        </w:tc>
      </w:tr>
      <w:tr w:rsidR="007303E3" w14:paraId="311F50C2" w14:textId="77777777">
        <w:tc>
          <w:tcPr>
            <w:tcW w:w="3118" w:type="dxa"/>
          </w:tcPr>
          <w:p w14:paraId="7AA63F7C" w14:textId="77777777" w:rsidR="007303E3" w:rsidRPr="00FD7FDB" w:rsidRDefault="007303E3">
            <w:pPr>
              <w:pStyle w:val="TSBodyText"/>
              <w:rPr>
                <w:lang w:val="en-US"/>
              </w:rPr>
            </w:pPr>
            <w:r w:rsidRPr="00FD7FDB">
              <w:rPr>
                <w:lang w:val="en-US"/>
              </w:rPr>
              <w:t>Hypertension</w:t>
            </w:r>
          </w:p>
        </w:tc>
        <w:tc>
          <w:tcPr>
            <w:tcW w:w="5102" w:type="dxa"/>
          </w:tcPr>
          <w:p w14:paraId="56DE819D" w14:textId="77777777" w:rsidR="007303E3" w:rsidRPr="00FD7FDB" w:rsidRDefault="007303E3">
            <w:pPr>
              <w:pStyle w:val="TSBodyText"/>
            </w:pPr>
            <w:r w:rsidRPr="00FD7FDB">
              <w:rPr>
                <w:lang w:val="en-US"/>
              </w:rPr>
              <w:t>I11</w:t>
            </w:r>
          </w:p>
        </w:tc>
      </w:tr>
      <w:tr w:rsidR="007303E3" w14:paraId="72DF6412"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969EB76" w14:textId="77777777" w:rsidR="007303E3" w:rsidRPr="00FD7FDB" w:rsidRDefault="007303E3">
            <w:pPr>
              <w:pStyle w:val="TSBodyText"/>
              <w:rPr>
                <w:lang w:val="en-US"/>
              </w:rPr>
            </w:pPr>
            <w:proofErr w:type="spellStart"/>
            <w:r w:rsidRPr="00FD7FDB">
              <w:rPr>
                <w:lang w:val="en-US"/>
              </w:rPr>
              <w:t>Ischaemic</w:t>
            </w:r>
            <w:proofErr w:type="spellEnd"/>
            <w:r w:rsidRPr="00FD7FDB">
              <w:rPr>
                <w:lang w:val="en-US"/>
              </w:rPr>
              <w:t xml:space="preserve"> heart disease</w:t>
            </w:r>
          </w:p>
        </w:tc>
        <w:tc>
          <w:tcPr>
            <w:tcW w:w="5102" w:type="dxa"/>
          </w:tcPr>
          <w:p w14:paraId="0F7ABE33" w14:textId="77777777" w:rsidR="007303E3" w:rsidRPr="00FD7FDB" w:rsidRDefault="007303E3">
            <w:pPr>
              <w:pStyle w:val="TSBodyText"/>
            </w:pPr>
            <w:r w:rsidRPr="00FD7FDB">
              <w:rPr>
                <w:lang w:val="en-US"/>
              </w:rPr>
              <w:t>I20-I25</w:t>
            </w:r>
          </w:p>
        </w:tc>
      </w:tr>
      <w:tr w:rsidR="007303E3" w14:paraId="27F619FE" w14:textId="77777777">
        <w:tc>
          <w:tcPr>
            <w:tcW w:w="3118" w:type="dxa"/>
          </w:tcPr>
          <w:p w14:paraId="7F0EF38E" w14:textId="77777777" w:rsidR="007303E3" w:rsidRPr="00FD7FDB" w:rsidRDefault="007303E3">
            <w:pPr>
              <w:pStyle w:val="TSBodyText"/>
              <w:rPr>
                <w:lang w:val="en-US"/>
              </w:rPr>
            </w:pPr>
            <w:r w:rsidRPr="00FD7FDB">
              <w:rPr>
                <w:lang w:val="en-US"/>
              </w:rPr>
              <w:t>Alcoholic gastritis</w:t>
            </w:r>
          </w:p>
        </w:tc>
        <w:tc>
          <w:tcPr>
            <w:tcW w:w="5102" w:type="dxa"/>
          </w:tcPr>
          <w:p w14:paraId="7BA299E0" w14:textId="77777777" w:rsidR="007303E3" w:rsidRPr="00FD7FDB" w:rsidRDefault="007303E3">
            <w:pPr>
              <w:pStyle w:val="TSBodyText"/>
            </w:pPr>
            <w:r w:rsidRPr="00FD7FDB">
              <w:rPr>
                <w:lang w:val="en-US"/>
              </w:rPr>
              <w:t>K29 (ratio applied post extraction)</w:t>
            </w:r>
          </w:p>
        </w:tc>
      </w:tr>
      <w:tr w:rsidR="007303E3" w14:paraId="6C4D6450"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274FE33E" w14:textId="77777777" w:rsidR="007303E3" w:rsidRPr="00FD7FDB" w:rsidRDefault="007303E3">
            <w:pPr>
              <w:pStyle w:val="TSBodyText"/>
              <w:rPr>
                <w:lang w:val="en-US"/>
              </w:rPr>
            </w:pPr>
            <w:r w:rsidRPr="00FD7FDB">
              <w:rPr>
                <w:lang w:val="en-US"/>
              </w:rPr>
              <w:t>Diabetes</w:t>
            </w:r>
          </w:p>
        </w:tc>
        <w:tc>
          <w:tcPr>
            <w:tcW w:w="5102" w:type="dxa"/>
          </w:tcPr>
          <w:p w14:paraId="3ECD7D51" w14:textId="77777777" w:rsidR="007303E3" w:rsidRPr="00FD7FDB" w:rsidRDefault="007303E3">
            <w:pPr>
              <w:pStyle w:val="TSBodyText"/>
            </w:pPr>
            <w:r w:rsidRPr="00FD7FDB">
              <w:rPr>
                <w:lang w:val="en-US"/>
              </w:rPr>
              <w:t>E10, E11, E12, E13, E14, R73</w:t>
            </w:r>
          </w:p>
        </w:tc>
      </w:tr>
      <w:tr w:rsidR="007303E3" w14:paraId="0FE135BC" w14:textId="77777777">
        <w:tc>
          <w:tcPr>
            <w:tcW w:w="3118" w:type="dxa"/>
          </w:tcPr>
          <w:p w14:paraId="700E53BC" w14:textId="77777777" w:rsidR="007303E3" w:rsidRPr="00FD7FDB" w:rsidRDefault="007303E3">
            <w:pPr>
              <w:pStyle w:val="TSBodyText"/>
              <w:rPr>
                <w:lang w:val="en-US"/>
              </w:rPr>
            </w:pPr>
            <w:r w:rsidRPr="00FD7FDB">
              <w:rPr>
                <w:lang w:val="en-US"/>
              </w:rPr>
              <w:t>Epilepsy</w:t>
            </w:r>
          </w:p>
        </w:tc>
        <w:tc>
          <w:tcPr>
            <w:tcW w:w="5102" w:type="dxa"/>
          </w:tcPr>
          <w:p w14:paraId="70AF4B1B" w14:textId="77777777" w:rsidR="007303E3" w:rsidRPr="00FD7FDB" w:rsidRDefault="007303E3">
            <w:pPr>
              <w:pStyle w:val="TSBodyText"/>
            </w:pPr>
            <w:r w:rsidRPr="00FD7FDB">
              <w:rPr>
                <w:lang w:val="en-US"/>
              </w:rPr>
              <w:t>G40-G41</w:t>
            </w:r>
          </w:p>
        </w:tc>
      </w:tr>
      <w:tr w:rsidR="007303E3" w14:paraId="65447AF6"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DD72891" w14:textId="77777777" w:rsidR="007303E3" w:rsidRPr="00FD7FDB" w:rsidRDefault="007303E3">
            <w:pPr>
              <w:pStyle w:val="TSBodyText"/>
              <w:rPr>
                <w:lang w:val="en-US"/>
              </w:rPr>
            </w:pPr>
            <w:r w:rsidRPr="00FD7FDB">
              <w:rPr>
                <w:lang w:val="en-US"/>
              </w:rPr>
              <w:t>Liver cirrhosis</w:t>
            </w:r>
          </w:p>
        </w:tc>
        <w:tc>
          <w:tcPr>
            <w:tcW w:w="5102" w:type="dxa"/>
          </w:tcPr>
          <w:p w14:paraId="523C1027" w14:textId="77777777" w:rsidR="007303E3" w:rsidRPr="00FD7FDB" w:rsidRDefault="007303E3">
            <w:pPr>
              <w:pStyle w:val="TSBodyText"/>
            </w:pPr>
            <w:r w:rsidRPr="00FD7FDB">
              <w:rPr>
                <w:lang w:val="en-US"/>
              </w:rPr>
              <w:t>I85, K70-K77</w:t>
            </w:r>
          </w:p>
        </w:tc>
      </w:tr>
      <w:tr w:rsidR="007303E3" w14:paraId="5FB5E294" w14:textId="77777777">
        <w:tc>
          <w:tcPr>
            <w:tcW w:w="3118" w:type="dxa"/>
          </w:tcPr>
          <w:p w14:paraId="0F2E248F" w14:textId="77777777" w:rsidR="007303E3" w:rsidRPr="00FD7FDB" w:rsidRDefault="007303E3">
            <w:pPr>
              <w:pStyle w:val="TSBodyText"/>
              <w:rPr>
                <w:lang w:val="en-US"/>
              </w:rPr>
            </w:pPr>
            <w:r w:rsidRPr="00FD7FDB">
              <w:rPr>
                <w:lang w:val="en-US"/>
              </w:rPr>
              <w:t>Lower respiratory tract infections</w:t>
            </w:r>
          </w:p>
        </w:tc>
        <w:tc>
          <w:tcPr>
            <w:tcW w:w="5102" w:type="dxa"/>
          </w:tcPr>
          <w:p w14:paraId="783D38B8" w14:textId="77777777" w:rsidR="007303E3" w:rsidRPr="00FD7FDB" w:rsidRDefault="007303E3">
            <w:pPr>
              <w:pStyle w:val="TSBodyText"/>
            </w:pPr>
            <w:r w:rsidRPr="00FD7FDB">
              <w:rPr>
                <w:lang w:val="en-US"/>
              </w:rPr>
              <w:t>A70, B96-B97, J09-J22, J85-J86, P23, U04</w:t>
            </w:r>
          </w:p>
        </w:tc>
      </w:tr>
      <w:tr w:rsidR="007303E3" w14:paraId="071D9FB5"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FC22BCB" w14:textId="77777777" w:rsidR="007303E3" w:rsidRPr="00FD7FDB" w:rsidRDefault="007303E3">
            <w:pPr>
              <w:pStyle w:val="TSBodyText"/>
              <w:rPr>
                <w:lang w:val="en-US"/>
              </w:rPr>
            </w:pPr>
            <w:r w:rsidRPr="00FD7FDB">
              <w:rPr>
                <w:lang w:val="en-US"/>
              </w:rPr>
              <w:t>Pancreatitis</w:t>
            </w:r>
          </w:p>
        </w:tc>
        <w:tc>
          <w:tcPr>
            <w:tcW w:w="5102" w:type="dxa"/>
          </w:tcPr>
          <w:p w14:paraId="3716F765" w14:textId="77777777" w:rsidR="007303E3" w:rsidRPr="00FD7FDB" w:rsidRDefault="007303E3">
            <w:pPr>
              <w:pStyle w:val="TSBodyText"/>
            </w:pPr>
            <w:r w:rsidRPr="00FD7FDB">
              <w:rPr>
                <w:lang w:val="en-US"/>
              </w:rPr>
              <w:t>K85-K86</w:t>
            </w:r>
          </w:p>
        </w:tc>
      </w:tr>
      <w:tr w:rsidR="007303E3" w14:paraId="3D7070C7" w14:textId="77777777">
        <w:tc>
          <w:tcPr>
            <w:tcW w:w="3118" w:type="dxa"/>
          </w:tcPr>
          <w:p w14:paraId="16849735" w14:textId="77777777" w:rsidR="007303E3" w:rsidRPr="00FD7FDB" w:rsidRDefault="007303E3">
            <w:pPr>
              <w:pStyle w:val="TSBodyText"/>
              <w:rPr>
                <w:lang w:val="en-US"/>
              </w:rPr>
            </w:pPr>
            <w:r w:rsidRPr="00FD7FDB">
              <w:rPr>
                <w:lang w:val="en-US"/>
              </w:rPr>
              <w:t>Tuberculosis</w:t>
            </w:r>
          </w:p>
        </w:tc>
        <w:tc>
          <w:tcPr>
            <w:tcW w:w="5102" w:type="dxa"/>
          </w:tcPr>
          <w:p w14:paraId="77A9856C" w14:textId="77777777" w:rsidR="007303E3" w:rsidRPr="00FD7FDB" w:rsidRDefault="007303E3">
            <w:pPr>
              <w:pStyle w:val="TSBodyText"/>
            </w:pPr>
            <w:r w:rsidRPr="00FD7FDB">
              <w:rPr>
                <w:rFonts w:eastAsia="Calibri"/>
                <w:lang w:val="mi-NZ"/>
              </w:rPr>
              <w:t>A15-A19, B90</w:t>
            </w:r>
          </w:p>
        </w:tc>
      </w:tr>
    </w:tbl>
    <w:bookmarkEnd w:id="260"/>
    <w:p w14:paraId="1DA3558A" w14:textId="77777777" w:rsidR="007303E3" w:rsidRDefault="007303E3" w:rsidP="007303E3">
      <w:pPr>
        <w:pStyle w:val="USSource"/>
      </w:pPr>
      <w:r>
        <w:t xml:space="preserve">Source: Chambers and </w:t>
      </w:r>
      <w:proofErr w:type="spellStart"/>
      <w:r>
        <w:t>Mizdrak</w:t>
      </w:r>
      <w:proofErr w:type="spellEnd"/>
      <w:r>
        <w:t>, forthcoming</w:t>
      </w:r>
    </w:p>
    <w:p w14:paraId="1E156168" w14:textId="77777777" w:rsidR="007303E3" w:rsidRDefault="007303E3" w:rsidP="007303E3">
      <w:pPr>
        <w:pStyle w:val="USBodyText"/>
      </w:pPr>
    </w:p>
    <w:p w14:paraId="35469731" w14:textId="77777777" w:rsidR="007303E3" w:rsidRDefault="007303E3" w:rsidP="007303E3">
      <w:pPr>
        <w:pStyle w:val="USBodyText"/>
      </w:pPr>
    </w:p>
    <w:p w14:paraId="7023066B" w14:textId="77777777" w:rsidR="007303E3" w:rsidRPr="001D4C44" w:rsidRDefault="007303E3" w:rsidP="007303E3">
      <w:pPr>
        <w:pStyle w:val="Heading4"/>
      </w:pPr>
      <w:r>
        <w:br w:type="page"/>
      </w:r>
    </w:p>
    <w:p w14:paraId="1C32B106" w14:textId="77777777" w:rsidR="00B753D7" w:rsidRDefault="00B753D7" w:rsidP="00B753D7">
      <w:pPr>
        <w:pStyle w:val="ApxHeading1"/>
      </w:pPr>
      <w:bookmarkStart w:id="261" w:name="_Toc160633887"/>
      <w:r w:rsidRPr="00B753D7">
        <w:lastRenderedPageBreak/>
        <w:t>Classification of crimes</w:t>
      </w:r>
      <w:bookmarkEnd w:id="261"/>
    </w:p>
    <w:p w14:paraId="595E7512" w14:textId="46C6F84F" w:rsidR="00311F81" w:rsidRPr="00731CA6" w:rsidRDefault="00311F81" w:rsidP="00311F81">
      <w:pPr>
        <w:pStyle w:val="TableCaption"/>
      </w:pPr>
      <w:bookmarkStart w:id="262" w:name="_Toc160633967"/>
      <w:r w:rsidRPr="00731CA6">
        <w:t xml:space="preserve">Table </w:t>
      </w:r>
      <w:fldSimple w:instr=" SEQ Table \* ARABIC ">
        <w:r w:rsidR="00AE166D">
          <w:rPr>
            <w:noProof/>
          </w:rPr>
          <w:t>60</w:t>
        </w:r>
      </w:fldSimple>
      <w:r w:rsidRPr="00731CA6">
        <w:t xml:space="preserve"> </w:t>
      </w:r>
      <w:r>
        <w:t>Classification of crimes as impulsive crimes</w:t>
      </w:r>
      <w:bookmarkEnd w:id="262"/>
    </w:p>
    <w:p w14:paraId="17BE2043" w14:textId="77777777" w:rsidR="00311F81" w:rsidRPr="00731CA6" w:rsidRDefault="00311F81" w:rsidP="00311F81">
      <w:pPr>
        <w:pStyle w:val="CaptionSubheading"/>
      </w:pPr>
    </w:p>
    <w:tbl>
      <w:tblPr>
        <w:tblStyle w:val="TableDefault"/>
        <w:tblW w:w="0" w:type="auto"/>
        <w:tblLook w:val="04A0" w:firstRow="1" w:lastRow="0" w:firstColumn="1" w:lastColumn="0" w:noHBand="0" w:noVBand="1"/>
      </w:tblPr>
      <w:tblGrid>
        <w:gridCol w:w="3118"/>
        <w:gridCol w:w="3969"/>
        <w:gridCol w:w="1133"/>
      </w:tblGrid>
      <w:tr w:rsidR="00311F81" w14:paraId="74D622BE" w14:textId="77777777">
        <w:trPr>
          <w:cnfStyle w:val="100000000000" w:firstRow="1" w:lastRow="0" w:firstColumn="0" w:lastColumn="0" w:oddVBand="0" w:evenVBand="0" w:oddHBand="0" w:evenHBand="0" w:firstRowFirstColumn="0" w:firstRowLastColumn="0" w:lastRowFirstColumn="0" w:lastRowLastColumn="0"/>
        </w:trPr>
        <w:tc>
          <w:tcPr>
            <w:tcW w:w="3118" w:type="dxa"/>
          </w:tcPr>
          <w:p w14:paraId="73E87351" w14:textId="77777777" w:rsidR="00311F81" w:rsidRPr="00DA7355" w:rsidRDefault="00311F81">
            <w:pPr>
              <w:pStyle w:val="TSTableHeadingWhite-TopRow"/>
              <w:rPr>
                <w:b w:val="0"/>
                <w:bCs/>
                <w:color w:val="FFFFFF" w:themeColor="background1"/>
              </w:rPr>
            </w:pPr>
            <w:r w:rsidRPr="00DA7355">
              <w:t>ANZSOC Sub-divisions</w:t>
            </w:r>
          </w:p>
        </w:tc>
        <w:tc>
          <w:tcPr>
            <w:tcW w:w="3969" w:type="dxa"/>
          </w:tcPr>
          <w:p w14:paraId="379CE77B" w14:textId="77777777" w:rsidR="00311F81" w:rsidRPr="00DA7355" w:rsidRDefault="00311F81">
            <w:pPr>
              <w:pStyle w:val="TSTableHeadingWhite-TopRow"/>
              <w:rPr>
                <w:b w:val="0"/>
                <w:bCs/>
                <w:color w:val="FFFFFF" w:themeColor="background1"/>
              </w:rPr>
            </w:pPr>
            <w:r w:rsidRPr="00DA7355">
              <w:t>ANZSOC Groups</w:t>
            </w:r>
          </w:p>
        </w:tc>
        <w:tc>
          <w:tcPr>
            <w:tcW w:w="1133" w:type="dxa"/>
          </w:tcPr>
          <w:p w14:paraId="196939AB" w14:textId="77777777" w:rsidR="00311F81" w:rsidRPr="00DA7355" w:rsidRDefault="00311F81">
            <w:pPr>
              <w:pStyle w:val="TSTableHeadingWhite-TopRow"/>
              <w:rPr>
                <w:b w:val="0"/>
                <w:bCs/>
                <w:color w:val="FFFFFF" w:themeColor="background1"/>
              </w:rPr>
            </w:pPr>
            <w:r w:rsidRPr="00DA7355">
              <w:t>Inclu</w:t>
            </w:r>
            <w:r w:rsidRPr="00DA7355">
              <w:rPr>
                <w:bCs/>
                <w:color w:val="FFFFFF" w:themeColor="background1"/>
              </w:rPr>
              <w:t>sion</w:t>
            </w:r>
          </w:p>
        </w:tc>
      </w:tr>
      <w:tr w:rsidR="00311F81" w14:paraId="4FB2E847" w14:textId="77777777">
        <w:tc>
          <w:tcPr>
            <w:tcW w:w="3118" w:type="dxa"/>
          </w:tcPr>
          <w:p w14:paraId="55FFDA1E" w14:textId="77777777" w:rsidR="00311F81" w:rsidRPr="00DA7355" w:rsidRDefault="00311F81" w:rsidP="007925EA">
            <w:pPr>
              <w:pStyle w:val="TSBodyText"/>
            </w:pPr>
            <w:r w:rsidRPr="00DA7355">
              <w:t>010: Homicide and related offences not further defined</w:t>
            </w:r>
          </w:p>
        </w:tc>
        <w:tc>
          <w:tcPr>
            <w:tcW w:w="3969" w:type="dxa"/>
          </w:tcPr>
          <w:p w14:paraId="535F9DEB" w14:textId="77777777" w:rsidR="00311F81" w:rsidRPr="00DA7355" w:rsidRDefault="00311F81" w:rsidP="007925EA">
            <w:pPr>
              <w:pStyle w:val="TSBodyText"/>
            </w:pPr>
            <w:r w:rsidRPr="00DA7355">
              <w:t>0100: Homicide and related offences not further defined</w:t>
            </w:r>
          </w:p>
        </w:tc>
        <w:tc>
          <w:tcPr>
            <w:tcW w:w="1133" w:type="dxa"/>
          </w:tcPr>
          <w:p w14:paraId="163A253A" w14:textId="77777777" w:rsidR="00311F81" w:rsidRPr="00DA7355" w:rsidRDefault="00311F81" w:rsidP="007925EA">
            <w:pPr>
              <w:pStyle w:val="TSBodyText"/>
            </w:pPr>
            <w:r w:rsidRPr="00DA7355">
              <w:t>Included</w:t>
            </w:r>
          </w:p>
        </w:tc>
      </w:tr>
      <w:tr w:rsidR="00311F81" w14:paraId="35D24C3F"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D85CD34" w14:textId="77777777" w:rsidR="00311F81" w:rsidRPr="00DA7355" w:rsidRDefault="00311F81" w:rsidP="007925EA">
            <w:pPr>
              <w:pStyle w:val="TSBodyText"/>
            </w:pPr>
            <w:r w:rsidRPr="00DA7355">
              <w:t>011: Murder</w:t>
            </w:r>
          </w:p>
        </w:tc>
        <w:tc>
          <w:tcPr>
            <w:tcW w:w="3969" w:type="dxa"/>
          </w:tcPr>
          <w:p w14:paraId="311DFC76" w14:textId="77777777" w:rsidR="00311F81" w:rsidRPr="00DA7355" w:rsidRDefault="00311F81" w:rsidP="007925EA">
            <w:pPr>
              <w:pStyle w:val="TSBodyText"/>
            </w:pPr>
            <w:r w:rsidRPr="00DA7355">
              <w:t>0111: Murder</w:t>
            </w:r>
          </w:p>
        </w:tc>
        <w:tc>
          <w:tcPr>
            <w:tcW w:w="1133" w:type="dxa"/>
          </w:tcPr>
          <w:p w14:paraId="666B1A06" w14:textId="77777777" w:rsidR="00311F81" w:rsidRPr="00DA7355" w:rsidRDefault="00311F81" w:rsidP="007925EA">
            <w:pPr>
              <w:pStyle w:val="TSBodyText"/>
            </w:pPr>
            <w:r w:rsidRPr="00DA7355">
              <w:t>Included</w:t>
            </w:r>
          </w:p>
        </w:tc>
      </w:tr>
      <w:tr w:rsidR="00311F81" w14:paraId="6E159B13" w14:textId="77777777">
        <w:tc>
          <w:tcPr>
            <w:tcW w:w="3118" w:type="dxa"/>
          </w:tcPr>
          <w:p w14:paraId="5FC3CE39" w14:textId="77777777" w:rsidR="00311F81" w:rsidRPr="00DA7355" w:rsidRDefault="00311F81" w:rsidP="007925EA">
            <w:pPr>
              <w:pStyle w:val="TSBodyText"/>
            </w:pPr>
            <w:r w:rsidRPr="00DA7355">
              <w:t>012: Attempted murder</w:t>
            </w:r>
          </w:p>
        </w:tc>
        <w:tc>
          <w:tcPr>
            <w:tcW w:w="3969" w:type="dxa"/>
          </w:tcPr>
          <w:p w14:paraId="75CB4987" w14:textId="77777777" w:rsidR="00311F81" w:rsidRPr="00DA7355" w:rsidRDefault="00311F81" w:rsidP="007925EA">
            <w:pPr>
              <w:pStyle w:val="TSBodyText"/>
            </w:pPr>
            <w:r w:rsidRPr="00DA7355">
              <w:t>0121: Attempted murder</w:t>
            </w:r>
          </w:p>
        </w:tc>
        <w:tc>
          <w:tcPr>
            <w:tcW w:w="1133" w:type="dxa"/>
          </w:tcPr>
          <w:p w14:paraId="12D0C4AB" w14:textId="77777777" w:rsidR="00311F81" w:rsidRPr="00DA7355" w:rsidRDefault="00311F81" w:rsidP="007925EA">
            <w:pPr>
              <w:pStyle w:val="TSBodyText"/>
            </w:pPr>
            <w:r w:rsidRPr="00DA7355">
              <w:t>Included</w:t>
            </w:r>
          </w:p>
        </w:tc>
      </w:tr>
      <w:tr w:rsidR="00311F81" w14:paraId="58FE2154"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DEB28A1" w14:textId="77777777" w:rsidR="00311F81" w:rsidRPr="00DA7355" w:rsidRDefault="00311F81" w:rsidP="007925EA">
            <w:pPr>
              <w:pStyle w:val="TSBodyText"/>
            </w:pPr>
            <w:r w:rsidRPr="00DA7355">
              <w:t>013: Manslaughter and driving causing death</w:t>
            </w:r>
          </w:p>
        </w:tc>
        <w:tc>
          <w:tcPr>
            <w:tcW w:w="3969" w:type="dxa"/>
          </w:tcPr>
          <w:p w14:paraId="518284B9" w14:textId="77777777" w:rsidR="00311F81" w:rsidRPr="00DA7355" w:rsidRDefault="00311F81" w:rsidP="007925EA">
            <w:pPr>
              <w:pStyle w:val="TSBodyText"/>
            </w:pPr>
            <w:r w:rsidRPr="00DA7355">
              <w:t>0131: Manslaughter</w:t>
            </w:r>
          </w:p>
        </w:tc>
        <w:tc>
          <w:tcPr>
            <w:tcW w:w="1133" w:type="dxa"/>
          </w:tcPr>
          <w:p w14:paraId="172A9E0D" w14:textId="77777777" w:rsidR="00311F81" w:rsidRPr="00DA7355" w:rsidRDefault="00311F81" w:rsidP="007925EA">
            <w:pPr>
              <w:pStyle w:val="TSBodyText"/>
            </w:pPr>
            <w:r w:rsidRPr="00DA7355">
              <w:t>Included</w:t>
            </w:r>
          </w:p>
        </w:tc>
      </w:tr>
      <w:tr w:rsidR="00311F81" w14:paraId="33B20764" w14:textId="77777777">
        <w:tc>
          <w:tcPr>
            <w:tcW w:w="3118" w:type="dxa"/>
          </w:tcPr>
          <w:p w14:paraId="28516DBB" w14:textId="77777777" w:rsidR="00311F81" w:rsidRPr="00DA7355" w:rsidRDefault="00311F81" w:rsidP="007925EA">
            <w:pPr>
              <w:pStyle w:val="TSBodyText"/>
            </w:pPr>
          </w:p>
        </w:tc>
        <w:tc>
          <w:tcPr>
            <w:tcW w:w="3969" w:type="dxa"/>
          </w:tcPr>
          <w:p w14:paraId="56EB6D15" w14:textId="77777777" w:rsidR="00311F81" w:rsidRPr="00DA7355" w:rsidRDefault="00311F81" w:rsidP="007925EA">
            <w:pPr>
              <w:pStyle w:val="TSBodyText"/>
            </w:pPr>
            <w:r w:rsidRPr="00DA7355">
              <w:t>0132: Driving causing death</w:t>
            </w:r>
          </w:p>
        </w:tc>
        <w:tc>
          <w:tcPr>
            <w:tcW w:w="1133" w:type="dxa"/>
          </w:tcPr>
          <w:p w14:paraId="20C4A9C7" w14:textId="77777777" w:rsidR="00311F81" w:rsidRPr="00DA7355" w:rsidRDefault="00311F81" w:rsidP="007925EA">
            <w:pPr>
              <w:pStyle w:val="TSBodyText"/>
            </w:pPr>
            <w:r w:rsidRPr="00DA7355">
              <w:t>Included</w:t>
            </w:r>
          </w:p>
        </w:tc>
      </w:tr>
      <w:tr w:rsidR="00311F81" w14:paraId="012B9B7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FD267D6" w14:textId="77777777" w:rsidR="00311F81" w:rsidRPr="00DA7355" w:rsidRDefault="00311F81" w:rsidP="007925EA">
            <w:pPr>
              <w:pStyle w:val="TSBodyText"/>
            </w:pPr>
            <w:r w:rsidRPr="00DA7355">
              <w:t>021: Assault</w:t>
            </w:r>
          </w:p>
        </w:tc>
        <w:tc>
          <w:tcPr>
            <w:tcW w:w="3969" w:type="dxa"/>
          </w:tcPr>
          <w:p w14:paraId="55E654C8" w14:textId="77777777" w:rsidR="00311F81" w:rsidRPr="00DA7355" w:rsidRDefault="00311F81" w:rsidP="007925EA">
            <w:pPr>
              <w:pStyle w:val="TSBodyText"/>
            </w:pPr>
            <w:r w:rsidRPr="00DA7355">
              <w:t>0210: Assault not further defined</w:t>
            </w:r>
          </w:p>
        </w:tc>
        <w:tc>
          <w:tcPr>
            <w:tcW w:w="1133" w:type="dxa"/>
          </w:tcPr>
          <w:p w14:paraId="004F66E9" w14:textId="77777777" w:rsidR="00311F81" w:rsidRPr="00DA7355" w:rsidRDefault="00311F81" w:rsidP="007925EA">
            <w:pPr>
              <w:pStyle w:val="TSBodyText"/>
            </w:pPr>
            <w:r w:rsidRPr="00DA7355">
              <w:t>Included</w:t>
            </w:r>
          </w:p>
        </w:tc>
      </w:tr>
      <w:tr w:rsidR="00311F81" w14:paraId="04FCE568" w14:textId="77777777">
        <w:tc>
          <w:tcPr>
            <w:tcW w:w="3118" w:type="dxa"/>
          </w:tcPr>
          <w:p w14:paraId="00F8CFA6" w14:textId="77777777" w:rsidR="00311F81" w:rsidRPr="00DA7355" w:rsidRDefault="00311F81" w:rsidP="007925EA">
            <w:pPr>
              <w:pStyle w:val="TSBodyText"/>
            </w:pPr>
          </w:p>
        </w:tc>
        <w:tc>
          <w:tcPr>
            <w:tcW w:w="3969" w:type="dxa"/>
          </w:tcPr>
          <w:p w14:paraId="6442CEDC" w14:textId="77777777" w:rsidR="00311F81" w:rsidRPr="00DA7355" w:rsidRDefault="00311F81" w:rsidP="007925EA">
            <w:pPr>
              <w:pStyle w:val="TSBodyText"/>
            </w:pPr>
            <w:r w:rsidRPr="00DA7355">
              <w:t>0213: Common assault</w:t>
            </w:r>
          </w:p>
        </w:tc>
        <w:tc>
          <w:tcPr>
            <w:tcW w:w="1133" w:type="dxa"/>
          </w:tcPr>
          <w:p w14:paraId="7206ABE2" w14:textId="77777777" w:rsidR="00311F81" w:rsidRPr="00DA7355" w:rsidRDefault="00311F81" w:rsidP="007925EA">
            <w:pPr>
              <w:pStyle w:val="TSBodyText"/>
            </w:pPr>
            <w:r w:rsidRPr="00DA7355">
              <w:t>Included</w:t>
            </w:r>
          </w:p>
        </w:tc>
      </w:tr>
      <w:tr w:rsidR="00311F81" w14:paraId="5B22DE68"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4F97443" w14:textId="77777777" w:rsidR="00311F81" w:rsidRPr="00DA7355" w:rsidRDefault="00311F81" w:rsidP="007925EA">
            <w:pPr>
              <w:pStyle w:val="TSBodyText"/>
            </w:pPr>
            <w:r w:rsidRPr="00DA7355">
              <w:t>029: Other acts intended to cause injury</w:t>
            </w:r>
          </w:p>
        </w:tc>
        <w:tc>
          <w:tcPr>
            <w:tcW w:w="3969" w:type="dxa"/>
          </w:tcPr>
          <w:p w14:paraId="20EE11FF" w14:textId="77777777" w:rsidR="00311F81" w:rsidRPr="00DA7355" w:rsidRDefault="00311F81" w:rsidP="007925EA">
            <w:pPr>
              <w:pStyle w:val="TSBodyText"/>
            </w:pPr>
            <w:r w:rsidRPr="00DA7355">
              <w:t xml:space="preserve">0299: Other acts intended to cause injury, </w:t>
            </w:r>
            <w:proofErr w:type="spellStart"/>
            <w:r w:rsidRPr="00DA7355">
              <w:t>nec</w:t>
            </w:r>
            <w:proofErr w:type="spellEnd"/>
          </w:p>
        </w:tc>
        <w:tc>
          <w:tcPr>
            <w:tcW w:w="1133" w:type="dxa"/>
          </w:tcPr>
          <w:p w14:paraId="68352D97" w14:textId="77777777" w:rsidR="00311F81" w:rsidRPr="00DA7355" w:rsidRDefault="00311F81" w:rsidP="007925EA">
            <w:pPr>
              <w:pStyle w:val="TSBodyText"/>
            </w:pPr>
            <w:r w:rsidRPr="00DA7355">
              <w:t>Included</w:t>
            </w:r>
          </w:p>
        </w:tc>
      </w:tr>
      <w:tr w:rsidR="00311F81" w14:paraId="3E080EC9" w14:textId="77777777">
        <w:tc>
          <w:tcPr>
            <w:tcW w:w="3118" w:type="dxa"/>
          </w:tcPr>
          <w:p w14:paraId="63BB32D7" w14:textId="77777777" w:rsidR="00311F81" w:rsidRPr="00DA7355" w:rsidRDefault="00311F81" w:rsidP="007925EA">
            <w:pPr>
              <w:pStyle w:val="TSBodyText"/>
            </w:pPr>
            <w:r w:rsidRPr="00DA7355">
              <w:t>031: Sexual assault</w:t>
            </w:r>
          </w:p>
        </w:tc>
        <w:tc>
          <w:tcPr>
            <w:tcW w:w="3969" w:type="dxa"/>
          </w:tcPr>
          <w:p w14:paraId="1F9A5400" w14:textId="77777777" w:rsidR="00311F81" w:rsidRPr="00DA7355" w:rsidRDefault="00311F81" w:rsidP="007925EA">
            <w:pPr>
              <w:pStyle w:val="TSBodyText"/>
            </w:pPr>
            <w:r w:rsidRPr="00DA7355">
              <w:t>0311: Aggravated sexual assault</w:t>
            </w:r>
          </w:p>
        </w:tc>
        <w:tc>
          <w:tcPr>
            <w:tcW w:w="1133" w:type="dxa"/>
          </w:tcPr>
          <w:p w14:paraId="7E953B12" w14:textId="77777777" w:rsidR="00311F81" w:rsidRPr="00DA7355" w:rsidRDefault="00311F81" w:rsidP="007925EA">
            <w:pPr>
              <w:pStyle w:val="TSBodyText"/>
            </w:pPr>
            <w:r w:rsidRPr="00DA7355">
              <w:t>Included</w:t>
            </w:r>
          </w:p>
        </w:tc>
      </w:tr>
      <w:tr w:rsidR="00311F81" w14:paraId="6AEF14F0"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62C0890" w14:textId="77777777" w:rsidR="00311F81" w:rsidRPr="00DA7355" w:rsidRDefault="00311F81" w:rsidP="007925EA">
            <w:pPr>
              <w:pStyle w:val="TSBodyText"/>
            </w:pPr>
          </w:p>
        </w:tc>
        <w:tc>
          <w:tcPr>
            <w:tcW w:w="3969" w:type="dxa"/>
          </w:tcPr>
          <w:p w14:paraId="72516A74" w14:textId="77777777" w:rsidR="00311F81" w:rsidRPr="00DA7355" w:rsidRDefault="00311F81" w:rsidP="007925EA">
            <w:pPr>
              <w:pStyle w:val="TSBodyText"/>
            </w:pPr>
            <w:r w:rsidRPr="00DA7355">
              <w:t>0312: Non-aggravated sexual assault</w:t>
            </w:r>
          </w:p>
        </w:tc>
        <w:tc>
          <w:tcPr>
            <w:tcW w:w="1133" w:type="dxa"/>
          </w:tcPr>
          <w:p w14:paraId="386DE4CB" w14:textId="77777777" w:rsidR="00311F81" w:rsidRPr="00DA7355" w:rsidRDefault="00311F81" w:rsidP="007925EA">
            <w:pPr>
              <w:pStyle w:val="TSBodyText"/>
            </w:pPr>
            <w:r w:rsidRPr="00DA7355">
              <w:t>Included</w:t>
            </w:r>
          </w:p>
        </w:tc>
      </w:tr>
      <w:tr w:rsidR="00311F81" w14:paraId="13A24328" w14:textId="77777777">
        <w:tc>
          <w:tcPr>
            <w:tcW w:w="3118" w:type="dxa"/>
          </w:tcPr>
          <w:p w14:paraId="7103292E" w14:textId="77777777" w:rsidR="00311F81" w:rsidRPr="00DA7355" w:rsidRDefault="00311F81" w:rsidP="007925EA">
            <w:pPr>
              <w:pStyle w:val="TSBodyText"/>
            </w:pPr>
            <w:r w:rsidRPr="00DA7355">
              <w:t>032: Non-assaultive sexual offences</w:t>
            </w:r>
          </w:p>
        </w:tc>
        <w:tc>
          <w:tcPr>
            <w:tcW w:w="3969" w:type="dxa"/>
          </w:tcPr>
          <w:p w14:paraId="214FBC6E" w14:textId="77777777" w:rsidR="00311F81" w:rsidRPr="00DA7355" w:rsidRDefault="00311F81" w:rsidP="007925EA">
            <w:pPr>
              <w:pStyle w:val="TSBodyText"/>
            </w:pPr>
            <w:r w:rsidRPr="00DA7355">
              <w:t>0321: Non-assaultive sexual offences against a child</w:t>
            </w:r>
          </w:p>
        </w:tc>
        <w:tc>
          <w:tcPr>
            <w:tcW w:w="1133" w:type="dxa"/>
          </w:tcPr>
          <w:p w14:paraId="0AFC7F09" w14:textId="77777777" w:rsidR="00311F81" w:rsidRPr="00DA7355" w:rsidRDefault="00311F81" w:rsidP="007925EA">
            <w:pPr>
              <w:pStyle w:val="TSBodyText"/>
            </w:pPr>
            <w:r w:rsidRPr="00DA7355">
              <w:t>Excluded</w:t>
            </w:r>
          </w:p>
        </w:tc>
      </w:tr>
      <w:tr w:rsidR="00311F81" w14:paraId="5D0D0733"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2F70290" w14:textId="77777777" w:rsidR="00311F81" w:rsidRPr="00DA7355" w:rsidRDefault="00311F81" w:rsidP="007925EA">
            <w:pPr>
              <w:pStyle w:val="TSBodyText"/>
            </w:pPr>
          </w:p>
        </w:tc>
        <w:tc>
          <w:tcPr>
            <w:tcW w:w="3969" w:type="dxa"/>
          </w:tcPr>
          <w:p w14:paraId="692A2E85" w14:textId="77777777" w:rsidR="00311F81" w:rsidRPr="00DA7355" w:rsidRDefault="00311F81" w:rsidP="007925EA">
            <w:pPr>
              <w:pStyle w:val="TSBodyText"/>
            </w:pPr>
            <w:r w:rsidRPr="00DA7355">
              <w:t>0322: Child pornography offences</w:t>
            </w:r>
          </w:p>
        </w:tc>
        <w:tc>
          <w:tcPr>
            <w:tcW w:w="1133" w:type="dxa"/>
          </w:tcPr>
          <w:p w14:paraId="124786DA" w14:textId="77777777" w:rsidR="00311F81" w:rsidRPr="00DA7355" w:rsidRDefault="00311F81" w:rsidP="007925EA">
            <w:pPr>
              <w:pStyle w:val="TSBodyText"/>
            </w:pPr>
            <w:r w:rsidRPr="00DA7355">
              <w:t>Excluded</w:t>
            </w:r>
          </w:p>
        </w:tc>
      </w:tr>
      <w:tr w:rsidR="00311F81" w14:paraId="7FB7712E" w14:textId="77777777">
        <w:tc>
          <w:tcPr>
            <w:tcW w:w="3118" w:type="dxa"/>
          </w:tcPr>
          <w:p w14:paraId="57DA1D99" w14:textId="77777777" w:rsidR="00311F81" w:rsidRPr="00DA7355" w:rsidRDefault="00311F81" w:rsidP="007925EA">
            <w:pPr>
              <w:pStyle w:val="TSBodyText"/>
            </w:pPr>
          </w:p>
        </w:tc>
        <w:tc>
          <w:tcPr>
            <w:tcW w:w="3969" w:type="dxa"/>
          </w:tcPr>
          <w:p w14:paraId="65AE49E6" w14:textId="77777777" w:rsidR="00311F81" w:rsidRPr="00DA7355" w:rsidRDefault="00311F81" w:rsidP="007925EA">
            <w:pPr>
              <w:pStyle w:val="TSBodyText"/>
            </w:pPr>
            <w:r w:rsidRPr="00DA7355">
              <w:t xml:space="preserve">0329: Non-assaultive sexual offences, </w:t>
            </w:r>
            <w:proofErr w:type="spellStart"/>
            <w:r w:rsidRPr="00DA7355">
              <w:t>nec</w:t>
            </w:r>
            <w:proofErr w:type="spellEnd"/>
          </w:p>
        </w:tc>
        <w:tc>
          <w:tcPr>
            <w:tcW w:w="1133" w:type="dxa"/>
          </w:tcPr>
          <w:p w14:paraId="6A55FC28" w14:textId="77777777" w:rsidR="00311F81" w:rsidRPr="00DA7355" w:rsidRDefault="00311F81" w:rsidP="007925EA">
            <w:pPr>
              <w:pStyle w:val="TSBodyText"/>
            </w:pPr>
            <w:r w:rsidRPr="00DA7355">
              <w:t>Excluded</w:t>
            </w:r>
          </w:p>
        </w:tc>
      </w:tr>
      <w:tr w:rsidR="00311F81" w14:paraId="2D85BF3F"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3B7DEC12" w14:textId="77777777" w:rsidR="00311F81" w:rsidRPr="00DA7355" w:rsidRDefault="00311F81" w:rsidP="007925EA">
            <w:pPr>
              <w:pStyle w:val="TSBodyText"/>
            </w:pPr>
            <w:r w:rsidRPr="00DA7355">
              <w:t>041: Dangerous or negligent operation of a vehicle</w:t>
            </w:r>
          </w:p>
        </w:tc>
        <w:tc>
          <w:tcPr>
            <w:tcW w:w="3969" w:type="dxa"/>
          </w:tcPr>
          <w:p w14:paraId="68D639D7" w14:textId="77777777" w:rsidR="00311F81" w:rsidRPr="00DA7355" w:rsidRDefault="00311F81" w:rsidP="007925EA">
            <w:pPr>
              <w:pStyle w:val="TSBodyText"/>
            </w:pPr>
            <w:r w:rsidRPr="00DA7355">
              <w:t>0411: Driving under the influence of alcohol or other substance</w:t>
            </w:r>
          </w:p>
        </w:tc>
        <w:tc>
          <w:tcPr>
            <w:tcW w:w="1133" w:type="dxa"/>
          </w:tcPr>
          <w:p w14:paraId="7D75DBFF" w14:textId="77777777" w:rsidR="00311F81" w:rsidRPr="00DA7355" w:rsidRDefault="00311F81" w:rsidP="007925EA">
            <w:pPr>
              <w:pStyle w:val="TSBodyText"/>
            </w:pPr>
            <w:r w:rsidRPr="00DA7355">
              <w:t>Included</w:t>
            </w:r>
          </w:p>
        </w:tc>
      </w:tr>
      <w:tr w:rsidR="00311F81" w14:paraId="278C5BB3" w14:textId="77777777">
        <w:tc>
          <w:tcPr>
            <w:tcW w:w="3118" w:type="dxa"/>
          </w:tcPr>
          <w:p w14:paraId="7F06A63B" w14:textId="77777777" w:rsidR="00311F81" w:rsidRPr="00DA7355" w:rsidRDefault="00311F81" w:rsidP="007925EA">
            <w:pPr>
              <w:pStyle w:val="TSBodyText"/>
            </w:pPr>
          </w:p>
        </w:tc>
        <w:tc>
          <w:tcPr>
            <w:tcW w:w="3969" w:type="dxa"/>
          </w:tcPr>
          <w:p w14:paraId="3D24172D" w14:textId="77777777" w:rsidR="00311F81" w:rsidRPr="00DA7355" w:rsidRDefault="00311F81" w:rsidP="007925EA">
            <w:pPr>
              <w:pStyle w:val="TSBodyText"/>
            </w:pPr>
            <w:r w:rsidRPr="00DA7355">
              <w:t>0412: Dangerous or negligent operation (driving) of a vehicle</w:t>
            </w:r>
          </w:p>
        </w:tc>
        <w:tc>
          <w:tcPr>
            <w:tcW w:w="1133" w:type="dxa"/>
          </w:tcPr>
          <w:p w14:paraId="2C99E8FF" w14:textId="77777777" w:rsidR="00311F81" w:rsidRPr="00DA7355" w:rsidRDefault="00311F81" w:rsidP="007925EA">
            <w:pPr>
              <w:pStyle w:val="TSBodyText"/>
            </w:pPr>
            <w:r w:rsidRPr="00DA7355">
              <w:t>Included</w:t>
            </w:r>
          </w:p>
        </w:tc>
      </w:tr>
      <w:tr w:rsidR="00311F81" w14:paraId="3AC5CD3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EA6AC6E" w14:textId="77777777" w:rsidR="00311F81" w:rsidRPr="00DA7355" w:rsidRDefault="00311F81" w:rsidP="007925EA">
            <w:pPr>
              <w:pStyle w:val="TSBodyText"/>
            </w:pPr>
            <w:r w:rsidRPr="00DA7355">
              <w:t>049: Other dangerous or negligent acts endangering persons</w:t>
            </w:r>
          </w:p>
        </w:tc>
        <w:tc>
          <w:tcPr>
            <w:tcW w:w="3969" w:type="dxa"/>
          </w:tcPr>
          <w:p w14:paraId="6B31DFF6" w14:textId="77777777" w:rsidR="00311F81" w:rsidRPr="00DA7355" w:rsidRDefault="00311F81" w:rsidP="007925EA">
            <w:pPr>
              <w:pStyle w:val="TSBodyText"/>
            </w:pPr>
            <w:r w:rsidRPr="00DA7355">
              <w:t>0491: Neglect or ill-treatment of persons under care</w:t>
            </w:r>
          </w:p>
        </w:tc>
        <w:tc>
          <w:tcPr>
            <w:tcW w:w="1133" w:type="dxa"/>
          </w:tcPr>
          <w:p w14:paraId="7369BEB3" w14:textId="77777777" w:rsidR="00311F81" w:rsidRPr="00DA7355" w:rsidRDefault="00311F81" w:rsidP="007925EA">
            <w:pPr>
              <w:pStyle w:val="TSBodyText"/>
            </w:pPr>
            <w:r w:rsidRPr="00DA7355">
              <w:t>Included</w:t>
            </w:r>
          </w:p>
        </w:tc>
      </w:tr>
      <w:tr w:rsidR="00311F81" w14:paraId="61E71A07" w14:textId="77777777">
        <w:tc>
          <w:tcPr>
            <w:tcW w:w="3118" w:type="dxa"/>
          </w:tcPr>
          <w:p w14:paraId="515F92DF" w14:textId="77777777" w:rsidR="00311F81" w:rsidRPr="00DA7355" w:rsidRDefault="00311F81" w:rsidP="007925EA">
            <w:pPr>
              <w:pStyle w:val="TSBodyText"/>
            </w:pPr>
          </w:p>
        </w:tc>
        <w:tc>
          <w:tcPr>
            <w:tcW w:w="3969" w:type="dxa"/>
          </w:tcPr>
          <w:p w14:paraId="5A925C90" w14:textId="77777777" w:rsidR="00311F81" w:rsidRPr="00DA7355" w:rsidRDefault="00311F81" w:rsidP="007925EA">
            <w:pPr>
              <w:pStyle w:val="TSBodyText"/>
            </w:pPr>
            <w:r w:rsidRPr="00DA7355">
              <w:t xml:space="preserve">0499: Other dangerous or negligent acts endangering persons, </w:t>
            </w:r>
            <w:proofErr w:type="spellStart"/>
            <w:r w:rsidRPr="00DA7355">
              <w:t>nec</w:t>
            </w:r>
            <w:proofErr w:type="spellEnd"/>
          </w:p>
        </w:tc>
        <w:tc>
          <w:tcPr>
            <w:tcW w:w="1133" w:type="dxa"/>
          </w:tcPr>
          <w:p w14:paraId="3BF5DB33" w14:textId="77777777" w:rsidR="00311F81" w:rsidRPr="00DA7355" w:rsidRDefault="00311F81" w:rsidP="007925EA">
            <w:pPr>
              <w:pStyle w:val="TSBodyText"/>
            </w:pPr>
            <w:r w:rsidRPr="00DA7355">
              <w:t>Included</w:t>
            </w:r>
          </w:p>
        </w:tc>
      </w:tr>
      <w:tr w:rsidR="00311F81" w14:paraId="0F4AF78B"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9DE6AF6" w14:textId="77777777" w:rsidR="00311F81" w:rsidRPr="00DA7355" w:rsidRDefault="00311F81" w:rsidP="007925EA">
            <w:pPr>
              <w:pStyle w:val="TSBodyText"/>
            </w:pPr>
            <w:r w:rsidRPr="00DA7355">
              <w:t>051: Abduction and kidnapping</w:t>
            </w:r>
          </w:p>
        </w:tc>
        <w:tc>
          <w:tcPr>
            <w:tcW w:w="3969" w:type="dxa"/>
          </w:tcPr>
          <w:p w14:paraId="64BA5933" w14:textId="77777777" w:rsidR="00311F81" w:rsidRPr="00DA7355" w:rsidRDefault="00311F81" w:rsidP="007925EA">
            <w:pPr>
              <w:pStyle w:val="TSBodyText"/>
            </w:pPr>
            <w:r w:rsidRPr="00DA7355">
              <w:t>0511: Abduction and kidnapping</w:t>
            </w:r>
          </w:p>
        </w:tc>
        <w:tc>
          <w:tcPr>
            <w:tcW w:w="1133" w:type="dxa"/>
          </w:tcPr>
          <w:p w14:paraId="5BFCE0DA" w14:textId="77777777" w:rsidR="00311F81" w:rsidRPr="00DA7355" w:rsidRDefault="00311F81" w:rsidP="007925EA">
            <w:pPr>
              <w:pStyle w:val="TSBodyText"/>
            </w:pPr>
            <w:r w:rsidRPr="00DA7355">
              <w:t>Excluded</w:t>
            </w:r>
          </w:p>
        </w:tc>
      </w:tr>
      <w:tr w:rsidR="00311F81" w14:paraId="216FB631" w14:textId="77777777">
        <w:tc>
          <w:tcPr>
            <w:tcW w:w="3118" w:type="dxa"/>
          </w:tcPr>
          <w:p w14:paraId="4A075BFF" w14:textId="77777777" w:rsidR="00311F81" w:rsidRPr="00DA7355" w:rsidRDefault="00311F81" w:rsidP="007925EA">
            <w:pPr>
              <w:pStyle w:val="TSBodyText"/>
            </w:pPr>
            <w:r w:rsidRPr="00DA7355">
              <w:t>052: Deprivation of liberty/false imprisonment</w:t>
            </w:r>
          </w:p>
        </w:tc>
        <w:tc>
          <w:tcPr>
            <w:tcW w:w="3969" w:type="dxa"/>
          </w:tcPr>
          <w:p w14:paraId="176130F0" w14:textId="77777777" w:rsidR="00311F81" w:rsidRPr="00DA7355" w:rsidRDefault="00311F81" w:rsidP="007925EA">
            <w:pPr>
              <w:pStyle w:val="TSBodyText"/>
            </w:pPr>
            <w:r w:rsidRPr="00DA7355">
              <w:t>0521: Deprivation of liberty/false imprisonment</w:t>
            </w:r>
          </w:p>
        </w:tc>
        <w:tc>
          <w:tcPr>
            <w:tcW w:w="1133" w:type="dxa"/>
          </w:tcPr>
          <w:p w14:paraId="069F1EDD" w14:textId="77777777" w:rsidR="00311F81" w:rsidRPr="00DA7355" w:rsidRDefault="00311F81" w:rsidP="007925EA">
            <w:pPr>
              <w:pStyle w:val="TSBodyText"/>
            </w:pPr>
            <w:r w:rsidRPr="00DA7355">
              <w:t>Excluded</w:t>
            </w:r>
          </w:p>
        </w:tc>
      </w:tr>
      <w:tr w:rsidR="00311F81" w14:paraId="76271F38"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5AD283A" w14:textId="77777777" w:rsidR="00311F81" w:rsidRPr="00DA7355" w:rsidRDefault="00311F81" w:rsidP="007925EA">
            <w:pPr>
              <w:pStyle w:val="TSBodyText"/>
            </w:pPr>
            <w:r w:rsidRPr="00DA7355">
              <w:t>053: Harassment and threatening behaviour</w:t>
            </w:r>
          </w:p>
        </w:tc>
        <w:tc>
          <w:tcPr>
            <w:tcW w:w="3969" w:type="dxa"/>
          </w:tcPr>
          <w:p w14:paraId="6EED1C46" w14:textId="77777777" w:rsidR="00311F81" w:rsidRPr="00DA7355" w:rsidRDefault="00311F81" w:rsidP="007925EA">
            <w:pPr>
              <w:pStyle w:val="TSBodyText"/>
            </w:pPr>
            <w:r w:rsidRPr="00DA7355">
              <w:t>0531: Harassment and private nuisance</w:t>
            </w:r>
          </w:p>
        </w:tc>
        <w:tc>
          <w:tcPr>
            <w:tcW w:w="1133" w:type="dxa"/>
          </w:tcPr>
          <w:p w14:paraId="19629627" w14:textId="77777777" w:rsidR="00311F81" w:rsidRPr="00DA7355" w:rsidRDefault="00311F81" w:rsidP="007925EA">
            <w:pPr>
              <w:pStyle w:val="TSBodyText"/>
            </w:pPr>
            <w:r w:rsidRPr="00DA7355">
              <w:t>Included</w:t>
            </w:r>
          </w:p>
        </w:tc>
      </w:tr>
      <w:tr w:rsidR="00311F81" w14:paraId="1BB3AF76" w14:textId="77777777">
        <w:tc>
          <w:tcPr>
            <w:tcW w:w="3118" w:type="dxa"/>
          </w:tcPr>
          <w:p w14:paraId="55E5AB5E" w14:textId="77777777" w:rsidR="00311F81" w:rsidRPr="00DA7355" w:rsidRDefault="00311F81" w:rsidP="007925EA">
            <w:pPr>
              <w:pStyle w:val="TSBodyText"/>
            </w:pPr>
          </w:p>
        </w:tc>
        <w:tc>
          <w:tcPr>
            <w:tcW w:w="3969" w:type="dxa"/>
          </w:tcPr>
          <w:p w14:paraId="66EC1115" w14:textId="77777777" w:rsidR="00311F81" w:rsidRPr="00DA7355" w:rsidRDefault="00311F81" w:rsidP="007925EA">
            <w:pPr>
              <w:pStyle w:val="TSBodyText"/>
            </w:pPr>
            <w:r w:rsidRPr="00DA7355">
              <w:t>0532: Threatening behaviour</w:t>
            </w:r>
          </w:p>
        </w:tc>
        <w:tc>
          <w:tcPr>
            <w:tcW w:w="1133" w:type="dxa"/>
          </w:tcPr>
          <w:p w14:paraId="09584DF7" w14:textId="77777777" w:rsidR="00311F81" w:rsidRPr="00DA7355" w:rsidRDefault="00311F81" w:rsidP="007925EA">
            <w:pPr>
              <w:pStyle w:val="TSBodyText"/>
            </w:pPr>
            <w:r w:rsidRPr="00DA7355">
              <w:t>Included</w:t>
            </w:r>
          </w:p>
        </w:tc>
      </w:tr>
      <w:tr w:rsidR="00311F81" w14:paraId="60C4136D"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75EF438" w14:textId="77777777" w:rsidR="00311F81" w:rsidRPr="00DA7355" w:rsidRDefault="00311F81" w:rsidP="007925EA">
            <w:pPr>
              <w:pStyle w:val="TSBodyText"/>
            </w:pPr>
            <w:r w:rsidRPr="00DA7355">
              <w:t>061: Robbery</w:t>
            </w:r>
          </w:p>
        </w:tc>
        <w:tc>
          <w:tcPr>
            <w:tcW w:w="3969" w:type="dxa"/>
          </w:tcPr>
          <w:p w14:paraId="70CBE494" w14:textId="77777777" w:rsidR="00311F81" w:rsidRPr="00DA7355" w:rsidRDefault="00311F81" w:rsidP="007925EA">
            <w:pPr>
              <w:pStyle w:val="TSBodyText"/>
            </w:pPr>
            <w:r w:rsidRPr="00DA7355">
              <w:t>0611: Aggravated robbery</w:t>
            </w:r>
          </w:p>
        </w:tc>
        <w:tc>
          <w:tcPr>
            <w:tcW w:w="1133" w:type="dxa"/>
          </w:tcPr>
          <w:p w14:paraId="590CF29B" w14:textId="77777777" w:rsidR="00311F81" w:rsidRPr="00DA7355" w:rsidRDefault="00311F81" w:rsidP="007925EA">
            <w:pPr>
              <w:pStyle w:val="TSBodyText"/>
            </w:pPr>
            <w:r w:rsidRPr="00DA7355">
              <w:t>Included</w:t>
            </w:r>
          </w:p>
        </w:tc>
      </w:tr>
      <w:tr w:rsidR="00311F81" w14:paraId="3DC70284" w14:textId="77777777">
        <w:tc>
          <w:tcPr>
            <w:tcW w:w="3118" w:type="dxa"/>
          </w:tcPr>
          <w:p w14:paraId="5D2A24BF" w14:textId="77777777" w:rsidR="00311F81" w:rsidRPr="00DA7355" w:rsidRDefault="00311F81" w:rsidP="007925EA">
            <w:pPr>
              <w:pStyle w:val="TSBodyText"/>
            </w:pPr>
          </w:p>
        </w:tc>
        <w:tc>
          <w:tcPr>
            <w:tcW w:w="3969" w:type="dxa"/>
          </w:tcPr>
          <w:p w14:paraId="34D09FA9" w14:textId="77777777" w:rsidR="00311F81" w:rsidRPr="00DA7355" w:rsidRDefault="00311F81" w:rsidP="007925EA">
            <w:pPr>
              <w:pStyle w:val="TSBodyText"/>
            </w:pPr>
            <w:r w:rsidRPr="00DA7355">
              <w:t>0612: Non-aggravated robbery</w:t>
            </w:r>
          </w:p>
        </w:tc>
        <w:tc>
          <w:tcPr>
            <w:tcW w:w="1133" w:type="dxa"/>
          </w:tcPr>
          <w:p w14:paraId="4289DBEE" w14:textId="77777777" w:rsidR="00311F81" w:rsidRPr="00DA7355" w:rsidRDefault="00311F81" w:rsidP="007925EA">
            <w:pPr>
              <w:pStyle w:val="TSBodyText"/>
            </w:pPr>
            <w:r w:rsidRPr="00DA7355">
              <w:t>Included</w:t>
            </w:r>
          </w:p>
        </w:tc>
      </w:tr>
      <w:tr w:rsidR="00311F81" w14:paraId="240298E8"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6B85F9E" w14:textId="77777777" w:rsidR="00311F81" w:rsidRPr="00DA7355" w:rsidRDefault="00311F81" w:rsidP="007925EA">
            <w:pPr>
              <w:pStyle w:val="TSBodyText"/>
            </w:pPr>
            <w:r w:rsidRPr="00DA7355">
              <w:t>062: Blackmail and extortion</w:t>
            </w:r>
          </w:p>
        </w:tc>
        <w:tc>
          <w:tcPr>
            <w:tcW w:w="3969" w:type="dxa"/>
          </w:tcPr>
          <w:p w14:paraId="3A38E5D3" w14:textId="77777777" w:rsidR="00311F81" w:rsidRPr="00DA7355" w:rsidRDefault="00311F81" w:rsidP="007925EA">
            <w:pPr>
              <w:pStyle w:val="TSBodyText"/>
            </w:pPr>
            <w:r w:rsidRPr="00DA7355">
              <w:t>0621: Blackmail and extortion</w:t>
            </w:r>
          </w:p>
        </w:tc>
        <w:tc>
          <w:tcPr>
            <w:tcW w:w="1133" w:type="dxa"/>
          </w:tcPr>
          <w:p w14:paraId="33D596AF" w14:textId="77777777" w:rsidR="00311F81" w:rsidRPr="00DA7355" w:rsidRDefault="00311F81" w:rsidP="007925EA">
            <w:pPr>
              <w:pStyle w:val="TSBodyText"/>
            </w:pPr>
            <w:r w:rsidRPr="00DA7355">
              <w:t>Excluded</w:t>
            </w:r>
          </w:p>
        </w:tc>
      </w:tr>
      <w:tr w:rsidR="00311F81" w14:paraId="7802CD22" w14:textId="77777777">
        <w:tc>
          <w:tcPr>
            <w:tcW w:w="3118" w:type="dxa"/>
          </w:tcPr>
          <w:p w14:paraId="12B0D440" w14:textId="77777777" w:rsidR="00311F81" w:rsidRPr="00DA7355" w:rsidRDefault="00311F81" w:rsidP="007925EA">
            <w:pPr>
              <w:pStyle w:val="TSBodyText"/>
            </w:pPr>
            <w:r w:rsidRPr="00DA7355">
              <w:t>071: Unlawful entry with intent/burglary, break and enter</w:t>
            </w:r>
          </w:p>
        </w:tc>
        <w:tc>
          <w:tcPr>
            <w:tcW w:w="3969" w:type="dxa"/>
          </w:tcPr>
          <w:p w14:paraId="24CB582B" w14:textId="77777777" w:rsidR="00311F81" w:rsidRPr="00DA7355" w:rsidRDefault="00311F81" w:rsidP="007925EA">
            <w:pPr>
              <w:pStyle w:val="TSBodyText"/>
            </w:pPr>
            <w:r w:rsidRPr="00DA7355">
              <w:t>0711: Unlawful entry with intent/burglary, break and enter</w:t>
            </w:r>
          </w:p>
        </w:tc>
        <w:tc>
          <w:tcPr>
            <w:tcW w:w="1133" w:type="dxa"/>
          </w:tcPr>
          <w:p w14:paraId="280236F3" w14:textId="77777777" w:rsidR="00311F81" w:rsidRPr="00DA7355" w:rsidRDefault="00311F81" w:rsidP="007925EA">
            <w:pPr>
              <w:pStyle w:val="TSBodyText"/>
            </w:pPr>
            <w:r w:rsidRPr="00DA7355">
              <w:t>Included</w:t>
            </w:r>
          </w:p>
        </w:tc>
      </w:tr>
      <w:tr w:rsidR="00311F81" w14:paraId="030A3FA8"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E848EC9" w14:textId="77777777" w:rsidR="00311F81" w:rsidRPr="00DA7355" w:rsidRDefault="00311F81" w:rsidP="007925EA">
            <w:pPr>
              <w:pStyle w:val="TSBodyText"/>
            </w:pPr>
            <w:r w:rsidRPr="00DA7355">
              <w:lastRenderedPageBreak/>
              <w:t>081: Motor vehicle theft and related offences</w:t>
            </w:r>
          </w:p>
        </w:tc>
        <w:tc>
          <w:tcPr>
            <w:tcW w:w="3969" w:type="dxa"/>
          </w:tcPr>
          <w:p w14:paraId="5E666B31" w14:textId="77777777" w:rsidR="00311F81" w:rsidRPr="00DA7355" w:rsidRDefault="00311F81" w:rsidP="007925EA">
            <w:pPr>
              <w:pStyle w:val="TSBodyText"/>
            </w:pPr>
            <w:r w:rsidRPr="00DA7355">
              <w:t>0811: Theft of a motor vehicle</w:t>
            </w:r>
          </w:p>
        </w:tc>
        <w:tc>
          <w:tcPr>
            <w:tcW w:w="1133" w:type="dxa"/>
          </w:tcPr>
          <w:p w14:paraId="1A2B1D28" w14:textId="77777777" w:rsidR="00311F81" w:rsidRPr="00DA7355" w:rsidRDefault="00311F81" w:rsidP="007925EA">
            <w:pPr>
              <w:pStyle w:val="TSBodyText"/>
            </w:pPr>
            <w:r w:rsidRPr="00DA7355">
              <w:t>Included</w:t>
            </w:r>
          </w:p>
        </w:tc>
      </w:tr>
      <w:tr w:rsidR="00311F81" w14:paraId="6912EA81" w14:textId="77777777">
        <w:tc>
          <w:tcPr>
            <w:tcW w:w="3118" w:type="dxa"/>
          </w:tcPr>
          <w:p w14:paraId="3B38C561" w14:textId="77777777" w:rsidR="00311F81" w:rsidRPr="00DA7355" w:rsidRDefault="00311F81" w:rsidP="007925EA">
            <w:pPr>
              <w:pStyle w:val="TSBodyText"/>
            </w:pPr>
          </w:p>
        </w:tc>
        <w:tc>
          <w:tcPr>
            <w:tcW w:w="3969" w:type="dxa"/>
          </w:tcPr>
          <w:p w14:paraId="0BF900AC" w14:textId="77777777" w:rsidR="00311F81" w:rsidRPr="00DA7355" w:rsidRDefault="00311F81" w:rsidP="007925EA">
            <w:pPr>
              <w:pStyle w:val="TSBodyText"/>
            </w:pPr>
            <w:r w:rsidRPr="00DA7355">
              <w:t>0812: Illegal use of a motor vehicle</w:t>
            </w:r>
          </w:p>
        </w:tc>
        <w:tc>
          <w:tcPr>
            <w:tcW w:w="1133" w:type="dxa"/>
          </w:tcPr>
          <w:p w14:paraId="6A9B7636" w14:textId="77777777" w:rsidR="00311F81" w:rsidRPr="00DA7355" w:rsidRDefault="00311F81" w:rsidP="007925EA">
            <w:pPr>
              <w:pStyle w:val="TSBodyText"/>
            </w:pPr>
            <w:r w:rsidRPr="00DA7355">
              <w:t>Included</w:t>
            </w:r>
          </w:p>
        </w:tc>
      </w:tr>
      <w:tr w:rsidR="00311F81" w14:paraId="7417746C"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5BB3E7E" w14:textId="77777777" w:rsidR="00311F81" w:rsidRPr="00DA7355" w:rsidRDefault="00311F81" w:rsidP="007925EA">
            <w:pPr>
              <w:pStyle w:val="TSBodyText"/>
            </w:pPr>
          </w:p>
        </w:tc>
        <w:tc>
          <w:tcPr>
            <w:tcW w:w="3969" w:type="dxa"/>
          </w:tcPr>
          <w:p w14:paraId="4B592344" w14:textId="77777777" w:rsidR="00311F81" w:rsidRPr="00DA7355" w:rsidRDefault="00311F81" w:rsidP="007925EA">
            <w:pPr>
              <w:pStyle w:val="TSBodyText"/>
            </w:pPr>
            <w:r w:rsidRPr="00DA7355">
              <w:t>0813: Theft of motor vehicle parts or contents</w:t>
            </w:r>
          </w:p>
        </w:tc>
        <w:tc>
          <w:tcPr>
            <w:tcW w:w="1133" w:type="dxa"/>
          </w:tcPr>
          <w:p w14:paraId="35AACA16" w14:textId="77777777" w:rsidR="00311F81" w:rsidRPr="00DA7355" w:rsidRDefault="00311F81" w:rsidP="007925EA">
            <w:pPr>
              <w:pStyle w:val="TSBodyText"/>
            </w:pPr>
            <w:r w:rsidRPr="00DA7355">
              <w:t>Included</w:t>
            </w:r>
          </w:p>
        </w:tc>
      </w:tr>
      <w:tr w:rsidR="00311F81" w14:paraId="75DD6BE9" w14:textId="77777777">
        <w:tc>
          <w:tcPr>
            <w:tcW w:w="3118" w:type="dxa"/>
          </w:tcPr>
          <w:p w14:paraId="42DA498C" w14:textId="77777777" w:rsidR="00311F81" w:rsidRPr="00DA7355" w:rsidRDefault="00311F81" w:rsidP="007925EA">
            <w:pPr>
              <w:pStyle w:val="TSBodyText"/>
            </w:pPr>
            <w:r w:rsidRPr="00DA7355">
              <w:t>082: Theft (except motor vehicles)</w:t>
            </w:r>
          </w:p>
        </w:tc>
        <w:tc>
          <w:tcPr>
            <w:tcW w:w="3969" w:type="dxa"/>
          </w:tcPr>
          <w:p w14:paraId="4B445281" w14:textId="77777777" w:rsidR="00311F81" w:rsidRPr="00DA7355" w:rsidRDefault="00311F81" w:rsidP="007925EA">
            <w:pPr>
              <w:pStyle w:val="TSBodyText"/>
            </w:pPr>
            <w:r w:rsidRPr="00DA7355">
              <w:t>0821: Theft from a person (excluding by force)</w:t>
            </w:r>
          </w:p>
        </w:tc>
        <w:tc>
          <w:tcPr>
            <w:tcW w:w="1133" w:type="dxa"/>
          </w:tcPr>
          <w:p w14:paraId="171E061E" w14:textId="2DCC3049" w:rsidR="00311F81" w:rsidRPr="00DA7355" w:rsidRDefault="00124100" w:rsidP="007925EA">
            <w:pPr>
              <w:pStyle w:val="TSBodyText"/>
            </w:pPr>
            <w:r>
              <w:t>E</w:t>
            </w:r>
            <w:r w:rsidRPr="00124100">
              <w:t>xcluded</w:t>
            </w:r>
          </w:p>
        </w:tc>
      </w:tr>
      <w:tr w:rsidR="00311F81" w14:paraId="24982C0D"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A81C0A1" w14:textId="77777777" w:rsidR="00311F81" w:rsidRPr="00DA7355" w:rsidRDefault="00311F81" w:rsidP="007925EA">
            <w:pPr>
              <w:pStyle w:val="TSBodyText"/>
            </w:pPr>
          </w:p>
        </w:tc>
        <w:tc>
          <w:tcPr>
            <w:tcW w:w="3969" w:type="dxa"/>
          </w:tcPr>
          <w:p w14:paraId="6EC7CB69" w14:textId="77777777" w:rsidR="00311F81" w:rsidRPr="00DA7355" w:rsidRDefault="00311F81" w:rsidP="007925EA">
            <w:pPr>
              <w:pStyle w:val="TSBodyText"/>
            </w:pPr>
            <w:r w:rsidRPr="00DA7355">
              <w:t>0822: Theft of intellectual property</w:t>
            </w:r>
          </w:p>
        </w:tc>
        <w:tc>
          <w:tcPr>
            <w:tcW w:w="1133" w:type="dxa"/>
          </w:tcPr>
          <w:p w14:paraId="01D35CB5" w14:textId="77777777" w:rsidR="00311F81" w:rsidRPr="00DA7355" w:rsidRDefault="00311F81" w:rsidP="007925EA">
            <w:pPr>
              <w:pStyle w:val="TSBodyText"/>
            </w:pPr>
            <w:r w:rsidRPr="00DA7355">
              <w:t>Excluded</w:t>
            </w:r>
          </w:p>
        </w:tc>
      </w:tr>
      <w:tr w:rsidR="00311F81" w14:paraId="6C8A48D6" w14:textId="77777777">
        <w:tc>
          <w:tcPr>
            <w:tcW w:w="3118" w:type="dxa"/>
          </w:tcPr>
          <w:p w14:paraId="7CDEAD36" w14:textId="77777777" w:rsidR="00311F81" w:rsidRPr="00DA7355" w:rsidRDefault="00311F81" w:rsidP="007925EA">
            <w:pPr>
              <w:pStyle w:val="TSBodyText"/>
            </w:pPr>
          </w:p>
        </w:tc>
        <w:tc>
          <w:tcPr>
            <w:tcW w:w="3969" w:type="dxa"/>
          </w:tcPr>
          <w:p w14:paraId="05A7F432" w14:textId="77777777" w:rsidR="00311F81" w:rsidRPr="00DA7355" w:rsidRDefault="00311F81" w:rsidP="007925EA">
            <w:pPr>
              <w:pStyle w:val="TSBodyText"/>
            </w:pPr>
            <w:r w:rsidRPr="00DA7355">
              <w:t>0823: Theft from retail premises</w:t>
            </w:r>
          </w:p>
        </w:tc>
        <w:tc>
          <w:tcPr>
            <w:tcW w:w="1133" w:type="dxa"/>
          </w:tcPr>
          <w:p w14:paraId="174FD425" w14:textId="1219EA29" w:rsidR="00311F81" w:rsidRPr="00DA7355" w:rsidRDefault="00124100" w:rsidP="007925EA">
            <w:pPr>
              <w:pStyle w:val="TSBodyText"/>
            </w:pPr>
            <w:r w:rsidRPr="00124100">
              <w:t>Excluded</w:t>
            </w:r>
          </w:p>
        </w:tc>
      </w:tr>
      <w:tr w:rsidR="00311F81" w14:paraId="32EA5D99"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01918D4" w14:textId="77777777" w:rsidR="00311F81" w:rsidRPr="00DA7355" w:rsidRDefault="00311F81" w:rsidP="007925EA">
            <w:pPr>
              <w:pStyle w:val="TSBodyText"/>
            </w:pPr>
          </w:p>
        </w:tc>
        <w:tc>
          <w:tcPr>
            <w:tcW w:w="3969" w:type="dxa"/>
          </w:tcPr>
          <w:p w14:paraId="2DDA43D3" w14:textId="77777777" w:rsidR="00311F81" w:rsidRPr="00DA7355" w:rsidRDefault="00311F81" w:rsidP="007925EA">
            <w:pPr>
              <w:pStyle w:val="TSBodyText"/>
            </w:pPr>
            <w:r w:rsidRPr="00DA7355">
              <w:t xml:space="preserve">0829: Theft (except motor vehicles), </w:t>
            </w:r>
            <w:proofErr w:type="spellStart"/>
            <w:r w:rsidRPr="00DA7355">
              <w:t>nec</w:t>
            </w:r>
            <w:proofErr w:type="spellEnd"/>
          </w:p>
        </w:tc>
        <w:tc>
          <w:tcPr>
            <w:tcW w:w="1133" w:type="dxa"/>
          </w:tcPr>
          <w:p w14:paraId="2968C215" w14:textId="04242CCA" w:rsidR="00311F81" w:rsidRPr="00DA7355" w:rsidRDefault="00124100" w:rsidP="007925EA">
            <w:pPr>
              <w:pStyle w:val="TSBodyText"/>
            </w:pPr>
            <w:r w:rsidRPr="00124100">
              <w:t>Excluded</w:t>
            </w:r>
          </w:p>
        </w:tc>
      </w:tr>
      <w:tr w:rsidR="00311F81" w14:paraId="11E7CC67" w14:textId="77777777">
        <w:tc>
          <w:tcPr>
            <w:tcW w:w="3118" w:type="dxa"/>
          </w:tcPr>
          <w:p w14:paraId="6415725F" w14:textId="77777777" w:rsidR="00311F81" w:rsidRPr="00DA7355" w:rsidRDefault="00311F81" w:rsidP="007925EA">
            <w:pPr>
              <w:pStyle w:val="TSBodyText"/>
            </w:pPr>
            <w:r w:rsidRPr="00DA7355">
              <w:t>083: Receive or handle proceeds of crime</w:t>
            </w:r>
          </w:p>
        </w:tc>
        <w:tc>
          <w:tcPr>
            <w:tcW w:w="3969" w:type="dxa"/>
          </w:tcPr>
          <w:p w14:paraId="25D1A4C5" w14:textId="77777777" w:rsidR="00311F81" w:rsidRPr="00DA7355" w:rsidRDefault="00311F81" w:rsidP="007925EA">
            <w:pPr>
              <w:pStyle w:val="TSBodyText"/>
            </w:pPr>
            <w:r w:rsidRPr="00DA7355">
              <w:t>0831: Receive or handle proceeds of crime</w:t>
            </w:r>
          </w:p>
        </w:tc>
        <w:tc>
          <w:tcPr>
            <w:tcW w:w="1133" w:type="dxa"/>
          </w:tcPr>
          <w:p w14:paraId="76AACF83" w14:textId="77777777" w:rsidR="00311F81" w:rsidRPr="00DA7355" w:rsidRDefault="00311F81" w:rsidP="007925EA">
            <w:pPr>
              <w:pStyle w:val="TSBodyText"/>
            </w:pPr>
            <w:r w:rsidRPr="00DA7355">
              <w:t>Excluded</w:t>
            </w:r>
          </w:p>
        </w:tc>
      </w:tr>
      <w:tr w:rsidR="00311F81" w14:paraId="2904CC4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04994FFB" w14:textId="77777777" w:rsidR="00311F81" w:rsidRPr="00DA7355" w:rsidRDefault="00311F81" w:rsidP="007925EA">
            <w:pPr>
              <w:pStyle w:val="TSBodyText"/>
            </w:pPr>
            <w:r w:rsidRPr="00DA7355">
              <w:t>084: Illegal use of property (except motor vehicles)</w:t>
            </w:r>
          </w:p>
        </w:tc>
        <w:tc>
          <w:tcPr>
            <w:tcW w:w="3969" w:type="dxa"/>
          </w:tcPr>
          <w:p w14:paraId="089E0B61" w14:textId="77777777" w:rsidR="00311F81" w:rsidRPr="00DA7355" w:rsidRDefault="00311F81" w:rsidP="007925EA">
            <w:pPr>
              <w:pStyle w:val="TSBodyText"/>
            </w:pPr>
            <w:r w:rsidRPr="00DA7355">
              <w:t>0841: Illegal use of property (except motor vehicles)</w:t>
            </w:r>
          </w:p>
        </w:tc>
        <w:tc>
          <w:tcPr>
            <w:tcW w:w="1133" w:type="dxa"/>
          </w:tcPr>
          <w:p w14:paraId="32274EBF" w14:textId="77777777" w:rsidR="00311F81" w:rsidRPr="00DA7355" w:rsidRDefault="00311F81" w:rsidP="007925EA">
            <w:pPr>
              <w:pStyle w:val="TSBodyText"/>
            </w:pPr>
            <w:r w:rsidRPr="00DA7355">
              <w:t>Excluded</w:t>
            </w:r>
          </w:p>
        </w:tc>
      </w:tr>
      <w:tr w:rsidR="00311F81" w14:paraId="7E6103A8" w14:textId="77777777">
        <w:tc>
          <w:tcPr>
            <w:tcW w:w="3118" w:type="dxa"/>
          </w:tcPr>
          <w:p w14:paraId="381E9AC9" w14:textId="77777777" w:rsidR="00311F81" w:rsidRPr="00DA7355" w:rsidRDefault="00311F81" w:rsidP="007925EA">
            <w:pPr>
              <w:pStyle w:val="TSBodyText"/>
            </w:pPr>
            <w:r w:rsidRPr="00DA7355">
              <w:t>091: Obtain benefit by deception</w:t>
            </w:r>
          </w:p>
        </w:tc>
        <w:tc>
          <w:tcPr>
            <w:tcW w:w="3969" w:type="dxa"/>
          </w:tcPr>
          <w:p w14:paraId="0924F1AE" w14:textId="77777777" w:rsidR="00311F81" w:rsidRPr="00DA7355" w:rsidRDefault="00311F81" w:rsidP="007925EA">
            <w:pPr>
              <w:pStyle w:val="TSBodyText"/>
            </w:pPr>
            <w:r w:rsidRPr="00DA7355">
              <w:t>0911: Obtain benefit by deception</w:t>
            </w:r>
          </w:p>
        </w:tc>
        <w:tc>
          <w:tcPr>
            <w:tcW w:w="1133" w:type="dxa"/>
          </w:tcPr>
          <w:p w14:paraId="69585FD3" w14:textId="77777777" w:rsidR="00311F81" w:rsidRPr="00DA7355" w:rsidRDefault="00311F81" w:rsidP="007925EA">
            <w:pPr>
              <w:pStyle w:val="TSBodyText"/>
            </w:pPr>
            <w:r w:rsidRPr="00DA7355">
              <w:t>Excluded</w:t>
            </w:r>
          </w:p>
        </w:tc>
      </w:tr>
      <w:tr w:rsidR="00311F81" w14:paraId="12364F8D"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6AD63459" w14:textId="77777777" w:rsidR="00311F81" w:rsidRPr="00DA7355" w:rsidRDefault="00311F81" w:rsidP="007925EA">
            <w:pPr>
              <w:pStyle w:val="TSBodyText"/>
            </w:pPr>
            <w:r w:rsidRPr="00DA7355">
              <w:t>092: Forgery and counterfeiting</w:t>
            </w:r>
          </w:p>
        </w:tc>
        <w:tc>
          <w:tcPr>
            <w:tcW w:w="3969" w:type="dxa"/>
          </w:tcPr>
          <w:p w14:paraId="36A31EF6" w14:textId="77777777" w:rsidR="00311F81" w:rsidRPr="00DA7355" w:rsidRDefault="00311F81" w:rsidP="007925EA">
            <w:pPr>
              <w:pStyle w:val="TSBodyText"/>
            </w:pPr>
            <w:r w:rsidRPr="00DA7355">
              <w:t>0921: Counterfeiting of currency</w:t>
            </w:r>
          </w:p>
        </w:tc>
        <w:tc>
          <w:tcPr>
            <w:tcW w:w="1133" w:type="dxa"/>
          </w:tcPr>
          <w:p w14:paraId="2AE79B1C" w14:textId="77777777" w:rsidR="00311F81" w:rsidRPr="00DA7355" w:rsidRDefault="00311F81" w:rsidP="007925EA">
            <w:pPr>
              <w:pStyle w:val="TSBodyText"/>
            </w:pPr>
            <w:r w:rsidRPr="00DA7355">
              <w:t>Excluded</w:t>
            </w:r>
          </w:p>
        </w:tc>
      </w:tr>
      <w:tr w:rsidR="00311F81" w14:paraId="111219B2" w14:textId="77777777">
        <w:tc>
          <w:tcPr>
            <w:tcW w:w="3118" w:type="dxa"/>
          </w:tcPr>
          <w:p w14:paraId="4896878C" w14:textId="77777777" w:rsidR="00311F81" w:rsidRPr="00DA7355" w:rsidRDefault="00311F81" w:rsidP="007925EA">
            <w:pPr>
              <w:pStyle w:val="TSBodyText"/>
            </w:pPr>
          </w:p>
        </w:tc>
        <w:tc>
          <w:tcPr>
            <w:tcW w:w="3969" w:type="dxa"/>
          </w:tcPr>
          <w:p w14:paraId="51DAEFF5" w14:textId="77777777" w:rsidR="00311F81" w:rsidRPr="00DA7355" w:rsidRDefault="00311F81" w:rsidP="007925EA">
            <w:pPr>
              <w:pStyle w:val="TSBodyText"/>
            </w:pPr>
            <w:r w:rsidRPr="00DA7355">
              <w:t>0922: Forgery of documents</w:t>
            </w:r>
          </w:p>
        </w:tc>
        <w:tc>
          <w:tcPr>
            <w:tcW w:w="1133" w:type="dxa"/>
          </w:tcPr>
          <w:p w14:paraId="57346BA2" w14:textId="77777777" w:rsidR="00311F81" w:rsidRPr="00DA7355" w:rsidRDefault="00311F81" w:rsidP="007925EA">
            <w:pPr>
              <w:pStyle w:val="TSBodyText"/>
            </w:pPr>
            <w:r w:rsidRPr="00DA7355">
              <w:t>Excluded</w:t>
            </w:r>
          </w:p>
        </w:tc>
      </w:tr>
      <w:tr w:rsidR="00311F81" w14:paraId="308A323F"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E706E18" w14:textId="77777777" w:rsidR="00311F81" w:rsidRPr="00DA7355" w:rsidRDefault="00311F81" w:rsidP="007925EA">
            <w:pPr>
              <w:pStyle w:val="TSBodyText"/>
            </w:pPr>
          </w:p>
        </w:tc>
        <w:tc>
          <w:tcPr>
            <w:tcW w:w="3969" w:type="dxa"/>
          </w:tcPr>
          <w:p w14:paraId="3A3C83E8" w14:textId="77777777" w:rsidR="00311F81" w:rsidRPr="00DA7355" w:rsidRDefault="00311F81" w:rsidP="007925EA">
            <w:pPr>
              <w:pStyle w:val="TSBodyText"/>
            </w:pPr>
            <w:r w:rsidRPr="00DA7355">
              <w:t>0923: Possess equipment to make false/illegal instrument</w:t>
            </w:r>
          </w:p>
        </w:tc>
        <w:tc>
          <w:tcPr>
            <w:tcW w:w="1133" w:type="dxa"/>
          </w:tcPr>
          <w:p w14:paraId="3E9D386B" w14:textId="77777777" w:rsidR="00311F81" w:rsidRPr="00DA7355" w:rsidRDefault="00311F81" w:rsidP="007925EA">
            <w:pPr>
              <w:pStyle w:val="TSBodyText"/>
            </w:pPr>
            <w:r w:rsidRPr="00DA7355">
              <w:t>Excluded</w:t>
            </w:r>
          </w:p>
        </w:tc>
      </w:tr>
      <w:tr w:rsidR="00311F81" w14:paraId="338E6697" w14:textId="77777777">
        <w:tc>
          <w:tcPr>
            <w:tcW w:w="3118" w:type="dxa"/>
          </w:tcPr>
          <w:p w14:paraId="40B65867" w14:textId="77777777" w:rsidR="00311F81" w:rsidRPr="00DA7355" w:rsidRDefault="00311F81" w:rsidP="007925EA">
            <w:pPr>
              <w:pStyle w:val="TSBodyText"/>
            </w:pPr>
            <w:r w:rsidRPr="00DA7355">
              <w:t>093: Deceptive business/government practices</w:t>
            </w:r>
          </w:p>
        </w:tc>
        <w:tc>
          <w:tcPr>
            <w:tcW w:w="3969" w:type="dxa"/>
          </w:tcPr>
          <w:p w14:paraId="2E6A4621" w14:textId="77777777" w:rsidR="00311F81" w:rsidRPr="00DA7355" w:rsidRDefault="00311F81" w:rsidP="007925EA">
            <w:pPr>
              <w:pStyle w:val="TSBodyText"/>
            </w:pPr>
            <w:r w:rsidRPr="00DA7355">
              <w:t>0931: Fraudulent trade practices</w:t>
            </w:r>
          </w:p>
        </w:tc>
        <w:tc>
          <w:tcPr>
            <w:tcW w:w="1133" w:type="dxa"/>
          </w:tcPr>
          <w:p w14:paraId="3E112A3E" w14:textId="77777777" w:rsidR="00311F81" w:rsidRPr="00DA7355" w:rsidRDefault="00311F81" w:rsidP="007925EA">
            <w:pPr>
              <w:pStyle w:val="TSBodyText"/>
            </w:pPr>
            <w:r w:rsidRPr="00DA7355">
              <w:t>Excluded</w:t>
            </w:r>
          </w:p>
        </w:tc>
      </w:tr>
      <w:tr w:rsidR="00311F81" w14:paraId="48C7D1C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9026F11" w14:textId="77777777" w:rsidR="00311F81" w:rsidRPr="00DA7355" w:rsidRDefault="00311F81" w:rsidP="007925EA">
            <w:pPr>
              <w:pStyle w:val="TSBodyText"/>
            </w:pPr>
          </w:p>
        </w:tc>
        <w:tc>
          <w:tcPr>
            <w:tcW w:w="3969" w:type="dxa"/>
          </w:tcPr>
          <w:p w14:paraId="6D6BD290" w14:textId="77777777" w:rsidR="00311F81" w:rsidRPr="00DA7355" w:rsidRDefault="00311F81" w:rsidP="007925EA">
            <w:pPr>
              <w:pStyle w:val="TSBodyText"/>
            </w:pPr>
            <w:r w:rsidRPr="00DA7355">
              <w:t>0932: Misrepresentation of professional status</w:t>
            </w:r>
          </w:p>
        </w:tc>
        <w:tc>
          <w:tcPr>
            <w:tcW w:w="1133" w:type="dxa"/>
          </w:tcPr>
          <w:p w14:paraId="5C79D406" w14:textId="77777777" w:rsidR="00311F81" w:rsidRPr="00DA7355" w:rsidRDefault="00311F81" w:rsidP="007925EA">
            <w:pPr>
              <w:pStyle w:val="TSBodyText"/>
            </w:pPr>
            <w:r w:rsidRPr="00DA7355">
              <w:t>Excluded</w:t>
            </w:r>
          </w:p>
        </w:tc>
      </w:tr>
      <w:tr w:rsidR="00311F81" w14:paraId="2A0425AD" w14:textId="77777777">
        <w:tc>
          <w:tcPr>
            <w:tcW w:w="3118" w:type="dxa"/>
          </w:tcPr>
          <w:p w14:paraId="34C8ADB1" w14:textId="77777777" w:rsidR="00311F81" w:rsidRPr="00DA7355" w:rsidRDefault="00311F81" w:rsidP="007925EA">
            <w:pPr>
              <w:pStyle w:val="TSBodyText"/>
            </w:pPr>
            <w:r w:rsidRPr="00DA7355">
              <w:t>099: Other fraud and deception offences</w:t>
            </w:r>
          </w:p>
        </w:tc>
        <w:tc>
          <w:tcPr>
            <w:tcW w:w="3969" w:type="dxa"/>
          </w:tcPr>
          <w:p w14:paraId="11BC41AF" w14:textId="77777777" w:rsidR="00311F81" w:rsidRPr="00DA7355" w:rsidRDefault="00311F81" w:rsidP="007925EA">
            <w:pPr>
              <w:pStyle w:val="TSBodyText"/>
            </w:pPr>
            <w:r w:rsidRPr="00DA7355">
              <w:t>0991: Dishonest conversion</w:t>
            </w:r>
          </w:p>
        </w:tc>
        <w:tc>
          <w:tcPr>
            <w:tcW w:w="1133" w:type="dxa"/>
          </w:tcPr>
          <w:p w14:paraId="7E309D01" w14:textId="77777777" w:rsidR="00311F81" w:rsidRPr="00DA7355" w:rsidRDefault="00311F81" w:rsidP="007925EA">
            <w:pPr>
              <w:pStyle w:val="TSBodyText"/>
            </w:pPr>
            <w:r w:rsidRPr="00DA7355">
              <w:t>Excluded</w:t>
            </w:r>
          </w:p>
        </w:tc>
      </w:tr>
      <w:tr w:rsidR="00311F81" w14:paraId="07E57E51"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C26307D" w14:textId="77777777" w:rsidR="00311F81" w:rsidRPr="00DA7355" w:rsidRDefault="00311F81" w:rsidP="007925EA">
            <w:pPr>
              <w:pStyle w:val="TSBodyText"/>
            </w:pPr>
          </w:p>
        </w:tc>
        <w:tc>
          <w:tcPr>
            <w:tcW w:w="3969" w:type="dxa"/>
          </w:tcPr>
          <w:p w14:paraId="601F3906" w14:textId="77777777" w:rsidR="00311F81" w:rsidRPr="00DA7355" w:rsidRDefault="00311F81" w:rsidP="007925EA">
            <w:pPr>
              <w:pStyle w:val="TSBodyText"/>
            </w:pPr>
            <w:r w:rsidRPr="00DA7355">
              <w:t xml:space="preserve">0999: Other fraud and deception offences, </w:t>
            </w:r>
            <w:proofErr w:type="spellStart"/>
            <w:r w:rsidRPr="00DA7355">
              <w:t>nec</w:t>
            </w:r>
            <w:proofErr w:type="spellEnd"/>
          </w:p>
        </w:tc>
        <w:tc>
          <w:tcPr>
            <w:tcW w:w="1133" w:type="dxa"/>
          </w:tcPr>
          <w:p w14:paraId="28DB80B6" w14:textId="77777777" w:rsidR="00311F81" w:rsidRPr="00DA7355" w:rsidRDefault="00311F81" w:rsidP="007925EA">
            <w:pPr>
              <w:pStyle w:val="TSBodyText"/>
            </w:pPr>
            <w:r w:rsidRPr="00DA7355">
              <w:t>Excluded</w:t>
            </w:r>
          </w:p>
        </w:tc>
      </w:tr>
      <w:tr w:rsidR="00311F81" w14:paraId="472DBC0A" w14:textId="77777777">
        <w:tc>
          <w:tcPr>
            <w:tcW w:w="3118" w:type="dxa"/>
          </w:tcPr>
          <w:p w14:paraId="0A2BA5BF" w14:textId="77777777" w:rsidR="00311F81" w:rsidRPr="00DA7355" w:rsidRDefault="00311F81" w:rsidP="007925EA">
            <w:pPr>
              <w:pStyle w:val="TSBodyText"/>
            </w:pPr>
            <w:r w:rsidRPr="00DA7355">
              <w:t>101: Import or export illicit drugs</w:t>
            </w:r>
          </w:p>
        </w:tc>
        <w:tc>
          <w:tcPr>
            <w:tcW w:w="3969" w:type="dxa"/>
          </w:tcPr>
          <w:p w14:paraId="47824C54" w14:textId="77777777" w:rsidR="00311F81" w:rsidRPr="00DA7355" w:rsidRDefault="00311F81" w:rsidP="007925EA">
            <w:pPr>
              <w:pStyle w:val="TSBodyText"/>
            </w:pPr>
            <w:r w:rsidRPr="00DA7355">
              <w:t>1010: Import or export illicit drugs not further defined</w:t>
            </w:r>
          </w:p>
        </w:tc>
        <w:tc>
          <w:tcPr>
            <w:tcW w:w="1133" w:type="dxa"/>
          </w:tcPr>
          <w:p w14:paraId="6CB71857" w14:textId="77777777" w:rsidR="00311F81" w:rsidRPr="00DA7355" w:rsidRDefault="00311F81" w:rsidP="007925EA">
            <w:pPr>
              <w:pStyle w:val="TSBodyText"/>
            </w:pPr>
            <w:r w:rsidRPr="00DA7355">
              <w:t>Excluded</w:t>
            </w:r>
          </w:p>
        </w:tc>
      </w:tr>
      <w:tr w:rsidR="00311F81" w14:paraId="3741AAC3"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0939DFB" w14:textId="77777777" w:rsidR="00311F81" w:rsidRPr="00DA7355" w:rsidRDefault="00311F81" w:rsidP="007925EA">
            <w:pPr>
              <w:pStyle w:val="TSBodyText"/>
            </w:pPr>
            <w:r w:rsidRPr="00DA7355">
              <w:t>102: Deal or traffic in illicit drugs</w:t>
            </w:r>
          </w:p>
        </w:tc>
        <w:tc>
          <w:tcPr>
            <w:tcW w:w="3969" w:type="dxa"/>
          </w:tcPr>
          <w:p w14:paraId="7A20718F" w14:textId="77777777" w:rsidR="00311F81" w:rsidRPr="00DA7355" w:rsidRDefault="00311F81" w:rsidP="007925EA">
            <w:pPr>
              <w:pStyle w:val="TSBodyText"/>
            </w:pPr>
            <w:r w:rsidRPr="00DA7355">
              <w:t>1020: Deal or traffic in illicit drugs not further defined</w:t>
            </w:r>
          </w:p>
        </w:tc>
        <w:tc>
          <w:tcPr>
            <w:tcW w:w="1133" w:type="dxa"/>
          </w:tcPr>
          <w:p w14:paraId="49B170D0" w14:textId="77777777" w:rsidR="00311F81" w:rsidRPr="00DA7355" w:rsidRDefault="00311F81" w:rsidP="007925EA">
            <w:pPr>
              <w:pStyle w:val="TSBodyText"/>
            </w:pPr>
            <w:r w:rsidRPr="00DA7355">
              <w:t>Excluded</w:t>
            </w:r>
          </w:p>
        </w:tc>
      </w:tr>
      <w:tr w:rsidR="00311F81" w14:paraId="08214257" w14:textId="77777777">
        <w:tc>
          <w:tcPr>
            <w:tcW w:w="3118" w:type="dxa"/>
          </w:tcPr>
          <w:p w14:paraId="6D40D474" w14:textId="77777777" w:rsidR="00311F81" w:rsidRPr="00DA7355" w:rsidRDefault="00311F81" w:rsidP="007925EA">
            <w:pPr>
              <w:pStyle w:val="TSBodyText"/>
            </w:pPr>
          </w:p>
        </w:tc>
        <w:tc>
          <w:tcPr>
            <w:tcW w:w="3969" w:type="dxa"/>
          </w:tcPr>
          <w:p w14:paraId="6B234945" w14:textId="77777777" w:rsidR="00311F81" w:rsidRPr="00DA7355" w:rsidRDefault="00311F81" w:rsidP="007925EA">
            <w:pPr>
              <w:pStyle w:val="TSBodyText"/>
            </w:pPr>
            <w:r w:rsidRPr="00DA7355">
              <w:t>1021: Deal or traffic in illicit drugs - commercial quantity</w:t>
            </w:r>
          </w:p>
        </w:tc>
        <w:tc>
          <w:tcPr>
            <w:tcW w:w="1133" w:type="dxa"/>
          </w:tcPr>
          <w:p w14:paraId="43BEC1E5" w14:textId="77777777" w:rsidR="00311F81" w:rsidRPr="00DA7355" w:rsidRDefault="00311F81" w:rsidP="007925EA">
            <w:pPr>
              <w:pStyle w:val="TSBodyText"/>
            </w:pPr>
            <w:r w:rsidRPr="00DA7355">
              <w:t>Excluded</w:t>
            </w:r>
          </w:p>
        </w:tc>
      </w:tr>
      <w:tr w:rsidR="00311F81" w14:paraId="74BE4521"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EFAB667" w14:textId="77777777" w:rsidR="00311F81" w:rsidRPr="00DA7355" w:rsidRDefault="00311F81" w:rsidP="007925EA">
            <w:pPr>
              <w:pStyle w:val="TSBodyText"/>
            </w:pPr>
            <w:r w:rsidRPr="00DA7355">
              <w:t>103: Manufacture or cultivate illicit drugs</w:t>
            </w:r>
          </w:p>
        </w:tc>
        <w:tc>
          <w:tcPr>
            <w:tcW w:w="3969" w:type="dxa"/>
          </w:tcPr>
          <w:p w14:paraId="73349376" w14:textId="77777777" w:rsidR="00311F81" w:rsidRPr="00DA7355" w:rsidRDefault="00311F81" w:rsidP="007925EA">
            <w:pPr>
              <w:pStyle w:val="TSBodyText"/>
            </w:pPr>
            <w:r w:rsidRPr="00DA7355">
              <w:t>1031: Manufacture illicit drugs</w:t>
            </w:r>
          </w:p>
        </w:tc>
        <w:tc>
          <w:tcPr>
            <w:tcW w:w="1133" w:type="dxa"/>
          </w:tcPr>
          <w:p w14:paraId="430A146C" w14:textId="77777777" w:rsidR="00311F81" w:rsidRPr="00DA7355" w:rsidRDefault="00311F81" w:rsidP="007925EA">
            <w:pPr>
              <w:pStyle w:val="TSBodyText"/>
            </w:pPr>
            <w:r w:rsidRPr="00DA7355">
              <w:t>Excluded</w:t>
            </w:r>
          </w:p>
        </w:tc>
      </w:tr>
      <w:tr w:rsidR="00311F81" w14:paraId="35FAB319" w14:textId="77777777">
        <w:tc>
          <w:tcPr>
            <w:tcW w:w="3118" w:type="dxa"/>
          </w:tcPr>
          <w:p w14:paraId="426EF148" w14:textId="77777777" w:rsidR="00311F81" w:rsidRPr="00DA7355" w:rsidRDefault="00311F81" w:rsidP="007925EA">
            <w:pPr>
              <w:pStyle w:val="TSBodyText"/>
            </w:pPr>
          </w:p>
        </w:tc>
        <w:tc>
          <w:tcPr>
            <w:tcW w:w="3969" w:type="dxa"/>
          </w:tcPr>
          <w:p w14:paraId="352B3F62" w14:textId="77777777" w:rsidR="00311F81" w:rsidRPr="00DA7355" w:rsidRDefault="00311F81" w:rsidP="007925EA">
            <w:pPr>
              <w:pStyle w:val="TSBodyText"/>
            </w:pPr>
            <w:r w:rsidRPr="00DA7355">
              <w:t>1032: Cultivate illicit drugs</w:t>
            </w:r>
          </w:p>
        </w:tc>
        <w:tc>
          <w:tcPr>
            <w:tcW w:w="1133" w:type="dxa"/>
          </w:tcPr>
          <w:p w14:paraId="572B5F7A" w14:textId="77777777" w:rsidR="00311F81" w:rsidRPr="00DA7355" w:rsidRDefault="00311F81" w:rsidP="007925EA">
            <w:pPr>
              <w:pStyle w:val="TSBodyText"/>
            </w:pPr>
            <w:r w:rsidRPr="00DA7355">
              <w:t>Excluded</w:t>
            </w:r>
          </w:p>
        </w:tc>
      </w:tr>
      <w:tr w:rsidR="00311F81" w14:paraId="6CE7FEAC"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6DB58F82" w14:textId="77777777" w:rsidR="00311F81" w:rsidRPr="00DA7355" w:rsidRDefault="00311F81" w:rsidP="007925EA">
            <w:pPr>
              <w:pStyle w:val="TSBodyText"/>
            </w:pPr>
            <w:r w:rsidRPr="00DA7355">
              <w:t>104: Possess and/or use illicit drugs</w:t>
            </w:r>
          </w:p>
        </w:tc>
        <w:tc>
          <w:tcPr>
            <w:tcW w:w="3969" w:type="dxa"/>
          </w:tcPr>
          <w:p w14:paraId="694F6EBA" w14:textId="77777777" w:rsidR="00311F81" w:rsidRPr="00DA7355" w:rsidRDefault="00311F81" w:rsidP="007925EA">
            <w:pPr>
              <w:pStyle w:val="TSBodyText"/>
            </w:pPr>
            <w:r w:rsidRPr="00DA7355">
              <w:t>1041: Possess illicit drugs</w:t>
            </w:r>
          </w:p>
        </w:tc>
        <w:tc>
          <w:tcPr>
            <w:tcW w:w="1133" w:type="dxa"/>
          </w:tcPr>
          <w:p w14:paraId="2757C331" w14:textId="77777777" w:rsidR="00311F81" w:rsidRPr="00DA7355" w:rsidRDefault="00311F81" w:rsidP="007925EA">
            <w:pPr>
              <w:pStyle w:val="TSBodyText"/>
            </w:pPr>
            <w:r w:rsidRPr="00DA7355">
              <w:t>Excluded</w:t>
            </w:r>
          </w:p>
        </w:tc>
      </w:tr>
      <w:tr w:rsidR="00311F81" w14:paraId="2873DE68" w14:textId="77777777">
        <w:tc>
          <w:tcPr>
            <w:tcW w:w="3118" w:type="dxa"/>
          </w:tcPr>
          <w:p w14:paraId="1B21FE74" w14:textId="77777777" w:rsidR="00311F81" w:rsidRPr="00DA7355" w:rsidRDefault="00311F81" w:rsidP="007925EA">
            <w:pPr>
              <w:pStyle w:val="TSBodyText"/>
            </w:pPr>
          </w:p>
        </w:tc>
        <w:tc>
          <w:tcPr>
            <w:tcW w:w="3969" w:type="dxa"/>
          </w:tcPr>
          <w:p w14:paraId="022B6643" w14:textId="77777777" w:rsidR="00311F81" w:rsidRPr="00DA7355" w:rsidRDefault="00311F81" w:rsidP="007925EA">
            <w:pPr>
              <w:pStyle w:val="TSBodyText"/>
            </w:pPr>
            <w:r w:rsidRPr="00DA7355">
              <w:t>1042: Use illicit drugs</w:t>
            </w:r>
          </w:p>
        </w:tc>
        <w:tc>
          <w:tcPr>
            <w:tcW w:w="1133" w:type="dxa"/>
          </w:tcPr>
          <w:p w14:paraId="55FEBBB4" w14:textId="77777777" w:rsidR="00311F81" w:rsidRPr="00DA7355" w:rsidRDefault="00311F81" w:rsidP="007925EA">
            <w:pPr>
              <w:pStyle w:val="TSBodyText"/>
            </w:pPr>
            <w:r w:rsidRPr="00DA7355">
              <w:t>Excluded</w:t>
            </w:r>
          </w:p>
        </w:tc>
      </w:tr>
      <w:tr w:rsidR="00311F81" w14:paraId="579C2D3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0028097C" w14:textId="77777777" w:rsidR="00311F81" w:rsidRPr="00DA7355" w:rsidRDefault="00311F81" w:rsidP="007925EA">
            <w:pPr>
              <w:pStyle w:val="TSBodyText"/>
            </w:pPr>
            <w:r w:rsidRPr="00DA7355">
              <w:t>109: Other illicit drug offences</w:t>
            </w:r>
          </w:p>
        </w:tc>
        <w:tc>
          <w:tcPr>
            <w:tcW w:w="3969" w:type="dxa"/>
          </w:tcPr>
          <w:p w14:paraId="1B009B63" w14:textId="77777777" w:rsidR="00311F81" w:rsidRPr="00DA7355" w:rsidRDefault="00311F81" w:rsidP="007925EA">
            <w:pPr>
              <w:pStyle w:val="TSBodyText"/>
            </w:pPr>
            <w:r w:rsidRPr="00DA7355">
              <w:t xml:space="preserve">1099: Other illicit drug offences, </w:t>
            </w:r>
            <w:proofErr w:type="spellStart"/>
            <w:r w:rsidRPr="00DA7355">
              <w:t>nec</w:t>
            </w:r>
            <w:proofErr w:type="spellEnd"/>
          </w:p>
        </w:tc>
        <w:tc>
          <w:tcPr>
            <w:tcW w:w="1133" w:type="dxa"/>
          </w:tcPr>
          <w:p w14:paraId="0155E76F" w14:textId="77777777" w:rsidR="00311F81" w:rsidRPr="00DA7355" w:rsidRDefault="00311F81" w:rsidP="007925EA">
            <w:pPr>
              <w:pStyle w:val="TSBodyText"/>
            </w:pPr>
            <w:r w:rsidRPr="00DA7355">
              <w:t>Excluded</w:t>
            </w:r>
          </w:p>
        </w:tc>
      </w:tr>
      <w:tr w:rsidR="00311F81" w14:paraId="63316706" w14:textId="77777777">
        <w:tc>
          <w:tcPr>
            <w:tcW w:w="3118" w:type="dxa"/>
          </w:tcPr>
          <w:p w14:paraId="1D808BE7" w14:textId="77777777" w:rsidR="00311F81" w:rsidRPr="00DA7355" w:rsidRDefault="00311F81" w:rsidP="007925EA">
            <w:pPr>
              <w:pStyle w:val="TSBodyText"/>
            </w:pPr>
            <w:r w:rsidRPr="00DA7355">
              <w:t>111: Prohibited weapons/explosives offences</w:t>
            </w:r>
          </w:p>
        </w:tc>
        <w:tc>
          <w:tcPr>
            <w:tcW w:w="3969" w:type="dxa"/>
          </w:tcPr>
          <w:p w14:paraId="6783DCD4" w14:textId="77777777" w:rsidR="00311F81" w:rsidRPr="00DA7355" w:rsidRDefault="00311F81" w:rsidP="007925EA">
            <w:pPr>
              <w:pStyle w:val="TSBodyText"/>
            </w:pPr>
            <w:r w:rsidRPr="00DA7355">
              <w:t>1112: Sell, possess and/or use prohibited weapons/explosives</w:t>
            </w:r>
          </w:p>
        </w:tc>
        <w:tc>
          <w:tcPr>
            <w:tcW w:w="1133" w:type="dxa"/>
          </w:tcPr>
          <w:p w14:paraId="48BBAEE5" w14:textId="77777777" w:rsidR="00311F81" w:rsidRPr="00DA7355" w:rsidRDefault="00311F81" w:rsidP="007925EA">
            <w:pPr>
              <w:pStyle w:val="TSBodyText"/>
            </w:pPr>
            <w:r w:rsidRPr="00DA7355">
              <w:t>Excluded</w:t>
            </w:r>
          </w:p>
        </w:tc>
      </w:tr>
      <w:tr w:rsidR="00311F81" w14:paraId="70F4EB9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94A373B" w14:textId="77777777" w:rsidR="00311F81" w:rsidRPr="00DA7355" w:rsidRDefault="00311F81" w:rsidP="007925EA">
            <w:pPr>
              <w:pStyle w:val="TSBodyText"/>
            </w:pPr>
            <w:r w:rsidRPr="00DA7355">
              <w:t>112: Regulated weapons/explosives offences</w:t>
            </w:r>
          </w:p>
        </w:tc>
        <w:tc>
          <w:tcPr>
            <w:tcW w:w="3969" w:type="dxa"/>
          </w:tcPr>
          <w:p w14:paraId="2F35BB69" w14:textId="77777777" w:rsidR="00311F81" w:rsidRPr="00DA7355" w:rsidRDefault="00311F81" w:rsidP="007925EA">
            <w:pPr>
              <w:pStyle w:val="TSBodyText"/>
            </w:pPr>
            <w:r w:rsidRPr="00DA7355">
              <w:t>1121: Unlawfully obtain or possess regulated weapons/explosives</w:t>
            </w:r>
          </w:p>
        </w:tc>
        <w:tc>
          <w:tcPr>
            <w:tcW w:w="1133" w:type="dxa"/>
          </w:tcPr>
          <w:p w14:paraId="3B63710E" w14:textId="77777777" w:rsidR="00311F81" w:rsidRPr="00DA7355" w:rsidRDefault="00311F81" w:rsidP="007925EA">
            <w:pPr>
              <w:pStyle w:val="TSBodyText"/>
            </w:pPr>
            <w:r w:rsidRPr="00DA7355">
              <w:t>Excluded</w:t>
            </w:r>
          </w:p>
        </w:tc>
      </w:tr>
      <w:tr w:rsidR="00311F81" w14:paraId="0176E6F4" w14:textId="77777777">
        <w:tc>
          <w:tcPr>
            <w:tcW w:w="3118" w:type="dxa"/>
          </w:tcPr>
          <w:p w14:paraId="7EFFFBD0" w14:textId="77777777" w:rsidR="00311F81" w:rsidRPr="00DA7355" w:rsidRDefault="00311F81" w:rsidP="007925EA">
            <w:pPr>
              <w:pStyle w:val="TSBodyText"/>
            </w:pPr>
          </w:p>
        </w:tc>
        <w:tc>
          <w:tcPr>
            <w:tcW w:w="3969" w:type="dxa"/>
          </w:tcPr>
          <w:p w14:paraId="3D6C5EA9" w14:textId="77777777" w:rsidR="00311F81" w:rsidRPr="00DA7355" w:rsidRDefault="00311F81" w:rsidP="007925EA">
            <w:pPr>
              <w:pStyle w:val="TSBodyText"/>
            </w:pPr>
            <w:r w:rsidRPr="00DA7355">
              <w:t>1122: Misuse of regulated weapons/explosives</w:t>
            </w:r>
          </w:p>
        </w:tc>
        <w:tc>
          <w:tcPr>
            <w:tcW w:w="1133" w:type="dxa"/>
          </w:tcPr>
          <w:p w14:paraId="01785C3B" w14:textId="77777777" w:rsidR="00311F81" w:rsidRPr="00DA7355" w:rsidRDefault="00311F81" w:rsidP="007925EA">
            <w:pPr>
              <w:pStyle w:val="TSBodyText"/>
            </w:pPr>
            <w:r w:rsidRPr="00DA7355">
              <w:t>Included</w:t>
            </w:r>
          </w:p>
        </w:tc>
      </w:tr>
      <w:tr w:rsidR="00311F81" w14:paraId="715FE62D"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986D5DD" w14:textId="77777777" w:rsidR="00311F81" w:rsidRPr="00DA7355" w:rsidRDefault="00311F81" w:rsidP="007925EA">
            <w:pPr>
              <w:pStyle w:val="TSBodyText"/>
            </w:pPr>
          </w:p>
        </w:tc>
        <w:tc>
          <w:tcPr>
            <w:tcW w:w="3969" w:type="dxa"/>
          </w:tcPr>
          <w:p w14:paraId="54C75F9A" w14:textId="77777777" w:rsidR="00311F81" w:rsidRPr="00DA7355" w:rsidRDefault="00311F81" w:rsidP="007925EA">
            <w:pPr>
              <w:pStyle w:val="TSBodyText"/>
            </w:pPr>
            <w:r w:rsidRPr="00DA7355">
              <w:t>1123: Deal or traffic regulated weapons/explosives offences</w:t>
            </w:r>
          </w:p>
        </w:tc>
        <w:tc>
          <w:tcPr>
            <w:tcW w:w="1133" w:type="dxa"/>
          </w:tcPr>
          <w:p w14:paraId="7FAB8024" w14:textId="77777777" w:rsidR="00311F81" w:rsidRPr="00DA7355" w:rsidRDefault="00311F81" w:rsidP="007925EA">
            <w:pPr>
              <w:pStyle w:val="TSBodyText"/>
            </w:pPr>
            <w:r w:rsidRPr="00DA7355">
              <w:t>Excluded</w:t>
            </w:r>
          </w:p>
        </w:tc>
      </w:tr>
      <w:tr w:rsidR="00311F81" w14:paraId="12FB4901" w14:textId="77777777">
        <w:tc>
          <w:tcPr>
            <w:tcW w:w="3118" w:type="dxa"/>
          </w:tcPr>
          <w:p w14:paraId="070E4B5B" w14:textId="77777777" w:rsidR="00311F81" w:rsidRPr="00DA7355" w:rsidRDefault="00311F81" w:rsidP="007925EA">
            <w:pPr>
              <w:pStyle w:val="TSBodyText"/>
            </w:pPr>
          </w:p>
        </w:tc>
        <w:tc>
          <w:tcPr>
            <w:tcW w:w="3969" w:type="dxa"/>
          </w:tcPr>
          <w:p w14:paraId="4A6D910A" w14:textId="77777777" w:rsidR="00311F81" w:rsidRPr="00DA7355" w:rsidRDefault="00311F81" w:rsidP="007925EA">
            <w:pPr>
              <w:pStyle w:val="TSBodyText"/>
            </w:pPr>
            <w:r w:rsidRPr="00DA7355">
              <w:t xml:space="preserve">1129: Regulated weapons/explosives offences, </w:t>
            </w:r>
            <w:proofErr w:type="spellStart"/>
            <w:r w:rsidRPr="00DA7355">
              <w:t>nec</w:t>
            </w:r>
            <w:proofErr w:type="spellEnd"/>
          </w:p>
        </w:tc>
        <w:tc>
          <w:tcPr>
            <w:tcW w:w="1133" w:type="dxa"/>
          </w:tcPr>
          <w:p w14:paraId="68620233" w14:textId="77777777" w:rsidR="00311F81" w:rsidRPr="00DA7355" w:rsidRDefault="00311F81" w:rsidP="007925EA">
            <w:pPr>
              <w:pStyle w:val="TSBodyText"/>
            </w:pPr>
            <w:r w:rsidRPr="00DA7355">
              <w:t>Included</w:t>
            </w:r>
          </w:p>
        </w:tc>
      </w:tr>
      <w:tr w:rsidR="00311F81" w14:paraId="7D55E95B"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D2C631C" w14:textId="77777777" w:rsidR="00311F81" w:rsidRPr="00DA7355" w:rsidRDefault="00311F81" w:rsidP="007925EA">
            <w:pPr>
              <w:pStyle w:val="TSBodyText"/>
            </w:pPr>
            <w:r w:rsidRPr="00DA7355">
              <w:t>121: Property damage</w:t>
            </w:r>
          </w:p>
        </w:tc>
        <w:tc>
          <w:tcPr>
            <w:tcW w:w="3969" w:type="dxa"/>
          </w:tcPr>
          <w:p w14:paraId="3AE30868" w14:textId="77777777" w:rsidR="00311F81" w:rsidRPr="00DA7355" w:rsidRDefault="00311F81" w:rsidP="007925EA">
            <w:pPr>
              <w:pStyle w:val="TSBodyText"/>
            </w:pPr>
            <w:r w:rsidRPr="00DA7355">
              <w:t>1211: Property damage by fire or explosion</w:t>
            </w:r>
          </w:p>
        </w:tc>
        <w:tc>
          <w:tcPr>
            <w:tcW w:w="1133" w:type="dxa"/>
          </w:tcPr>
          <w:p w14:paraId="32C65274" w14:textId="77777777" w:rsidR="00311F81" w:rsidRPr="00DA7355" w:rsidRDefault="00311F81" w:rsidP="007925EA">
            <w:pPr>
              <w:pStyle w:val="TSBodyText"/>
            </w:pPr>
            <w:r w:rsidRPr="00DA7355">
              <w:t>Included</w:t>
            </w:r>
          </w:p>
        </w:tc>
      </w:tr>
      <w:tr w:rsidR="00311F81" w14:paraId="70D5CEA8" w14:textId="77777777">
        <w:tc>
          <w:tcPr>
            <w:tcW w:w="3118" w:type="dxa"/>
          </w:tcPr>
          <w:p w14:paraId="63E63142" w14:textId="77777777" w:rsidR="00311F81" w:rsidRPr="00DA7355" w:rsidRDefault="00311F81" w:rsidP="007925EA">
            <w:pPr>
              <w:pStyle w:val="TSBodyText"/>
            </w:pPr>
          </w:p>
        </w:tc>
        <w:tc>
          <w:tcPr>
            <w:tcW w:w="3969" w:type="dxa"/>
          </w:tcPr>
          <w:p w14:paraId="10FC8BB8" w14:textId="77777777" w:rsidR="00311F81" w:rsidRPr="00DA7355" w:rsidRDefault="00311F81" w:rsidP="007925EA">
            <w:pPr>
              <w:pStyle w:val="TSBodyText"/>
            </w:pPr>
            <w:r w:rsidRPr="00DA7355">
              <w:t>1212: Graffiti</w:t>
            </w:r>
          </w:p>
        </w:tc>
        <w:tc>
          <w:tcPr>
            <w:tcW w:w="1133" w:type="dxa"/>
          </w:tcPr>
          <w:p w14:paraId="4388C40C" w14:textId="77777777" w:rsidR="00311F81" w:rsidRPr="00DA7355" w:rsidRDefault="00311F81" w:rsidP="007925EA">
            <w:pPr>
              <w:pStyle w:val="TSBodyText"/>
            </w:pPr>
            <w:r w:rsidRPr="00DA7355">
              <w:t>Included</w:t>
            </w:r>
          </w:p>
        </w:tc>
      </w:tr>
      <w:tr w:rsidR="00311F81" w14:paraId="74D46882"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565FC1D" w14:textId="77777777" w:rsidR="00311F81" w:rsidRPr="00DA7355" w:rsidRDefault="00311F81" w:rsidP="007925EA">
            <w:pPr>
              <w:pStyle w:val="TSBodyText"/>
            </w:pPr>
          </w:p>
        </w:tc>
        <w:tc>
          <w:tcPr>
            <w:tcW w:w="3969" w:type="dxa"/>
          </w:tcPr>
          <w:p w14:paraId="4485D2C1" w14:textId="77777777" w:rsidR="00311F81" w:rsidRPr="00DA7355" w:rsidRDefault="00311F81" w:rsidP="007925EA">
            <w:pPr>
              <w:pStyle w:val="TSBodyText"/>
            </w:pPr>
            <w:r w:rsidRPr="00DA7355">
              <w:t xml:space="preserve">1219: Property damage, </w:t>
            </w:r>
            <w:proofErr w:type="spellStart"/>
            <w:r w:rsidRPr="00DA7355">
              <w:t>nec</w:t>
            </w:r>
            <w:proofErr w:type="spellEnd"/>
          </w:p>
        </w:tc>
        <w:tc>
          <w:tcPr>
            <w:tcW w:w="1133" w:type="dxa"/>
          </w:tcPr>
          <w:p w14:paraId="5CF3175E" w14:textId="77777777" w:rsidR="00311F81" w:rsidRPr="00DA7355" w:rsidRDefault="00311F81" w:rsidP="007925EA">
            <w:pPr>
              <w:pStyle w:val="TSBodyText"/>
            </w:pPr>
            <w:r w:rsidRPr="00DA7355">
              <w:t>Included</w:t>
            </w:r>
          </w:p>
        </w:tc>
      </w:tr>
      <w:tr w:rsidR="00311F81" w14:paraId="357CC9A2" w14:textId="77777777">
        <w:tc>
          <w:tcPr>
            <w:tcW w:w="3118" w:type="dxa"/>
          </w:tcPr>
          <w:p w14:paraId="13BA2AA1" w14:textId="77777777" w:rsidR="00311F81" w:rsidRPr="00DA7355" w:rsidRDefault="00311F81" w:rsidP="007925EA">
            <w:pPr>
              <w:pStyle w:val="TSBodyText"/>
            </w:pPr>
            <w:r w:rsidRPr="00DA7355">
              <w:t>122: Environmental pollution</w:t>
            </w:r>
          </w:p>
        </w:tc>
        <w:tc>
          <w:tcPr>
            <w:tcW w:w="3969" w:type="dxa"/>
          </w:tcPr>
          <w:p w14:paraId="68022F70" w14:textId="77777777" w:rsidR="00311F81" w:rsidRPr="00DA7355" w:rsidRDefault="00311F81" w:rsidP="007925EA">
            <w:pPr>
              <w:pStyle w:val="TSBodyText"/>
            </w:pPr>
            <w:r w:rsidRPr="00DA7355">
              <w:t>1222: Water pollution offences</w:t>
            </w:r>
          </w:p>
        </w:tc>
        <w:tc>
          <w:tcPr>
            <w:tcW w:w="1133" w:type="dxa"/>
          </w:tcPr>
          <w:p w14:paraId="36E2CA6F" w14:textId="77777777" w:rsidR="00311F81" w:rsidRPr="00DA7355" w:rsidRDefault="00311F81" w:rsidP="007925EA">
            <w:pPr>
              <w:pStyle w:val="TSBodyText"/>
            </w:pPr>
            <w:r w:rsidRPr="00DA7355">
              <w:t>Excluded</w:t>
            </w:r>
          </w:p>
        </w:tc>
      </w:tr>
      <w:tr w:rsidR="00311F81" w14:paraId="3AC211E2"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0F50265E" w14:textId="77777777" w:rsidR="00311F81" w:rsidRPr="00DA7355" w:rsidRDefault="00311F81" w:rsidP="007925EA">
            <w:pPr>
              <w:pStyle w:val="TSBodyText"/>
            </w:pPr>
          </w:p>
        </w:tc>
        <w:tc>
          <w:tcPr>
            <w:tcW w:w="3969" w:type="dxa"/>
          </w:tcPr>
          <w:p w14:paraId="10DCA7D0" w14:textId="77777777" w:rsidR="00311F81" w:rsidRPr="00DA7355" w:rsidRDefault="00311F81" w:rsidP="007925EA">
            <w:pPr>
              <w:pStyle w:val="TSBodyText"/>
            </w:pPr>
            <w:r w:rsidRPr="00DA7355">
              <w:t xml:space="preserve">1229: Environmental pollution, </w:t>
            </w:r>
            <w:proofErr w:type="spellStart"/>
            <w:r w:rsidRPr="00DA7355">
              <w:t>nec</w:t>
            </w:r>
            <w:proofErr w:type="spellEnd"/>
          </w:p>
        </w:tc>
        <w:tc>
          <w:tcPr>
            <w:tcW w:w="1133" w:type="dxa"/>
          </w:tcPr>
          <w:p w14:paraId="7C1E8ADC" w14:textId="77777777" w:rsidR="00311F81" w:rsidRPr="00DA7355" w:rsidRDefault="00311F81" w:rsidP="007925EA">
            <w:pPr>
              <w:pStyle w:val="TSBodyText"/>
            </w:pPr>
            <w:r w:rsidRPr="00DA7355">
              <w:t>Excluded</w:t>
            </w:r>
          </w:p>
        </w:tc>
      </w:tr>
      <w:tr w:rsidR="00311F81" w14:paraId="2F7E4870" w14:textId="77777777">
        <w:tc>
          <w:tcPr>
            <w:tcW w:w="3118" w:type="dxa"/>
          </w:tcPr>
          <w:p w14:paraId="4234DD99" w14:textId="77777777" w:rsidR="00311F81" w:rsidRPr="00DA7355" w:rsidRDefault="00311F81" w:rsidP="007925EA">
            <w:pPr>
              <w:pStyle w:val="TSBodyText"/>
            </w:pPr>
            <w:r w:rsidRPr="00DA7355">
              <w:t>131: Disorderly conduct</w:t>
            </w:r>
          </w:p>
        </w:tc>
        <w:tc>
          <w:tcPr>
            <w:tcW w:w="3969" w:type="dxa"/>
          </w:tcPr>
          <w:p w14:paraId="01260FE7" w14:textId="77777777" w:rsidR="00311F81" w:rsidRPr="00DA7355" w:rsidRDefault="00311F81" w:rsidP="007925EA">
            <w:pPr>
              <w:pStyle w:val="TSBodyText"/>
            </w:pPr>
            <w:r w:rsidRPr="00DA7355">
              <w:t>1311: Trespass</w:t>
            </w:r>
          </w:p>
        </w:tc>
        <w:tc>
          <w:tcPr>
            <w:tcW w:w="1133" w:type="dxa"/>
          </w:tcPr>
          <w:p w14:paraId="2C3CB1D0" w14:textId="77777777" w:rsidR="00311F81" w:rsidRPr="00DA7355" w:rsidRDefault="00311F81" w:rsidP="007925EA">
            <w:pPr>
              <w:pStyle w:val="TSBodyText"/>
            </w:pPr>
            <w:r w:rsidRPr="00DA7355">
              <w:t>Included</w:t>
            </w:r>
          </w:p>
        </w:tc>
      </w:tr>
      <w:tr w:rsidR="00311F81" w14:paraId="2AAF38D6"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AADC7CB" w14:textId="77777777" w:rsidR="00311F81" w:rsidRPr="00DA7355" w:rsidRDefault="00311F81" w:rsidP="007925EA">
            <w:pPr>
              <w:pStyle w:val="TSBodyText"/>
            </w:pPr>
          </w:p>
        </w:tc>
        <w:tc>
          <w:tcPr>
            <w:tcW w:w="3969" w:type="dxa"/>
          </w:tcPr>
          <w:p w14:paraId="17D68370" w14:textId="77777777" w:rsidR="00311F81" w:rsidRPr="00DA7355" w:rsidRDefault="00311F81" w:rsidP="007925EA">
            <w:pPr>
              <w:pStyle w:val="TSBodyText"/>
            </w:pPr>
            <w:r w:rsidRPr="00DA7355">
              <w:t>1312: Criminal intent</w:t>
            </w:r>
          </w:p>
        </w:tc>
        <w:tc>
          <w:tcPr>
            <w:tcW w:w="1133" w:type="dxa"/>
          </w:tcPr>
          <w:p w14:paraId="1B7D22DD" w14:textId="77777777" w:rsidR="00311F81" w:rsidRPr="00DA7355" w:rsidRDefault="00311F81" w:rsidP="007925EA">
            <w:pPr>
              <w:pStyle w:val="TSBodyText"/>
            </w:pPr>
            <w:r w:rsidRPr="00DA7355">
              <w:t>Included</w:t>
            </w:r>
          </w:p>
        </w:tc>
      </w:tr>
      <w:tr w:rsidR="00311F81" w14:paraId="1A754BD4" w14:textId="77777777">
        <w:tc>
          <w:tcPr>
            <w:tcW w:w="3118" w:type="dxa"/>
          </w:tcPr>
          <w:p w14:paraId="1F2442F2" w14:textId="77777777" w:rsidR="00311F81" w:rsidRPr="00DA7355" w:rsidRDefault="00311F81" w:rsidP="007925EA">
            <w:pPr>
              <w:pStyle w:val="TSBodyText"/>
            </w:pPr>
          </w:p>
        </w:tc>
        <w:tc>
          <w:tcPr>
            <w:tcW w:w="3969" w:type="dxa"/>
          </w:tcPr>
          <w:p w14:paraId="4D290DE6" w14:textId="77777777" w:rsidR="00311F81" w:rsidRPr="00DA7355" w:rsidRDefault="00311F81" w:rsidP="007925EA">
            <w:pPr>
              <w:pStyle w:val="TSBodyText"/>
            </w:pPr>
            <w:r w:rsidRPr="00DA7355">
              <w:t>1313: Riot and affray</w:t>
            </w:r>
          </w:p>
        </w:tc>
        <w:tc>
          <w:tcPr>
            <w:tcW w:w="1133" w:type="dxa"/>
          </w:tcPr>
          <w:p w14:paraId="3B0719CB" w14:textId="77777777" w:rsidR="00311F81" w:rsidRPr="00DA7355" w:rsidRDefault="00311F81" w:rsidP="007925EA">
            <w:pPr>
              <w:pStyle w:val="TSBodyText"/>
            </w:pPr>
            <w:r w:rsidRPr="00DA7355">
              <w:t>Included</w:t>
            </w:r>
          </w:p>
        </w:tc>
      </w:tr>
      <w:tr w:rsidR="00311F81" w14:paraId="058FE178"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20EAB7A5" w14:textId="77777777" w:rsidR="00311F81" w:rsidRPr="00DA7355" w:rsidRDefault="00311F81" w:rsidP="007925EA">
            <w:pPr>
              <w:pStyle w:val="TSBodyText"/>
            </w:pPr>
          </w:p>
        </w:tc>
        <w:tc>
          <w:tcPr>
            <w:tcW w:w="3969" w:type="dxa"/>
          </w:tcPr>
          <w:p w14:paraId="6793EE2F" w14:textId="77777777" w:rsidR="00311F81" w:rsidRPr="00DA7355" w:rsidRDefault="00311F81" w:rsidP="007925EA">
            <w:pPr>
              <w:pStyle w:val="TSBodyText"/>
            </w:pPr>
            <w:r w:rsidRPr="00DA7355">
              <w:t xml:space="preserve">1319: Disorderly conduct, </w:t>
            </w:r>
            <w:proofErr w:type="spellStart"/>
            <w:r w:rsidRPr="00DA7355">
              <w:t>nec</w:t>
            </w:r>
            <w:proofErr w:type="spellEnd"/>
          </w:p>
        </w:tc>
        <w:tc>
          <w:tcPr>
            <w:tcW w:w="1133" w:type="dxa"/>
          </w:tcPr>
          <w:p w14:paraId="31257896" w14:textId="77777777" w:rsidR="00311F81" w:rsidRPr="00DA7355" w:rsidRDefault="00311F81" w:rsidP="007925EA">
            <w:pPr>
              <w:pStyle w:val="TSBodyText"/>
            </w:pPr>
            <w:r w:rsidRPr="00DA7355">
              <w:t>Included</w:t>
            </w:r>
          </w:p>
        </w:tc>
      </w:tr>
      <w:tr w:rsidR="00311F81" w14:paraId="7EF076A9" w14:textId="77777777">
        <w:tc>
          <w:tcPr>
            <w:tcW w:w="3118" w:type="dxa"/>
          </w:tcPr>
          <w:p w14:paraId="7BC97D4D" w14:textId="77777777" w:rsidR="00311F81" w:rsidRPr="00DA7355" w:rsidRDefault="00311F81" w:rsidP="007925EA">
            <w:pPr>
              <w:pStyle w:val="TSBodyText"/>
            </w:pPr>
            <w:r w:rsidRPr="00DA7355">
              <w:t>132: Regulated public order offences</w:t>
            </w:r>
          </w:p>
        </w:tc>
        <w:tc>
          <w:tcPr>
            <w:tcW w:w="3969" w:type="dxa"/>
          </w:tcPr>
          <w:p w14:paraId="7BD8E276" w14:textId="77777777" w:rsidR="00311F81" w:rsidRPr="00DA7355" w:rsidRDefault="00311F81" w:rsidP="007925EA">
            <w:pPr>
              <w:pStyle w:val="TSBodyText"/>
            </w:pPr>
            <w:r w:rsidRPr="00DA7355">
              <w:t>1321: Betting and gambling offences</w:t>
            </w:r>
          </w:p>
        </w:tc>
        <w:tc>
          <w:tcPr>
            <w:tcW w:w="1133" w:type="dxa"/>
          </w:tcPr>
          <w:p w14:paraId="4A74D3DC" w14:textId="77777777" w:rsidR="00311F81" w:rsidRPr="00DA7355" w:rsidRDefault="00311F81" w:rsidP="007925EA">
            <w:pPr>
              <w:pStyle w:val="TSBodyText"/>
            </w:pPr>
            <w:r w:rsidRPr="00DA7355">
              <w:t>Excluded</w:t>
            </w:r>
          </w:p>
        </w:tc>
      </w:tr>
      <w:tr w:rsidR="00311F81" w14:paraId="6812A058"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6A052621" w14:textId="77777777" w:rsidR="00311F81" w:rsidRPr="00DA7355" w:rsidRDefault="00311F81" w:rsidP="007925EA">
            <w:pPr>
              <w:pStyle w:val="TSBodyText"/>
            </w:pPr>
          </w:p>
        </w:tc>
        <w:tc>
          <w:tcPr>
            <w:tcW w:w="3969" w:type="dxa"/>
          </w:tcPr>
          <w:p w14:paraId="6294C030" w14:textId="77777777" w:rsidR="00311F81" w:rsidRPr="00DA7355" w:rsidRDefault="00311F81" w:rsidP="007925EA">
            <w:pPr>
              <w:pStyle w:val="TSBodyText"/>
            </w:pPr>
            <w:r w:rsidRPr="00DA7355">
              <w:t>1322: Liquor and tobacco offences</w:t>
            </w:r>
          </w:p>
        </w:tc>
        <w:tc>
          <w:tcPr>
            <w:tcW w:w="1133" w:type="dxa"/>
          </w:tcPr>
          <w:p w14:paraId="7F9DE978" w14:textId="77777777" w:rsidR="00311F81" w:rsidRPr="00DA7355" w:rsidRDefault="00311F81" w:rsidP="007925EA">
            <w:pPr>
              <w:pStyle w:val="TSBodyText"/>
            </w:pPr>
            <w:r w:rsidRPr="00DA7355">
              <w:t>Excluded</w:t>
            </w:r>
          </w:p>
        </w:tc>
      </w:tr>
      <w:tr w:rsidR="00311F81" w14:paraId="1142ED3D" w14:textId="77777777">
        <w:tc>
          <w:tcPr>
            <w:tcW w:w="3118" w:type="dxa"/>
          </w:tcPr>
          <w:p w14:paraId="2D9E44A2" w14:textId="77777777" w:rsidR="00311F81" w:rsidRPr="00DA7355" w:rsidRDefault="00311F81" w:rsidP="007925EA">
            <w:pPr>
              <w:pStyle w:val="TSBodyText"/>
            </w:pPr>
          </w:p>
        </w:tc>
        <w:tc>
          <w:tcPr>
            <w:tcW w:w="3969" w:type="dxa"/>
          </w:tcPr>
          <w:p w14:paraId="2BBBCD93" w14:textId="77777777" w:rsidR="00311F81" w:rsidRPr="00DA7355" w:rsidRDefault="00311F81" w:rsidP="007925EA">
            <w:pPr>
              <w:pStyle w:val="TSBodyText"/>
            </w:pPr>
            <w:r w:rsidRPr="00DA7355">
              <w:t>1323: Censorship offences</w:t>
            </w:r>
          </w:p>
        </w:tc>
        <w:tc>
          <w:tcPr>
            <w:tcW w:w="1133" w:type="dxa"/>
          </w:tcPr>
          <w:p w14:paraId="5ECA4842" w14:textId="77777777" w:rsidR="00311F81" w:rsidRPr="00DA7355" w:rsidRDefault="00311F81" w:rsidP="007925EA">
            <w:pPr>
              <w:pStyle w:val="TSBodyText"/>
            </w:pPr>
            <w:r w:rsidRPr="00DA7355">
              <w:t>Excluded</w:t>
            </w:r>
          </w:p>
        </w:tc>
      </w:tr>
      <w:tr w:rsidR="00311F81" w14:paraId="6D3C4EE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F93E7CB" w14:textId="77777777" w:rsidR="00311F81" w:rsidRPr="00DA7355" w:rsidRDefault="00311F81" w:rsidP="007925EA">
            <w:pPr>
              <w:pStyle w:val="TSBodyText"/>
            </w:pPr>
          </w:p>
        </w:tc>
        <w:tc>
          <w:tcPr>
            <w:tcW w:w="3969" w:type="dxa"/>
          </w:tcPr>
          <w:p w14:paraId="78303E25" w14:textId="77777777" w:rsidR="00311F81" w:rsidRPr="00DA7355" w:rsidRDefault="00311F81" w:rsidP="007925EA">
            <w:pPr>
              <w:pStyle w:val="TSBodyText"/>
            </w:pPr>
            <w:r w:rsidRPr="00DA7355">
              <w:t>1324: Prostitution offences</w:t>
            </w:r>
          </w:p>
        </w:tc>
        <w:tc>
          <w:tcPr>
            <w:tcW w:w="1133" w:type="dxa"/>
          </w:tcPr>
          <w:p w14:paraId="6DCD04C1" w14:textId="77777777" w:rsidR="00311F81" w:rsidRPr="00DA7355" w:rsidRDefault="00311F81" w:rsidP="007925EA">
            <w:pPr>
              <w:pStyle w:val="TSBodyText"/>
            </w:pPr>
            <w:r w:rsidRPr="00DA7355">
              <w:t>Excluded</w:t>
            </w:r>
          </w:p>
        </w:tc>
      </w:tr>
      <w:tr w:rsidR="00311F81" w14:paraId="53CF1450" w14:textId="77777777">
        <w:tc>
          <w:tcPr>
            <w:tcW w:w="3118" w:type="dxa"/>
          </w:tcPr>
          <w:p w14:paraId="3DACF32D" w14:textId="77777777" w:rsidR="00311F81" w:rsidRPr="00DA7355" w:rsidRDefault="00311F81" w:rsidP="007925EA">
            <w:pPr>
              <w:pStyle w:val="TSBodyText"/>
            </w:pPr>
          </w:p>
        </w:tc>
        <w:tc>
          <w:tcPr>
            <w:tcW w:w="3969" w:type="dxa"/>
          </w:tcPr>
          <w:p w14:paraId="2EF9E2C9" w14:textId="77777777" w:rsidR="00311F81" w:rsidRPr="00DA7355" w:rsidRDefault="00311F81" w:rsidP="007925EA">
            <w:pPr>
              <w:pStyle w:val="TSBodyText"/>
            </w:pPr>
            <w:r w:rsidRPr="00DA7355">
              <w:t>1325: Offences against public order sexual standards</w:t>
            </w:r>
          </w:p>
        </w:tc>
        <w:tc>
          <w:tcPr>
            <w:tcW w:w="1133" w:type="dxa"/>
          </w:tcPr>
          <w:p w14:paraId="437DFFE7" w14:textId="77777777" w:rsidR="00311F81" w:rsidRPr="00DA7355" w:rsidRDefault="00311F81" w:rsidP="007925EA">
            <w:pPr>
              <w:pStyle w:val="TSBodyText"/>
            </w:pPr>
            <w:r w:rsidRPr="00DA7355">
              <w:t>Included</w:t>
            </w:r>
          </w:p>
        </w:tc>
      </w:tr>
      <w:tr w:rsidR="00311F81" w14:paraId="0F64DB5A"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4A4B2145" w14:textId="77777777" w:rsidR="00311F81" w:rsidRPr="00DA7355" w:rsidRDefault="00311F81" w:rsidP="007925EA">
            <w:pPr>
              <w:pStyle w:val="TSBodyText"/>
            </w:pPr>
          </w:p>
        </w:tc>
        <w:tc>
          <w:tcPr>
            <w:tcW w:w="3969" w:type="dxa"/>
          </w:tcPr>
          <w:p w14:paraId="3F483699" w14:textId="77777777" w:rsidR="00311F81" w:rsidRPr="00DA7355" w:rsidRDefault="00311F81" w:rsidP="007925EA">
            <w:pPr>
              <w:pStyle w:val="TSBodyText"/>
            </w:pPr>
            <w:r w:rsidRPr="00DA7355">
              <w:t xml:space="preserve">1329: Regulated public order offences, </w:t>
            </w:r>
            <w:proofErr w:type="spellStart"/>
            <w:r w:rsidRPr="00DA7355">
              <w:t>nec</w:t>
            </w:r>
            <w:proofErr w:type="spellEnd"/>
          </w:p>
        </w:tc>
        <w:tc>
          <w:tcPr>
            <w:tcW w:w="1133" w:type="dxa"/>
          </w:tcPr>
          <w:p w14:paraId="50635FF3" w14:textId="77777777" w:rsidR="00311F81" w:rsidRPr="00DA7355" w:rsidRDefault="00311F81" w:rsidP="007925EA">
            <w:pPr>
              <w:pStyle w:val="TSBodyText"/>
            </w:pPr>
            <w:r w:rsidRPr="00DA7355">
              <w:t>Included</w:t>
            </w:r>
          </w:p>
        </w:tc>
      </w:tr>
      <w:tr w:rsidR="00311F81" w14:paraId="7E1B15D1" w14:textId="77777777">
        <w:tc>
          <w:tcPr>
            <w:tcW w:w="3118" w:type="dxa"/>
          </w:tcPr>
          <w:p w14:paraId="2B3FB8A7" w14:textId="77777777" w:rsidR="00311F81" w:rsidRPr="00DA7355" w:rsidRDefault="00311F81" w:rsidP="007925EA">
            <w:pPr>
              <w:pStyle w:val="TSBodyText"/>
            </w:pPr>
            <w:r w:rsidRPr="00DA7355">
              <w:t>133: Offensive conduct</w:t>
            </w:r>
          </w:p>
        </w:tc>
        <w:tc>
          <w:tcPr>
            <w:tcW w:w="3969" w:type="dxa"/>
          </w:tcPr>
          <w:p w14:paraId="469BB7E8" w14:textId="77777777" w:rsidR="00311F81" w:rsidRPr="00DA7355" w:rsidRDefault="00311F81" w:rsidP="007925EA">
            <w:pPr>
              <w:pStyle w:val="TSBodyText"/>
            </w:pPr>
            <w:r w:rsidRPr="00DA7355">
              <w:t>1331: Offensive language</w:t>
            </w:r>
          </w:p>
        </w:tc>
        <w:tc>
          <w:tcPr>
            <w:tcW w:w="1133" w:type="dxa"/>
          </w:tcPr>
          <w:p w14:paraId="5EEB25EE" w14:textId="77777777" w:rsidR="00311F81" w:rsidRPr="00DA7355" w:rsidRDefault="00311F81" w:rsidP="007925EA">
            <w:pPr>
              <w:pStyle w:val="TSBodyText"/>
            </w:pPr>
            <w:r w:rsidRPr="00DA7355">
              <w:t>Included</w:t>
            </w:r>
          </w:p>
        </w:tc>
      </w:tr>
      <w:tr w:rsidR="00311F81" w14:paraId="31D88B94"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020E484" w14:textId="77777777" w:rsidR="00311F81" w:rsidRPr="00DA7355" w:rsidRDefault="00311F81" w:rsidP="007925EA">
            <w:pPr>
              <w:pStyle w:val="TSBodyText"/>
            </w:pPr>
          </w:p>
        </w:tc>
        <w:tc>
          <w:tcPr>
            <w:tcW w:w="3969" w:type="dxa"/>
          </w:tcPr>
          <w:p w14:paraId="38EB83E1" w14:textId="77777777" w:rsidR="00311F81" w:rsidRPr="00DA7355" w:rsidRDefault="00311F81" w:rsidP="007925EA">
            <w:pPr>
              <w:pStyle w:val="TSBodyText"/>
            </w:pPr>
            <w:r w:rsidRPr="00DA7355">
              <w:t>1332: Offensive behaviour</w:t>
            </w:r>
          </w:p>
        </w:tc>
        <w:tc>
          <w:tcPr>
            <w:tcW w:w="1133" w:type="dxa"/>
          </w:tcPr>
          <w:p w14:paraId="3E2F262E" w14:textId="77777777" w:rsidR="00311F81" w:rsidRPr="00DA7355" w:rsidRDefault="00311F81" w:rsidP="007925EA">
            <w:pPr>
              <w:pStyle w:val="TSBodyText"/>
            </w:pPr>
            <w:r w:rsidRPr="00DA7355">
              <w:t>Included</w:t>
            </w:r>
          </w:p>
        </w:tc>
      </w:tr>
      <w:tr w:rsidR="00311F81" w14:paraId="2CA0D904" w14:textId="77777777">
        <w:tc>
          <w:tcPr>
            <w:tcW w:w="3118" w:type="dxa"/>
          </w:tcPr>
          <w:p w14:paraId="5B6F7093" w14:textId="77777777" w:rsidR="00311F81" w:rsidRPr="00DA7355" w:rsidRDefault="00311F81" w:rsidP="007925EA">
            <w:pPr>
              <w:pStyle w:val="TSBodyText"/>
            </w:pPr>
          </w:p>
        </w:tc>
        <w:tc>
          <w:tcPr>
            <w:tcW w:w="3969" w:type="dxa"/>
          </w:tcPr>
          <w:p w14:paraId="5D3EA000" w14:textId="77777777" w:rsidR="00311F81" w:rsidRPr="00DA7355" w:rsidRDefault="00311F81" w:rsidP="007925EA">
            <w:pPr>
              <w:pStyle w:val="TSBodyText"/>
            </w:pPr>
            <w:r w:rsidRPr="00DA7355">
              <w:t>1334: Cruelty to animals</w:t>
            </w:r>
          </w:p>
        </w:tc>
        <w:tc>
          <w:tcPr>
            <w:tcW w:w="1133" w:type="dxa"/>
          </w:tcPr>
          <w:p w14:paraId="468D0FB8" w14:textId="77777777" w:rsidR="00311F81" w:rsidRPr="00DA7355" w:rsidRDefault="00311F81" w:rsidP="007925EA">
            <w:pPr>
              <w:pStyle w:val="TSBodyText"/>
            </w:pPr>
            <w:r w:rsidRPr="00DA7355">
              <w:t>Included</w:t>
            </w:r>
          </w:p>
        </w:tc>
      </w:tr>
      <w:tr w:rsidR="00311F81" w14:paraId="311F75BB"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31B239C2" w14:textId="77777777" w:rsidR="00311F81" w:rsidRPr="00DA7355" w:rsidRDefault="00311F81" w:rsidP="007925EA">
            <w:pPr>
              <w:pStyle w:val="TSBodyText"/>
            </w:pPr>
            <w:r w:rsidRPr="00DA7355">
              <w:t>141: Driver licence offences</w:t>
            </w:r>
          </w:p>
        </w:tc>
        <w:tc>
          <w:tcPr>
            <w:tcW w:w="3969" w:type="dxa"/>
          </w:tcPr>
          <w:p w14:paraId="1D5E9002" w14:textId="77777777" w:rsidR="00311F81" w:rsidRPr="00DA7355" w:rsidRDefault="00311F81" w:rsidP="007925EA">
            <w:pPr>
              <w:pStyle w:val="TSBodyText"/>
            </w:pPr>
            <w:r w:rsidRPr="00DA7355">
              <w:t>1411: Drive while licence disqualified or suspended</w:t>
            </w:r>
          </w:p>
        </w:tc>
        <w:tc>
          <w:tcPr>
            <w:tcW w:w="1133" w:type="dxa"/>
          </w:tcPr>
          <w:p w14:paraId="4FC76FF9" w14:textId="77777777" w:rsidR="00311F81" w:rsidRPr="00DA7355" w:rsidRDefault="00311F81" w:rsidP="007925EA">
            <w:pPr>
              <w:pStyle w:val="TSBodyText"/>
            </w:pPr>
            <w:r w:rsidRPr="00DA7355">
              <w:t>Included</w:t>
            </w:r>
          </w:p>
        </w:tc>
      </w:tr>
      <w:tr w:rsidR="00311F81" w14:paraId="387E357A" w14:textId="77777777">
        <w:tc>
          <w:tcPr>
            <w:tcW w:w="3118" w:type="dxa"/>
          </w:tcPr>
          <w:p w14:paraId="1EF44B58" w14:textId="77777777" w:rsidR="00311F81" w:rsidRPr="00DA7355" w:rsidRDefault="00311F81" w:rsidP="007925EA">
            <w:pPr>
              <w:pStyle w:val="TSBodyText"/>
            </w:pPr>
          </w:p>
        </w:tc>
        <w:tc>
          <w:tcPr>
            <w:tcW w:w="3969" w:type="dxa"/>
          </w:tcPr>
          <w:p w14:paraId="1CFB4297" w14:textId="77777777" w:rsidR="00311F81" w:rsidRPr="00DA7355" w:rsidRDefault="00311F81" w:rsidP="007925EA">
            <w:pPr>
              <w:pStyle w:val="TSBodyText"/>
            </w:pPr>
            <w:r w:rsidRPr="00DA7355">
              <w:t>1412: Drive without a licence</w:t>
            </w:r>
          </w:p>
        </w:tc>
        <w:tc>
          <w:tcPr>
            <w:tcW w:w="1133" w:type="dxa"/>
          </w:tcPr>
          <w:p w14:paraId="6E36699A" w14:textId="77777777" w:rsidR="00311F81" w:rsidRPr="00DA7355" w:rsidRDefault="00311F81" w:rsidP="007925EA">
            <w:pPr>
              <w:pStyle w:val="TSBodyText"/>
            </w:pPr>
            <w:r w:rsidRPr="00DA7355">
              <w:t>Included</w:t>
            </w:r>
          </w:p>
        </w:tc>
      </w:tr>
      <w:tr w:rsidR="00311F81" w14:paraId="11EEA80D"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CD65EF6" w14:textId="77777777" w:rsidR="00311F81" w:rsidRPr="00DA7355" w:rsidRDefault="00311F81" w:rsidP="007925EA">
            <w:pPr>
              <w:pStyle w:val="TSBodyText"/>
            </w:pPr>
          </w:p>
        </w:tc>
        <w:tc>
          <w:tcPr>
            <w:tcW w:w="3969" w:type="dxa"/>
          </w:tcPr>
          <w:p w14:paraId="2705F4CF" w14:textId="77777777" w:rsidR="00311F81" w:rsidRPr="00DA7355" w:rsidRDefault="00311F81" w:rsidP="007925EA">
            <w:pPr>
              <w:pStyle w:val="TSBodyText"/>
            </w:pPr>
            <w:r w:rsidRPr="00DA7355">
              <w:t xml:space="preserve">1419: Driver licence offences, </w:t>
            </w:r>
            <w:proofErr w:type="spellStart"/>
            <w:r w:rsidRPr="00DA7355">
              <w:t>nec</w:t>
            </w:r>
            <w:proofErr w:type="spellEnd"/>
          </w:p>
        </w:tc>
        <w:tc>
          <w:tcPr>
            <w:tcW w:w="1133" w:type="dxa"/>
          </w:tcPr>
          <w:p w14:paraId="2A8D8331" w14:textId="77777777" w:rsidR="00311F81" w:rsidRPr="00DA7355" w:rsidRDefault="00311F81" w:rsidP="007925EA">
            <w:pPr>
              <w:pStyle w:val="TSBodyText"/>
            </w:pPr>
            <w:r w:rsidRPr="00DA7355">
              <w:t>Included</w:t>
            </w:r>
          </w:p>
        </w:tc>
      </w:tr>
      <w:tr w:rsidR="00311F81" w14:paraId="5A322313" w14:textId="77777777">
        <w:tc>
          <w:tcPr>
            <w:tcW w:w="3118" w:type="dxa"/>
          </w:tcPr>
          <w:p w14:paraId="0BB1A583" w14:textId="77777777" w:rsidR="00311F81" w:rsidRPr="00DA7355" w:rsidRDefault="00311F81" w:rsidP="007925EA">
            <w:pPr>
              <w:pStyle w:val="TSBodyText"/>
            </w:pPr>
            <w:r w:rsidRPr="00DA7355">
              <w:t>142: Vehicle registration and roadworthiness offences</w:t>
            </w:r>
          </w:p>
        </w:tc>
        <w:tc>
          <w:tcPr>
            <w:tcW w:w="3969" w:type="dxa"/>
          </w:tcPr>
          <w:p w14:paraId="39273B34" w14:textId="77777777" w:rsidR="00311F81" w:rsidRPr="00DA7355" w:rsidRDefault="00311F81" w:rsidP="007925EA">
            <w:pPr>
              <w:pStyle w:val="TSBodyText"/>
            </w:pPr>
            <w:r w:rsidRPr="00DA7355">
              <w:t>1421: Registration offences</w:t>
            </w:r>
          </w:p>
        </w:tc>
        <w:tc>
          <w:tcPr>
            <w:tcW w:w="1133" w:type="dxa"/>
          </w:tcPr>
          <w:p w14:paraId="3116FE9A" w14:textId="77777777" w:rsidR="00311F81" w:rsidRPr="00DA7355" w:rsidRDefault="00311F81" w:rsidP="007925EA">
            <w:pPr>
              <w:pStyle w:val="TSBodyText"/>
            </w:pPr>
            <w:r w:rsidRPr="00DA7355">
              <w:t>Included</w:t>
            </w:r>
          </w:p>
        </w:tc>
      </w:tr>
      <w:tr w:rsidR="00311F81" w14:paraId="65AAD982"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0787488" w14:textId="77777777" w:rsidR="00311F81" w:rsidRPr="00DA7355" w:rsidRDefault="00311F81" w:rsidP="007925EA">
            <w:pPr>
              <w:pStyle w:val="TSBodyText"/>
            </w:pPr>
            <w:r w:rsidRPr="00DA7355">
              <w:t>143: Regulatory driving offences</w:t>
            </w:r>
          </w:p>
        </w:tc>
        <w:tc>
          <w:tcPr>
            <w:tcW w:w="3969" w:type="dxa"/>
          </w:tcPr>
          <w:p w14:paraId="381B5D13" w14:textId="77777777" w:rsidR="00311F81" w:rsidRPr="00DA7355" w:rsidRDefault="00311F81" w:rsidP="007925EA">
            <w:pPr>
              <w:pStyle w:val="TSBodyText"/>
            </w:pPr>
            <w:r w:rsidRPr="00DA7355">
              <w:t>1431: Exceed the prescribed content of alcohol or other substance limit</w:t>
            </w:r>
          </w:p>
        </w:tc>
        <w:tc>
          <w:tcPr>
            <w:tcW w:w="1133" w:type="dxa"/>
          </w:tcPr>
          <w:p w14:paraId="0CCE6950" w14:textId="77777777" w:rsidR="00311F81" w:rsidRPr="00DA7355" w:rsidRDefault="00311F81" w:rsidP="007925EA">
            <w:pPr>
              <w:pStyle w:val="TSBodyText"/>
            </w:pPr>
            <w:r w:rsidRPr="00DA7355">
              <w:t>Included</w:t>
            </w:r>
          </w:p>
        </w:tc>
      </w:tr>
      <w:tr w:rsidR="00311F81" w14:paraId="2243C0EC" w14:textId="77777777">
        <w:tc>
          <w:tcPr>
            <w:tcW w:w="3118" w:type="dxa"/>
          </w:tcPr>
          <w:p w14:paraId="666739F3" w14:textId="77777777" w:rsidR="00311F81" w:rsidRPr="00DA7355" w:rsidRDefault="00311F81" w:rsidP="007925EA">
            <w:pPr>
              <w:pStyle w:val="TSBodyText"/>
            </w:pPr>
          </w:p>
        </w:tc>
        <w:tc>
          <w:tcPr>
            <w:tcW w:w="3969" w:type="dxa"/>
          </w:tcPr>
          <w:p w14:paraId="2127046F" w14:textId="77777777" w:rsidR="00311F81" w:rsidRPr="00DA7355" w:rsidRDefault="00311F81" w:rsidP="007925EA">
            <w:pPr>
              <w:pStyle w:val="TSBodyText"/>
            </w:pPr>
            <w:r w:rsidRPr="00DA7355">
              <w:t xml:space="preserve">1439: Regulatory driving offences, </w:t>
            </w:r>
            <w:proofErr w:type="spellStart"/>
            <w:r w:rsidRPr="00DA7355">
              <w:t>nec</w:t>
            </w:r>
            <w:proofErr w:type="spellEnd"/>
          </w:p>
        </w:tc>
        <w:tc>
          <w:tcPr>
            <w:tcW w:w="1133" w:type="dxa"/>
          </w:tcPr>
          <w:p w14:paraId="70E1D20A" w14:textId="77777777" w:rsidR="00311F81" w:rsidRPr="00DA7355" w:rsidRDefault="00311F81" w:rsidP="007925EA">
            <w:pPr>
              <w:pStyle w:val="TSBodyText"/>
            </w:pPr>
            <w:r w:rsidRPr="00DA7355">
              <w:t>Included</w:t>
            </w:r>
          </w:p>
        </w:tc>
      </w:tr>
      <w:tr w:rsidR="00311F81" w14:paraId="00DD1381"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C4CD7CE" w14:textId="77777777" w:rsidR="00311F81" w:rsidRPr="00DA7355" w:rsidRDefault="00311F81" w:rsidP="007925EA">
            <w:pPr>
              <w:pStyle w:val="TSBodyText"/>
            </w:pPr>
            <w:r w:rsidRPr="00DA7355">
              <w:t>150: Offences against justice procedures, government security and government operations not further defined</w:t>
            </w:r>
          </w:p>
        </w:tc>
        <w:tc>
          <w:tcPr>
            <w:tcW w:w="3969" w:type="dxa"/>
          </w:tcPr>
          <w:p w14:paraId="4AFFCAE8" w14:textId="77777777" w:rsidR="00311F81" w:rsidRPr="00DA7355" w:rsidRDefault="00311F81" w:rsidP="007925EA">
            <w:pPr>
              <w:pStyle w:val="TSBodyText"/>
            </w:pPr>
            <w:r w:rsidRPr="00DA7355">
              <w:t>1500: Offences against justice procedures, government security and government operations not further defined</w:t>
            </w:r>
          </w:p>
        </w:tc>
        <w:tc>
          <w:tcPr>
            <w:tcW w:w="1133" w:type="dxa"/>
          </w:tcPr>
          <w:p w14:paraId="521814A6" w14:textId="77777777" w:rsidR="00311F81" w:rsidRPr="00DA7355" w:rsidRDefault="00311F81" w:rsidP="007925EA">
            <w:pPr>
              <w:pStyle w:val="TSBodyText"/>
            </w:pPr>
            <w:r w:rsidRPr="00DA7355">
              <w:t>Excluded</w:t>
            </w:r>
          </w:p>
        </w:tc>
      </w:tr>
      <w:tr w:rsidR="00311F81" w14:paraId="70E83E47" w14:textId="77777777">
        <w:tc>
          <w:tcPr>
            <w:tcW w:w="3118" w:type="dxa"/>
          </w:tcPr>
          <w:p w14:paraId="3C41DE42" w14:textId="77777777" w:rsidR="00311F81" w:rsidRPr="00DA7355" w:rsidRDefault="00311F81" w:rsidP="007925EA">
            <w:pPr>
              <w:pStyle w:val="TSBodyText"/>
            </w:pPr>
            <w:r w:rsidRPr="00DA7355">
              <w:t>151: Breach of custodial order offences</w:t>
            </w:r>
          </w:p>
        </w:tc>
        <w:tc>
          <w:tcPr>
            <w:tcW w:w="3969" w:type="dxa"/>
          </w:tcPr>
          <w:p w14:paraId="45F84BC4" w14:textId="77777777" w:rsidR="00311F81" w:rsidRPr="00DA7355" w:rsidRDefault="00311F81" w:rsidP="007925EA">
            <w:pPr>
              <w:pStyle w:val="TSBodyText"/>
            </w:pPr>
            <w:r w:rsidRPr="00DA7355">
              <w:t>1511: Breach of custody offences</w:t>
            </w:r>
          </w:p>
        </w:tc>
        <w:tc>
          <w:tcPr>
            <w:tcW w:w="1133" w:type="dxa"/>
          </w:tcPr>
          <w:p w14:paraId="617F6F93" w14:textId="77777777" w:rsidR="00311F81" w:rsidRPr="00DA7355" w:rsidRDefault="00311F81" w:rsidP="007925EA">
            <w:pPr>
              <w:pStyle w:val="TSBodyText"/>
            </w:pPr>
            <w:r w:rsidRPr="00DA7355">
              <w:t>Excluded</w:t>
            </w:r>
          </w:p>
        </w:tc>
      </w:tr>
      <w:tr w:rsidR="00311F81" w14:paraId="29DCA2C3"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8AA2EDE" w14:textId="77777777" w:rsidR="00311F81" w:rsidRPr="00DA7355" w:rsidRDefault="00311F81" w:rsidP="007925EA">
            <w:pPr>
              <w:pStyle w:val="TSBodyText"/>
            </w:pPr>
          </w:p>
        </w:tc>
        <w:tc>
          <w:tcPr>
            <w:tcW w:w="3969" w:type="dxa"/>
          </w:tcPr>
          <w:p w14:paraId="53D4C4E7" w14:textId="77777777" w:rsidR="00311F81" w:rsidRPr="00DA7355" w:rsidRDefault="00311F81" w:rsidP="007925EA">
            <w:pPr>
              <w:pStyle w:val="TSBodyText"/>
            </w:pPr>
            <w:r w:rsidRPr="00DA7355">
              <w:t>1512: Breach of home detention</w:t>
            </w:r>
          </w:p>
        </w:tc>
        <w:tc>
          <w:tcPr>
            <w:tcW w:w="1133" w:type="dxa"/>
          </w:tcPr>
          <w:p w14:paraId="2492ABFC" w14:textId="77777777" w:rsidR="00311F81" w:rsidRPr="00DA7355" w:rsidRDefault="00311F81" w:rsidP="007925EA">
            <w:pPr>
              <w:pStyle w:val="TSBodyText"/>
            </w:pPr>
            <w:r w:rsidRPr="00DA7355">
              <w:t>Included</w:t>
            </w:r>
          </w:p>
        </w:tc>
      </w:tr>
      <w:tr w:rsidR="00311F81" w14:paraId="48563853" w14:textId="77777777">
        <w:tc>
          <w:tcPr>
            <w:tcW w:w="3118" w:type="dxa"/>
          </w:tcPr>
          <w:p w14:paraId="105CDFDF" w14:textId="77777777" w:rsidR="00311F81" w:rsidRPr="00DA7355" w:rsidRDefault="00311F81" w:rsidP="007925EA">
            <w:pPr>
              <w:pStyle w:val="TSBodyText"/>
            </w:pPr>
            <w:r w:rsidRPr="00DA7355">
              <w:t>152: Breach of community-based order</w:t>
            </w:r>
          </w:p>
        </w:tc>
        <w:tc>
          <w:tcPr>
            <w:tcW w:w="3969" w:type="dxa"/>
          </w:tcPr>
          <w:p w14:paraId="560516FF" w14:textId="77777777" w:rsidR="00311F81" w:rsidRPr="00DA7355" w:rsidRDefault="00311F81" w:rsidP="007925EA">
            <w:pPr>
              <w:pStyle w:val="TSBodyText"/>
            </w:pPr>
            <w:r w:rsidRPr="00DA7355">
              <w:t>1521: Breach of community service order</w:t>
            </w:r>
          </w:p>
        </w:tc>
        <w:tc>
          <w:tcPr>
            <w:tcW w:w="1133" w:type="dxa"/>
          </w:tcPr>
          <w:p w14:paraId="1C501C31" w14:textId="77777777" w:rsidR="00311F81" w:rsidRPr="00DA7355" w:rsidRDefault="00311F81" w:rsidP="007925EA">
            <w:pPr>
              <w:pStyle w:val="TSBodyText"/>
            </w:pPr>
            <w:r w:rsidRPr="00DA7355">
              <w:t>Included</w:t>
            </w:r>
          </w:p>
        </w:tc>
      </w:tr>
      <w:tr w:rsidR="00311F81" w14:paraId="7020C7FA"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2EBBAEA8" w14:textId="77777777" w:rsidR="00311F81" w:rsidRPr="00DA7355" w:rsidRDefault="00311F81" w:rsidP="007925EA">
            <w:pPr>
              <w:pStyle w:val="TSBodyText"/>
            </w:pPr>
          </w:p>
        </w:tc>
        <w:tc>
          <w:tcPr>
            <w:tcW w:w="3969" w:type="dxa"/>
          </w:tcPr>
          <w:p w14:paraId="71282916" w14:textId="77777777" w:rsidR="00311F81" w:rsidRPr="00DA7355" w:rsidRDefault="00311F81" w:rsidP="007925EA">
            <w:pPr>
              <w:pStyle w:val="TSBodyText"/>
            </w:pPr>
            <w:r w:rsidRPr="00DA7355">
              <w:t>1522: Breach of parole</w:t>
            </w:r>
          </w:p>
        </w:tc>
        <w:tc>
          <w:tcPr>
            <w:tcW w:w="1133" w:type="dxa"/>
          </w:tcPr>
          <w:p w14:paraId="2CBD2AD4" w14:textId="77777777" w:rsidR="00311F81" w:rsidRPr="00DA7355" w:rsidRDefault="00311F81" w:rsidP="007925EA">
            <w:pPr>
              <w:pStyle w:val="TSBodyText"/>
            </w:pPr>
            <w:r w:rsidRPr="00DA7355">
              <w:t>Included</w:t>
            </w:r>
          </w:p>
        </w:tc>
      </w:tr>
      <w:tr w:rsidR="00311F81" w14:paraId="3A7983C4" w14:textId="77777777">
        <w:tc>
          <w:tcPr>
            <w:tcW w:w="3118" w:type="dxa"/>
          </w:tcPr>
          <w:p w14:paraId="34A4AE2B" w14:textId="77777777" w:rsidR="00311F81" w:rsidRPr="00DA7355" w:rsidRDefault="00311F81" w:rsidP="007925EA">
            <w:pPr>
              <w:pStyle w:val="TSBodyText"/>
            </w:pPr>
            <w:r w:rsidRPr="00DA7355">
              <w:t>152: Breach of community-based order</w:t>
            </w:r>
          </w:p>
        </w:tc>
        <w:tc>
          <w:tcPr>
            <w:tcW w:w="3969" w:type="dxa"/>
          </w:tcPr>
          <w:p w14:paraId="2CBA7446" w14:textId="77777777" w:rsidR="00311F81" w:rsidRPr="00DA7355" w:rsidRDefault="00311F81" w:rsidP="007925EA">
            <w:pPr>
              <w:pStyle w:val="TSBodyText"/>
            </w:pPr>
            <w:r w:rsidRPr="00DA7355">
              <w:t>1521: Breach of community service order</w:t>
            </w:r>
          </w:p>
        </w:tc>
        <w:tc>
          <w:tcPr>
            <w:tcW w:w="1133" w:type="dxa"/>
          </w:tcPr>
          <w:p w14:paraId="080B744E" w14:textId="77777777" w:rsidR="00311F81" w:rsidRPr="00DA7355" w:rsidRDefault="00311F81" w:rsidP="007925EA">
            <w:pPr>
              <w:pStyle w:val="TSBodyText"/>
            </w:pPr>
            <w:r w:rsidRPr="00DA7355">
              <w:t>Included</w:t>
            </w:r>
          </w:p>
        </w:tc>
      </w:tr>
      <w:tr w:rsidR="00311F81" w14:paraId="3F437196"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62C0CF37" w14:textId="77777777" w:rsidR="00311F81" w:rsidRPr="00DA7355" w:rsidRDefault="00311F81" w:rsidP="007925EA">
            <w:pPr>
              <w:pStyle w:val="TSBodyText"/>
            </w:pPr>
          </w:p>
        </w:tc>
        <w:tc>
          <w:tcPr>
            <w:tcW w:w="3969" w:type="dxa"/>
          </w:tcPr>
          <w:p w14:paraId="19DA6918" w14:textId="77777777" w:rsidR="00311F81" w:rsidRPr="00DA7355" w:rsidRDefault="00311F81" w:rsidP="007925EA">
            <w:pPr>
              <w:pStyle w:val="TSBodyText"/>
            </w:pPr>
            <w:r w:rsidRPr="00DA7355">
              <w:t>1522: Breach of parole</w:t>
            </w:r>
          </w:p>
        </w:tc>
        <w:tc>
          <w:tcPr>
            <w:tcW w:w="1133" w:type="dxa"/>
          </w:tcPr>
          <w:p w14:paraId="6AFE77B6" w14:textId="77777777" w:rsidR="00311F81" w:rsidRPr="00DA7355" w:rsidRDefault="00311F81" w:rsidP="007925EA">
            <w:pPr>
              <w:pStyle w:val="TSBodyText"/>
            </w:pPr>
            <w:r w:rsidRPr="00DA7355">
              <w:t>Included</w:t>
            </w:r>
          </w:p>
        </w:tc>
      </w:tr>
      <w:tr w:rsidR="00311F81" w14:paraId="06148570" w14:textId="77777777">
        <w:tc>
          <w:tcPr>
            <w:tcW w:w="3118" w:type="dxa"/>
          </w:tcPr>
          <w:p w14:paraId="196953B2" w14:textId="77777777" w:rsidR="00311F81" w:rsidRPr="00DA7355" w:rsidRDefault="00311F81" w:rsidP="007925EA">
            <w:pPr>
              <w:pStyle w:val="TSBodyText"/>
            </w:pPr>
          </w:p>
        </w:tc>
        <w:tc>
          <w:tcPr>
            <w:tcW w:w="3969" w:type="dxa"/>
          </w:tcPr>
          <w:p w14:paraId="78BCA316" w14:textId="77777777" w:rsidR="00311F81" w:rsidRPr="00DA7355" w:rsidRDefault="00311F81" w:rsidP="007925EA">
            <w:pPr>
              <w:pStyle w:val="TSBodyText"/>
            </w:pPr>
            <w:r w:rsidRPr="00DA7355">
              <w:t>1523: Breach of bail</w:t>
            </w:r>
          </w:p>
        </w:tc>
        <w:tc>
          <w:tcPr>
            <w:tcW w:w="1133" w:type="dxa"/>
          </w:tcPr>
          <w:p w14:paraId="77C97182" w14:textId="77777777" w:rsidR="00311F81" w:rsidRPr="00DA7355" w:rsidRDefault="00311F81" w:rsidP="007925EA">
            <w:pPr>
              <w:pStyle w:val="TSBodyText"/>
            </w:pPr>
            <w:r w:rsidRPr="00DA7355">
              <w:t>Included</w:t>
            </w:r>
          </w:p>
        </w:tc>
      </w:tr>
      <w:tr w:rsidR="00311F81" w14:paraId="68E69C05"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C4FBAE1" w14:textId="77777777" w:rsidR="00311F81" w:rsidRPr="00DA7355" w:rsidRDefault="00311F81" w:rsidP="007925EA">
            <w:pPr>
              <w:pStyle w:val="TSBodyText"/>
            </w:pPr>
          </w:p>
        </w:tc>
        <w:tc>
          <w:tcPr>
            <w:tcW w:w="3969" w:type="dxa"/>
          </w:tcPr>
          <w:p w14:paraId="79C1357B" w14:textId="77777777" w:rsidR="00311F81" w:rsidRPr="00DA7355" w:rsidRDefault="00311F81" w:rsidP="007925EA">
            <w:pPr>
              <w:pStyle w:val="TSBodyText"/>
            </w:pPr>
            <w:r w:rsidRPr="00DA7355">
              <w:t>1524: Breach of bond - probation</w:t>
            </w:r>
          </w:p>
        </w:tc>
        <w:tc>
          <w:tcPr>
            <w:tcW w:w="1133" w:type="dxa"/>
          </w:tcPr>
          <w:p w14:paraId="042DB788" w14:textId="77777777" w:rsidR="00311F81" w:rsidRPr="00DA7355" w:rsidRDefault="00311F81" w:rsidP="007925EA">
            <w:pPr>
              <w:pStyle w:val="TSBodyText"/>
            </w:pPr>
            <w:r w:rsidRPr="00DA7355">
              <w:t>Included</w:t>
            </w:r>
          </w:p>
        </w:tc>
      </w:tr>
      <w:tr w:rsidR="00311F81" w14:paraId="577EDDED" w14:textId="77777777">
        <w:tc>
          <w:tcPr>
            <w:tcW w:w="3118" w:type="dxa"/>
          </w:tcPr>
          <w:p w14:paraId="71FC4DD2" w14:textId="77777777" w:rsidR="00311F81" w:rsidRPr="00DA7355" w:rsidRDefault="00311F81" w:rsidP="007925EA">
            <w:pPr>
              <w:pStyle w:val="TSBodyText"/>
            </w:pPr>
          </w:p>
        </w:tc>
        <w:tc>
          <w:tcPr>
            <w:tcW w:w="3969" w:type="dxa"/>
          </w:tcPr>
          <w:p w14:paraId="7742619B" w14:textId="77777777" w:rsidR="00311F81" w:rsidRPr="00DA7355" w:rsidRDefault="00311F81" w:rsidP="007925EA">
            <w:pPr>
              <w:pStyle w:val="TSBodyText"/>
            </w:pPr>
            <w:r w:rsidRPr="00DA7355">
              <w:t xml:space="preserve">1529: Breach of community-based order, </w:t>
            </w:r>
            <w:proofErr w:type="spellStart"/>
            <w:r w:rsidRPr="00DA7355">
              <w:t>nec</w:t>
            </w:r>
            <w:proofErr w:type="spellEnd"/>
          </w:p>
        </w:tc>
        <w:tc>
          <w:tcPr>
            <w:tcW w:w="1133" w:type="dxa"/>
          </w:tcPr>
          <w:p w14:paraId="48A75BF0" w14:textId="77777777" w:rsidR="00311F81" w:rsidRPr="00DA7355" w:rsidRDefault="00311F81" w:rsidP="007925EA">
            <w:pPr>
              <w:pStyle w:val="TSBodyText"/>
            </w:pPr>
            <w:r w:rsidRPr="00DA7355">
              <w:t>Included</w:t>
            </w:r>
          </w:p>
        </w:tc>
      </w:tr>
      <w:tr w:rsidR="00311F81" w14:paraId="0DD47716"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3914C1D6" w14:textId="77777777" w:rsidR="00311F81" w:rsidRPr="00DA7355" w:rsidRDefault="00311F81" w:rsidP="007925EA">
            <w:pPr>
              <w:pStyle w:val="TSBodyText"/>
            </w:pPr>
            <w:r w:rsidRPr="00DA7355">
              <w:t>153: Breach of violence and non-violence orders</w:t>
            </w:r>
          </w:p>
        </w:tc>
        <w:tc>
          <w:tcPr>
            <w:tcW w:w="3969" w:type="dxa"/>
          </w:tcPr>
          <w:p w14:paraId="6C5D086E" w14:textId="77777777" w:rsidR="00311F81" w:rsidRPr="00DA7355" w:rsidRDefault="00311F81" w:rsidP="007925EA">
            <w:pPr>
              <w:pStyle w:val="TSBodyText"/>
            </w:pPr>
            <w:r w:rsidRPr="00DA7355">
              <w:t>1530: Breach of violence and non-violence orders not further defined</w:t>
            </w:r>
          </w:p>
        </w:tc>
        <w:tc>
          <w:tcPr>
            <w:tcW w:w="1133" w:type="dxa"/>
          </w:tcPr>
          <w:p w14:paraId="48194E0F" w14:textId="77777777" w:rsidR="00311F81" w:rsidRPr="00DA7355" w:rsidRDefault="00311F81" w:rsidP="007925EA">
            <w:pPr>
              <w:pStyle w:val="TSBodyText"/>
            </w:pPr>
            <w:r w:rsidRPr="00DA7355">
              <w:t>Included</w:t>
            </w:r>
          </w:p>
        </w:tc>
      </w:tr>
      <w:tr w:rsidR="00311F81" w14:paraId="13216E7E" w14:textId="77777777">
        <w:tc>
          <w:tcPr>
            <w:tcW w:w="3118" w:type="dxa"/>
          </w:tcPr>
          <w:p w14:paraId="2AE92E1B" w14:textId="77777777" w:rsidR="00311F81" w:rsidRPr="00DA7355" w:rsidRDefault="00311F81" w:rsidP="007925EA">
            <w:pPr>
              <w:pStyle w:val="TSBodyText"/>
            </w:pPr>
          </w:p>
        </w:tc>
        <w:tc>
          <w:tcPr>
            <w:tcW w:w="3969" w:type="dxa"/>
          </w:tcPr>
          <w:p w14:paraId="4E9A949B" w14:textId="77777777" w:rsidR="00311F81" w:rsidRPr="00DA7355" w:rsidRDefault="00311F81" w:rsidP="007925EA">
            <w:pPr>
              <w:pStyle w:val="TSBodyText"/>
            </w:pPr>
            <w:r w:rsidRPr="00DA7355">
              <w:t>1531: Breach of violence order</w:t>
            </w:r>
          </w:p>
        </w:tc>
        <w:tc>
          <w:tcPr>
            <w:tcW w:w="1133" w:type="dxa"/>
          </w:tcPr>
          <w:p w14:paraId="1B43CD23" w14:textId="77777777" w:rsidR="00311F81" w:rsidRPr="00DA7355" w:rsidRDefault="00311F81" w:rsidP="007925EA">
            <w:pPr>
              <w:pStyle w:val="TSBodyText"/>
            </w:pPr>
            <w:r w:rsidRPr="00DA7355">
              <w:t>Included</w:t>
            </w:r>
          </w:p>
        </w:tc>
      </w:tr>
      <w:tr w:rsidR="00311F81" w14:paraId="6B028CEF"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049882C9" w14:textId="77777777" w:rsidR="00311F81" w:rsidRPr="00DA7355" w:rsidRDefault="00311F81" w:rsidP="007925EA">
            <w:pPr>
              <w:pStyle w:val="TSBodyText"/>
            </w:pPr>
          </w:p>
        </w:tc>
        <w:tc>
          <w:tcPr>
            <w:tcW w:w="3969" w:type="dxa"/>
          </w:tcPr>
          <w:p w14:paraId="69DE1689" w14:textId="77777777" w:rsidR="00311F81" w:rsidRPr="00DA7355" w:rsidRDefault="00311F81" w:rsidP="007925EA">
            <w:pPr>
              <w:pStyle w:val="TSBodyText"/>
            </w:pPr>
            <w:r w:rsidRPr="00DA7355">
              <w:t>1532: Breach of non-violence order</w:t>
            </w:r>
          </w:p>
        </w:tc>
        <w:tc>
          <w:tcPr>
            <w:tcW w:w="1133" w:type="dxa"/>
          </w:tcPr>
          <w:p w14:paraId="0813647C" w14:textId="77777777" w:rsidR="00311F81" w:rsidRPr="00DA7355" w:rsidRDefault="00311F81" w:rsidP="007925EA">
            <w:pPr>
              <w:pStyle w:val="TSBodyText"/>
            </w:pPr>
            <w:r w:rsidRPr="00DA7355">
              <w:t>Included</w:t>
            </w:r>
          </w:p>
        </w:tc>
      </w:tr>
      <w:tr w:rsidR="00311F81" w14:paraId="680DD920" w14:textId="77777777">
        <w:tc>
          <w:tcPr>
            <w:tcW w:w="3118" w:type="dxa"/>
          </w:tcPr>
          <w:p w14:paraId="5BE5AD40" w14:textId="77777777" w:rsidR="00311F81" w:rsidRPr="00DA7355" w:rsidRDefault="00311F81" w:rsidP="007925EA">
            <w:pPr>
              <w:pStyle w:val="TSBodyText"/>
            </w:pPr>
            <w:r w:rsidRPr="00DA7355">
              <w:t>154: Offences against government operations</w:t>
            </w:r>
          </w:p>
        </w:tc>
        <w:tc>
          <w:tcPr>
            <w:tcW w:w="3969" w:type="dxa"/>
          </w:tcPr>
          <w:p w14:paraId="153456FB" w14:textId="177924A9" w:rsidR="00311F81" w:rsidRPr="00DA7355" w:rsidRDefault="00311F81" w:rsidP="007925EA">
            <w:pPr>
              <w:pStyle w:val="TSBodyText"/>
            </w:pPr>
            <w:r w:rsidRPr="00DA7355">
              <w:t xml:space="preserve">1541: Resist or hinder government official (excluding </w:t>
            </w:r>
            <w:r w:rsidR="00DB108A">
              <w:t>P</w:t>
            </w:r>
            <w:r w:rsidRPr="00DA7355">
              <w:t>olice officer, justice official or government security officer)</w:t>
            </w:r>
          </w:p>
        </w:tc>
        <w:tc>
          <w:tcPr>
            <w:tcW w:w="1133" w:type="dxa"/>
          </w:tcPr>
          <w:p w14:paraId="13F98FC9" w14:textId="77777777" w:rsidR="00311F81" w:rsidRPr="00DA7355" w:rsidRDefault="00311F81" w:rsidP="007925EA">
            <w:pPr>
              <w:pStyle w:val="TSBodyText"/>
            </w:pPr>
            <w:r w:rsidRPr="00DA7355">
              <w:t>Excluded</w:t>
            </w:r>
          </w:p>
        </w:tc>
      </w:tr>
      <w:tr w:rsidR="00311F81" w14:paraId="3E07EEEE"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64F88EC" w14:textId="77777777" w:rsidR="00311F81" w:rsidRPr="00DA7355" w:rsidRDefault="00311F81" w:rsidP="007925EA">
            <w:pPr>
              <w:pStyle w:val="TSBodyText"/>
            </w:pPr>
          </w:p>
        </w:tc>
        <w:tc>
          <w:tcPr>
            <w:tcW w:w="3969" w:type="dxa"/>
          </w:tcPr>
          <w:p w14:paraId="6444BFF1" w14:textId="77777777" w:rsidR="00311F81" w:rsidRPr="00DA7355" w:rsidRDefault="00311F81" w:rsidP="007925EA">
            <w:pPr>
              <w:pStyle w:val="TSBodyText"/>
            </w:pPr>
            <w:r w:rsidRPr="00DA7355">
              <w:t>1542: Bribery involving government officials</w:t>
            </w:r>
          </w:p>
        </w:tc>
        <w:tc>
          <w:tcPr>
            <w:tcW w:w="1133" w:type="dxa"/>
          </w:tcPr>
          <w:p w14:paraId="3C846448" w14:textId="77777777" w:rsidR="00311F81" w:rsidRPr="00DA7355" w:rsidRDefault="00311F81" w:rsidP="007925EA">
            <w:pPr>
              <w:pStyle w:val="TSBodyText"/>
            </w:pPr>
            <w:r w:rsidRPr="00DA7355">
              <w:t>Excluded</w:t>
            </w:r>
          </w:p>
        </w:tc>
      </w:tr>
      <w:tr w:rsidR="00311F81" w14:paraId="3EF7933C" w14:textId="77777777">
        <w:tc>
          <w:tcPr>
            <w:tcW w:w="3118" w:type="dxa"/>
          </w:tcPr>
          <w:p w14:paraId="5165F2F5" w14:textId="77777777" w:rsidR="00311F81" w:rsidRPr="00DA7355" w:rsidRDefault="00311F81" w:rsidP="007925EA">
            <w:pPr>
              <w:pStyle w:val="TSBodyText"/>
            </w:pPr>
          </w:p>
        </w:tc>
        <w:tc>
          <w:tcPr>
            <w:tcW w:w="3969" w:type="dxa"/>
          </w:tcPr>
          <w:p w14:paraId="4F267A51" w14:textId="77777777" w:rsidR="00311F81" w:rsidRPr="00DA7355" w:rsidRDefault="00311F81" w:rsidP="007925EA">
            <w:pPr>
              <w:pStyle w:val="TSBodyText"/>
            </w:pPr>
            <w:r w:rsidRPr="00DA7355">
              <w:t>1543: Immigration offences</w:t>
            </w:r>
          </w:p>
        </w:tc>
        <w:tc>
          <w:tcPr>
            <w:tcW w:w="1133" w:type="dxa"/>
          </w:tcPr>
          <w:p w14:paraId="122F630D" w14:textId="77777777" w:rsidR="00311F81" w:rsidRPr="00DA7355" w:rsidRDefault="00311F81" w:rsidP="007925EA">
            <w:pPr>
              <w:pStyle w:val="TSBodyText"/>
            </w:pPr>
            <w:r w:rsidRPr="00DA7355">
              <w:t>Excluded</w:t>
            </w:r>
          </w:p>
        </w:tc>
      </w:tr>
      <w:tr w:rsidR="00311F81" w14:paraId="3F0B4642"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3AD83066" w14:textId="77777777" w:rsidR="00311F81" w:rsidRPr="00DA7355" w:rsidRDefault="00311F81" w:rsidP="007925EA">
            <w:pPr>
              <w:pStyle w:val="TSBodyText"/>
            </w:pPr>
          </w:p>
        </w:tc>
        <w:tc>
          <w:tcPr>
            <w:tcW w:w="3969" w:type="dxa"/>
          </w:tcPr>
          <w:p w14:paraId="12C59D76" w14:textId="77777777" w:rsidR="00311F81" w:rsidRPr="00DA7355" w:rsidRDefault="00311F81" w:rsidP="007925EA">
            <w:pPr>
              <w:pStyle w:val="TSBodyText"/>
            </w:pPr>
            <w:r w:rsidRPr="00DA7355">
              <w:t xml:space="preserve">1549: Offences against government operations, </w:t>
            </w:r>
            <w:proofErr w:type="spellStart"/>
            <w:r w:rsidRPr="00DA7355">
              <w:t>nec</w:t>
            </w:r>
            <w:proofErr w:type="spellEnd"/>
          </w:p>
        </w:tc>
        <w:tc>
          <w:tcPr>
            <w:tcW w:w="1133" w:type="dxa"/>
          </w:tcPr>
          <w:p w14:paraId="42367AA1" w14:textId="77777777" w:rsidR="00311F81" w:rsidRPr="00DA7355" w:rsidRDefault="00311F81" w:rsidP="007925EA">
            <w:pPr>
              <w:pStyle w:val="TSBodyText"/>
            </w:pPr>
            <w:r w:rsidRPr="00DA7355">
              <w:t>Excluded</w:t>
            </w:r>
          </w:p>
        </w:tc>
      </w:tr>
      <w:tr w:rsidR="00311F81" w14:paraId="1FDF4664" w14:textId="77777777">
        <w:tc>
          <w:tcPr>
            <w:tcW w:w="3118" w:type="dxa"/>
          </w:tcPr>
          <w:p w14:paraId="2E932EAA" w14:textId="77777777" w:rsidR="00311F81" w:rsidRPr="00DA7355" w:rsidRDefault="00311F81" w:rsidP="007925EA">
            <w:pPr>
              <w:pStyle w:val="TSBodyText"/>
            </w:pPr>
            <w:r w:rsidRPr="00DA7355">
              <w:t>155: Offences against government security</w:t>
            </w:r>
          </w:p>
        </w:tc>
        <w:tc>
          <w:tcPr>
            <w:tcW w:w="3969" w:type="dxa"/>
          </w:tcPr>
          <w:p w14:paraId="5F71FDAF" w14:textId="77777777" w:rsidR="00311F81" w:rsidRPr="00DA7355" w:rsidRDefault="00311F81" w:rsidP="007925EA">
            <w:pPr>
              <w:pStyle w:val="TSBodyText"/>
            </w:pPr>
            <w:r w:rsidRPr="00DA7355">
              <w:t xml:space="preserve">1559: Offences against government security, </w:t>
            </w:r>
            <w:proofErr w:type="spellStart"/>
            <w:r w:rsidRPr="00DA7355">
              <w:t>nec</w:t>
            </w:r>
            <w:proofErr w:type="spellEnd"/>
          </w:p>
        </w:tc>
        <w:tc>
          <w:tcPr>
            <w:tcW w:w="1133" w:type="dxa"/>
          </w:tcPr>
          <w:p w14:paraId="331DF8D1" w14:textId="77777777" w:rsidR="00311F81" w:rsidRPr="00DA7355" w:rsidRDefault="00311F81" w:rsidP="007925EA">
            <w:pPr>
              <w:pStyle w:val="TSBodyText"/>
            </w:pPr>
            <w:r w:rsidRPr="00DA7355">
              <w:t>Excluded</w:t>
            </w:r>
          </w:p>
        </w:tc>
      </w:tr>
      <w:tr w:rsidR="00311F81" w14:paraId="1C5BEFA1"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39C2359" w14:textId="77777777" w:rsidR="00311F81" w:rsidRPr="00DA7355" w:rsidRDefault="00311F81" w:rsidP="007925EA">
            <w:pPr>
              <w:pStyle w:val="TSBodyText"/>
            </w:pPr>
            <w:r w:rsidRPr="00DA7355">
              <w:t>156: Offences against justice procedures</w:t>
            </w:r>
          </w:p>
        </w:tc>
        <w:tc>
          <w:tcPr>
            <w:tcW w:w="3969" w:type="dxa"/>
          </w:tcPr>
          <w:p w14:paraId="2804EFF0" w14:textId="77777777" w:rsidR="00311F81" w:rsidRPr="00DA7355" w:rsidRDefault="00311F81" w:rsidP="007925EA">
            <w:pPr>
              <w:pStyle w:val="TSBodyText"/>
            </w:pPr>
            <w:r w:rsidRPr="00DA7355">
              <w:t>1561: Subvert the course of justice</w:t>
            </w:r>
          </w:p>
        </w:tc>
        <w:tc>
          <w:tcPr>
            <w:tcW w:w="1133" w:type="dxa"/>
          </w:tcPr>
          <w:p w14:paraId="6075A586" w14:textId="77777777" w:rsidR="00311F81" w:rsidRPr="00DA7355" w:rsidRDefault="00311F81" w:rsidP="007925EA">
            <w:pPr>
              <w:pStyle w:val="TSBodyText"/>
            </w:pPr>
            <w:r w:rsidRPr="00DA7355">
              <w:t>Excluded</w:t>
            </w:r>
          </w:p>
        </w:tc>
      </w:tr>
      <w:tr w:rsidR="00311F81" w14:paraId="7A792D9C" w14:textId="77777777">
        <w:tc>
          <w:tcPr>
            <w:tcW w:w="3118" w:type="dxa"/>
          </w:tcPr>
          <w:p w14:paraId="0E04C730" w14:textId="77777777" w:rsidR="00311F81" w:rsidRPr="00DA7355" w:rsidRDefault="00311F81" w:rsidP="007925EA">
            <w:pPr>
              <w:pStyle w:val="TSBodyText"/>
            </w:pPr>
          </w:p>
        </w:tc>
        <w:tc>
          <w:tcPr>
            <w:tcW w:w="3969" w:type="dxa"/>
          </w:tcPr>
          <w:p w14:paraId="685A2BCA" w14:textId="1D80187A" w:rsidR="00311F81" w:rsidRPr="00DA7355" w:rsidRDefault="00311F81" w:rsidP="007925EA">
            <w:pPr>
              <w:pStyle w:val="TSBodyText"/>
            </w:pPr>
            <w:r w:rsidRPr="00DA7355">
              <w:t xml:space="preserve">1562: Resist or hinder </w:t>
            </w:r>
            <w:r w:rsidR="00FC0BE4">
              <w:t>P</w:t>
            </w:r>
            <w:r w:rsidRPr="00DA7355">
              <w:t>olice officer or justice official</w:t>
            </w:r>
          </w:p>
        </w:tc>
        <w:tc>
          <w:tcPr>
            <w:tcW w:w="1133" w:type="dxa"/>
          </w:tcPr>
          <w:p w14:paraId="664EDCCA" w14:textId="77777777" w:rsidR="00311F81" w:rsidRPr="00DA7355" w:rsidRDefault="00311F81" w:rsidP="007925EA">
            <w:pPr>
              <w:pStyle w:val="TSBodyText"/>
            </w:pPr>
            <w:r w:rsidRPr="00DA7355">
              <w:t>Included</w:t>
            </w:r>
          </w:p>
        </w:tc>
      </w:tr>
      <w:tr w:rsidR="00311F81" w14:paraId="7CF2F77D"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5D7C005" w14:textId="77777777" w:rsidR="00311F81" w:rsidRPr="00DA7355" w:rsidRDefault="00311F81" w:rsidP="007925EA">
            <w:pPr>
              <w:pStyle w:val="TSBodyText"/>
            </w:pPr>
          </w:p>
        </w:tc>
        <w:tc>
          <w:tcPr>
            <w:tcW w:w="3969" w:type="dxa"/>
          </w:tcPr>
          <w:p w14:paraId="10EE4D85" w14:textId="77777777" w:rsidR="00311F81" w:rsidRPr="00DA7355" w:rsidRDefault="00311F81" w:rsidP="007925EA">
            <w:pPr>
              <w:pStyle w:val="TSBodyText"/>
            </w:pPr>
            <w:r w:rsidRPr="00DA7355">
              <w:t>1563: Prison regulation offences</w:t>
            </w:r>
          </w:p>
        </w:tc>
        <w:tc>
          <w:tcPr>
            <w:tcW w:w="1133" w:type="dxa"/>
          </w:tcPr>
          <w:p w14:paraId="2120A8A8" w14:textId="77777777" w:rsidR="00311F81" w:rsidRPr="00DA7355" w:rsidRDefault="00311F81" w:rsidP="007925EA">
            <w:pPr>
              <w:pStyle w:val="TSBodyText"/>
            </w:pPr>
            <w:r w:rsidRPr="00DA7355">
              <w:t>Excluded</w:t>
            </w:r>
          </w:p>
        </w:tc>
      </w:tr>
      <w:tr w:rsidR="00311F81" w14:paraId="69A5848F" w14:textId="77777777">
        <w:tc>
          <w:tcPr>
            <w:tcW w:w="3118" w:type="dxa"/>
          </w:tcPr>
          <w:p w14:paraId="100D7B09" w14:textId="77777777" w:rsidR="00311F81" w:rsidRPr="00DA7355" w:rsidRDefault="00311F81" w:rsidP="007925EA">
            <w:pPr>
              <w:pStyle w:val="TSBodyText"/>
            </w:pPr>
          </w:p>
        </w:tc>
        <w:tc>
          <w:tcPr>
            <w:tcW w:w="3969" w:type="dxa"/>
          </w:tcPr>
          <w:p w14:paraId="7035CF39" w14:textId="77777777" w:rsidR="00311F81" w:rsidRPr="00DA7355" w:rsidRDefault="00311F81" w:rsidP="007925EA">
            <w:pPr>
              <w:pStyle w:val="TSBodyText"/>
            </w:pPr>
            <w:r w:rsidRPr="00DA7355">
              <w:t xml:space="preserve">1569: Offences against justice procedures, </w:t>
            </w:r>
            <w:proofErr w:type="spellStart"/>
            <w:r w:rsidRPr="00DA7355">
              <w:t>nec</w:t>
            </w:r>
            <w:proofErr w:type="spellEnd"/>
          </w:p>
        </w:tc>
        <w:tc>
          <w:tcPr>
            <w:tcW w:w="1133" w:type="dxa"/>
          </w:tcPr>
          <w:p w14:paraId="5B5BBE6F" w14:textId="77777777" w:rsidR="00311F81" w:rsidRPr="00DA7355" w:rsidRDefault="00311F81" w:rsidP="007925EA">
            <w:pPr>
              <w:pStyle w:val="TSBodyText"/>
            </w:pPr>
            <w:r w:rsidRPr="00DA7355">
              <w:t>Excluded</w:t>
            </w:r>
          </w:p>
        </w:tc>
      </w:tr>
      <w:tr w:rsidR="00311F81" w14:paraId="162D64CC"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0DDB52CB" w14:textId="77777777" w:rsidR="00311F81" w:rsidRPr="00DA7355" w:rsidRDefault="00311F81" w:rsidP="007925EA">
            <w:pPr>
              <w:pStyle w:val="TSBodyText"/>
            </w:pPr>
            <w:r w:rsidRPr="00DA7355">
              <w:t>162: Public health and safety offences</w:t>
            </w:r>
          </w:p>
        </w:tc>
        <w:tc>
          <w:tcPr>
            <w:tcW w:w="3969" w:type="dxa"/>
          </w:tcPr>
          <w:p w14:paraId="3203FE5A" w14:textId="77777777" w:rsidR="00311F81" w:rsidRPr="00DA7355" w:rsidRDefault="00311F81" w:rsidP="007925EA">
            <w:pPr>
              <w:pStyle w:val="TSBodyText"/>
            </w:pPr>
            <w:r w:rsidRPr="00DA7355">
              <w:t>1624: Transport regulation offences</w:t>
            </w:r>
          </w:p>
        </w:tc>
        <w:tc>
          <w:tcPr>
            <w:tcW w:w="1133" w:type="dxa"/>
          </w:tcPr>
          <w:p w14:paraId="5E419CE8" w14:textId="77777777" w:rsidR="00311F81" w:rsidRPr="00DA7355" w:rsidRDefault="00311F81" w:rsidP="007925EA">
            <w:pPr>
              <w:pStyle w:val="TSBodyText"/>
            </w:pPr>
            <w:r w:rsidRPr="00DA7355">
              <w:t>Excluded</w:t>
            </w:r>
          </w:p>
        </w:tc>
      </w:tr>
      <w:tr w:rsidR="00311F81" w14:paraId="672BCA5E" w14:textId="77777777">
        <w:tc>
          <w:tcPr>
            <w:tcW w:w="3118" w:type="dxa"/>
          </w:tcPr>
          <w:p w14:paraId="6680AAE4" w14:textId="77777777" w:rsidR="00311F81" w:rsidRPr="00DA7355" w:rsidRDefault="00311F81" w:rsidP="007925EA">
            <w:pPr>
              <w:pStyle w:val="TSBodyText"/>
            </w:pPr>
          </w:p>
        </w:tc>
        <w:tc>
          <w:tcPr>
            <w:tcW w:w="3969" w:type="dxa"/>
          </w:tcPr>
          <w:p w14:paraId="7128E349" w14:textId="77777777" w:rsidR="00311F81" w:rsidRPr="00DA7355" w:rsidRDefault="00311F81" w:rsidP="007925EA">
            <w:pPr>
              <w:pStyle w:val="TSBodyText"/>
            </w:pPr>
            <w:r w:rsidRPr="00DA7355">
              <w:t>1626: Licit drug offences</w:t>
            </w:r>
          </w:p>
        </w:tc>
        <w:tc>
          <w:tcPr>
            <w:tcW w:w="1133" w:type="dxa"/>
          </w:tcPr>
          <w:p w14:paraId="48A46E64" w14:textId="77777777" w:rsidR="00311F81" w:rsidRPr="00DA7355" w:rsidRDefault="00311F81" w:rsidP="007925EA">
            <w:pPr>
              <w:pStyle w:val="TSBodyText"/>
            </w:pPr>
            <w:r w:rsidRPr="00DA7355">
              <w:t>Excluded</w:t>
            </w:r>
          </w:p>
        </w:tc>
      </w:tr>
      <w:tr w:rsidR="00311F81" w14:paraId="7E0719F2"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15FF6266" w14:textId="77777777" w:rsidR="00311F81" w:rsidRPr="00DA7355" w:rsidRDefault="00311F81" w:rsidP="007925EA">
            <w:pPr>
              <w:pStyle w:val="TSBodyText"/>
            </w:pPr>
          </w:p>
        </w:tc>
        <w:tc>
          <w:tcPr>
            <w:tcW w:w="3969" w:type="dxa"/>
          </w:tcPr>
          <w:p w14:paraId="016EAC44" w14:textId="77777777" w:rsidR="00311F81" w:rsidRPr="00DA7355" w:rsidRDefault="00311F81" w:rsidP="007925EA">
            <w:pPr>
              <w:pStyle w:val="TSBodyText"/>
            </w:pPr>
            <w:r w:rsidRPr="00DA7355">
              <w:t xml:space="preserve">1629: Public health and safety offences, </w:t>
            </w:r>
            <w:proofErr w:type="spellStart"/>
            <w:r w:rsidRPr="00DA7355">
              <w:t>nec</w:t>
            </w:r>
            <w:proofErr w:type="spellEnd"/>
          </w:p>
        </w:tc>
        <w:tc>
          <w:tcPr>
            <w:tcW w:w="1133" w:type="dxa"/>
          </w:tcPr>
          <w:p w14:paraId="0DD34B94" w14:textId="77777777" w:rsidR="00311F81" w:rsidRPr="00DA7355" w:rsidRDefault="00311F81" w:rsidP="007925EA">
            <w:pPr>
              <w:pStyle w:val="TSBodyText"/>
            </w:pPr>
            <w:r w:rsidRPr="00DA7355">
              <w:t>Excluded</w:t>
            </w:r>
          </w:p>
        </w:tc>
      </w:tr>
      <w:tr w:rsidR="00311F81" w14:paraId="1D801443" w14:textId="77777777">
        <w:tc>
          <w:tcPr>
            <w:tcW w:w="3118" w:type="dxa"/>
          </w:tcPr>
          <w:p w14:paraId="717B528F" w14:textId="77777777" w:rsidR="00311F81" w:rsidRPr="00DA7355" w:rsidRDefault="00311F81" w:rsidP="007925EA">
            <w:pPr>
              <w:pStyle w:val="TSBodyText"/>
            </w:pPr>
            <w:r w:rsidRPr="00DA7355">
              <w:t>163: Commercial/industry/financial regulation</w:t>
            </w:r>
          </w:p>
        </w:tc>
        <w:tc>
          <w:tcPr>
            <w:tcW w:w="3969" w:type="dxa"/>
          </w:tcPr>
          <w:p w14:paraId="231B20ED" w14:textId="77777777" w:rsidR="00311F81" w:rsidRPr="00DA7355" w:rsidRDefault="00311F81" w:rsidP="007925EA">
            <w:pPr>
              <w:pStyle w:val="TSBodyText"/>
            </w:pPr>
            <w:r w:rsidRPr="00DA7355">
              <w:t>1631: Commercial/industry/financial regulation</w:t>
            </w:r>
          </w:p>
        </w:tc>
        <w:tc>
          <w:tcPr>
            <w:tcW w:w="1133" w:type="dxa"/>
          </w:tcPr>
          <w:p w14:paraId="62CAEA01" w14:textId="77777777" w:rsidR="00311F81" w:rsidRPr="00DA7355" w:rsidRDefault="00311F81" w:rsidP="007925EA">
            <w:pPr>
              <w:pStyle w:val="TSBodyText"/>
            </w:pPr>
            <w:r w:rsidRPr="00DA7355">
              <w:t>Excluded</w:t>
            </w:r>
          </w:p>
        </w:tc>
      </w:tr>
      <w:tr w:rsidR="00311F81" w14:paraId="34A3C728"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55961765" w14:textId="77777777" w:rsidR="00311F81" w:rsidRPr="00DA7355" w:rsidRDefault="00311F81" w:rsidP="007925EA">
            <w:pPr>
              <w:pStyle w:val="TSBodyText"/>
            </w:pPr>
            <w:r w:rsidRPr="00DA7355">
              <w:t>169: Other miscellaneous offences</w:t>
            </w:r>
          </w:p>
        </w:tc>
        <w:tc>
          <w:tcPr>
            <w:tcW w:w="3969" w:type="dxa"/>
          </w:tcPr>
          <w:p w14:paraId="7A0C5B59" w14:textId="77777777" w:rsidR="00311F81" w:rsidRPr="00DA7355" w:rsidRDefault="00311F81" w:rsidP="007925EA">
            <w:pPr>
              <w:pStyle w:val="TSBodyText"/>
            </w:pPr>
            <w:r w:rsidRPr="00DA7355">
              <w:t>1691: Environmental regulation offences</w:t>
            </w:r>
          </w:p>
        </w:tc>
        <w:tc>
          <w:tcPr>
            <w:tcW w:w="1133" w:type="dxa"/>
          </w:tcPr>
          <w:p w14:paraId="4719677B" w14:textId="77777777" w:rsidR="00311F81" w:rsidRPr="00DA7355" w:rsidRDefault="00311F81" w:rsidP="007925EA">
            <w:pPr>
              <w:pStyle w:val="TSBodyText"/>
            </w:pPr>
            <w:r w:rsidRPr="00DA7355">
              <w:t>Excluded</w:t>
            </w:r>
          </w:p>
        </w:tc>
      </w:tr>
      <w:tr w:rsidR="00311F81" w14:paraId="039133ED" w14:textId="77777777">
        <w:tc>
          <w:tcPr>
            <w:tcW w:w="3118" w:type="dxa"/>
          </w:tcPr>
          <w:p w14:paraId="0A1C0B79" w14:textId="77777777" w:rsidR="00311F81" w:rsidRPr="00DA7355" w:rsidRDefault="00311F81" w:rsidP="007925EA">
            <w:pPr>
              <w:pStyle w:val="TSBodyText"/>
            </w:pPr>
          </w:p>
        </w:tc>
        <w:tc>
          <w:tcPr>
            <w:tcW w:w="3969" w:type="dxa"/>
          </w:tcPr>
          <w:p w14:paraId="70F0CE70" w14:textId="77777777" w:rsidR="00311F81" w:rsidRPr="00DA7355" w:rsidRDefault="00311F81" w:rsidP="007925EA">
            <w:pPr>
              <w:pStyle w:val="TSBodyText"/>
            </w:pPr>
            <w:r w:rsidRPr="00DA7355">
              <w:t>1694: Import/export regulations</w:t>
            </w:r>
          </w:p>
        </w:tc>
        <w:tc>
          <w:tcPr>
            <w:tcW w:w="1133" w:type="dxa"/>
          </w:tcPr>
          <w:p w14:paraId="612C8257" w14:textId="77777777" w:rsidR="00311F81" w:rsidRPr="00DA7355" w:rsidRDefault="00311F81" w:rsidP="007925EA">
            <w:pPr>
              <w:pStyle w:val="TSBodyText"/>
            </w:pPr>
            <w:r w:rsidRPr="00DA7355">
              <w:t>Excluded</w:t>
            </w:r>
          </w:p>
        </w:tc>
      </w:tr>
      <w:tr w:rsidR="00311F81" w14:paraId="48657956" w14:textId="77777777">
        <w:trPr>
          <w:cnfStyle w:val="000000010000" w:firstRow="0" w:lastRow="0" w:firstColumn="0" w:lastColumn="0" w:oddVBand="0" w:evenVBand="0" w:oddHBand="0" w:evenHBand="1" w:firstRowFirstColumn="0" w:firstRowLastColumn="0" w:lastRowFirstColumn="0" w:lastRowLastColumn="0"/>
        </w:trPr>
        <w:tc>
          <w:tcPr>
            <w:tcW w:w="3118" w:type="dxa"/>
          </w:tcPr>
          <w:p w14:paraId="7481C949" w14:textId="77777777" w:rsidR="00311F81" w:rsidRPr="00DA7355" w:rsidRDefault="00311F81" w:rsidP="007925EA">
            <w:pPr>
              <w:pStyle w:val="TSBodyText"/>
            </w:pPr>
          </w:p>
        </w:tc>
        <w:tc>
          <w:tcPr>
            <w:tcW w:w="3969" w:type="dxa"/>
          </w:tcPr>
          <w:p w14:paraId="3213EC95" w14:textId="77777777" w:rsidR="00311F81" w:rsidRPr="00DA7355" w:rsidRDefault="00311F81" w:rsidP="007925EA">
            <w:pPr>
              <w:pStyle w:val="TSBodyText"/>
            </w:pPr>
            <w:r w:rsidRPr="00DA7355">
              <w:t>1695: Procure or commit illegal abortion</w:t>
            </w:r>
          </w:p>
        </w:tc>
        <w:tc>
          <w:tcPr>
            <w:tcW w:w="1133" w:type="dxa"/>
          </w:tcPr>
          <w:p w14:paraId="4167DBBB" w14:textId="77777777" w:rsidR="00311F81" w:rsidRPr="00DA7355" w:rsidRDefault="00311F81" w:rsidP="007925EA">
            <w:pPr>
              <w:pStyle w:val="TSBodyText"/>
            </w:pPr>
            <w:r w:rsidRPr="00DA7355">
              <w:t>Excluded</w:t>
            </w:r>
          </w:p>
        </w:tc>
      </w:tr>
      <w:tr w:rsidR="00311F81" w14:paraId="7D11C71D" w14:textId="77777777">
        <w:tc>
          <w:tcPr>
            <w:tcW w:w="3118" w:type="dxa"/>
          </w:tcPr>
          <w:p w14:paraId="77ECC15D" w14:textId="77777777" w:rsidR="00311F81" w:rsidRPr="00DA7355" w:rsidRDefault="00311F81" w:rsidP="007925EA">
            <w:pPr>
              <w:pStyle w:val="TSBodyText"/>
            </w:pPr>
          </w:p>
        </w:tc>
        <w:tc>
          <w:tcPr>
            <w:tcW w:w="3969" w:type="dxa"/>
          </w:tcPr>
          <w:p w14:paraId="50C306EB" w14:textId="77777777" w:rsidR="00311F81" w:rsidRPr="00DA7355" w:rsidRDefault="00311F81" w:rsidP="007925EA">
            <w:pPr>
              <w:pStyle w:val="TSBodyText"/>
            </w:pPr>
            <w:r w:rsidRPr="00DA7355">
              <w:t xml:space="preserve">1699: Other miscellaneous offences, </w:t>
            </w:r>
            <w:proofErr w:type="spellStart"/>
            <w:r w:rsidRPr="00DA7355">
              <w:t>nec</w:t>
            </w:r>
            <w:proofErr w:type="spellEnd"/>
          </w:p>
        </w:tc>
        <w:tc>
          <w:tcPr>
            <w:tcW w:w="1133" w:type="dxa"/>
          </w:tcPr>
          <w:p w14:paraId="64ED4235" w14:textId="77777777" w:rsidR="00311F81" w:rsidRPr="00DA7355" w:rsidRDefault="00311F81" w:rsidP="007925EA">
            <w:pPr>
              <w:pStyle w:val="TSBodyText"/>
            </w:pPr>
            <w:r w:rsidRPr="00DA7355">
              <w:t>Excluded</w:t>
            </w:r>
          </w:p>
        </w:tc>
      </w:tr>
    </w:tbl>
    <w:p w14:paraId="2E1097E6" w14:textId="77777777" w:rsidR="00311F81" w:rsidRDefault="00311F81" w:rsidP="00311F81">
      <w:pPr>
        <w:pStyle w:val="USNote"/>
      </w:pPr>
      <w:r>
        <w:t xml:space="preserve">Note: </w:t>
      </w:r>
      <w:proofErr w:type="spellStart"/>
      <w:r>
        <w:t>nec</w:t>
      </w:r>
      <w:proofErr w:type="spellEnd"/>
      <w:r>
        <w:t xml:space="preserve"> = not elsewhere classified</w:t>
      </w:r>
    </w:p>
    <w:p w14:paraId="4DA02FD7" w14:textId="77777777" w:rsidR="00311F81" w:rsidRDefault="00311F81" w:rsidP="00311F81">
      <w:pPr>
        <w:pStyle w:val="USSource"/>
      </w:pPr>
      <w:r>
        <w:t>Source: Ministry of Justice, NZIER</w:t>
      </w:r>
    </w:p>
    <w:p w14:paraId="15582A6B" w14:textId="77777777" w:rsidR="00311F81" w:rsidRDefault="00311F81" w:rsidP="00311F81">
      <w:pPr>
        <w:pStyle w:val="USBodyText"/>
      </w:pPr>
    </w:p>
    <w:p w14:paraId="7E73FFF9" w14:textId="77777777" w:rsidR="00B753D7" w:rsidRDefault="00B753D7" w:rsidP="00B753D7">
      <w:pPr>
        <w:pStyle w:val="USBodyText"/>
      </w:pPr>
    </w:p>
    <w:p w14:paraId="22A90073" w14:textId="77777777" w:rsidR="00B753D7" w:rsidRDefault="00B753D7" w:rsidP="00B753D7">
      <w:pPr>
        <w:pStyle w:val="USBodyText"/>
      </w:pPr>
    </w:p>
    <w:p w14:paraId="65715C22" w14:textId="77777777" w:rsidR="00B753D7" w:rsidRDefault="00B753D7" w:rsidP="00B753D7">
      <w:pPr>
        <w:pStyle w:val="USBodyText"/>
      </w:pPr>
    </w:p>
    <w:p w14:paraId="54B739C3" w14:textId="0F3C9BEA" w:rsidR="0022393E" w:rsidRDefault="00311F81" w:rsidP="00936858">
      <w:pPr>
        <w:spacing w:after="160" w:line="259" w:lineRule="auto"/>
      </w:pPr>
      <w:r>
        <w:br w:type="page"/>
      </w:r>
    </w:p>
    <w:p w14:paraId="37677FAD" w14:textId="77777777" w:rsidR="007D32D8" w:rsidRDefault="007D32D8" w:rsidP="007D32D8">
      <w:pPr>
        <w:pStyle w:val="ApxHeading1"/>
      </w:pPr>
      <w:bookmarkStart w:id="263" w:name="_Ref158567726"/>
      <w:bookmarkStart w:id="264" w:name="_Toc160633888"/>
      <w:r>
        <w:lastRenderedPageBreak/>
        <w:t xml:space="preserve">Evidence gaps in costs of alcohol </w:t>
      </w:r>
      <w:proofErr w:type="gramStart"/>
      <w:r>
        <w:t>harms</w:t>
      </w:r>
      <w:bookmarkEnd w:id="263"/>
      <w:bookmarkEnd w:id="264"/>
      <w:proofErr w:type="gramEnd"/>
    </w:p>
    <w:p w14:paraId="1899E87E" w14:textId="2F74C294" w:rsidR="007D32D8" w:rsidRDefault="007D32D8" w:rsidP="007D32D8">
      <w:pPr>
        <w:pStyle w:val="USBodyText"/>
      </w:pPr>
      <w:r>
        <w:t>A large number of dimensions of alcohol harms were considered and explored for potential inclusion, but ultimately were not included due to either:</w:t>
      </w:r>
    </w:p>
    <w:p w14:paraId="6378D8AD" w14:textId="77777777" w:rsidR="007D32D8" w:rsidRDefault="007D32D8" w:rsidP="007D32D8">
      <w:pPr>
        <w:pStyle w:val="USBullet1"/>
      </w:pPr>
      <w:r>
        <w:t>a lack of recent local data on the scale of harms</w:t>
      </w:r>
    </w:p>
    <w:p w14:paraId="2E1D59D0" w14:textId="77777777" w:rsidR="007D32D8" w:rsidRDefault="007D32D8" w:rsidP="007D32D8">
      <w:pPr>
        <w:pStyle w:val="USBullet1"/>
      </w:pPr>
      <w:r>
        <w:t xml:space="preserve">a lack of recent local data on the resources used to address harms and the costs of those </w:t>
      </w:r>
      <w:proofErr w:type="gramStart"/>
      <w:r>
        <w:t>resources</w:t>
      </w:r>
      <w:proofErr w:type="gramEnd"/>
    </w:p>
    <w:p w14:paraId="370B48CB" w14:textId="77777777" w:rsidR="007D32D8" w:rsidRDefault="007D32D8" w:rsidP="007D32D8">
      <w:pPr>
        <w:pStyle w:val="USBullet1"/>
      </w:pPr>
      <w:r>
        <w:t>a lack of evidence on the specific (quantifiable) causal attribution of harms to alcohol.</w:t>
      </w:r>
    </w:p>
    <w:p w14:paraId="46F4717B" w14:textId="548C9AB9" w:rsidR="007D32D8" w:rsidRDefault="00D91F39" w:rsidP="007D32D8">
      <w:pPr>
        <w:pStyle w:val="USBullet1"/>
        <w:numPr>
          <w:ilvl w:val="0"/>
          <w:numId w:val="0"/>
        </w:numPr>
        <w:ind w:left="1276" w:hanging="425"/>
      </w:pPr>
      <w:r>
        <w:fldChar w:fldCharType="begin"/>
      </w:r>
      <w:r>
        <w:instrText xml:space="preserve"> REF _Ref158627465 \h </w:instrText>
      </w:r>
      <w:r>
        <w:fldChar w:fldCharType="separate"/>
      </w:r>
      <w:r w:rsidR="00AE166D" w:rsidRPr="00731CA6">
        <w:t xml:space="preserve">Table </w:t>
      </w:r>
      <w:r w:rsidR="00AE166D">
        <w:rPr>
          <w:noProof/>
        </w:rPr>
        <w:t>61</w:t>
      </w:r>
      <w:r>
        <w:fldChar w:fldCharType="end"/>
      </w:r>
      <w:r w:rsidR="007D32D8">
        <w:t xml:space="preserve"> below summarises these evidence gaps in detail.</w:t>
      </w:r>
    </w:p>
    <w:p w14:paraId="2AB25E71" w14:textId="7A01E69B" w:rsidR="007D32D8" w:rsidRDefault="00D91F39" w:rsidP="007D32D8">
      <w:pPr>
        <w:pStyle w:val="TableCaption"/>
      </w:pPr>
      <w:bookmarkStart w:id="265" w:name="_Ref158627465"/>
      <w:bookmarkStart w:id="266" w:name="_Toc160633968"/>
      <w:r w:rsidRPr="00731CA6">
        <w:t xml:space="preserve">Table </w:t>
      </w:r>
      <w:fldSimple w:instr=" SEQ Table \* ARABIC ">
        <w:r w:rsidR="00AE166D">
          <w:rPr>
            <w:noProof/>
          </w:rPr>
          <w:t>61</w:t>
        </w:r>
      </w:fldSimple>
      <w:bookmarkEnd w:id="265"/>
      <w:r>
        <w:rPr>
          <w:noProof/>
        </w:rPr>
        <w:t xml:space="preserve"> </w:t>
      </w:r>
      <w:r w:rsidR="007D32D8">
        <w:t xml:space="preserve">Evidence gaps affecting estimation of costs of alcohol </w:t>
      </w:r>
      <w:proofErr w:type="gramStart"/>
      <w:r w:rsidR="007D32D8">
        <w:t>harms</w:t>
      </w:r>
      <w:bookmarkEnd w:id="266"/>
      <w:proofErr w:type="gramEnd"/>
    </w:p>
    <w:p w14:paraId="78AF24B3" w14:textId="77777777" w:rsidR="00A441B5" w:rsidRPr="00A441B5" w:rsidRDefault="00A441B5" w:rsidP="00A441B5">
      <w:pPr>
        <w:pStyle w:val="CaptionSubheading"/>
      </w:pPr>
    </w:p>
    <w:tbl>
      <w:tblPr>
        <w:tblStyle w:val="TableDefault"/>
        <w:tblW w:w="8221" w:type="dxa"/>
        <w:tblLook w:val="04A0" w:firstRow="1" w:lastRow="0" w:firstColumn="1" w:lastColumn="0" w:noHBand="0" w:noVBand="1"/>
      </w:tblPr>
      <w:tblGrid>
        <w:gridCol w:w="3402"/>
        <w:gridCol w:w="4819"/>
      </w:tblGrid>
      <w:tr w:rsidR="007D32D8" w14:paraId="4C64DF59" w14:textId="77777777" w:rsidTr="001F3863">
        <w:trPr>
          <w:cnfStyle w:val="100000000000" w:firstRow="1" w:lastRow="0" w:firstColumn="0" w:lastColumn="0" w:oddVBand="0" w:evenVBand="0" w:oddHBand="0" w:evenHBand="0" w:firstRowFirstColumn="0" w:firstRowLastColumn="0" w:lastRowFirstColumn="0" w:lastRowLastColumn="0"/>
        </w:trPr>
        <w:tc>
          <w:tcPr>
            <w:tcW w:w="3402" w:type="dxa"/>
          </w:tcPr>
          <w:p w14:paraId="17DDD7F7" w14:textId="77777777" w:rsidR="007D32D8" w:rsidRPr="00875712" w:rsidRDefault="007D32D8" w:rsidP="0025087A">
            <w:pPr>
              <w:pStyle w:val="TSTableHeadingWhite-TopRow"/>
            </w:pPr>
            <w:r>
              <w:t>Area of alcohol harms</w:t>
            </w:r>
          </w:p>
        </w:tc>
        <w:tc>
          <w:tcPr>
            <w:tcW w:w="4819" w:type="dxa"/>
          </w:tcPr>
          <w:p w14:paraId="34B2DA13" w14:textId="77777777" w:rsidR="007D32D8" w:rsidRPr="00875712" w:rsidRDefault="007D32D8" w:rsidP="0025087A">
            <w:pPr>
              <w:pStyle w:val="TSTableHeadingWhite-TopRow"/>
            </w:pPr>
            <w:r>
              <w:t>Evidence gap(s)</w:t>
            </w:r>
          </w:p>
        </w:tc>
      </w:tr>
      <w:tr w:rsidR="007D32D8" w14:paraId="29FD94B7" w14:textId="77777777" w:rsidTr="001F3863">
        <w:tc>
          <w:tcPr>
            <w:tcW w:w="3402" w:type="dxa"/>
          </w:tcPr>
          <w:p w14:paraId="54D92801" w14:textId="77777777" w:rsidR="007D32D8" w:rsidRPr="00A933D3" w:rsidRDefault="007D32D8" w:rsidP="0025087A">
            <w:pPr>
              <w:pStyle w:val="TSBodyText"/>
            </w:pPr>
            <w:r w:rsidRPr="00A933D3">
              <w:t>Health sector</w:t>
            </w:r>
          </w:p>
        </w:tc>
        <w:tc>
          <w:tcPr>
            <w:tcW w:w="4819" w:type="dxa"/>
          </w:tcPr>
          <w:p w14:paraId="29E0A3ED" w14:textId="48BC84F7" w:rsidR="007D32D8" w:rsidRPr="001A2AFB" w:rsidRDefault="00BF6ED2" w:rsidP="0025087A">
            <w:pPr>
              <w:pStyle w:val="TSBodyText"/>
              <w:rPr>
                <w:szCs w:val="18"/>
              </w:rPr>
            </w:pPr>
            <w:r>
              <w:rPr>
                <w:szCs w:val="18"/>
              </w:rPr>
              <w:t xml:space="preserve">Note: </w:t>
            </w:r>
            <w:r w:rsidR="007D32D8" w:rsidRPr="001A2AFB">
              <w:rPr>
                <w:szCs w:val="18"/>
              </w:rPr>
              <w:t xml:space="preserve">The key issue for health sector costs is the attribution of causality. AAFs for alcohol are derived from research using inpatient data. Application of these to other services has not been validated. </w:t>
            </w:r>
          </w:p>
        </w:tc>
      </w:tr>
      <w:tr w:rsidR="007D32D8" w14:paraId="3C67B3AE"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003EED40" w14:textId="77777777" w:rsidR="007D32D8" w:rsidRPr="00FA5598" w:rsidRDefault="007D32D8" w:rsidP="0025087A">
            <w:pPr>
              <w:pStyle w:val="TSBodyText"/>
              <w:rPr>
                <w:szCs w:val="18"/>
              </w:rPr>
            </w:pPr>
            <w:r w:rsidRPr="00FA5598">
              <w:rPr>
                <w:szCs w:val="18"/>
              </w:rPr>
              <w:t>Primary care</w:t>
            </w:r>
            <w:r>
              <w:t xml:space="preserve"> </w:t>
            </w:r>
            <w:r w:rsidRPr="00FB7770">
              <w:rPr>
                <w:szCs w:val="18"/>
              </w:rPr>
              <w:t>associated with alcohol</w:t>
            </w:r>
            <w:r>
              <w:rPr>
                <w:szCs w:val="18"/>
              </w:rPr>
              <w:t xml:space="preserve"> consumption</w:t>
            </w:r>
          </w:p>
        </w:tc>
        <w:tc>
          <w:tcPr>
            <w:tcW w:w="4819" w:type="dxa"/>
          </w:tcPr>
          <w:p w14:paraId="09206FA5" w14:textId="25ED4004" w:rsidR="007D32D8" w:rsidRPr="00FA5598" w:rsidRDefault="007D32D8" w:rsidP="0025087A">
            <w:pPr>
              <w:pStyle w:val="TSBodyText"/>
              <w:rPr>
                <w:szCs w:val="18"/>
              </w:rPr>
            </w:pPr>
            <w:r w:rsidRPr="00FA5598">
              <w:rPr>
                <w:szCs w:val="18"/>
              </w:rPr>
              <w:t>Scale of primary care use, causal attribution to alcohol</w:t>
            </w:r>
            <w:r w:rsidRPr="00005D16">
              <w:rPr>
                <w:szCs w:val="18"/>
              </w:rPr>
              <w:t xml:space="preserve"> (context specific AAFs)</w:t>
            </w:r>
          </w:p>
        </w:tc>
      </w:tr>
      <w:tr w:rsidR="007D32D8" w14:paraId="2510DD1E" w14:textId="77777777" w:rsidTr="001F3863">
        <w:tc>
          <w:tcPr>
            <w:tcW w:w="3402" w:type="dxa"/>
          </w:tcPr>
          <w:p w14:paraId="7164FEE7" w14:textId="4B3247ED" w:rsidR="007D32D8" w:rsidRPr="00FA5598" w:rsidRDefault="007D32D8" w:rsidP="0025087A">
            <w:pPr>
              <w:pStyle w:val="TSBodyText"/>
              <w:rPr>
                <w:szCs w:val="18"/>
              </w:rPr>
            </w:pPr>
            <w:r w:rsidRPr="00FA5598">
              <w:rPr>
                <w:szCs w:val="18"/>
              </w:rPr>
              <w:t xml:space="preserve">Ambulance </w:t>
            </w:r>
            <w:proofErr w:type="gramStart"/>
            <w:r w:rsidRPr="00FA5598">
              <w:rPr>
                <w:szCs w:val="18"/>
              </w:rPr>
              <w:t>call-outs</w:t>
            </w:r>
            <w:proofErr w:type="gramEnd"/>
            <w:r>
              <w:t xml:space="preserve"> </w:t>
            </w:r>
            <w:r w:rsidRPr="00FB7770">
              <w:rPr>
                <w:szCs w:val="18"/>
              </w:rPr>
              <w:t>associated with alcohol consumption</w:t>
            </w:r>
          </w:p>
        </w:tc>
        <w:tc>
          <w:tcPr>
            <w:tcW w:w="4819" w:type="dxa"/>
          </w:tcPr>
          <w:p w14:paraId="4A93D9A1" w14:textId="5637B2D2" w:rsidR="007D32D8" w:rsidRPr="00FA5598" w:rsidRDefault="007D32D8" w:rsidP="0025087A">
            <w:pPr>
              <w:pStyle w:val="TSBodyText"/>
              <w:rPr>
                <w:szCs w:val="18"/>
              </w:rPr>
            </w:pPr>
            <w:r w:rsidRPr="00FA5598">
              <w:rPr>
                <w:szCs w:val="18"/>
              </w:rPr>
              <w:t xml:space="preserve">Scale of use associated with alcohol, especially not resulting in </w:t>
            </w:r>
            <w:r w:rsidR="00962D6E" w:rsidRPr="00FA5598">
              <w:rPr>
                <w:szCs w:val="18"/>
              </w:rPr>
              <w:t>an</w:t>
            </w:r>
            <w:r w:rsidRPr="00FA5598">
              <w:rPr>
                <w:szCs w:val="18"/>
              </w:rPr>
              <w:t xml:space="preserve"> ED visit, causal attribution to alcohol</w:t>
            </w:r>
            <w:r>
              <w:rPr>
                <w:szCs w:val="18"/>
              </w:rPr>
              <w:t xml:space="preserve"> (context specific AAFs)</w:t>
            </w:r>
          </w:p>
        </w:tc>
      </w:tr>
      <w:tr w:rsidR="007D32D8" w14:paraId="62908D8C"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12FF8365" w14:textId="77777777" w:rsidR="007D32D8" w:rsidRPr="00FA5598" w:rsidRDefault="007D32D8" w:rsidP="0025087A">
            <w:pPr>
              <w:pStyle w:val="TSBodyText"/>
              <w:rPr>
                <w:szCs w:val="18"/>
              </w:rPr>
            </w:pPr>
            <w:r w:rsidRPr="00FA5598">
              <w:rPr>
                <w:szCs w:val="18"/>
              </w:rPr>
              <w:t>Outpatient visits</w:t>
            </w:r>
            <w:r>
              <w:rPr>
                <w:szCs w:val="18"/>
              </w:rPr>
              <w:t xml:space="preserve"> associated with alcohol consumption</w:t>
            </w:r>
          </w:p>
        </w:tc>
        <w:tc>
          <w:tcPr>
            <w:tcW w:w="4819" w:type="dxa"/>
          </w:tcPr>
          <w:p w14:paraId="6F6075B5" w14:textId="77777777" w:rsidR="007D32D8" w:rsidRPr="00FA5598" w:rsidRDefault="007D32D8" w:rsidP="0025087A">
            <w:pPr>
              <w:pStyle w:val="TSBodyText"/>
              <w:rPr>
                <w:szCs w:val="18"/>
              </w:rPr>
            </w:pPr>
            <w:r w:rsidRPr="00FA5598">
              <w:rPr>
                <w:szCs w:val="18"/>
              </w:rPr>
              <w:t>Scale of service use associated with alcohol, causal attribution to alcohol</w:t>
            </w:r>
            <w:r>
              <w:rPr>
                <w:szCs w:val="18"/>
              </w:rPr>
              <w:t xml:space="preserve"> (context specific AAFs)</w:t>
            </w:r>
          </w:p>
        </w:tc>
      </w:tr>
      <w:tr w:rsidR="007D32D8" w14:paraId="1079A3DF" w14:textId="77777777" w:rsidTr="001F3863">
        <w:tc>
          <w:tcPr>
            <w:tcW w:w="3402" w:type="dxa"/>
          </w:tcPr>
          <w:p w14:paraId="5E932A2B" w14:textId="77777777" w:rsidR="007D32D8" w:rsidRPr="00FA5598" w:rsidRDefault="007D32D8" w:rsidP="0025087A">
            <w:pPr>
              <w:pStyle w:val="TSBodyText"/>
              <w:rPr>
                <w:szCs w:val="18"/>
              </w:rPr>
            </w:pPr>
            <w:r>
              <w:rPr>
                <w:szCs w:val="18"/>
              </w:rPr>
              <w:t>Prescription drugs associated with alcohol consumption and conditions that are partly caused by alcohol consumption</w:t>
            </w:r>
          </w:p>
        </w:tc>
        <w:tc>
          <w:tcPr>
            <w:tcW w:w="4819" w:type="dxa"/>
          </w:tcPr>
          <w:p w14:paraId="4EC5AC8E" w14:textId="77777777" w:rsidR="007D32D8" w:rsidRPr="00FA5598" w:rsidRDefault="007D32D8" w:rsidP="0025087A">
            <w:pPr>
              <w:pStyle w:val="TSBodyText"/>
              <w:rPr>
                <w:szCs w:val="18"/>
              </w:rPr>
            </w:pPr>
            <w:r>
              <w:rPr>
                <w:szCs w:val="18"/>
              </w:rPr>
              <w:t>Causal attribution to alcohol (context specific AAFs)</w:t>
            </w:r>
          </w:p>
        </w:tc>
      </w:tr>
      <w:tr w:rsidR="007D32D8" w14:paraId="2404682B"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25906526" w14:textId="77777777" w:rsidR="007D32D8" w:rsidRDefault="007D32D8" w:rsidP="0025087A">
            <w:pPr>
              <w:pStyle w:val="TSBodyText"/>
              <w:rPr>
                <w:szCs w:val="18"/>
              </w:rPr>
            </w:pPr>
            <w:r>
              <w:rPr>
                <w:szCs w:val="18"/>
              </w:rPr>
              <w:t>Mental health and addictions service use associated with alcohol consumption</w:t>
            </w:r>
          </w:p>
        </w:tc>
        <w:tc>
          <w:tcPr>
            <w:tcW w:w="4819" w:type="dxa"/>
          </w:tcPr>
          <w:p w14:paraId="2F85330E" w14:textId="77777777" w:rsidR="007D32D8" w:rsidRDefault="007D32D8" w:rsidP="0025087A">
            <w:pPr>
              <w:pStyle w:val="TSBodyText"/>
              <w:rPr>
                <w:szCs w:val="18"/>
              </w:rPr>
            </w:pPr>
            <w:r w:rsidRPr="009C6254">
              <w:rPr>
                <w:szCs w:val="18"/>
              </w:rPr>
              <w:t>Scale of use associated with alcohol, causal attribution to alcohol (context specific AAFs)</w:t>
            </w:r>
          </w:p>
        </w:tc>
      </w:tr>
      <w:tr w:rsidR="00641F92" w14:paraId="2A89B263" w14:textId="77777777" w:rsidTr="001F3863">
        <w:tc>
          <w:tcPr>
            <w:tcW w:w="3402" w:type="dxa"/>
          </w:tcPr>
          <w:p w14:paraId="19AC5E0D" w14:textId="5689494E" w:rsidR="00641F92" w:rsidRDefault="00ED430C" w:rsidP="0025087A">
            <w:pPr>
              <w:pStyle w:val="TSBodyText"/>
              <w:rPr>
                <w:szCs w:val="18"/>
              </w:rPr>
            </w:pPr>
            <w:r>
              <w:rPr>
                <w:szCs w:val="18"/>
              </w:rPr>
              <w:t>I</w:t>
            </w:r>
            <w:r w:rsidR="00641F92">
              <w:rPr>
                <w:szCs w:val="18"/>
              </w:rPr>
              <w:t>njuries from someone else’s drinking</w:t>
            </w:r>
          </w:p>
        </w:tc>
        <w:tc>
          <w:tcPr>
            <w:tcW w:w="4819" w:type="dxa"/>
          </w:tcPr>
          <w:p w14:paraId="04A0DEA2" w14:textId="7866F250" w:rsidR="00641F92" w:rsidRPr="009C6254" w:rsidRDefault="002A2B2F" w:rsidP="0025087A">
            <w:pPr>
              <w:pStyle w:val="TSBodyText"/>
              <w:rPr>
                <w:szCs w:val="18"/>
              </w:rPr>
            </w:pPr>
            <w:r>
              <w:rPr>
                <w:szCs w:val="18"/>
              </w:rPr>
              <w:t>Scale of use of ambulance, ED, inpatient, primary care</w:t>
            </w:r>
            <w:r w:rsidR="00AC2021">
              <w:rPr>
                <w:szCs w:val="18"/>
              </w:rPr>
              <w:t>, mental health</w:t>
            </w:r>
            <w:r>
              <w:rPr>
                <w:szCs w:val="18"/>
              </w:rPr>
              <w:t xml:space="preserve"> </w:t>
            </w:r>
            <w:r w:rsidR="00AC2021">
              <w:rPr>
                <w:szCs w:val="18"/>
              </w:rPr>
              <w:t>services, disability support associated with injuries caused by someone else’s drinking</w:t>
            </w:r>
            <w:r w:rsidR="008217DD">
              <w:rPr>
                <w:szCs w:val="18"/>
              </w:rPr>
              <w:t xml:space="preserve"> (</w:t>
            </w:r>
            <w:proofErr w:type="gramStart"/>
            <w:r w:rsidR="008217DD">
              <w:rPr>
                <w:szCs w:val="18"/>
              </w:rPr>
              <w:t>e.g.</w:t>
            </w:r>
            <w:proofErr w:type="gramEnd"/>
            <w:r w:rsidR="008217DD">
              <w:rPr>
                <w:szCs w:val="18"/>
              </w:rPr>
              <w:t xml:space="preserve"> vehicle crash, assault</w:t>
            </w:r>
            <w:r w:rsidR="00055C1F">
              <w:rPr>
                <w:szCs w:val="18"/>
              </w:rPr>
              <w:t xml:space="preserve">, etc), </w:t>
            </w:r>
            <w:r w:rsidR="00ED430C">
              <w:rPr>
                <w:szCs w:val="18"/>
              </w:rPr>
              <w:t xml:space="preserve">ACC costs, </w:t>
            </w:r>
            <w:r w:rsidR="00055C1F">
              <w:rPr>
                <w:szCs w:val="18"/>
              </w:rPr>
              <w:t>causal attr</w:t>
            </w:r>
            <w:r w:rsidR="00FE1CBD">
              <w:rPr>
                <w:szCs w:val="18"/>
              </w:rPr>
              <w:t>ibution to alcohol</w:t>
            </w:r>
          </w:p>
        </w:tc>
      </w:tr>
      <w:tr w:rsidR="005071C5" w14:paraId="3A2A1464"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37ED13A8" w14:textId="5E737851" w:rsidR="005071C5" w:rsidRDefault="00ED430C" w:rsidP="0025087A">
            <w:pPr>
              <w:pStyle w:val="TSBodyText"/>
              <w:rPr>
                <w:szCs w:val="18"/>
              </w:rPr>
            </w:pPr>
            <w:r>
              <w:rPr>
                <w:szCs w:val="18"/>
              </w:rPr>
              <w:t>M</w:t>
            </w:r>
            <w:r w:rsidR="005071C5">
              <w:rPr>
                <w:szCs w:val="18"/>
              </w:rPr>
              <w:t>ental health impacts of someone else’s drinking and associated harms</w:t>
            </w:r>
          </w:p>
        </w:tc>
        <w:tc>
          <w:tcPr>
            <w:tcW w:w="4819" w:type="dxa"/>
          </w:tcPr>
          <w:p w14:paraId="1D17EE9F" w14:textId="098DC758" w:rsidR="005071C5" w:rsidRDefault="005071C5" w:rsidP="0025087A">
            <w:pPr>
              <w:pStyle w:val="TSBodyText"/>
              <w:rPr>
                <w:szCs w:val="18"/>
              </w:rPr>
            </w:pPr>
            <w:r>
              <w:rPr>
                <w:szCs w:val="18"/>
              </w:rPr>
              <w:t>Scale of use of mental health services</w:t>
            </w:r>
            <w:r w:rsidR="005F313A">
              <w:rPr>
                <w:szCs w:val="18"/>
              </w:rPr>
              <w:t xml:space="preserve"> for adults and children experiencing short term and </w:t>
            </w:r>
            <w:proofErr w:type="gramStart"/>
            <w:r w:rsidR="005F313A">
              <w:rPr>
                <w:szCs w:val="18"/>
              </w:rPr>
              <w:t>long term</w:t>
            </w:r>
            <w:proofErr w:type="gramEnd"/>
            <w:r w:rsidR="005F313A">
              <w:rPr>
                <w:szCs w:val="18"/>
              </w:rPr>
              <w:t xml:space="preserve"> mental health impacts due to someone else’s drinking</w:t>
            </w:r>
            <w:r w:rsidR="007670F4">
              <w:rPr>
                <w:szCs w:val="18"/>
              </w:rPr>
              <w:t>, attribution to alcohol</w:t>
            </w:r>
          </w:p>
        </w:tc>
      </w:tr>
      <w:tr w:rsidR="00B52EB6" w14:paraId="0A20DF36" w14:textId="77777777" w:rsidTr="001F3863">
        <w:tc>
          <w:tcPr>
            <w:tcW w:w="3402" w:type="dxa"/>
          </w:tcPr>
          <w:p w14:paraId="30FDCF98" w14:textId="58F1131F" w:rsidR="00B52EB6" w:rsidRDefault="00ED430C" w:rsidP="0025087A">
            <w:pPr>
              <w:pStyle w:val="TSBodyText"/>
              <w:rPr>
                <w:szCs w:val="18"/>
              </w:rPr>
            </w:pPr>
            <w:r>
              <w:rPr>
                <w:szCs w:val="18"/>
              </w:rPr>
              <w:t>Aged residential care</w:t>
            </w:r>
          </w:p>
        </w:tc>
        <w:tc>
          <w:tcPr>
            <w:tcW w:w="4819" w:type="dxa"/>
          </w:tcPr>
          <w:p w14:paraId="1411CE37" w14:textId="2EEEF378" w:rsidR="00B52EB6" w:rsidRDefault="00ED430C" w:rsidP="0025087A">
            <w:pPr>
              <w:pStyle w:val="TSBodyText"/>
              <w:rPr>
                <w:szCs w:val="18"/>
              </w:rPr>
            </w:pPr>
            <w:r>
              <w:rPr>
                <w:szCs w:val="18"/>
              </w:rPr>
              <w:t xml:space="preserve">Scale of use of aged residential care associated with </w:t>
            </w:r>
            <w:r w:rsidR="0025087A">
              <w:rPr>
                <w:szCs w:val="18"/>
              </w:rPr>
              <w:t>alcohol-</w:t>
            </w:r>
            <w:r w:rsidR="00603634">
              <w:rPr>
                <w:szCs w:val="18"/>
              </w:rPr>
              <w:t>attributable conditions and injuries</w:t>
            </w:r>
          </w:p>
        </w:tc>
      </w:tr>
      <w:tr w:rsidR="001E7C50" w14:paraId="216CE5F9"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0A12C3F8" w14:textId="442607C2" w:rsidR="001E7C50" w:rsidRDefault="001E7C50" w:rsidP="0025087A">
            <w:pPr>
              <w:pStyle w:val="TSBodyText"/>
              <w:rPr>
                <w:szCs w:val="18"/>
              </w:rPr>
            </w:pPr>
            <w:r>
              <w:rPr>
                <w:szCs w:val="18"/>
              </w:rPr>
              <w:t>Community based services</w:t>
            </w:r>
          </w:p>
        </w:tc>
        <w:tc>
          <w:tcPr>
            <w:tcW w:w="4819" w:type="dxa"/>
          </w:tcPr>
          <w:p w14:paraId="0CF4ABBB" w14:textId="1FFF0BF3" w:rsidR="001E7C50" w:rsidRDefault="001E7C50" w:rsidP="0025087A">
            <w:pPr>
              <w:pStyle w:val="TSBodyText"/>
              <w:rPr>
                <w:szCs w:val="18"/>
              </w:rPr>
            </w:pPr>
            <w:r>
              <w:rPr>
                <w:szCs w:val="18"/>
              </w:rPr>
              <w:t>Scale of use</w:t>
            </w:r>
            <w:r w:rsidR="00404A15">
              <w:rPr>
                <w:szCs w:val="18"/>
              </w:rPr>
              <w:t xml:space="preserve"> associated with </w:t>
            </w:r>
            <w:r w:rsidR="0025087A">
              <w:rPr>
                <w:szCs w:val="18"/>
              </w:rPr>
              <w:t>alcohol-</w:t>
            </w:r>
            <w:r w:rsidR="00404A15" w:rsidRPr="00404A15">
              <w:rPr>
                <w:szCs w:val="18"/>
              </w:rPr>
              <w:t>attributable conditions and injuries</w:t>
            </w:r>
          </w:p>
        </w:tc>
      </w:tr>
      <w:tr w:rsidR="00886F1C" w14:paraId="429A33C0" w14:textId="77777777" w:rsidTr="001F3863">
        <w:tc>
          <w:tcPr>
            <w:tcW w:w="3402" w:type="dxa"/>
          </w:tcPr>
          <w:p w14:paraId="7DD7F3C2" w14:textId="77CC4E3B" w:rsidR="00886F1C" w:rsidRDefault="00886F1C" w:rsidP="0025087A">
            <w:pPr>
              <w:pStyle w:val="TSBodyText"/>
              <w:rPr>
                <w:szCs w:val="18"/>
              </w:rPr>
            </w:pPr>
            <w:r>
              <w:rPr>
                <w:szCs w:val="18"/>
              </w:rPr>
              <w:t>Alcohol rehabilitation services</w:t>
            </w:r>
          </w:p>
        </w:tc>
        <w:tc>
          <w:tcPr>
            <w:tcW w:w="4819" w:type="dxa"/>
          </w:tcPr>
          <w:p w14:paraId="60AF5D46" w14:textId="45EF6461" w:rsidR="00886F1C" w:rsidRDefault="001E7C50" w:rsidP="0025087A">
            <w:pPr>
              <w:pStyle w:val="TSBodyText"/>
              <w:rPr>
                <w:szCs w:val="18"/>
              </w:rPr>
            </w:pPr>
            <w:r>
              <w:rPr>
                <w:szCs w:val="18"/>
              </w:rPr>
              <w:t>Causal attribution to alcohol vs other drugs</w:t>
            </w:r>
          </w:p>
        </w:tc>
      </w:tr>
      <w:tr w:rsidR="007D32D8" w14:paraId="1635852D"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581D096B" w14:textId="77777777" w:rsidR="007D32D8" w:rsidRPr="00A933D3" w:rsidRDefault="007D32D8" w:rsidP="0025087A">
            <w:pPr>
              <w:pStyle w:val="TSBodyText"/>
            </w:pPr>
            <w:r w:rsidRPr="00A933D3">
              <w:t>Education sector</w:t>
            </w:r>
          </w:p>
        </w:tc>
        <w:tc>
          <w:tcPr>
            <w:tcW w:w="4819" w:type="dxa"/>
          </w:tcPr>
          <w:p w14:paraId="6CFF38DE" w14:textId="0BF62420" w:rsidR="007D32D8" w:rsidRPr="001A2AFB" w:rsidRDefault="007D32D8" w:rsidP="0025087A">
            <w:pPr>
              <w:pStyle w:val="TSBodyText"/>
              <w:rPr>
                <w:szCs w:val="18"/>
              </w:rPr>
            </w:pPr>
          </w:p>
        </w:tc>
      </w:tr>
      <w:tr w:rsidR="007D32D8" w14:paraId="038505AE" w14:textId="77777777" w:rsidTr="001F3863">
        <w:tc>
          <w:tcPr>
            <w:tcW w:w="3402" w:type="dxa"/>
          </w:tcPr>
          <w:p w14:paraId="1E42D1D0" w14:textId="77777777" w:rsidR="007D32D8" w:rsidRDefault="007D32D8" w:rsidP="0025087A">
            <w:pPr>
              <w:pStyle w:val="TSBodyText"/>
              <w:rPr>
                <w:szCs w:val="18"/>
              </w:rPr>
            </w:pPr>
            <w:r>
              <w:rPr>
                <w:szCs w:val="18"/>
              </w:rPr>
              <w:t>Alcohol education programmes in schools*</w:t>
            </w:r>
          </w:p>
        </w:tc>
        <w:tc>
          <w:tcPr>
            <w:tcW w:w="4819" w:type="dxa"/>
          </w:tcPr>
          <w:p w14:paraId="0477D077" w14:textId="77777777" w:rsidR="007D32D8" w:rsidRDefault="007D32D8" w:rsidP="0025087A">
            <w:pPr>
              <w:pStyle w:val="TSBodyText"/>
              <w:rPr>
                <w:szCs w:val="18"/>
              </w:rPr>
            </w:pPr>
            <w:r>
              <w:rPr>
                <w:szCs w:val="18"/>
              </w:rPr>
              <w:t>Fiscal costs of programmes</w:t>
            </w:r>
          </w:p>
        </w:tc>
      </w:tr>
      <w:tr w:rsidR="007D32D8" w14:paraId="768B8BA1"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21378A47" w14:textId="06EFFF01" w:rsidR="007D32D8" w:rsidRDefault="007D32D8" w:rsidP="0025087A">
            <w:pPr>
              <w:pStyle w:val="TSBodyText"/>
              <w:rPr>
                <w:szCs w:val="18"/>
              </w:rPr>
            </w:pPr>
            <w:r>
              <w:rPr>
                <w:szCs w:val="18"/>
              </w:rPr>
              <w:t>Efforts to prevent alcohol use and minimise harms (</w:t>
            </w:r>
            <w:proofErr w:type="gramStart"/>
            <w:r>
              <w:rPr>
                <w:szCs w:val="18"/>
              </w:rPr>
              <w:t>e.g.</w:t>
            </w:r>
            <w:proofErr w:type="gramEnd"/>
            <w:r>
              <w:rPr>
                <w:szCs w:val="18"/>
              </w:rPr>
              <w:t xml:space="preserve"> before and during school events, university orientation weeks, etc</w:t>
            </w:r>
            <w:r w:rsidR="007925EA">
              <w:rPr>
                <w:szCs w:val="18"/>
              </w:rPr>
              <w:t>.</w:t>
            </w:r>
            <w:r>
              <w:rPr>
                <w:szCs w:val="18"/>
              </w:rPr>
              <w:t>)*</w:t>
            </w:r>
          </w:p>
        </w:tc>
        <w:tc>
          <w:tcPr>
            <w:tcW w:w="4819" w:type="dxa"/>
          </w:tcPr>
          <w:p w14:paraId="6AC083C2" w14:textId="5069A5D9" w:rsidR="007D32D8" w:rsidRDefault="007D32D8" w:rsidP="0025087A">
            <w:pPr>
              <w:pStyle w:val="TSBodyText"/>
              <w:rPr>
                <w:szCs w:val="18"/>
              </w:rPr>
            </w:pPr>
            <w:r>
              <w:rPr>
                <w:szCs w:val="18"/>
              </w:rPr>
              <w:t>Resource use and unit costs</w:t>
            </w:r>
            <w:r w:rsidR="003B1C12">
              <w:rPr>
                <w:szCs w:val="18"/>
              </w:rPr>
              <w:t>, causal attribution to alcohol (vs other drugs)</w:t>
            </w:r>
          </w:p>
        </w:tc>
      </w:tr>
      <w:tr w:rsidR="007D32D8" w14:paraId="1B5ABA90" w14:textId="77777777" w:rsidTr="001F3863">
        <w:tc>
          <w:tcPr>
            <w:tcW w:w="3402" w:type="dxa"/>
          </w:tcPr>
          <w:p w14:paraId="62789DBE" w14:textId="77777777" w:rsidR="007D32D8" w:rsidRDefault="007D32D8" w:rsidP="0025087A">
            <w:pPr>
              <w:pStyle w:val="TSBodyText"/>
              <w:rPr>
                <w:szCs w:val="18"/>
              </w:rPr>
            </w:pPr>
            <w:r>
              <w:rPr>
                <w:szCs w:val="18"/>
              </w:rPr>
              <w:lastRenderedPageBreak/>
              <w:t>Special education and other education support for children with FASD</w:t>
            </w:r>
          </w:p>
        </w:tc>
        <w:tc>
          <w:tcPr>
            <w:tcW w:w="4819" w:type="dxa"/>
          </w:tcPr>
          <w:p w14:paraId="48485E69" w14:textId="2D0305E4" w:rsidR="007D32D8" w:rsidRDefault="001C7AD9" w:rsidP="0025087A">
            <w:pPr>
              <w:pStyle w:val="TSBodyText"/>
              <w:rPr>
                <w:szCs w:val="18"/>
              </w:rPr>
            </w:pPr>
            <w:r w:rsidRPr="001C7AD9">
              <w:rPr>
                <w:szCs w:val="18"/>
              </w:rPr>
              <w:t>Resource use and unit costs, causal attribution to alcohol (</w:t>
            </w:r>
            <w:r>
              <w:rPr>
                <w:szCs w:val="18"/>
              </w:rPr>
              <w:t xml:space="preserve">counterfactual </w:t>
            </w:r>
            <w:r w:rsidR="00982710">
              <w:rPr>
                <w:szCs w:val="18"/>
              </w:rPr>
              <w:t>education support</w:t>
            </w:r>
            <w:r w:rsidRPr="001C7AD9">
              <w:rPr>
                <w:szCs w:val="18"/>
              </w:rPr>
              <w:t>)</w:t>
            </w:r>
          </w:p>
        </w:tc>
      </w:tr>
      <w:tr w:rsidR="007D32D8" w14:paraId="43D9D3AC"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02B3E6AE" w14:textId="77AF9168" w:rsidR="007D32D8" w:rsidRDefault="007D32D8" w:rsidP="0025087A">
            <w:pPr>
              <w:pStyle w:val="TSBodyText"/>
              <w:rPr>
                <w:szCs w:val="18"/>
              </w:rPr>
            </w:pPr>
            <w:r>
              <w:rPr>
                <w:szCs w:val="18"/>
              </w:rPr>
              <w:t>Education sector impacts of alcohol consumption by students (</w:t>
            </w:r>
            <w:proofErr w:type="gramStart"/>
            <w:r w:rsidR="00BD19A2">
              <w:rPr>
                <w:szCs w:val="18"/>
              </w:rPr>
              <w:t>e.g.</w:t>
            </w:r>
            <w:proofErr w:type="gramEnd"/>
            <w:r>
              <w:rPr>
                <w:szCs w:val="18"/>
              </w:rPr>
              <w:t xml:space="preserve"> dealing with behaviour/ resulting from students’ own alcohol use)</w:t>
            </w:r>
          </w:p>
        </w:tc>
        <w:tc>
          <w:tcPr>
            <w:tcW w:w="4819" w:type="dxa"/>
          </w:tcPr>
          <w:p w14:paraId="4AA555CF" w14:textId="77777777" w:rsidR="007D32D8" w:rsidRPr="009C6254" w:rsidRDefault="007D32D8" w:rsidP="0025087A">
            <w:pPr>
              <w:pStyle w:val="TSBodyText"/>
              <w:rPr>
                <w:szCs w:val="18"/>
              </w:rPr>
            </w:pPr>
            <w:r>
              <w:rPr>
                <w:szCs w:val="18"/>
              </w:rPr>
              <w:t>Nature and scale of harms, resource use and unit costs</w:t>
            </w:r>
          </w:p>
        </w:tc>
      </w:tr>
      <w:tr w:rsidR="007D32D8" w14:paraId="263EDD5B" w14:textId="77777777" w:rsidTr="001F3863">
        <w:tc>
          <w:tcPr>
            <w:tcW w:w="3402" w:type="dxa"/>
          </w:tcPr>
          <w:p w14:paraId="169A466D" w14:textId="3ED8CF6C" w:rsidR="007D32D8" w:rsidRDefault="007D32D8" w:rsidP="0025087A">
            <w:pPr>
              <w:pStyle w:val="TSBodyText"/>
              <w:rPr>
                <w:szCs w:val="18"/>
              </w:rPr>
            </w:pPr>
            <w:r>
              <w:rPr>
                <w:szCs w:val="18"/>
              </w:rPr>
              <w:t>Education sector impacts of alcohol consumption in households (</w:t>
            </w:r>
            <w:proofErr w:type="gramStart"/>
            <w:r w:rsidR="00BD19A2">
              <w:rPr>
                <w:szCs w:val="18"/>
              </w:rPr>
              <w:t>e.g.</w:t>
            </w:r>
            <w:proofErr w:type="gramEnd"/>
            <w:r>
              <w:rPr>
                <w:szCs w:val="18"/>
              </w:rPr>
              <w:t xml:space="preserve"> dealing with effects on children and young people of caregivers’ alcohol use)</w:t>
            </w:r>
          </w:p>
        </w:tc>
        <w:tc>
          <w:tcPr>
            <w:tcW w:w="4819" w:type="dxa"/>
          </w:tcPr>
          <w:p w14:paraId="378C8E60" w14:textId="77777777" w:rsidR="007D32D8" w:rsidRDefault="007D32D8" w:rsidP="0025087A">
            <w:pPr>
              <w:pStyle w:val="TSBodyText"/>
              <w:rPr>
                <w:szCs w:val="18"/>
              </w:rPr>
            </w:pPr>
            <w:r>
              <w:rPr>
                <w:szCs w:val="18"/>
              </w:rPr>
              <w:t>Nature and scale of harms, resource use and unit costs</w:t>
            </w:r>
          </w:p>
        </w:tc>
      </w:tr>
      <w:tr w:rsidR="007D32D8" w14:paraId="3F2FCDF8"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54BEB5C9" w14:textId="5CA688DD" w:rsidR="007D32D8" w:rsidRPr="00F63292" w:rsidRDefault="007D32D8" w:rsidP="0025087A">
            <w:pPr>
              <w:pStyle w:val="TSBodyText"/>
            </w:pPr>
            <w:r w:rsidRPr="00F63292">
              <w:t xml:space="preserve">Justice </w:t>
            </w:r>
            <w:r w:rsidR="007925EA">
              <w:t>s</w:t>
            </w:r>
            <w:r w:rsidRPr="00F63292">
              <w:t>ector</w:t>
            </w:r>
          </w:p>
        </w:tc>
        <w:tc>
          <w:tcPr>
            <w:tcW w:w="4819" w:type="dxa"/>
          </w:tcPr>
          <w:p w14:paraId="3350D608" w14:textId="167A3C73" w:rsidR="007D32D8" w:rsidRPr="001A2AFB" w:rsidRDefault="00BF6ED2" w:rsidP="0025087A">
            <w:pPr>
              <w:pStyle w:val="TSBodyText"/>
              <w:rPr>
                <w:szCs w:val="18"/>
              </w:rPr>
            </w:pPr>
            <w:r>
              <w:rPr>
                <w:szCs w:val="18"/>
              </w:rPr>
              <w:t xml:space="preserve">Note: </w:t>
            </w:r>
            <w:r w:rsidR="007D32D8" w:rsidRPr="001A2AFB">
              <w:rPr>
                <w:szCs w:val="18"/>
              </w:rPr>
              <w:t xml:space="preserve">Some unit costs, </w:t>
            </w:r>
            <w:proofErr w:type="gramStart"/>
            <w:r w:rsidR="00BD19A2" w:rsidRPr="001A2AFB">
              <w:rPr>
                <w:szCs w:val="18"/>
              </w:rPr>
              <w:t>e.g.</w:t>
            </w:r>
            <w:proofErr w:type="gramEnd"/>
            <w:r w:rsidR="007D32D8" w:rsidRPr="001A2AFB">
              <w:rPr>
                <w:szCs w:val="18"/>
              </w:rPr>
              <w:t xml:space="preserve"> </w:t>
            </w:r>
            <w:r w:rsidR="00FC0BE4">
              <w:rPr>
                <w:szCs w:val="18"/>
              </w:rPr>
              <w:t>P</w:t>
            </w:r>
            <w:r w:rsidR="007D32D8" w:rsidRPr="001A2AFB">
              <w:rPr>
                <w:szCs w:val="18"/>
              </w:rPr>
              <w:t xml:space="preserve">olice time, residential care for juvenile offenders, diversionary response for youth offenders, are provided in Treasury’s </w:t>
            </w:r>
            <w:proofErr w:type="spellStart"/>
            <w:r w:rsidR="007D32D8" w:rsidRPr="001A2AFB">
              <w:rPr>
                <w:szCs w:val="18"/>
              </w:rPr>
              <w:t>CBAx</w:t>
            </w:r>
            <w:proofErr w:type="spellEnd"/>
            <w:r w:rsidR="007D32D8" w:rsidRPr="001A2AFB">
              <w:rPr>
                <w:szCs w:val="18"/>
              </w:rPr>
              <w:t xml:space="preserve"> Impacts Database but these are inflated from figures dating back 15 to 20 years.</w:t>
            </w:r>
          </w:p>
        </w:tc>
      </w:tr>
      <w:tr w:rsidR="004B7CC1" w14:paraId="02C36C1B" w14:textId="77777777" w:rsidTr="001F3863">
        <w:tc>
          <w:tcPr>
            <w:tcW w:w="3402" w:type="dxa"/>
          </w:tcPr>
          <w:p w14:paraId="35BF354F" w14:textId="576B6CE0" w:rsidR="004B7CC1" w:rsidRPr="0076296C" w:rsidRDefault="004B7CC1" w:rsidP="0025087A">
            <w:pPr>
              <w:pStyle w:val="TSBodyText"/>
              <w:rPr>
                <w:szCs w:val="18"/>
              </w:rPr>
            </w:pPr>
            <w:r>
              <w:rPr>
                <w:szCs w:val="18"/>
              </w:rPr>
              <w:t>Justice sector impacts of alcohol-attributable crime</w:t>
            </w:r>
          </w:p>
        </w:tc>
        <w:tc>
          <w:tcPr>
            <w:tcW w:w="4819" w:type="dxa"/>
          </w:tcPr>
          <w:p w14:paraId="036CDF69" w14:textId="0D0CF95E" w:rsidR="004B7CC1" w:rsidRPr="0076296C" w:rsidRDefault="004B7CC1" w:rsidP="0025087A">
            <w:pPr>
              <w:pStyle w:val="TSBodyText"/>
              <w:rPr>
                <w:szCs w:val="18"/>
              </w:rPr>
            </w:pPr>
            <w:r>
              <w:rPr>
                <w:szCs w:val="18"/>
              </w:rPr>
              <w:t xml:space="preserve">Police and court </w:t>
            </w:r>
            <w:r w:rsidR="00256E29">
              <w:rPr>
                <w:szCs w:val="18"/>
              </w:rPr>
              <w:t xml:space="preserve">resource use and unit </w:t>
            </w:r>
            <w:r>
              <w:rPr>
                <w:szCs w:val="18"/>
              </w:rPr>
              <w:t>costs</w:t>
            </w:r>
            <w:r w:rsidR="00256E29">
              <w:rPr>
                <w:szCs w:val="18"/>
              </w:rPr>
              <w:t>, alcohol and drug courts fraction of costs attributable to alcohol</w:t>
            </w:r>
          </w:p>
        </w:tc>
      </w:tr>
      <w:tr w:rsidR="004B7CC1" w14:paraId="05BFE20E"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27FD6D80" w14:textId="6A6DD314" w:rsidR="004B7CC1" w:rsidRDefault="004B7CC1" w:rsidP="0025087A">
            <w:pPr>
              <w:pStyle w:val="TSBodyText"/>
              <w:rPr>
                <w:szCs w:val="18"/>
              </w:rPr>
            </w:pPr>
            <w:r w:rsidRPr="0076296C">
              <w:rPr>
                <w:szCs w:val="18"/>
              </w:rPr>
              <w:t>Impact of FASD on justice sector costs (</w:t>
            </w:r>
            <w:r w:rsidR="00FC0BE4">
              <w:rPr>
                <w:szCs w:val="18"/>
              </w:rPr>
              <w:t>P</w:t>
            </w:r>
            <w:r w:rsidRPr="0076296C">
              <w:rPr>
                <w:szCs w:val="18"/>
              </w:rPr>
              <w:t>olice, courts, Corrections costs)</w:t>
            </w:r>
          </w:p>
        </w:tc>
        <w:tc>
          <w:tcPr>
            <w:tcW w:w="4819" w:type="dxa"/>
          </w:tcPr>
          <w:p w14:paraId="405E8923" w14:textId="77777777" w:rsidR="004B7CC1" w:rsidRDefault="004B7CC1" w:rsidP="0025087A">
            <w:pPr>
              <w:pStyle w:val="TSBodyText"/>
              <w:rPr>
                <w:szCs w:val="18"/>
              </w:rPr>
            </w:pPr>
            <w:r w:rsidRPr="0076296C">
              <w:rPr>
                <w:szCs w:val="18"/>
              </w:rPr>
              <w:t>Scale, fiscal</w:t>
            </w:r>
            <w:r>
              <w:rPr>
                <w:szCs w:val="18"/>
              </w:rPr>
              <w:t>, causal attribution to FASD.</w:t>
            </w:r>
          </w:p>
        </w:tc>
      </w:tr>
      <w:tr w:rsidR="00256E29" w14:paraId="6BF00FE3" w14:textId="77777777" w:rsidTr="001F3863">
        <w:tc>
          <w:tcPr>
            <w:tcW w:w="3402" w:type="dxa"/>
          </w:tcPr>
          <w:p w14:paraId="083F4714" w14:textId="4A739F50" w:rsidR="00256E29" w:rsidRPr="0076296C" w:rsidRDefault="001F3863" w:rsidP="0025087A">
            <w:pPr>
              <w:pStyle w:val="TSBodyText"/>
              <w:rPr>
                <w:szCs w:val="18"/>
              </w:rPr>
            </w:pPr>
            <w:r>
              <w:rPr>
                <w:szCs w:val="18"/>
              </w:rPr>
              <w:t>Justice sector programmes addressing alcohol harms</w:t>
            </w:r>
          </w:p>
        </w:tc>
        <w:tc>
          <w:tcPr>
            <w:tcW w:w="4819" w:type="dxa"/>
          </w:tcPr>
          <w:p w14:paraId="7E966D67" w14:textId="4F3B0F6B" w:rsidR="00256E29" w:rsidRPr="0076296C" w:rsidRDefault="001F3863" w:rsidP="0025087A">
            <w:pPr>
              <w:pStyle w:val="TSBodyText"/>
              <w:rPr>
                <w:szCs w:val="18"/>
              </w:rPr>
            </w:pPr>
            <w:r>
              <w:rPr>
                <w:szCs w:val="18"/>
              </w:rPr>
              <w:t>Scale, fiscal costs, causal attribution to alcohol (</w:t>
            </w:r>
            <w:proofErr w:type="gramStart"/>
            <w:r>
              <w:rPr>
                <w:szCs w:val="18"/>
              </w:rPr>
              <w:t>e.g.</w:t>
            </w:r>
            <w:proofErr w:type="gramEnd"/>
            <w:r>
              <w:rPr>
                <w:szCs w:val="18"/>
              </w:rPr>
              <w:t xml:space="preserve"> versus other drugs)</w:t>
            </w:r>
          </w:p>
        </w:tc>
      </w:tr>
      <w:tr w:rsidR="00524930" w14:paraId="40AFBA21"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23A2DBD6" w14:textId="1247952A" w:rsidR="00524930" w:rsidRDefault="00524930" w:rsidP="0025087A">
            <w:pPr>
              <w:pStyle w:val="TSBodyText"/>
              <w:rPr>
                <w:szCs w:val="18"/>
              </w:rPr>
            </w:pPr>
            <w:r>
              <w:rPr>
                <w:szCs w:val="18"/>
              </w:rPr>
              <w:t>Justice sector alcohol harms prevention (</w:t>
            </w:r>
            <w:proofErr w:type="gramStart"/>
            <w:r>
              <w:rPr>
                <w:szCs w:val="18"/>
              </w:rPr>
              <w:t>e.g.</w:t>
            </w:r>
            <w:proofErr w:type="gramEnd"/>
            <w:r>
              <w:rPr>
                <w:szCs w:val="18"/>
              </w:rPr>
              <w:t xml:space="preserve"> </w:t>
            </w:r>
            <w:r w:rsidR="00FC0BE4">
              <w:rPr>
                <w:szCs w:val="18"/>
              </w:rPr>
              <w:t>P</w:t>
            </w:r>
            <w:r>
              <w:rPr>
                <w:szCs w:val="18"/>
              </w:rPr>
              <w:t>olice prevention efforts)</w:t>
            </w:r>
          </w:p>
        </w:tc>
        <w:tc>
          <w:tcPr>
            <w:tcW w:w="4819" w:type="dxa"/>
          </w:tcPr>
          <w:p w14:paraId="39D8793C" w14:textId="633AB069" w:rsidR="00524930" w:rsidRDefault="00524930" w:rsidP="0025087A">
            <w:pPr>
              <w:pStyle w:val="TSBodyText"/>
              <w:rPr>
                <w:szCs w:val="18"/>
              </w:rPr>
            </w:pPr>
            <w:r>
              <w:rPr>
                <w:szCs w:val="18"/>
              </w:rPr>
              <w:t>Scale, fiscal costs, causal attribution to alcohol (</w:t>
            </w:r>
            <w:proofErr w:type="gramStart"/>
            <w:r>
              <w:rPr>
                <w:szCs w:val="18"/>
              </w:rPr>
              <w:t>e.g.</w:t>
            </w:r>
            <w:proofErr w:type="gramEnd"/>
            <w:r>
              <w:rPr>
                <w:szCs w:val="18"/>
              </w:rPr>
              <w:t xml:space="preserve"> versus other drugs)</w:t>
            </w:r>
          </w:p>
        </w:tc>
      </w:tr>
      <w:tr w:rsidR="004B7CC1" w14:paraId="61F04B8A" w14:textId="77777777" w:rsidTr="001F3863">
        <w:tc>
          <w:tcPr>
            <w:tcW w:w="3402" w:type="dxa"/>
          </w:tcPr>
          <w:p w14:paraId="2D4FDA80" w14:textId="77777777" w:rsidR="004B7CC1" w:rsidRPr="00F63292" w:rsidRDefault="004B7CC1" w:rsidP="0025087A">
            <w:pPr>
              <w:pStyle w:val="TSBodyText"/>
            </w:pPr>
            <w:r w:rsidRPr="00F63292">
              <w:t>Social Development</w:t>
            </w:r>
          </w:p>
        </w:tc>
        <w:tc>
          <w:tcPr>
            <w:tcW w:w="4819" w:type="dxa"/>
          </w:tcPr>
          <w:p w14:paraId="6B7E28CE" w14:textId="7F624345" w:rsidR="004B7CC1" w:rsidRPr="001F3863" w:rsidRDefault="004B7CC1" w:rsidP="0025087A">
            <w:pPr>
              <w:pStyle w:val="TSBodyText"/>
              <w:rPr>
                <w:szCs w:val="18"/>
              </w:rPr>
            </w:pPr>
          </w:p>
        </w:tc>
      </w:tr>
      <w:tr w:rsidR="00524930" w14:paraId="3B361461"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5A8ECBC4" w14:textId="698C23FF" w:rsidR="004B7CC1" w:rsidRDefault="004B7CC1" w:rsidP="0025087A">
            <w:pPr>
              <w:pStyle w:val="TSBodyText"/>
              <w:rPr>
                <w:szCs w:val="18"/>
              </w:rPr>
            </w:pPr>
            <w:r>
              <w:rPr>
                <w:szCs w:val="18"/>
              </w:rPr>
              <w:t xml:space="preserve">Fiscal impacts of alcohol-attributable welfare dependency, including </w:t>
            </w:r>
            <w:r w:rsidR="00BF6ED2">
              <w:rPr>
                <w:szCs w:val="18"/>
              </w:rPr>
              <w:t xml:space="preserve">in </w:t>
            </w:r>
            <w:r>
              <w:rPr>
                <w:szCs w:val="18"/>
              </w:rPr>
              <w:t>FASD</w:t>
            </w:r>
          </w:p>
        </w:tc>
        <w:tc>
          <w:tcPr>
            <w:tcW w:w="4819" w:type="dxa"/>
          </w:tcPr>
          <w:p w14:paraId="332C07DA" w14:textId="77777777" w:rsidR="004B7CC1" w:rsidRDefault="004B7CC1" w:rsidP="0025087A">
            <w:pPr>
              <w:pStyle w:val="TSBodyText"/>
              <w:rPr>
                <w:szCs w:val="18"/>
              </w:rPr>
            </w:pPr>
            <w:r>
              <w:rPr>
                <w:szCs w:val="18"/>
              </w:rPr>
              <w:t>Scale, fiscal costs, causal attribution to alcohol</w:t>
            </w:r>
          </w:p>
        </w:tc>
      </w:tr>
      <w:tr w:rsidR="004B7CC1" w14:paraId="1D77BF8A" w14:textId="77777777" w:rsidTr="001F3863">
        <w:tc>
          <w:tcPr>
            <w:tcW w:w="3402" w:type="dxa"/>
          </w:tcPr>
          <w:p w14:paraId="24B8B371" w14:textId="77777777" w:rsidR="004B7CC1" w:rsidRPr="0076296C" w:rsidRDefault="004B7CC1" w:rsidP="0025087A">
            <w:pPr>
              <w:pStyle w:val="TSBodyText"/>
              <w:rPr>
                <w:szCs w:val="18"/>
              </w:rPr>
            </w:pPr>
            <w:r w:rsidRPr="0076296C">
              <w:rPr>
                <w:szCs w:val="18"/>
              </w:rPr>
              <w:t>IPV caused by alcohol consumption that does not meet the criteria for alcohol use disorder</w:t>
            </w:r>
          </w:p>
        </w:tc>
        <w:tc>
          <w:tcPr>
            <w:tcW w:w="4819" w:type="dxa"/>
          </w:tcPr>
          <w:p w14:paraId="5CC8C699" w14:textId="327839D3" w:rsidR="004B7CC1" w:rsidRPr="0076296C" w:rsidRDefault="0072677A" w:rsidP="0025087A">
            <w:pPr>
              <w:pStyle w:val="TSBodyText"/>
              <w:rPr>
                <w:szCs w:val="18"/>
              </w:rPr>
            </w:pPr>
            <w:r>
              <w:rPr>
                <w:szCs w:val="18"/>
              </w:rPr>
              <w:t>F</w:t>
            </w:r>
            <w:r w:rsidR="004B7CC1" w:rsidRPr="0076296C">
              <w:rPr>
                <w:szCs w:val="18"/>
              </w:rPr>
              <w:t>iscal costs</w:t>
            </w:r>
            <w:r>
              <w:rPr>
                <w:szCs w:val="18"/>
              </w:rPr>
              <w:t xml:space="preserve"> of programmes and services</w:t>
            </w:r>
            <w:r w:rsidR="004B7CC1" w:rsidRPr="0076296C">
              <w:rPr>
                <w:szCs w:val="18"/>
              </w:rPr>
              <w:t>, causal attribution</w:t>
            </w:r>
            <w:r w:rsidR="004B7CC1">
              <w:rPr>
                <w:szCs w:val="18"/>
              </w:rPr>
              <w:t xml:space="preserve"> to alcohol</w:t>
            </w:r>
          </w:p>
        </w:tc>
      </w:tr>
      <w:tr w:rsidR="00524930" w14:paraId="44827215"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15FBD073" w14:textId="77777777" w:rsidR="004B7CC1" w:rsidRPr="0076296C" w:rsidRDefault="004B7CC1" w:rsidP="0025087A">
            <w:pPr>
              <w:pStyle w:val="TSBodyText"/>
              <w:rPr>
                <w:szCs w:val="18"/>
              </w:rPr>
            </w:pPr>
            <w:r w:rsidRPr="0076296C">
              <w:rPr>
                <w:szCs w:val="18"/>
              </w:rPr>
              <w:t>Child maltreatment caused by alcohol consumption that does not meet the criteria for hazardous drinking</w:t>
            </w:r>
          </w:p>
        </w:tc>
        <w:tc>
          <w:tcPr>
            <w:tcW w:w="4819" w:type="dxa"/>
          </w:tcPr>
          <w:p w14:paraId="787891E8" w14:textId="10524465" w:rsidR="004B7CC1" w:rsidRPr="0076296C" w:rsidRDefault="001C1606" w:rsidP="0025087A">
            <w:pPr>
              <w:pStyle w:val="TSBodyText"/>
              <w:rPr>
                <w:szCs w:val="18"/>
              </w:rPr>
            </w:pPr>
            <w:r>
              <w:rPr>
                <w:szCs w:val="18"/>
              </w:rPr>
              <w:t>F</w:t>
            </w:r>
            <w:r w:rsidR="004B7CC1" w:rsidRPr="0076296C">
              <w:rPr>
                <w:szCs w:val="18"/>
              </w:rPr>
              <w:t>iscal costs</w:t>
            </w:r>
            <w:r>
              <w:rPr>
                <w:szCs w:val="18"/>
              </w:rPr>
              <w:t xml:space="preserve"> of programmes and services</w:t>
            </w:r>
            <w:r w:rsidR="004B7CC1" w:rsidRPr="0076296C">
              <w:rPr>
                <w:szCs w:val="18"/>
              </w:rPr>
              <w:t>, causal attribution</w:t>
            </w:r>
            <w:r w:rsidR="004B7CC1">
              <w:rPr>
                <w:szCs w:val="18"/>
              </w:rPr>
              <w:t xml:space="preserve"> to alcohol</w:t>
            </w:r>
          </w:p>
        </w:tc>
      </w:tr>
      <w:tr w:rsidR="004B7CC1" w14:paraId="0E5565A1" w14:textId="77777777" w:rsidTr="001F3863">
        <w:tc>
          <w:tcPr>
            <w:tcW w:w="3402" w:type="dxa"/>
          </w:tcPr>
          <w:p w14:paraId="4D7E2706" w14:textId="4B6A5453" w:rsidR="004B7CC1" w:rsidRPr="00F63292" w:rsidRDefault="004B7CC1" w:rsidP="0025087A">
            <w:pPr>
              <w:pStyle w:val="TSBodyText"/>
            </w:pPr>
            <w:r w:rsidRPr="00F63292">
              <w:t>Local government</w:t>
            </w:r>
          </w:p>
        </w:tc>
        <w:tc>
          <w:tcPr>
            <w:tcW w:w="4819" w:type="dxa"/>
          </w:tcPr>
          <w:p w14:paraId="7BABF14F" w14:textId="0A1800F4" w:rsidR="004B7CC1" w:rsidRPr="0076296C" w:rsidRDefault="004B7CC1" w:rsidP="0025087A">
            <w:pPr>
              <w:pStyle w:val="TSBodyText"/>
              <w:rPr>
                <w:szCs w:val="18"/>
              </w:rPr>
            </w:pPr>
          </w:p>
        </w:tc>
      </w:tr>
      <w:tr w:rsidR="004B7CC1" w14:paraId="382E3772"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5448A5F3" w14:textId="14BB31B5" w:rsidR="004B7CC1" w:rsidRPr="00D12C23" w:rsidRDefault="004B7CC1" w:rsidP="0025087A">
            <w:pPr>
              <w:pStyle w:val="TSBodyText"/>
              <w:rPr>
                <w:szCs w:val="18"/>
              </w:rPr>
            </w:pPr>
            <w:r w:rsidRPr="00D12C23">
              <w:rPr>
                <w:szCs w:val="18"/>
              </w:rPr>
              <w:t xml:space="preserve">Costs to councils </w:t>
            </w:r>
            <w:r w:rsidR="00FC54D0" w:rsidRPr="00D12C23">
              <w:rPr>
                <w:szCs w:val="18"/>
              </w:rPr>
              <w:t>resulting from alcohol harms</w:t>
            </w:r>
          </w:p>
        </w:tc>
        <w:tc>
          <w:tcPr>
            <w:tcW w:w="4819" w:type="dxa"/>
          </w:tcPr>
          <w:p w14:paraId="02134442" w14:textId="56E3AEED" w:rsidR="004B7CC1" w:rsidRPr="0076296C" w:rsidRDefault="00FC54D0" w:rsidP="0025087A">
            <w:pPr>
              <w:pStyle w:val="TSBodyText"/>
              <w:rPr>
                <w:szCs w:val="18"/>
              </w:rPr>
            </w:pPr>
            <w:r>
              <w:rPr>
                <w:szCs w:val="18"/>
              </w:rPr>
              <w:t>Costs associated with litter (</w:t>
            </w:r>
            <w:proofErr w:type="gramStart"/>
            <w:r>
              <w:rPr>
                <w:szCs w:val="18"/>
              </w:rPr>
              <w:t>e.g.</w:t>
            </w:r>
            <w:proofErr w:type="gramEnd"/>
            <w:r>
              <w:rPr>
                <w:szCs w:val="18"/>
              </w:rPr>
              <w:t xml:space="preserve"> broken glass), </w:t>
            </w:r>
            <w:r w:rsidR="00C22195">
              <w:rPr>
                <w:szCs w:val="18"/>
              </w:rPr>
              <w:t>damage to public property</w:t>
            </w:r>
            <w:r w:rsidR="00BA2EB3">
              <w:rPr>
                <w:szCs w:val="18"/>
              </w:rPr>
              <w:t>, responding to neighbourhood complaints/concerns</w:t>
            </w:r>
            <w:r w:rsidR="00BF6ED2">
              <w:rPr>
                <w:szCs w:val="18"/>
              </w:rPr>
              <w:t>, causal attribution to alcohol</w:t>
            </w:r>
          </w:p>
        </w:tc>
      </w:tr>
      <w:tr w:rsidR="00214274" w14:paraId="50D1454A" w14:textId="77777777">
        <w:tc>
          <w:tcPr>
            <w:tcW w:w="8221" w:type="dxa"/>
            <w:gridSpan w:val="2"/>
          </w:tcPr>
          <w:p w14:paraId="20E37376" w14:textId="6236A0C4" w:rsidR="00214274" w:rsidRPr="00F63292" w:rsidRDefault="00214274" w:rsidP="0025087A">
            <w:pPr>
              <w:pStyle w:val="TSBodyText"/>
            </w:pPr>
            <w:r w:rsidRPr="00F63292">
              <w:t>Private costs (including harms to others borne as private costs)</w:t>
            </w:r>
          </w:p>
        </w:tc>
      </w:tr>
      <w:tr w:rsidR="00606F6B" w14:paraId="2D866B43"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504EE429" w14:textId="61740C2B" w:rsidR="004B7CC1" w:rsidRPr="007711C9" w:rsidRDefault="00D12C23" w:rsidP="0025087A">
            <w:pPr>
              <w:pStyle w:val="TSBodyText"/>
              <w:rPr>
                <w:szCs w:val="18"/>
              </w:rPr>
            </w:pPr>
            <w:r w:rsidRPr="007711C9">
              <w:rPr>
                <w:szCs w:val="18"/>
              </w:rPr>
              <w:t xml:space="preserve">Costs to families and </w:t>
            </w:r>
            <w:r w:rsidR="0053229C">
              <w:rPr>
                <w:szCs w:val="18"/>
              </w:rPr>
              <w:t>whānau</w:t>
            </w:r>
          </w:p>
        </w:tc>
        <w:tc>
          <w:tcPr>
            <w:tcW w:w="4819" w:type="dxa"/>
          </w:tcPr>
          <w:p w14:paraId="7D93E35D" w14:textId="13FEAA92" w:rsidR="004B7CC1" w:rsidRPr="0076296C" w:rsidRDefault="00DF5CFF" w:rsidP="0025087A">
            <w:pPr>
              <w:pStyle w:val="TSBodyText"/>
              <w:rPr>
                <w:szCs w:val="18"/>
              </w:rPr>
            </w:pPr>
            <w:r>
              <w:rPr>
                <w:szCs w:val="18"/>
              </w:rPr>
              <w:t>B</w:t>
            </w:r>
            <w:r w:rsidR="007711C9">
              <w:rPr>
                <w:szCs w:val="18"/>
              </w:rPr>
              <w:t xml:space="preserve">urden on families and </w:t>
            </w:r>
            <w:r w:rsidR="0053229C">
              <w:rPr>
                <w:szCs w:val="18"/>
              </w:rPr>
              <w:t>whānau</w:t>
            </w:r>
            <w:r w:rsidR="007711C9">
              <w:rPr>
                <w:szCs w:val="18"/>
              </w:rPr>
              <w:t xml:space="preserve"> from dealing with alcohol use disorder or other alcohol harms</w:t>
            </w:r>
            <w:r w:rsidR="00ED0B13">
              <w:rPr>
                <w:szCs w:val="18"/>
              </w:rPr>
              <w:t xml:space="preserve"> (</w:t>
            </w:r>
            <w:proofErr w:type="gramStart"/>
            <w:r w:rsidR="00ED0B13">
              <w:rPr>
                <w:szCs w:val="18"/>
              </w:rPr>
              <w:t>e.g.</w:t>
            </w:r>
            <w:proofErr w:type="gramEnd"/>
            <w:r w:rsidR="00ED0B13">
              <w:rPr>
                <w:szCs w:val="18"/>
              </w:rPr>
              <w:t xml:space="preserve"> IPV, child maltreatment, mental illness, </w:t>
            </w:r>
            <w:r w:rsidR="00E913E5">
              <w:rPr>
                <w:szCs w:val="18"/>
              </w:rPr>
              <w:t>suicide risk, unemployment, incarceration, FASD, etc)</w:t>
            </w:r>
            <w:r w:rsidR="007711C9">
              <w:rPr>
                <w:szCs w:val="18"/>
              </w:rPr>
              <w:t xml:space="preserve"> within the family/</w:t>
            </w:r>
            <w:r w:rsidR="0053229C">
              <w:rPr>
                <w:szCs w:val="18"/>
              </w:rPr>
              <w:t>whānau</w:t>
            </w:r>
            <w:r w:rsidR="00060EBA">
              <w:rPr>
                <w:szCs w:val="18"/>
              </w:rPr>
              <w:t xml:space="preserve">, </w:t>
            </w:r>
            <w:r w:rsidR="00FE53B0">
              <w:rPr>
                <w:szCs w:val="18"/>
              </w:rPr>
              <w:t xml:space="preserve">including cultural response, </w:t>
            </w:r>
            <w:r w:rsidR="00060EBA">
              <w:rPr>
                <w:szCs w:val="18"/>
              </w:rPr>
              <w:t>causal attribution to alcohol</w:t>
            </w:r>
          </w:p>
        </w:tc>
      </w:tr>
      <w:tr w:rsidR="007670F4" w14:paraId="0335DC4E" w14:textId="77777777" w:rsidTr="001F3863">
        <w:tc>
          <w:tcPr>
            <w:tcW w:w="3402" w:type="dxa"/>
          </w:tcPr>
          <w:p w14:paraId="49902849" w14:textId="73F84EA7" w:rsidR="007670F4" w:rsidRDefault="007670F4" w:rsidP="0025087A">
            <w:pPr>
              <w:pStyle w:val="TSBodyText"/>
              <w:rPr>
                <w:szCs w:val="18"/>
              </w:rPr>
            </w:pPr>
            <w:r>
              <w:rPr>
                <w:szCs w:val="18"/>
              </w:rPr>
              <w:t>Direct</w:t>
            </w:r>
            <w:r w:rsidRPr="0076296C">
              <w:rPr>
                <w:szCs w:val="18"/>
              </w:rPr>
              <w:t xml:space="preserve"> impacts on children and other household members of </w:t>
            </w:r>
            <w:r w:rsidR="00606F6B">
              <w:rPr>
                <w:szCs w:val="18"/>
              </w:rPr>
              <w:t>alcohol consumption</w:t>
            </w:r>
            <w:r w:rsidRPr="0076296C">
              <w:rPr>
                <w:szCs w:val="18"/>
              </w:rPr>
              <w:t xml:space="preserve"> </w:t>
            </w:r>
          </w:p>
        </w:tc>
        <w:tc>
          <w:tcPr>
            <w:tcW w:w="4819" w:type="dxa"/>
          </w:tcPr>
          <w:p w14:paraId="3A665774" w14:textId="768ACE9E" w:rsidR="007670F4" w:rsidRDefault="007670F4" w:rsidP="0025087A">
            <w:pPr>
              <w:pStyle w:val="TSBodyText"/>
              <w:rPr>
                <w:szCs w:val="18"/>
              </w:rPr>
            </w:pPr>
            <w:r w:rsidRPr="0076296C">
              <w:rPr>
                <w:szCs w:val="18"/>
              </w:rPr>
              <w:t xml:space="preserve">Scale, </w:t>
            </w:r>
            <w:r w:rsidR="00606F6B">
              <w:rPr>
                <w:szCs w:val="18"/>
              </w:rPr>
              <w:t>nature of harms and private costs</w:t>
            </w:r>
            <w:r w:rsidRPr="0076296C">
              <w:rPr>
                <w:szCs w:val="18"/>
              </w:rPr>
              <w:t>, causal attribution</w:t>
            </w:r>
            <w:r>
              <w:rPr>
                <w:szCs w:val="18"/>
              </w:rPr>
              <w:t xml:space="preserve"> to alcohol </w:t>
            </w:r>
            <w:r w:rsidRPr="00E151AB">
              <w:rPr>
                <w:szCs w:val="18"/>
              </w:rPr>
              <w:t>(</w:t>
            </w:r>
            <w:proofErr w:type="gramStart"/>
            <w:r w:rsidR="00BD19A2" w:rsidRPr="00E151AB">
              <w:rPr>
                <w:szCs w:val="18"/>
              </w:rPr>
              <w:t>e.g.</w:t>
            </w:r>
            <w:proofErr w:type="gramEnd"/>
            <w:r w:rsidRPr="00E151AB">
              <w:rPr>
                <w:szCs w:val="18"/>
              </w:rPr>
              <w:t xml:space="preserve"> financial hardship, wellbeing, mental health, educational attainment, future productivity, increased risk of substance abuse, etc</w:t>
            </w:r>
            <w:r w:rsidR="007925EA">
              <w:rPr>
                <w:szCs w:val="18"/>
              </w:rPr>
              <w:t>.</w:t>
            </w:r>
            <w:r w:rsidRPr="00E151AB">
              <w:rPr>
                <w:szCs w:val="18"/>
              </w:rPr>
              <w:t>)</w:t>
            </w:r>
          </w:p>
        </w:tc>
      </w:tr>
      <w:tr w:rsidR="007670F4" w14:paraId="100F45A8"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5B0763DB" w14:textId="7B53394E" w:rsidR="007670F4" w:rsidRDefault="004D2CE8" w:rsidP="0025087A">
            <w:pPr>
              <w:pStyle w:val="TSBodyText"/>
              <w:rPr>
                <w:szCs w:val="18"/>
              </w:rPr>
            </w:pPr>
            <w:r>
              <w:rPr>
                <w:szCs w:val="18"/>
              </w:rPr>
              <w:t>Unemployment or underemployment resulting from alcohol consumption</w:t>
            </w:r>
          </w:p>
        </w:tc>
        <w:tc>
          <w:tcPr>
            <w:tcW w:w="4819" w:type="dxa"/>
          </w:tcPr>
          <w:p w14:paraId="458EBDAC" w14:textId="189E6D3C" w:rsidR="007670F4" w:rsidRDefault="004D2CE8" w:rsidP="0025087A">
            <w:pPr>
              <w:pStyle w:val="TSBodyText"/>
              <w:rPr>
                <w:szCs w:val="18"/>
              </w:rPr>
            </w:pPr>
            <w:r>
              <w:rPr>
                <w:szCs w:val="18"/>
              </w:rPr>
              <w:t xml:space="preserve">Scale of harms, </w:t>
            </w:r>
            <w:r w:rsidR="00E84E9E">
              <w:rPr>
                <w:szCs w:val="18"/>
              </w:rPr>
              <w:t>value of lost production</w:t>
            </w:r>
            <w:r w:rsidR="00E97C45">
              <w:rPr>
                <w:szCs w:val="18"/>
              </w:rPr>
              <w:t>, causal attribution to alcohol</w:t>
            </w:r>
          </w:p>
        </w:tc>
      </w:tr>
      <w:tr w:rsidR="007670F4" w14:paraId="34C7C21A" w14:textId="77777777" w:rsidTr="001F3863">
        <w:tc>
          <w:tcPr>
            <w:tcW w:w="3402" w:type="dxa"/>
          </w:tcPr>
          <w:p w14:paraId="18CDA237" w14:textId="562D64F7" w:rsidR="004B7CC1" w:rsidRPr="0076296C" w:rsidRDefault="00E913E5" w:rsidP="0025087A">
            <w:pPr>
              <w:pStyle w:val="TSBodyText"/>
              <w:rPr>
                <w:szCs w:val="18"/>
              </w:rPr>
            </w:pPr>
            <w:r>
              <w:rPr>
                <w:szCs w:val="18"/>
              </w:rPr>
              <w:lastRenderedPageBreak/>
              <w:t>Insurance costs</w:t>
            </w:r>
          </w:p>
        </w:tc>
        <w:tc>
          <w:tcPr>
            <w:tcW w:w="4819" w:type="dxa"/>
          </w:tcPr>
          <w:p w14:paraId="23D4C64A" w14:textId="30929C6E" w:rsidR="004B7CC1" w:rsidRPr="0076296C" w:rsidRDefault="00E913E5" w:rsidP="0025087A">
            <w:pPr>
              <w:pStyle w:val="TSBodyText"/>
              <w:rPr>
                <w:szCs w:val="18"/>
              </w:rPr>
            </w:pPr>
            <w:r>
              <w:rPr>
                <w:szCs w:val="18"/>
              </w:rPr>
              <w:t>Increased costs of insurance – vehicles, property (including households and businesses</w:t>
            </w:r>
            <w:r w:rsidR="00DF5CFF">
              <w:rPr>
                <w:szCs w:val="18"/>
              </w:rPr>
              <w:t>) as a result of alcohol-attributable property damage</w:t>
            </w:r>
            <w:r w:rsidR="00E97C45">
              <w:rPr>
                <w:szCs w:val="18"/>
              </w:rPr>
              <w:t>, causal attribution to alcohol</w:t>
            </w:r>
          </w:p>
        </w:tc>
      </w:tr>
      <w:tr w:rsidR="007670F4" w14:paraId="56B06FD5"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6E6E2247" w14:textId="5FDE484F" w:rsidR="004B7CC1" w:rsidRPr="0076296C" w:rsidRDefault="00DF5CFF" w:rsidP="0025087A">
            <w:pPr>
              <w:pStyle w:val="TSBodyText"/>
              <w:rPr>
                <w:szCs w:val="18"/>
              </w:rPr>
            </w:pPr>
            <w:r>
              <w:rPr>
                <w:szCs w:val="18"/>
              </w:rPr>
              <w:t>Security costs</w:t>
            </w:r>
          </w:p>
        </w:tc>
        <w:tc>
          <w:tcPr>
            <w:tcW w:w="4819" w:type="dxa"/>
          </w:tcPr>
          <w:p w14:paraId="1225FEE6" w14:textId="74A9AC2C" w:rsidR="004B7CC1" w:rsidRPr="0076296C" w:rsidRDefault="00DF5CFF" w:rsidP="0025087A">
            <w:pPr>
              <w:pStyle w:val="TSBodyText"/>
              <w:rPr>
                <w:szCs w:val="18"/>
              </w:rPr>
            </w:pPr>
            <w:r>
              <w:rPr>
                <w:szCs w:val="18"/>
              </w:rPr>
              <w:t>Increased costs of security</w:t>
            </w:r>
            <w:r w:rsidR="00641F92">
              <w:rPr>
                <w:szCs w:val="18"/>
              </w:rPr>
              <w:t xml:space="preserve"> as a result of alcohol-attributable crime (households and businesses)</w:t>
            </w:r>
          </w:p>
        </w:tc>
      </w:tr>
      <w:tr w:rsidR="007670F4" w:rsidRPr="001D5B6D" w14:paraId="6B893AF6" w14:textId="77777777" w:rsidTr="001F3863">
        <w:tc>
          <w:tcPr>
            <w:tcW w:w="3402" w:type="dxa"/>
          </w:tcPr>
          <w:p w14:paraId="47D6AF05" w14:textId="3759C161" w:rsidR="004B7CC1" w:rsidRPr="0003372B" w:rsidRDefault="001B7EE1" w:rsidP="0025087A">
            <w:pPr>
              <w:pStyle w:val="TSBodyText"/>
              <w:rPr>
                <w:szCs w:val="18"/>
              </w:rPr>
            </w:pPr>
            <w:r>
              <w:rPr>
                <w:szCs w:val="18"/>
              </w:rPr>
              <w:t xml:space="preserve">Private health care costs </w:t>
            </w:r>
            <w:r w:rsidR="004B7CC1" w:rsidRPr="0003372B">
              <w:rPr>
                <w:szCs w:val="18"/>
              </w:rPr>
              <w:t>experienced as a result of someone else’s drinking</w:t>
            </w:r>
          </w:p>
        </w:tc>
        <w:tc>
          <w:tcPr>
            <w:tcW w:w="4819" w:type="dxa"/>
          </w:tcPr>
          <w:p w14:paraId="12052C82" w14:textId="75C4993A" w:rsidR="004B7CC1" w:rsidRPr="001D5B6D" w:rsidRDefault="004B7CC1" w:rsidP="0025087A">
            <w:pPr>
              <w:pStyle w:val="TSBodyText"/>
              <w:rPr>
                <w:szCs w:val="18"/>
              </w:rPr>
            </w:pPr>
            <w:r>
              <w:rPr>
                <w:szCs w:val="18"/>
              </w:rPr>
              <w:t>Scale</w:t>
            </w:r>
            <w:r w:rsidR="009353B8">
              <w:rPr>
                <w:szCs w:val="18"/>
              </w:rPr>
              <w:t xml:space="preserve"> of harms</w:t>
            </w:r>
            <w:r w:rsidR="001B7EE1">
              <w:rPr>
                <w:szCs w:val="18"/>
              </w:rPr>
              <w:t xml:space="preserve"> (</w:t>
            </w:r>
            <w:proofErr w:type="gramStart"/>
            <w:r w:rsidR="00BD19A2">
              <w:rPr>
                <w:szCs w:val="18"/>
              </w:rPr>
              <w:t>e.g.</w:t>
            </w:r>
            <w:proofErr w:type="gramEnd"/>
            <w:r w:rsidR="001B7EE1">
              <w:rPr>
                <w:szCs w:val="18"/>
              </w:rPr>
              <w:t xml:space="preserve"> injuries, mental health)</w:t>
            </w:r>
            <w:r>
              <w:rPr>
                <w:szCs w:val="18"/>
              </w:rPr>
              <w:t xml:space="preserve">, </w:t>
            </w:r>
            <w:r w:rsidR="009353B8">
              <w:rPr>
                <w:szCs w:val="18"/>
              </w:rPr>
              <w:t>private cost</w:t>
            </w:r>
            <w:r>
              <w:rPr>
                <w:szCs w:val="18"/>
              </w:rPr>
              <w:t>, causal attribution to alcohol</w:t>
            </w:r>
          </w:p>
        </w:tc>
      </w:tr>
      <w:tr w:rsidR="007670F4" w:rsidRPr="001D5B6D" w14:paraId="07468CFE"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0AA7D101" w14:textId="77777777" w:rsidR="004B7CC1" w:rsidRPr="00951774" w:rsidRDefault="004B7CC1" w:rsidP="0025087A">
            <w:pPr>
              <w:pStyle w:val="TSBodyText"/>
              <w:rPr>
                <w:szCs w:val="18"/>
              </w:rPr>
            </w:pPr>
            <w:r w:rsidRPr="0076296C">
              <w:rPr>
                <w:szCs w:val="18"/>
              </w:rPr>
              <w:t>Non-productivity impacts of FASD on people with FASD (</w:t>
            </w:r>
            <w:proofErr w:type="gramStart"/>
            <w:r w:rsidRPr="0076296C">
              <w:rPr>
                <w:szCs w:val="18"/>
              </w:rPr>
              <w:t>e.g.</w:t>
            </w:r>
            <w:proofErr w:type="gramEnd"/>
            <w:r w:rsidRPr="0076296C">
              <w:rPr>
                <w:szCs w:val="18"/>
              </w:rPr>
              <w:t xml:space="preserve"> wellbeing)</w:t>
            </w:r>
          </w:p>
        </w:tc>
        <w:tc>
          <w:tcPr>
            <w:tcW w:w="4819" w:type="dxa"/>
          </w:tcPr>
          <w:p w14:paraId="6309BA8D" w14:textId="3E32EB7F" w:rsidR="004B7CC1" w:rsidRPr="001D5B6D" w:rsidRDefault="004B7CC1" w:rsidP="0025087A">
            <w:pPr>
              <w:pStyle w:val="TSBodyText"/>
              <w:rPr>
                <w:szCs w:val="18"/>
              </w:rPr>
            </w:pPr>
            <w:r w:rsidRPr="0076296C">
              <w:rPr>
                <w:szCs w:val="18"/>
              </w:rPr>
              <w:t>Scale</w:t>
            </w:r>
            <w:r w:rsidR="009353B8">
              <w:rPr>
                <w:szCs w:val="18"/>
              </w:rPr>
              <w:t xml:space="preserve"> of harms</w:t>
            </w:r>
            <w:r w:rsidRPr="0076296C">
              <w:rPr>
                <w:szCs w:val="18"/>
              </w:rPr>
              <w:t>, private costs</w:t>
            </w:r>
            <w:r>
              <w:rPr>
                <w:szCs w:val="18"/>
              </w:rPr>
              <w:t xml:space="preserve">, </w:t>
            </w:r>
            <w:r w:rsidR="009A4833">
              <w:rPr>
                <w:szCs w:val="18"/>
              </w:rPr>
              <w:t>causal attribution to FASD</w:t>
            </w:r>
          </w:p>
        </w:tc>
      </w:tr>
      <w:tr w:rsidR="007670F4" w:rsidRPr="001D5B6D" w14:paraId="428F0EA7" w14:textId="77777777" w:rsidTr="001F3863">
        <w:tc>
          <w:tcPr>
            <w:tcW w:w="3402" w:type="dxa"/>
          </w:tcPr>
          <w:p w14:paraId="170E1165" w14:textId="77777777" w:rsidR="004B7CC1" w:rsidRPr="00951774" w:rsidRDefault="004B7CC1" w:rsidP="0025087A">
            <w:pPr>
              <w:pStyle w:val="TSBodyText"/>
              <w:rPr>
                <w:szCs w:val="18"/>
              </w:rPr>
            </w:pPr>
            <w:r w:rsidRPr="0076296C">
              <w:rPr>
                <w:szCs w:val="18"/>
              </w:rPr>
              <w:t>Impacts of FASD on families and caregivers of people with FASD</w:t>
            </w:r>
          </w:p>
        </w:tc>
        <w:tc>
          <w:tcPr>
            <w:tcW w:w="4819" w:type="dxa"/>
          </w:tcPr>
          <w:p w14:paraId="11BE09EA" w14:textId="613DC431" w:rsidR="004B7CC1" w:rsidRPr="001D5B6D" w:rsidRDefault="004B7CC1" w:rsidP="0025087A">
            <w:pPr>
              <w:pStyle w:val="TSBodyText"/>
              <w:rPr>
                <w:szCs w:val="18"/>
              </w:rPr>
            </w:pPr>
            <w:r w:rsidRPr="0076296C">
              <w:rPr>
                <w:szCs w:val="18"/>
              </w:rPr>
              <w:t>Scale, private costs</w:t>
            </w:r>
            <w:r w:rsidR="00BF6ED2">
              <w:rPr>
                <w:szCs w:val="18"/>
              </w:rPr>
              <w:t xml:space="preserve"> of caring for a person with FASD</w:t>
            </w:r>
            <w:r>
              <w:rPr>
                <w:szCs w:val="18"/>
              </w:rPr>
              <w:t>, causal attribution to FASD</w:t>
            </w:r>
          </w:p>
        </w:tc>
      </w:tr>
      <w:tr w:rsidR="009A4833" w:rsidRPr="001D5B6D" w14:paraId="563555D5" w14:textId="77777777" w:rsidTr="001F3863">
        <w:trPr>
          <w:cnfStyle w:val="000000010000" w:firstRow="0" w:lastRow="0" w:firstColumn="0" w:lastColumn="0" w:oddVBand="0" w:evenVBand="0" w:oddHBand="0" w:evenHBand="1" w:firstRowFirstColumn="0" w:firstRowLastColumn="0" w:lastRowFirstColumn="0" w:lastRowLastColumn="0"/>
        </w:trPr>
        <w:tc>
          <w:tcPr>
            <w:tcW w:w="3402" w:type="dxa"/>
          </w:tcPr>
          <w:p w14:paraId="2844F3BA" w14:textId="0518B762" w:rsidR="009A4833" w:rsidRPr="00F63292" w:rsidRDefault="009A4833" w:rsidP="0025087A">
            <w:pPr>
              <w:pStyle w:val="TSBodyText"/>
            </w:pPr>
            <w:r w:rsidRPr="00F63292">
              <w:t>Intergenerational harms</w:t>
            </w:r>
          </w:p>
        </w:tc>
        <w:tc>
          <w:tcPr>
            <w:tcW w:w="4819" w:type="dxa"/>
          </w:tcPr>
          <w:p w14:paraId="7846FBC3" w14:textId="203FCF05" w:rsidR="009A4833" w:rsidRDefault="009A4833" w:rsidP="0025087A">
            <w:pPr>
              <w:pStyle w:val="TSBodyText"/>
              <w:rPr>
                <w:szCs w:val="18"/>
              </w:rPr>
            </w:pPr>
            <w:r>
              <w:rPr>
                <w:szCs w:val="18"/>
              </w:rPr>
              <w:t>Nature and scale of harms, private costs, causal attribution to alcohol</w:t>
            </w:r>
          </w:p>
        </w:tc>
      </w:tr>
    </w:tbl>
    <w:p w14:paraId="4C5E8086" w14:textId="77777777" w:rsidR="00472945" w:rsidRDefault="007D32D8" w:rsidP="0025087A">
      <w:pPr>
        <w:pStyle w:val="USNote"/>
      </w:pPr>
      <w:r w:rsidRPr="001D5B6D">
        <w:t xml:space="preserve">*Some studies </w:t>
      </w:r>
      <w:r>
        <w:t>define alcohol harms to include education and prevention efforts</w:t>
      </w:r>
      <w:r w:rsidRPr="001D5B6D">
        <w:t>.</w:t>
      </w:r>
      <w:r>
        <w:t xml:space="preserve"> </w:t>
      </w:r>
    </w:p>
    <w:p w14:paraId="79AECE55" w14:textId="1F1FA0F3" w:rsidR="00697D55" w:rsidRDefault="00697D55" w:rsidP="00697D55">
      <w:pPr>
        <w:pStyle w:val="USSource"/>
      </w:pPr>
      <w:r>
        <w:t>Source: NZIER</w:t>
      </w:r>
    </w:p>
    <w:p w14:paraId="78E937AE" w14:textId="77777777" w:rsidR="00697D55" w:rsidRPr="00472945" w:rsidRDefault="00697D55" w:rsidP="00DC2888">
      <w:pPr>
        <w:pStyle w:val="USSource"/>
      </w:pPr>
    </w:p>
    <w:sectPr w:rsidR="00697D55" w:rsidRPr="00472945" w:rsidSect="002E60DC">
      <w:headerReference w:type="even" r:id="rId45"/>
      <w:headerReference w:type="default" r:id="rId46"/>
      <w:footerReference w:type="default" r:id="rId47"/>
      <w:headerReference w:type="first" r:id="rId48"/>
      <w:pgSz w:w="11907" w:h="16839" w:code="9"/>
      <w:pgMar w:top="1701" w:right="1418" w:bottom="1418" w:left="1418"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1CA79" w14:textId="77777777" w:rsidR="00CF032A" w:rsidRPr="007F1F96" w:rsidRDefault="00CF032A" w:rsidP="00776D39">
      <w:pPr>
        <w:spacing w:after="0" w:line="240" w:lineRule="auto"/>
      </w:pPr>
      <w:r w:rsidRPr="007F1F96">
        <w:separator/>
      </w:r>
    </w:p>
  </w:endnote>
  <w:endnote w:type="continuationSeparator" w:id="0">
    <w:p w14:paraId="03643D87" w14:textId="77777777" w:rsidR="00CF032A" w:rsidRPr="007F1F96" w:rsidRDefault="00CF032A" w:rsidP="00776D39">
      <w:pPr>
        <w:spacing w:after="0" w:line="240" w:lineRule="auto"/>
      </w:pPr>
      <w:r w:rsidRPr="007F1F96">
        <w:continuationSeparator/>
      </w:r>
    </w:p>
  </w:endnote>
  <w:endnote w:type="continuationNotice" w:id="1">
    <w:p w14:paraId="065084B1" w14:textId="77777777" w:rsidR="00CF032A" w:rsidRDefault="00CF03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53A2" w14:textId="77777777" w:rsidR="00DA670E" w:rsidRDefault="00DA670E">
    <w:pPr>
      <w:pStyle w:val="Footer"/>
    </w:pPr>
    <w:r>
      <w:rPr>
        <w:noProof/>
      </w:rPr>
      <w:drawing>
        <wp:anchor distT="0" distB="0" distL="114300" distR="114300" simplePos="0" relativeHeight="251658240" behindDoc="0" locked="0" layoutInCell="1" allowOverlap="0" wp14:anchorId="68BC461F" wp14:editId="4BBD9B29">
          <wp:simplePos x="0" y="0"/>
          <wp:positionH relativeFrom="margin">
            <wp:posOffset>5517515</wp:posOffset>
          </wp:positionH>
          <wp:positionV relativeFrom="paragraph">
            <wp:posOffset>-50800</wp:posOffset>
          </wp:positionV>
          <wp:extent cx="468000" cy="428400"/>
          <wp:effectExtent l="0" t="0" r="8255" b="0"/>
          <wp:wrapNone/>
          <wp:docPr id="145450159" name="Picture 145450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0159" name="Picture 145450159">
                    <a:extLst>
                      <a:ext uri="{C183D7F6-B498-43B3-948B-1728B52AA6E4}">
                        <adec:decorative xmlns:adec="http://schemas.microsoft.com/office/drawing/2017/decorative" val="1"/>
                      </a:ext>
                    </a:extLst>
                  </pic:cNvPr>
                  <pic:cNvPicPr/>
                </pic:nvPicPr>
                <pic:blipFill rotWithShape="1">
                  <a:blip r:embed="rId1"/>
                  <a:srcRect l="1984" t="1720" r="57833" b="2406"/>
                  <a:stretch/>
                </pic:blipFill>
                <pic:spPr bwMode="auto">
                  <a:xfrm>
                    <a:off x="0" y="0"/>
                    <a:ext cx="468000" cy="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06C25974" w14:textId="77777777" w:rsidR="00DA670E" w:rsidRDefault="00DA67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8BF0" w14:textId="77777777" w:rsidR="00DA670E" w:rsidRDefault="00DA670E" w:rsidP="003F1668">
    <w:pPr>
      <w:pStyle w:val="Footer"/>
    </w:pPr>
  </w:p>
  <w:p w14:paraId="30842A1D" w14:textId="77777777" w:rsidR="00DA670E" w:rsidRPr="00C84B04" w:rsidRDefault="00DA670E" w:rsidP="00FC1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BF60" w14:textId="77777777" w:rsidR="002F1B36" w:rsidRDefault="002F1B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C4B8" w14:textId="1982F5C7" w:rsidR="00DA670E" w:rsidRDefault="00DA670E" w:rsidP="00881555">
    <w:pPr>
      <w:pStyle w:val="USSingleSpacedParagraph"/>
      <w:spacing w:after="120"/>
    </w:pPr>
  </w:p>
  <w:p w14:paraId="231898D1" w14:textId="52674B7F" w:rsidR="00DA670E" w:rsidRDefault="00476EE5" w:rsidP="00881555">
    <w:pPr>
      <w:pStyle w:val="FooterInsidecover"/>
    </w:pPr>
    <w:r>
      <w:t xml:space="preserve">Registered office: </w:t>
    </w:r>
    <w:r w:rsidR="00DA670E">
      <w:t xml:space="preserve">Level 13, </w:t>
    </w:r>
    <w:r w:rsidR="008D12B3">
      <w:t>Public Trust Tower</w:t>
    </w:r>
    <w:r w:rsidR="00F337D4">
      <w:t xml:space="preserve">, </w:t>
    </w:r>
    <w:r w:rsidR="00DA670E">
      <w:t xml:space="preserve">22–28 </w:t>
    </w:r>
    <w:proofErr w:type="spellStart"/>
    <w:r w:rsidR="00DA670E">
      <w:t>Willeston</w:t>
    </w:r>
    <w:proofErr w:type="spellEnd"/>
    <w:r w:rsidR="00DA670E">
      <w:t xml:space="preserve"> St | PO Box 3479, Wellington 6140</w:t>
    </w:r>
  </w:p>
  <w:p w14:paraId="44AB2D51" w14:textId="0BC41D62" w:rsidR="00F337D4" w:rsidRDefault="00F337D4" w:rsidP="00881555">
    <w:pPr>
      <w:pStyle w:val="FooterInsidecover"/>
    </w:pPr>
    <w:r>
      <w:t xml:space="preserve">Auckland office: </w:t>
    </w:r>
    <w:r w:rsidR="002F1B36">
      <w:t>Level 4</w:t>
    </w:r>
    <w:r>
      <w:t>, 70 Shortland St, Auckland</w:t>
    </w:r>
  </w:p>
  <w:p w14:paraId="01AB58D4" w14:textId="7E4AF581" w:rsidR="00DA670E" w:rsidRDefault="00DA670E" w:rsidP="00881555">
    <w:pPr>
      <w:pStyle w:val="FooterInsidecover"/>
    </w:pPr>
    <w:r>
      <w:t xml:space="preserve">Tel </w:t>
    </w:r>
    <w:r w:rsidR="001A4E54">
      <w:t xml:space="preserve">0800 220 090 or </w:t>
    </w:r>
    <w:r>
      <w:t xml:space="preserve">+64 4 472 </w:t>
    </w:r>
    <w:r w:rsidRPr="00DE7FA6">
      <w:t xml:space="preserve">1880 | </w:t>
    </w:r>
    <w:hyperlink r:id="rId1" w:history="1">
      <w:r w:rsidRPr="00DE7FA6">
        <w:t>econ@nzier.org.nz</w:t>
      </w:r>
    </w:hyperlink>
    <w:r w:rsidR="00F337D4" w:rsidRPr="00DE7FA6">
      <w:t xml:space="preserve"> | </w:t>
    </w:r>
    <w:hyperlink r:id="rId2" w:history="1">
      <w:r w:rsidR="00F337D4" w:rsidRPr="00DE7FA6">
        <w:t>www.nzier.org.nz</w:t>
      </w:r>
    </w:hyperlink>
    <w:r w:rsidR="00F337D4">
      <w:t xml:space="preserve"> </w:t>
    </w:r>
  </w:p>
  <w:p w14:paraId="257B7AC2" w14:textId="77777777" w:rsidR="00DA670E" w:rsidRDefault="00DA670E" w:rsidP="00881555">
    <w:pPr>
      <w:pStyle w:val="FooterInsidecover"/>
    </w:pPr>
  </w:p>
  <w:p w14:paraId="0D2131BC" w14:textId="67F71D2E" w:rsidR="00DA670E" w:rsidRDefault="00DA670E" w:rsidP="00881555">
    <w:pPr>
      <w:pStyle w:val="FooterInsidecover"/>
    </w:pPr>
    <w:r>
      <w:t xml:space="preserve">© NZ Institute of Economic Research (Inc). </w:t>
    </w:r>
  </w:p>
  <w:p w14:paraId="4D7DA7D4" w14:textId="77777777" w:rsidR="00DA670E" w:rsidRDefault="00DA670E" w:rsidP="00881555">
    <w:pPr>
      <w:pStyle w:val="FooterInsidecover"/>
    </w:pPr>
    <w:r>
      <w:t xml:space="preserve">NZIER’s standard terms of engagement for contract research can </w:t>
    </w:r>
    <w:r w:rsidRPr="00DE7FA6">
      <w:t xml:space="preserve">be found at </w:t>
    </w:r>
    <w:hyperlink r:id="rId3" w:history="1">
      <w:r w:rsidRPr="00DE7FA6">
        <w:t>www.nzier.org.nz</w:t>
      </w:r>
    </w:hyperlink>
    <w:r w:rsidRPr="00DE7FA6">
      <w:t>.</w:t>
    </w:r>
  </w:p>
  <w:p w14:paraId="689C4223" w14:textId="77777777" w:rsidR="00DA670E" w:rsidRDefault="00DA670E" w:rsidP="00881555">
    <w:pPr>
      <w:pStyle w:val="FooterInsidecover"/>
    </w:pPr>
  </w:p>
  <w:p w14:paraId="4DA2158D" w14:textId="21B960E3" w:rsidR="00DA670E" w:rsidRDefault="00F337D4" w:rsidP="00881555">
    <w:pPr>
      <w:pStyle w:val="FooterInsidecover"/>
    </w:pPr>
    <w:r>
      <w:rPr>
        <w:snapToGrid w:val="0"/>
        <w:sz w:val="15"/>
        <w:szCs w:val="15"/>
        <w:lang w:val="en-GB"/>
      </w:rPr>
      <w:t>While NZIER will use all reasonable endeavours in undertaking contract research and producing reports to ensure the information is as accurate as practicable, the Institute, its contributors, employees, and Board shall not be liable (whether in contract, tort (including negligence), equity or on any other basis) for any loss or damage sustained by any person relying on such work whatever the cause of such loss or damage.</w:t>
    </w:r>
  </w:p>
  <w:p w14:paraId="5E219E15" w14:textId="77777777" w:rsidR="00DA670E" w:rsidRPr="00C84B04" w:rsidRDefault="00DA670E" w:rsidP="00183CB7">
    <w:pPr>
      <w:pStyle w:val="Footer"/>
    </w:pPr>
    <w:r w:rsidRPr="00C84B04">
      <w:rPr>
        <w:noProof/>
      </w:rPr>
      <w:drawing>
        <wp:anchor distT="0" distB="0" distL="114300" distR="114300" simplePos="0" relativeHeight="251658242" behindDoc="1" locked="0" layoutInCell="1" allowOverlap="0" wp14:anchorId="2D522773" wp14:editId="5BBA8F56">
          <wp:simplePos x="0" y="0"/>
          <wp:positionH relativeFrom="rightMargin">
            <wp:posOffset>-180340</wp:posOffset>
          </wp:positionH>
          <wp:positionV relativeFrom="paragraph">
            <wp:posOffset>27940</wp:posOffset>
          </wp:positionV>
          <wp:extent cx="522000" cy="478800"/>
          <wp:effectExtent l="0" t="0" r="0" b="0"/>
          <wp:wrapNone/>
          <wp:docPr id="616371894" name="Picture 616371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71894" name="Picture 616371894">
                    <a:extLst>
                      <a:ext uri="{C183D7F6-B498-43B3-948B-1728B52AA6E4}">
                        <adec:decorative xmlns:adec="http://schemas.microsoft.com/office/drawing/2017/decorative" val="1"/>
                      </a:ext>
                    </a:extLst>
                  </pic:cNvPr>
                  <pic:cNvPicPr/>
                </pic:nvPicPr>
                <pic:blipFill rotWithShape="1">
                  <a:blip r:embed="rId4"/>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DECC" w14:textId="0F05C9CF" w:rsidR="00DA670E" w:rsidRPr="00C84B04" w:rsidRDefault="00DA670E" w:rsidP="00FC1A04">
    <w:pPr>
      <w:pStyle w:val="Footer"/>
    </w:pPr>
    <w:r w:rsidRPr="00C84B04">
      <w:rPr>
        <w:noProof/>
      </w:rPr>
      <w:drawing>
        <wp:anchor distT="0" distB="0" distL="114300" distR="114300" simplePos="0" relativeHeight="251658244" behindDoc="1" locked="0" layoutInCell="1" allowOverlap="0" wp14:anchorId="4133E24E" wp14:editId="1F19C909">
          <wp:simplePos x="0" y="0"/>
          <wp:positionH relativeFrom="rightMargin">
            <wp:posOffset>-180340</wp:posOffset>
          </wp:positionH>
          <wp:positionV relativeFrom="paragraph">
            <wp:posOffset>27940</wp:posOffset>
          </wp:positionV>
          <wp:extent cx="522000" cy="4788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04">
      <w:fldChar w:fldCharType="begin"/>
    </w:r>
    <w:r w:rsidRPr="00C84B04">
      <w:instrText xml:space="preserve"> PAGE   \* MERGEFORMAT </w:instrText>
    </w:r>
    <w:r w:rsidRPr="00C84B04">
      <w:fldChar w:fldCharType="separate"/>
    </w:r>
    <w:r w:rsidRPr="00C84B04">
      <w:t>2</w:t>
    </w:r>
    <w:r w:rsidRPr="00C84B0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F3DE" w14:textId="77777777" w:rsidR="00DA670E" w:rsidRPr="00C84B04" w:rsidRDefault="00DA670E" w:rsidP="00FC1A04">
    <w:pPr>
      <w:pStyle w:val="Footer"/>
    </w:pPr>
    <w:r w:rsidRPr="00C84B04">
      <w:rPr>
        <w:noProof/>
      </w:rPr>
      <w:drawing>
        <wp:anchor distT="0" distB="0" distL="114300" distR="114300" simplePos="0" relativeHeight="251658243" behindDoc="1" locked="0" layoutInCell="1" allowOverlap="0" wp14:anchorId="3330199E" wp14:editId="72420BF3">
          <wp:simplePos x="0" y="0"/>
          <wp:positionH relativeFrom="rightMargin">
            <wp:posOffset>-85090</wp:posOffset>
          </wp:positionH>
          <wp:positionV relativeFrom="paragraph">
            <wp:posOffset>8890</wp:posOffset>
          </wp:positionV>
          <wp:extent cx="522000" cy="4788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04">
      <w:fldChar w:fldCharType="begin"/>
    </w:r>
    <w:r w:rsidRPr="00C84B04">
      <w:instrText xml:space="preserve"> PAGE   \* MERGEFORMAT </w:instrText>
    </w:r>
    <w:r w:rsidRPr="00C84B04">
      <w:fldChar w:fldCharType="separate"/>
    </w:r>
    <w:r w:rsidRPr="00C84B04">
      <w:t>2</w:t>
    </w:r>
    <w:r w:rsidRPr="00C84B0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33C09" w14:textId="77777777" w:rsidR="00CF032A" w:rsidRPr="00246B84" w:rsidRDefault="00CF032A" w:rsidP="00246B84">
      <w:pPr>
        <w:pStyle w:val="Footer"/>
      </w:pPr>
    </w:p>
  </w:footnote>
  <w:footnote w:type="continuationSeparator" w:id="0">
    <w:p w14:paraId="37D768C6" w14:textId="77777777" w:rsidR="00CF032A" w:rsidRPr="00246B84" w:rsidRDefault="00CF032A" w:rsidP="00246B84">
      <w:pPr>
        <w:pStyle w:val="Footer"/>
      </w:pPr>
    </w:p>
  </w:footnote>
  <w:footnote w:type="continuationNotice" w:id="1">
    <w:p w14:paraId="41600EF2" w14:textId="77777777" w:rsidR="00CF032A" w:rsidRPr="00246B84" w:rsidRDefault="00CF032A" w:rsidP="00246B84">
      <w:pPr>
        <w:pStyle w:val="Footer"/>
      </w:pPr>
    </w:p>
  </w:footnote>
  <w:footnote w:id="2">
    <w:p w14:paraId="13B457E7" w14:textId="5F321923" w:rsidR="001D3AC3" w:rsidRDefault="001D3AC3">
      <w:pPr>
        <w:pStyle w:val="FootnoteText"/>
      </w:pPr>
      <w:r w:rsidRPr="00CD19C4">
        <w:rPr>
          <w:rStyle w:val="FootnoteReference"/>
        </w:rPr>
        <w:footnoteRef/>
      </w:r>
      <w:r>
        <w:t xml:space="preserve"> </w:t>
      </w:r>
      <w:r w:rsidR="00AF05F9">
        <w:tab/>
      </w:r>
      <w:r w:rsidR="009D26D7">
        <w:t xml:space="preserve">While </w:t>
      </w:r>
      <w:r w:rsidR="000C4CEB">
        <w:t xml:space="preserve">international </w:t>
      </w:r>
      <w:r w:rsidR="009D26D7">
        <w:t xml:space="preserve">expert opinion is </w:t>
      </w:r>
      <w:r w:rsidR="000C4CEB">
        <w:t>moving towards a consensus that there are no health benefits to alcohol consumption, a</w:t>
      </w:r>
      <w:r w:rsidR="003C78C9">
        <w:t xml:space="preserve"> net costs approach, </w:t>
      </w:r>
      <w:r w:rsidR="000C4CEB">
        <w:t>would still require</w:t>
      </w:r>
      <w:r w:rsidR="003C78C9">
        <w:t xml:space="preserve"> consideration of a wide range of </w:t>
      </w:r>
      <w:r w:rsidR="000C4CEB">
        <w:t xml:space="preserve">other </w:t>
      </w:r>
      <w:r w:rsidR="003C78C9">
        <w:t xml:space="preserve">potential benefits associated with alcohol production, sales and consumption </w:t>
      </w:r>
      <w:r w:rsidR="00355E35">
        <w:t>(</w:t>
      </w:r>
      <w:proofErr w:type="gramStart"/>
      <w:r w:rsidR="00355E35">
        <w:t>e.g.</w:t>
      </w:r>
      <w:proofErr w:type="gramEnd"/>
      <w:r w:rsidR="00355E35">
        <w:t xml:space="preserve"> consumer surplus) </w:t>
      </w:r>
      <w:r w:rsidR="007136B4">
        <w:t>to inform a corrective tax or to answer the question “what is the societal cost of alcohol in New Zealand?”.</w:t>
      </w:r>
    </w:p>
  </w:footnote>
  <w:footnote w:id="3">
    <w:p w14:paraId="0E90E96F" w14:textId="4DA558B8" w:rsidR="003846D3" w:rsidRDefault="003846D3" w:rsidP="003846D3">
      <w:pPr>
        <w:pStyle w:val="FootnoteText"/>
      </w:pPr>
      <w:r w:rsidRPr="00CD19C4">
        <w:rPr>
          <w:rStyle w:val="FootnoteReference"/>
        </w:rPr>
        <w:footnoteRef/>
      </w:r>
      <w:r>
        <w:t xml:space="preserve"> </w:t>
      </w:r>
      <w:r w:rsidR="00343966">
        <w:tab/>
      </w:r>
      <w:r>
        <w:t xml:space="preserve">This research is yet to be externally peer-reviewed and published. It is the product of an international research collaboration using the </w:t>
      </w:r>
      <w:r w:rsidRPr="0088668F">
        <w:t>International Model of Alcohol Harms and Policies (</w:t>
      </w:r>
      <w:proofErr w:type="spellStart"/>
      <w:r w:rsidRPr="0088668F">
        <w:t>InterMAHP</w:t>
      </w:r>
      <w:proofErr w:type="spellEnd"/>
      <w:r w:rsidRPr="0088668F">
        <w:t>)</w:t>
      </w:r>
      <w:r>
        <w:t xml:space="preserve">, </w:t>
      </w:r>
      <w:r w:rsidRPr="0088668F">
        <w:t>an open access alcohol harms and policy scenario model developed by the University of Victoria (Canada). The N</w:t>
      </w:r>
      <w:r>
        <w:t xml:space="preserve">ew </w:t>
      </w:r>
      <w:r w:rsidRPr="0088668F">
        <w:t>Z</w:t>
      </w:r>
      <w:r>
        <w:t>ealand</w:t>
      </w:r>
      <w:r w:rsidRPr="0088668F">
        <w:t xml:space="preserve">-specific AAFs were produced </w:t>
      </w:r>
      <w:r>
        <w:t xml:space="preserve">by New Zealand academics </w:t>
      </w:r>
      <w:r w:rsidRPr="0088668F">
        <w:t xml:space="preserve">in collaboration with the lead model developer at the University of Victoria using </w:t>
      </w:r>
      <w:proofErr w:type="spellStart"/>
      <w:r w:rsidRPr="0088668F">
        <w:t>InterMAHP</w:t>
      </w:r>
      <w:proofErr w:type="spellEnd"/>
      <w:r>
        <w:t>.</w:t>
      </w:r>
      <w:r w:rsidRPr="0088668F">
        <w:t xml:space="preserve"> </w:t>
      </w:r>
    </w:p>
  </w:footnote>
  <w:footnote w:id="4">
    <w:p w14:paraId="5C111E96" w14:textId="30AB286E" w:rsidR="00D24540" w:rsidRDefault="00D24540">
      <w:pPr>
        <w:pStyle w:val="FootnoteText"/>
      </w:pPr>
      <w:r w:rsidRPr="00CD19C4">
        <w:rPr>
          <w:rStyle w:val="FootnoteReference"/>
        </w:rPr>
        <w:footnoteRef/>
      </w:r>
      <w:r>
        <w:t xml:space="preserve"> </w:t>
      </w:r>
      <w:r w:rsidR="00ED4A77">
        <w:tab/>
      </w:r>
      <w:r>
        <w:t>As noted by the Law Commission</w:t>
      </w:r>
      <w:r w:rsidR="00392780">
        <w:t xml:space="preserve"> </w:t>
      </w:r>
      <w:r w:rsidRPr="00D24540">
        <w:t>(2010)</w:t>
      </w:r>
      <w:r w:rsidR="00392780">
        <w:t xml:space="preserve"> and others.</w:t>
      </w:r>
    </w:p>
  </w:footnote>
  <w:footnote w:id="5">
    <w:p w14:paraId="11A10EB0" w14:textId="313AD2B6" w:rsidR="00BD0616" w:rsidRDefault="00BD0616" w:rsidP="00BD0616">
      <w:pPr>
        <w:pStyle w:val="FootnoteText"/>
      </w:pPr>
      <w:r w:rsidRPr="00CD19C4">
        <w:rPr>
          <w:rStyle w:val="FootnoteReference"/>
        </w:rPr>
        <w:footnoteRef/>
      </w:r>
      <w:r>
        <w:t xml:space="preserve"> </w:t>
      </w:r>
      <w:r w:rsidR="00C45743">
        <w:tab/>
      </w:r>
      <w:r>
        <w:t>Research on alcohol</w:t>
      </w:r>
      <w:r w:rsidR="0025087A">
        <w:t>-</w:t>
      </w:r>
      <w:r>
        <w:t>attributable fractions of health conditions, including those that are causes of death, describes the attributable fractions for Māori and non-Māori, the latter including many non-European ethnicities, such as Pacific, Indian and other Asian ethnicities. Consequently, more granular data on alcohol-attributable mortality is not currently available.</w:t>
      </w:r>
    </w:p>
  </w:footnote>
  <w:footnote w:id="6">
    <w:p w14:paraId="6ABD37CC" w14:textId="77777777" w:rsidR="00BD0616" w:rsidRDefault="00BD0616" w:rsidP="00BD0616">
      <w:pPr>
        <w:pStyle w:val="FootnoteText"/>
      </w:pPr>
      <w:r w:rsidRPr="00CD19C4">
        <w:rPr>
          <w:rStyle w:val="FootnoteReference"/>
        </w:rPr>
        <w:footnoteRef/>
      </w:r>
      <w:r>
        <w:t xml:space="preserve"> </w:t>
      </w:r>
      <w:r>
        <w:tab/>
        <w:t>Research studies involving alcohol were identified on the basis of the lay summary containing the word “alcohol” and may also include a focus on other issues, such as use of other drugs, so may not be able to be wholly attributed to alcohol</w:t>
      </w:r>
      <w:r w:rsidRPr="009E4CC6">
        <w:t>.</w:t>
      </w:r>
    </w:p>
  </w:footnote>
  <w:footnote w:id="7">
    <w:p w14:paraId="766504FD" w14:textId="499EBC7A" w:rsidR="00C41DC7" w:rsidRDefault="00C41DC7" w:rsidP="00C41DC7">
      <w:pPr>
        <w:pStyle w:val="FootnoteText"/>
      </w:pPr>
      <w:r w:rsidRPr="00CD19C4">
        <w:rPr>
          <w:rStyle w:val="FootnoteReference"/>
        </w:rPr>
        <w:footnoteRef/>
      </w:r>
      <w:r>
        <w:t xml:space="preserve"> </w:t>
      </w:r>
      <w:r w:rsidR="00B83DB5">
        <w:tab/>
      </w:r>
      <w:r w:rsidRPr="00A17A6E">
        <w:t>This research is yet to be externally peer-reviewed and published. It is the product of an international research collaboration using the International Model of Alcohol Harms and Policies (</w:t>
      </w:r>
      <w:proofErr w:type="spellStart"/>
      <w:r w:rsidRPr="00A17A6E">
        <w:t>InterMAHP</w:t>
      </w:r>
      <w:proofErr w:type="spellEnd"/>
      <w:r w:rsidRPr="00A17A6E">
        <w:t xml:space="preserve">), an open access alcohol harms and policy scenario model developed by the University of Victoria (Canada). The New Zealand-specific AAFs were produced by New Zealand academics in collaboration with the lead model developer at the University of Victoria using </w:t>
      </w:r>
      <w:proofErr w:type="spellStart"/>
      <w:r w:rsidRPr="00A17A6E">
        <w:t>InterMAHP</w:t>
      </w:r>
      <w:proofErr w:type="spellEnd"/>
      <w:r w:rsidRPr="00A17A6E">
        <w:t>.</w:t>
      </w:r>
    </w:p>
  </w:footnote>
  <w:footnote w:id="8">
    <w:p w14:paraId="72086EB3" w14:textId="77777777" w:rsidR="002F5351" w:rsidRDefault="002F5351" w:rsidP="002F5351">
      <w:pPr>
        <w:pStyle w:val="FootnoteText"/>
      </w:pPr>
      <w:r w:rsidRPr="00CD19C4">
        <w:rPr>
          <w:rStyle w:val="FootnoteReference"/>
        </w:rPr>
        <w:footnoteRef/>
      </w:r>
      <w:r>
        <w:t xml:space="preserve"> </w:t>
      </w:r>
      <w:r>
        <w:tab/>
      </w:r>
      <w:r w:rsidRPr="00EA47EB">
        <w:t>New Zealand's estimated resident population was provisionally 5</w:t>
      </w:r>
      <w:r>
        <w:t>,</w:t>
      </w:r>
      <w:r w:rsidRPr="00EA47EB">
        <w:t>127</w:t>
      </w:r>
      <w:r>
        <w:t>,</w:t>
      </w:r>
      <w:r w:rsidRPr="00EA47EB">
        <w:t xml:space="preserve">400 </w:t>
      </w:r>
      <w:proofErr w:type="gramStart"/>
      <w:r w:rsidRPr="00EA47EB">
        <w:t>at</w:t>
      </w:r>
      <w:proofErr w:type="gramEnd"/>
      <w:r w:rsidRPr="00EA47EB">
        <w:t xml:space="preserve"> 30 September 2022</w:t>
      </w:r>
      <w:r>
        <w:t xml:space="preserve"> according to Stats NZ. </w:t>
      </w:r>
      <w:hyperlink r:id="rId1" w:history="1">
        <w:r w:rsidRPr="00A8594F">
          <w:rPr>
            <w:rStyle w:val="Hyperlink"/>
          </w:rPr>
          <w:t>https://www.stats.govt.nz/information-releases/national-population-estimates-at-30-september-2022/</w:t>
        </w:r>
      </w:hyperlink>
      <w:r>
        <w:t xml:space="preserve"> </w:t>
      </w:r>
    </w:p>
  </w:footnote>
  <w:footnote w:id="9">
    <w:p w14:paraId="1DAA7E26" w14:textId="77777777" w:rsidR="00CD512D" w:rsidRDefault="00CD512D" w:rsidP="00CD512D">
      <w:pPr>
        <w:pStyle w:val="FootnoteText"/>
      </w:pPr>
      <w:r w:rsidRPr="00CD19C4">
        <w:rPr>
          <w:rStyle w:val="FootnoteReference"/>
        </w:rPr>
        <w:footnoteRef/>
      </w:r>
      <w:r>
        <w:t xml:space="preserve"> </w:t>
      </w:r>
      <w:r>
        <w:tab/>
        <w:t xml:space="preserve">The </w:t>
      </w:r>
      <w:r w:rsidRPr="00CC31D4">
        <w:t>Alcohol Use Disorders Identification Test</w:t>
      </w:r>
      <w:r>
        <w:t xml:space="preserve"> (AUDIT)</w:t>
      </w:r>
      <w:r w:rsidRPr="00376317">
        <w:t xml:space="preserve"> </w:t>
      </w:r>
      <w:r>
        <w:t xml:space="preserve">is a </w:t>
      </w:r>
      <w:r w:rsidRPr="00376317">
        <w:t xml:space="preserve">screening </w:t>
      </w:r>
      <w:r>
        <w:t xml:space="preserve">test </w:t>
      </w:r>
      <w:r w:rsidRPr="00376317">
        <w:t>for unhealthy alcohol use, defined as risky or hazardous consumption or any alcohol use disorder</w:t>
      </w:r>
      <w:r>
        <w:t xml:space="preserve">. According to the World Health Organization, a score of 8 or more (8+) is indicative of hazardous or harmful alcohol consumption and a score of 15 or more is indicative of alcohol dependence </w:t>
      </w:r>
      <w:r w:rsidRPr="00DC6482">
        <w:t>(moderate-severe alcohol use disorder)</w:t>
      </w:r>
      <w:r>
        <w:t>.</w:t>
      </w:r>
    </w:p>
  </w:footnote>
  <w:footnote w:id="10">
    <w:p w14:paraId="30B62849" w14:textId="77777777" w:rsidR="00CD512D" w:rsidRDefault="00CD512D" w:rsidP="00CD512D">
      <w:pPr>
        <w:pStyle w:val="FootnoteText"/>
      </w:pPr>
      <w:r w:rsidRPr="00CD19C4">
        <w:rPr>
          <w:rStyle w:val="FootnoteReference"/>
        </w:rPr>
        <w:footnoteRef/>
      </w:r>
      <w:r>
        <w:t xml:space="preserve"> </w:t>
      </w:r>
      <w:r>
        <w:tab/>
        <w:t>There can be significant delays in publishing data on substantiated child maltreatment cases due to the time required for cases to go through legal processes.</w:t>
      </w:r>
    </w:p>
  </w:footnote>
  <w:footnote w:id="11">
    <w:p w14:paraId="17DBB61F" w14:textId="2F0AD404" w:rsidR="005E3FF9" w:rsidRDefault="005E3FF9">
      <w:pPr>
        <w:pStyle w:val="FootnoteText"/>
      </w:pPr>
      <w:r w:rsidRPr="00CD19C4">
        <w:rPr>
          <w:rStyle w:val="FootnoteReference"/>
        </w:rPr>
        <w:footnoteRef/>
      </w:r>
      <w:r w:rsidR="00BF1598">
        <w:t xml:space="preserve"> </w:t>
      </w:r>
      <w:r w:rsidR="00862248">
        <w:tab/>
      </w:r>
      <w:r w:rsidR="00BF1598" w:rsidRPr="00BF1598">
        <w:t>While perpetrators may believe alcohol consumption will diminis</w:t>
      </w:r>
      <w:r w:rsidR="00BF1598">
        <w:t>h</w:t>
      </w:r>
      <w:r w:rsidR="00BF1598" w:rsidRPr="00BF1598">
        <w:t xml:space="preserve"> their responsibility, in New Zealand law it does not.</w:t>
      </w:r>
    </w:p>
  </w:footnote>
  <w:footnote w:id="12">
    <w:p w14:paraId="42EF3A0C" w14:textId="4D745A98" w:rsidR="00C2640B" w:rsidRDefault="00C2640B">
      <w:pPr>
        <w:pStyle w:val="FootnoteText"/>
      </w:pPr>
      <w:r w:rsidRPr="00CD19C4">
        <w:rPr>
          <w:rStyle w:val="FootnoteReference"/>
        </w:rPr>
        <w:footnoteRef/>
      </w:r>
      <w:r>
        <w:t xml:space="preserve"> </w:t>
      </w:r>
      <w:r w:rsidR="00E057DC">
        <w:tab/>
      </w:r>
      <w:r w:rsidR="00912500">
        <w:t xml:space="preserve">According to some published </w:t>
      </w:r>
      <w:r w:rsidRPr="00C2640B">
        <w:t>studies</w:t>
      </w:r>
      <w:r w:rsidR="00912500">
        <w:t xml:space="preserve">, </w:t>
      </w:r>
      <w:r w:rsidRPr="00C2640B">
        <w:t xml:space="preserve">up to 60 percent of </w:t>
      </w:r>
      <w:r w:rsidR="00912500">
        <w:t>people</w:t>
      </w:r>
      <w:r w:rsidRPr="00C2640B">
        <w:t xml:space="preserve"> with FASD will offend and become involved in either the youth or adult </w:t>
      </w:r>
      <w:r w:rsidR="00912500">
        <w:t>criminal justice system</w:t>
      </w:r>
      <w:r w:rsidR="00770121">
        <w:t>, and are believed to be</w:t>
      </w:r>
      <w:r w:rsidRPr="00C2640B">
        <w:t xml:space="preserve"> 19 times more at risk of incarceration compared to </w:t>
      </w:r>
      <w:r w:rsidR="00770121">
        <w:t>people who do not have</w:t>
      </w:r>
      <w:r w:rsidRPr="00C2640B">
        <w:t xml:space="preserve"> FASD</w:t>
      </w:r>
      <w:r w:rsidR="00770121">
        <w:t xml:space="preserve"> (Butcher 2020)</w:t>
      </w:r>
      <w:r w:rsidRPr="00C2640B">
        <w:t>.</w:t>
      </w:r>
    </w:p>
  </w:footnote>
  <w:footnote w:id="13">
    <w:p w14:paraId="4BA2DB70" w14:textId="77777777" w:rsidR="00765A12" w:rsidRDefault="00765A12" w:rsidP="00765A12">
      <w:pPr>
        <w:pStyle w:val="FootnoteText"/>
      </w:pPr>
      <w:r w:rsidRPr="00CD19C4">
        <w:rPr>
          <w:rStyle w:val="FootnoteReference"/>
        </w:rPr>
        <w:footnoteRef/>
      </w:r>
      <w:r>
        <w:t xml:space="preserve"> </w:t>
      </w:r>
      <w:r>
        <w:tab/>
        <w:t>As noted earlier, this cost is derived from subjective valuation studies so cannot be broken down into cost components. It is unclear, therefore, whether this cost represents tangible or intangible costs.</w:t>
      </w:r>
    </w:p>
  </w:footnote>
  <w:footnote w:id="14">
    <w:p w14:paraId="3F29C7FB" w14:textId="2133030D" w:rsidR="007830F4" w:rsidRDefault="007830F4">
      <w:pPr>
        <w:pStyle w:val="FootnoteText"/>
      </w:pPr>
      <w:r w:rsidRPr="00CD19C4">
        <w:rPr>
          <w:rStyle w:val="FootnoteReference"/>
        </w:rPr>
        <w:footnoteRef/>
      </w:r>
      <w:r>
        <w:t xml:space="preserve"> </w:t>
      </w:r>
      <w:r w:rsidR="00B7173D">
        <w:tab/>
      </w:r>
      <w:r w:rsidR="00D07D77">
        <w:t>M</w:t>
      </w:r>
      <w:r w:rsidR="00D07D77" w:rsidRPr="00D07D77">
        <w:t xml:space="preserve">any </w:t>
      </w:r>
      <w:r w:rsidR="00D07D77">
        <w:t xml:space="preserve">people </w:t>
      </w:r>
      <w:r w:rsidR="00D07D77" w:rsidRPr="00D07D77">
        <w:t xml:space="preserve">in this age group are also in education or training, so </w:t>
      </w:r>
      <w:r w:rsidR="00D07D77">
        <w:t xml:space="preserve">while this fact does not impact on workplace productivity </w:t>
      </w:r>
      <w:r w:rsidR="00E16820">
        <w:t>losses</w:t>
      </w:r>
      <w:r w:rsidR="00BD5784">
        <w:t xml:space="preserve"> directly</w:t>
      </w:r>
      <w:r w:rsidR="00A2716F">
        <w:t xml:space="preserve">, </w:t>
      </w:r>
      <w:r w:rsidR="00D07D77" w:rsidRPr="00D07D77">
        <w:t>the concentration of workplace absenteeism and presenteeism</w:t>
      </w:r>
      <w:r w:rsidR="00DE49DB">
        <w:t xml:space="preserve"> in this age group</w:t>
      </w:r>
      <w:r w:rsidR="00D07D77" w:rsidRPr="00D07D77">
        <w:t xml:space="preserve"> may also signal a high risk of sub-optimal education and training outcomes for young people</w:t>
      </w:r>
      <w:r w:rsidR="00DE49DB">
        <w:t xml:space="preserve">, with potential long-term productivity </w:t>
      </w:r>
      <w:r w:rsidR="003E7BE3">
        <w:t>impacts</w:t>
      </w:r>
      <w:r w:rsidR="00D07D77" w:rsidRPr="00D07D77">
        <w:t>.</w:t>
      </w:r>
    </w:p>
  </w:footnote>
  <w:footnote w:id="15">
    <w:p w14:paraId="69BFCA8F" w14:textId="37CEFD0B" w:rsidR="00536EC3" w:rsidRDefault="00536EC3">
      <w:pPr>
        <w:pStyle w:val="FootnoteText"/>
      </w:pPr>
      <w:r w:rsidRPr="00CD19C4">
        <w:rPr>
          <w:rStyle w:val="FootnoteReference"/>
        </w:rPr>
        <w:footnoteRef/>
      </w:r>
      <w:r>
        <w:t xml:space="preserve"> </w:t>
      </w:r>
      <w:r w:rsidR="005571DD">
        <w:tab/>
      </w:r>
      <w:r>
        <w:t xml:space="preserve">Some studies show that the human capital method, which is used in this report and is alco the most commonly used method in cost-of-illness studies tends to </w:t>
      </w:r>
      <w:r w:rsidR="00317A91">
        <w:t>result in significantly higher estimates of productivity losses.</w:t>
      </w:r>
    </w:p>
  </w:footnote>
  <w:footnote w:id="16">
    <w:p w14:paraId="30C35317" w14:textId="76E3A4D5" w:rsidR="00367922" w:rsidRDefault="00367922" w:rsidP="00367922">
      <w:pPr>
        <w:pStyle w:val="FootnoteText"/>
      </w:pPr>
      <w:r w:rsidRPr="00CD19C4">
        <w:rPr>
          <w:rStyle w:val="FootnoteReference"/>
        </w:rPr>
        <w:footnoteRef/>
      </w:r>
      <w:r>
        <w:t xml:space="preserve"> </w:t>
      </w:r>
      <w:r w:rsidR="00B461F6">
        <w:tab/>
      </w:r>
      <w:r>
        <w:t xml:space="preserve">The friction cost approach </w:t>
      </w:r>
      <w:r w:rsidR="00D827C4">
        <w:t xml:space="preserve">requires data on </w:t>
      </w:r>
      <w:r>
        <w:t>the period of time and cost of replacing workers who cannot work</w:t>
      </w:r>
      <w:r w:rsidR="00D827C4">
        <w:t>. Such</w:t>
      </w:r>
      <w:r>
        <w:t xml:space="preserve"> data is rarely available, except in industry or occupation-specific studies</w:t>
      </w:r>
      <w:r w:rsidR="00D827C4">
        <w:t>.</w:t>
      </w:r>
    </w:p>
  </w:footnote>
  <w:footnote w:id="17">
    <w:p w14:paraId="2AA51131" w14:textId="293C9E7C" w:rsidR="00B21D8E" w:rsidRPr="00B21D8E" w:rsidRDefault="00B21D8E">
      <w:pPr>
        <w:pStyle w:val="FootnoteText"/>
        <w:rPr>
          <w:lang w:val="en-US"/>
        </w:rPr>
      </w:pPr>
      <w:r w:rsidRPr="00CD19C4">
        <w:rPr>
          <w:rStyle w:val="FootnoteReference"/>
        </w:rPr>
        <w:footnoteRef/>
      </w:r>
      <w:r>
        <w:t xml:space="preserve"> </w:t>
      </w:r>
      <w:r w:rsidR="00B461F6">
        <w:tab/>
      </w:r>
      <w:r w:rsidRPr="00B21D8E">
        <w:t xml:space="preserve">Additionally, our estimates of absenteeism and presenteeism are based on a </w:t>
      </w:r>
      <w:r>
        <w:t xml:space="preserve">very </w:t>
      </w:r>
      <w:r w:rsidRPr="00B21D8E">
        <w:t>small study (Sullivan, Edgar, and McAndrew 2019),</w:t>
      </w:r>
      <w:r w:rsidR="00D03E72">
        <w:t xml:space="preserve"> with data based on</w:t>
      </w:r>
      <w:r w:rsidRPr="00B21D8E">
        <w:t xml:space="preserve"> only 41 people affected by alcohol-related absenteeism and 77 people affected by alcohol-related presenteeism.</w:t>
      </w:r>
    </w:p>
  </w:footnote>
  <w:footnote w:id="18">
    <w:p w14:paraId="418D0402" w14:textId="61E1AE0B" w:rsidR="006047DD" w:rsidRDefault="006047DD">
      <w:pPr>
        <w:pStyle w:val="FootnoteText"/>
      </w:pPr>
      <w:r w:rsidRPr="00CD19C4">
        <w:rPr>
          <w:rStyle w:val="FootnoteReference"/>
        </w:rPr>
        <w:footnoteRef/>
      </w:r>
      <w:r>
        <w:t xml:space="preserve"> </w:t>
      </w:r>
      <w:r w:rsidR="00A5122C">
        <w:tab/>
      </w:r>
      <w:r>
        <w:t>The study does not specify the form of the tax increase although it does reference this as a Law Commission recommendation</w:t>
      </w:r>
      <w:r w:rsidR="003C7559">
        <w:t>, the latter being a 50</w:t>
      </w:r>
      <w:r w:rsidR="00A5122C">
        <w:t xml:space="preserve"> percent </w:t>
      </w:r>
      <w:r w:rsidR="003C7559">
        <w:t>increase in the excise tax on alcohol.</w:t>
      </w:r>
    </w:p>
  </w:footnote>
  <w:footnote w:id="19">
    <w:p w14:paraId="7BB66E15" w14:textId="7900ADCC" w:rsidR="00F2238C" w:rsidRDefault="00F2238C" w:rsidP="00F2238C">
      <w:pPr>
        <w:pStyle w:val="FootnoteText"/>
      </w:pPr>
      <w:r w:rsidRPr="00CD19C4">
        <w:rPr>
          <w:rStyle w:val="FootnoteReference"/>
        </w:rPr>
        <w:footnoteRef/>
      </w:r>
      <w:r>
        <w:t xml:space="preserve"> </w:t>
      </w:r>
      <w:r w:rsidR="0018361F">
        <w:tab/>
      </w:r>
      <w:r>
        <w:t>Externalities are costs imposed on individuals who are external to the transaction (</w:t>
      </w:r>
      <w:proofErr w:type="gramStart"/>
      <w:r>
        <w:t>i.e.</w:t>
      </w:r>
      <w:proofErr w:type="gramEnd"/>
      <w:r>
        <w:t xml:space="preserve"> not the consumer or the producer/supplier) without their consent. </w:t>
      </w:r>
      <w:r w:rsidRPr="00D5322F">
        <w:t xml:space="preserve">Internalities are costs </w:t>
      </w:r>
      <w:r>
        <w:t xml:space="preserve">that </w:t>
      </w:r>
      <w:r w:rsidRPr="00D5322F">
        <w:t xml:space="preserve">an individual imposes on themselves </w:t>
      </w:r>
      <w:r>
        <w:t>which are not</w:t>
      </w:r>
      <w:r w:rsidRPr="00D5322F">
        <w:t xml:space="preserve"> </w:t>
      </w:r>
      <w:proofErr w:type="gramStart"/>
      <w:r w:rsidRPr="00D5322F">
        <w:t>take</w:t>
      </w:r>
      <w:r>
        <w:t>n</w:t>
      </w:r>
      <w:r w:rsidRPr="00D5322F">
        <w:t xml:space="preserve"> into account</w:t>
      </w:r>
      <w:proofErr w:type="gramEnd"/>
      <w:r w:rsidRPr="00D5322F">
        <w:t xml:space="preserve"> when </w:t>
      </w:r>
      <w:r>
        <w:t>consumption decisions are made</w:t>
      </w:r>
      <w:r w:rsidRPr="00D5322F">
        <w:t xml:space="preserve">. As a result, the individual’s level of </w:t>
      </w:r>
      <w:r>
        <w:t>consumption</w:t>
      </w:r>
      <w:r w:rsidRPr="00D5322F">
        <w:t xml:space="preserve"> may be higher than the level they would have chosen </w:t>
      </w:r>
      <w:r>
        <w:t xml:space="preserve">if </w:t>
      </w:r>
      <w:r w:rsidRPr="00D5322F">
        <w:t xml:space="preserve">they </w:t>
      </w:r>
      <w:r>
        <w:t xml:space="preserve">had </w:t>
      </w:r>
      <w:r w:rsidRPr="00D5322F">
        <w:t>taken these costs into account.</w:t>
      </w:r>
    </w:p>
  </w:footnote>
  <w:footnote w:id="20">
    <w:p w14:paraId="20AA1ED5" w14:textId="0C3DBA5E" w:rsidR="00F2238C" w:rsidRDefault="00F2238C" w:rsidP="00F2238C">
      <w:pPr>
        <w:pStyle w:val="FootnoteText"/>
      </w:pPr>
      <w:r w:rsidRPr="00CD19C4">
        <w:rPr>
          <w:rStyle w:val="FootnoteReference"/>
        </w:rPr>
        <w:footnoteRef/>
      </w:r>
      <w:r>
        <w:t xml:space="preserve"> </w:t>
      </w:r>
      <w:r w:rsidR="0017651C">
        <w:tab/>
      </w:r>
      <w:r>
        <w:t xml:space="preserve">Over a decade has passed since the Law Commission report was published and substantial improvements to the evidence base on alcohol harms have been achieved. It is unclear whether the Law Commission or </w:t>
      </w:r>
      <w:r w:rsidRPr="005F3C77">
        <w:t>Professor Jennie Connor</w:t>
      </w:r>
      <w:r>
        <w:t xml:space="preserve"> would make the same statements in 2023, although the existence of harms or a better understanding of harms associated with alcohol does not preclude the existence of consumer surplus. The issue in question is whether the Law Commission today would perceive the balance of harms and benefits differently.</w:t>
      </w:r>
    </w:p>
  </w:footnote>
  <w:footnote w:id="21">
    <w:p w14:paraId="396D86F4" w14:textId="29DC633E" w:rsidR="00F2238C" w:rsidRDefault="00F2238C" w:rsidP="00F2238C">
      <w:pPr>
        <w:pStyle w:val="FootnoteText"/>
      </w:pPr>
      <w:r w:rsidRPr="00CD19C4">
        <w:rPr>
          <w:rStyle w:val="FootnoteReference"/>
        </w:rPr>
        <w:footnoteRef/>
      </w:r>
      <w:r>
        <w:t xml:space="preserve"> </w:t>
      </w:r>
      <w:r w:rsidR="0017651C">
        <w:tab/>
      </w:r>
      <w:r>
        <w:t>Estimated using the System of National Accounts (SNA) framework in which Gross Output Value less Intermediate Consumption equals Value Added (GDP).</w:t>
      </w:r>
    </w:p>
  </w:footnote>
  <w:footnote w:id="22">
    <w:p w14:paraId="39DF139C" w14:textId="29DED90E" w:rsidR="00F2238C" w:rsidRDefault="00F2238C" w:rsidP="00F2238C">
      <w:pPr>
        <w:pStyle w:val="FootnoteText"/>
      </w:pPr>
      <w:r w:rsidRPr="00CD19C4">
        <w:rPr>
          <w:rStyle w:val="FootnoteReference"/>
        </w:rPr>
        <w:footnoteRef/>
      </w:r>
      <w:r>
        <w:t xml:space="preserve"> </w:t>
      </w:r>
      <w:r w:rsidR="0025087A">
        <w:tab/>
      </w:r>
      <w:r>
        <w:t>Internationally, alcohol</w:t>
      </w:r>
      <w:r w:rsidR="0025087A">
        <w:t>-</w:t>
      </w:r>
      <w:r>
        <w:t>attributable fractions (AAFs) include some where the estimate is negative. A negative AAF suggests alcohol may offer a protective or beneficial effect in some health conditions. The BERL (2009) report ignored these negative values, and the implied benefits, which is consistent with a gross costs approach, not the net costs approach that the report claimed to have taken.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8260" w14:textId="3DC62D68" w:rsidR="00B46A8F" w:rsidRDefault="00B46A8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42F5" w14:textId="4B121C20" w:rsidR="007C21B3" w:rsidRDefault="007C21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14B8" w14:textId="36D2EE20" w:rsidR="007C21B3" w:rsidRDefault="007C21B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4220" w14:textId="5E0A4551" w:rsidR="007C21B3" w:rsidRDefault="007C2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F645" w14:textId="76C8C253" w:rsidR="00DA670E" w:rsidRDefault="00DA670E">
    <w:pPr>
      <w:pStyle w:val="Header"/>
    </w:pPr>
  </w:p>
  <w:p w14:paraId="4B1966BE" w14:textId="77777777" w:rsidR="00DA670E" w:rsidRDefault="00DA67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840B1" w14:textId="1D0AAE1C" w:rsidR="00DA670E" w:rsidRDefault="00DA670E">
    <w:pPr>
      <w:pStyle w:val="Header"/>
    </w:pPr>
    <w:r>
      <w:rPr>
        <w:noProof/>
        <w:lang w:eastAsia="en-NZ"/>
      </w:rPr>
      <w:drawing>
        <wp:anchor distT="0" distB="0" distL="114300" distR="114300" simplePos="0" relativeHeight="251658241" behindDoc="0" locked="0" layoutInCell="1" allowOverlap="1" wp14:anchorId="7F596985" wp14:editId="43F65228">
          <wp:simplePos x="0" y="0"/>
          <wp:positionH relativeFrom="margin">
            <wp:posOffset>3456305</wp:posOffset>
          </wp:positionH>
          <wp:positionV relativeFrom="page">
            <wp:posOffset>360045</wp:posOffset>
          </wp:positionV>
          <wp:extent cx="2826000" cy="1065600"/>
          <wp:effectExtent l="0" t="0" r="0" b="1270"/>
          <wp:wrapNone/>
          <wp:docPr id="1411620988" name="Picture 1411620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20988" name="Picture 141162098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26000" cy="106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A1E4" w14:textId="701DB60C" w:rsidR="007C21B3" w:rsidRDefault="007C21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C4DB" w14:textId="3EDDCD6A" w:rsidR="00DA670E" w:rsidRDefault="00DA670E">
    <w:pPr>
      <w:pStyle w:val="Header"/>
    </w:pPr>
  </w:p>
  <w:p w14:paraId="0446B0A5" w14:textId="77777777" w:rsidR="00DA670E" w:rsidRDefault="00DA670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B577" w14:textId="0ED3D84D" w:rsidR="007C21B3" w:rsidRDefault="007C21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2353" w14:textId="48B4E036" w:rsidR="007C21B3" w:rsidRDefault="007C21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07B" w14:textId="16294173" w:rsidR="00DA670E" w:rsidRPr="001E757F" w:rsidRDefault="00DA670E" w:rsidP="001E75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3E2F" w14:textId="5E1E3A71" w:rsidR="007C21B3" w:rsidRDefault="007C2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5DB"/>
    <w:multiLevelType w:val="multilevel"/>
    <w:tmpl w:val="EF6813DC"/>
    <w:lvl w:ilvl="0">
      <w:start w:val="1"/>
      <w:numFmt w:val="decimal"/>
      <w:pStyle w:val="TSNumber1"/>
      <w:lvlText w:val="%1"/>
      <w:lvlJc w:val="left"/>
      <w:pPr>
        <w:tabs>
          <w:tab w:val="num" w:pos="215"/>
        </w:tabs>
        <w:ind w:left="215" w:hanging="215"/>
      </w:pPr>
      <w:rPr>
        <w:rFonts w:hint="default"/>
      </w:rPr>
    </w:lvl>
    <w:lvl w:ilvl="1">
      <w:start w:val="1"/>
      <w:numFmt w:val="lowerLetter"/>
      <w:pStyle w:val="TSNumbera"/>
      <w:lvlText w:val="%2"/>
      <w:lvlJc w:val="left"/>
      <w:pPr>
        <w:tabs>
          <w:tab w:val="num" w:pos="425"/>
        </w:tabs>
        <w:ind w:left="425" w:hanging="210"/>
      </w:pPr>
      <w:rPr>
        <w:rFonts w:hint="default"/>
      </w:rPr>
    </w:lvl>
    <w:lvl w:ilvl="2">
      <w:start w:val="1"/>
      <w:numFmt w:val="lowerRoman"/>
      <w:pStyle w:val="TSNumberi"/>
      <w:lvlText w:val="%3"/>
      <w:lvlJc w:val="left"/>
      <w:pPr>
        <w:tabs>
          <w:tab w:val="num" w:pos="641"/>
        </w:tabs>
        <w:ind w:left="641" w:hanging="216"/>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9."/>
      <w:lvlJc w:val="left"/>
      <w:pPr>
        <w:ind w:left="-32767" w:firstLine="0"/>
      </w:pPr>
      <w:rPr>
        <w:rFonts w:hint="default"/>
      </w:rPr>
    </w:lvl>
  </w:abstractNum>
  <w:abstractNum w:abstractNumId="1" w15:restartNumberingAfterBreak="0">
    <w:nsid w:val="1F7F10F8"/>
    <w:multiLevelType w:val="multilevel"/>
    <w:tmpl w:val="D0C840B2"/>
    <w:lvl w:ilvl="0">
      <w:start w:val="1"/>
      <w:numFmt w:val="decimal"/>
      <w:pStyle w:val="USNotes"/>
      <w:lvlText w:val="%1"/>
      <w:lvlJc w:val="left"/>
      <w:pPr>
        <w:tabs>
          <w:tab w:val="num" w:pos="1066"/>
        </w:tabs>
        <w:ind w:left="1066" w:hanging="215"/>
      </w:pPr>
      <w:rPr>
        <w:rFonts w:hint="default"/>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 w15:restartNumberingAfterBreak="0">
    <w:nsid w:val="3CCC2705"/>
    <w:multiLevelType w:val="multilevel"/>
    <w:tmpl w:val="6E484DB2"/>
    <w:lvl w:ilvl="0">
      <w:start w:val="1"/>
      <w:numFmt w:val="upperLetter"/>
      <w:pStyle w:val="ApxHeading1"/>
      <w:suff w:val="space"/>
      <w:lvlText w:val="Appendix %1"/>
      <w:lvlJc w:val="left"/>
      <w:pPr>
        <w:ind w:left="710" w:firstLine="0"/>
      </w:pPr>
      <w:rPr>
        <w:rFonts w:hint="default"/>
      </w:rPr>
    </w:lvl>
    <w:lvl w:ilvl="1">
      <w:start w:val="1"/>
      <w:numFmt w:val="decimal"/>
      <w:pStyle w:val="ApxHeading2"/>
      <w:lvlText w:val="%1.%2"/>
      <w:lvlJc w:val="left"/>
      <w:pPr>
        <w:tabs>
          <w:tab w:val="num" w:pos="851"/>
        </w:tabs>
        <w:ind w:left="851" w:hanging="851"/>
      </w:pPr>
      <w:rPr>
        <w:rFonts w:hint="default"/>
      </w:rPr>
    </w:lvl>
    <w:lvl w:ilvl="2">
      <w:start w:val="1"/>
      <w:numFmt w:val="decimal"/>
      <w:pStyle w:val="Apx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41227B13"/>
    <w:multiLevelType w:val="multilevel"/>
    <w:tmpl w:val="4098597E"/>
    <w:lvl w:ilvl="0">
      <w:start w:val="1"/>
      <w:numFmt w:val="bullet"/>
      <w:pStyle w:val="TSMixedB2"/>
      <w:lvlText w:val=""/>
      <w:lvlJc w:val="left"/>
      <w:pPr>
        <w:tabs>
          <w:tab w:val="num" w:pos="425"/>
        </w:tabs>
        <w:ind w:left="425" w:hanging="210"/>
      </w:pPr>
      <w:rPr>
        <w:rFonts w:ascii="Symbol" w:hAnsi="Symbol" w:hint="default"/>
        <w:color w:val="0094C5"/>
        <w:sz w:val="16"/>
      </w:rPr>
    </w:lvl>
    <w:lvl w:ilvl="1">
      <w:start w:val="1"/>
      <w:numFmt w:val="bullet"/>
      <w:pStyle w:val="TSMixedB3"/>
      <w:lvlText w:val="-"/>
      <w:lvlJc w:val="left"/>
      <w:pPr>
        <w:tabs>
          <w:tab w:val="num" w:pos="641"/>
        </w:tabs>
        <w:ind w:left="641" w:hanging="216"/>
      </w:pPr>
      <w:rPr>
        <w:rFonts w:ascii="Courier New" w:hAnsi="Courier New" w:hint="default"/>
      </w:rPr>
    </w:lvl>
    <w:lvl w:ilvl="2">
      <w:start w:val="1"/>
      <w:numFmt w:val="none"/>
      <w:suff w:val="nothing"/>
      <w:lvlText w:val=""/>
      <w:lvlJc w:val="left"/>
      <w:pPr>
        <w:ind w:left="641" w:firstLine="0"/>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none"/>
      <w:suff w:val="nothing"/>
      <w:lvlText w:val=""/>
      <w:lvlJc w:val="left"/>
      <w:pPr>
        <w:ind w:left="641" w:firstLine="0"/>
      </w:pPr>
      <w:rPr>
        <w:rFonts w:hint="default"/>
      </w:rPr>
    </w:lvl>
    <w:lvl w:ilvl="7">
      <w:start w:val="1"/>
      <w:numFmt w:val="none"/>
      <w:suff w:val="nothing"/>
      <w:lvlText w:val=""/>
      <w:lvlJc w:val="left"/>
      <w:pPr>
        <w:ind w:left="641" w:firstLine="0"/>
      </w:pPr>
      <w:rPr>
        <w:rFonts w:hint="default"/>
      </w:rPr>
    </w:lvl>
    <w:lvl w:ilvl="8">
      <w:start w:val="1"/>
      <w:numFmt w:val="none"/>
      <w:suff w:val="nothing"/>
      <w:lvlText w:val=""/>
      <w:lvlJc w:val="left"/>
      <w:pPr>
        <w:ind w:left="641" w:firstLine="0"/>
      </w:pPr>
      <w:rPr>
        <w:rFonts w:hint="default"/>
      </w:rPr>
    </w:lvl>
  </w:abstractNum>
  <w:abstractNum w:abstractNumId="4" w15:restartNumberingAfterBreak="0">
    <w:nsid w:val="557D6C2D"/>
    <w:multiLevelType w:val="multilevel"/>
    <w:tmpl w:val="34C01A80"/>
    <w:lvl w:ilvl="0">
      <w:start w:val="1"/>
      <w:numFmt w:val="bullet"/>
      <w:pStyle w:val="TSBullet1"/>
      <w:lvlText w:val=""/>
      <w:lvlJc w:val="left"/>
      <w:pPr>
        <w:tabs>
          <w:tab w:val="num" w:pos="215"/>
        </w:tabs>
        <w:ind w:left="215" w:hanging="215"/>
      </w:pPr>
      <w:rPr>
        <w:rFonts w:ascii="Symbol" w:hAnsi="Symbol" w:hint="default"/>
        <w:color w:val="0094C5"/>
      </w:rPr>
    </w:lvl>
    <w:lvl w:ilvl="1">
      <w:start w:val="1"/>
      <w:numFmt w:val="bullet"/>
      <w:pStyle w:val="TSBullet2"/>
      <w:lvlText w:val="−"/>
      <w:lvlJc w:val="left"/>
      <w:pPr>
        <w:tabs>
          <w:tab w:val="num" w:pos="425"/>
        </w:tabs>
        <w:ind w:left="425" w:hanging="210"/>
      </w:pPr>
      <w:rPr>
        <w:rFonts w:ascii="Arial" w:hAnsi="Arial" w:hint="default"/>
      </w:rPr>
    </w:lvl>
    <w:lvl w:ilvl="2">
      <w:start w:val="1"/>
      <w:numFmt w:val="bullet"/>
      <w:pStyle w:val="TSBullet3"/>
      <w:lvlText w:val="−"/>
      <w:lvlJc w:val="left"/>
      <w:pPr>
        <w:tabs>
          <w:tab w:val="num" w:pos="641"/>
        </w:tabs>
        <w:ind w:left="641" w:hanging="216"/>
      </w:pPr>
      <w:rPr>
        <w:rFonts w:ascii="Arial" w:hAnsi="Arial"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7E41EEF"/>
    <w:multiLevelType w:val="multilevel"/>
    <w:tmpl w:val="469E944C"/>
    <w:lvl w:ilvl="0">
      <w:start w:val="1"/>
      <w:numFmt w:val="bullet"/>
      <w:pStyle w:val="USMixedB2"/>
      <w:lvlText w:val=""/>
      <w:lvlJc w:val="left"/>
      <w:pPr>
        <w:tabs>
          <w:tab w:val="num" w:pos="851"/>
        </w:tabs>
        <w:ind w:left="851" w:hanging="426"/>
      </w:pPr>
      <w:rPr>
        <w:rFonts w:ascii="Symbol" w:hAnsi="Symbol" w:hint="default"/>
        <w:color w:val="auto"/>
      </w:rPr>
    </w:lvl>
    <w:lvl w:ilvl="1">
      <w:start w:val="1"/>
      <w:numFmt w:val="bullet"/>
      <w:pStyle w:val="USMixedB3"/>
      <w:lvlText w:val="−"/>
      <w:lvlJc w:val="left"/>
      <w:pPr>
        <w:tabs>
          <w:tab w:val="num" w:pos="1276"/>
        </w:tabs>
        <w:ind w:left="1276" w:hanging="425"/>
      </w:pPr>
      <w:rPr>
        <w:rFonts w:ascii="Arial" w:hAnsi="Arial" w:hint="default"/>
      </w:rPr>
    </w:lvl>
    <w:lvl w:ilvl="2">
      <w:start w:val="1"/>
      <w:numFmt w:val="none"/>
      <w:suff w:val="nothing"/>
      <w:lvlText w:val=""/>
      <w:lvlJc w:val="left"/>
      <w:pPr>
        <w:ind w:left="170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5D1E011B"/>
    <w:multiLevelType w:val="multilevel"/>
    <w:tmpl w:val="D0887354"/>
    <w:lvl w:ilvl="0">
      <w:start w:val="1"/>
      <w:numFmt w:val="bullet"/>
      <w:pStyle w:val="USBullet1"/>
      <w:lvlText w:val=""/>
      <w:lvlJc w:val="left"/>
      <w:pPr>
        <w:tabs>
          <w:tab w:val="num" w:pos="1276"/>
        </w:tabs>
        <w:ind w:left="1276" w:hanging="425"/>
      </w:pPr>
      <w:rPr>
        <w:rFonts w:ascii="Symbol" w:hAnsi="Symbol" w:hint="default"/>
        <w:color w:val="0094C5"/>
        <w:u w:color="0094C5"/>
      </w:rPr>
    </w:lvl>
    <w:lvl w:ilvl="1">
      <w:start w:val="1"/>
      <w:numFmt w:val="bullet"/>
      <w:pStyle w:val="USBullet2"/>
      <w:lvlText w:val="−"/>
      <w:lvlJc w:val="left"/>
      <w:pPr>
        <w:tabs>
          <w:tab w:val="num" w:pos="1701"/>
        </w:tabs>
        <w:ind w:left="1701" w:hanging="425"/>
      </w:pPr>
      <w:rPr>
        <w:rFonts w:ascii="Arial" w:hAnsi="Arial" w:hint="default"/>
      </w:rPr>
    </w:lvl>
    <w:lvl w:ilvl="2">
      <w:start w:val="1"/>
      <w:numFmt w:val="bullet"/>
      <w:pStyle w:val="USBullet3"/>
      <w:lvlText w:val="o"/>
      <w:lvlJc w:val="left"/>
      <w:pPr>
        <w:ind w:left="2061" w:hanging="360"/>
      </w:pPr>
      <w:rPr>
        <w:rFonts w:ascii="Courier New" w:hAnsi="Courier New"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7" w15:restartNumberingAfterBreak="0">
    <w:nsid w:val="5D844993"/>
    <w:multiLevelType w:val="multilevel"/>
    <w:tmpl w:val="B2A87BA0"/>
    <w:lvl w:ilvl="0">
      <w:start w:val="1"/>
      <w:numFmt w:val="decimal"/>
      <w:pStyle w:val="USNumber1"/>
      <w:lvlText w:val="%1"/>
      <w:lvlJc w:val="left"/>
      <w:pPr>
        <w:tabs>
          <w:tab w:val="num" w:pos="1276"/>
        </w:tabs>
        <w:ind w:left="1276" w:hanging="425"/>
      </w:pPr>
      <w:rPr>
        <w:rFonts w:hint="default"/>
      </w:rPr>
    </w:lvl>
    <w:lvl w:ilvl="1">
      <w:start w:val="1"/>
      <w:numFmt w:val="lowerLetter"/>
      <w:pStyle w:val="USNumbera"/>
      <w:lvlText w:val="%2"/>
      <w:lvlJc w:val="left"/>
      <w:pPr>
        <w:tabs>
          <w:tab w:val="num" w:pos="1701"/>
        </w:tabs>
        <w:ind w:left="1701" w:hanging="425"/>
      </w:pPr>
      <w:rPr>
        <w:rFonts w:hint="default"/>
      </w:rPr>
    </w:lvl>
    <w:lvl w:ilvl="2">
      <w:start w:val="1"/>
      <w:numFmt w:val="lowerRoman"/>
      <w:pStyle w:val="USNumberi"/>
      <w:lvlText w:val="%3"/>
      <w:lvlJc w:val="left"/>
      <w:pPr>
        <w:tabs>
          <w:tab w:val="num" w:pos="2126"/>
        </w:tabs>
        <w:ind w:left="2126" w:hanging="425"/>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8" w15:restartNumberingAfterBreak="0">
    <w:nsid w:val="71257888"/>
    <w:multiLevelType w:val="multilevel"/>
    <w:tmpl w:val="2AD6A89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966619090">
    <w:abstractNumId w:val="6"/>
  </w:num>
  <w:num w:numId="2" w16cid:durableId="270742435">
    <w:abstractNumId w:val="5"/>
  </w:num>
  <w:num w:numId="3" w16cid:durableId="1078750169">
    <w:abstractNumId w:val="7"/>
  </w:num>
  <w:num w:numId="4" w16cid:durableId="585069947">
    <w:abstractNumId w:val="2"/>
  </w:num>
  <w:num w:numId="5" w16cid:durableId="1195311756">
    <w:abstractNumId w:val="1"/>
  </w:num>
  <w:num w:numId="6" w16cid:durableId="712534518">
    <w:abstractNumId w:val="4"/>
  </w:num>
  <w:num w:numId="7" w16cid:durableId="1409812322">
    <w:abstractNumId w:val="3"/>
  </w:num>
  <w:num w:numId="8" w16cid:durableId="1910574514">
    <w:abstractNumId w:val="0"/>
  </w:num>
  <w:num w:numId="9" w16cid:durableId="2015915632">
    <w:abstractNumId w:val="8"/>
  </w:num>
  <w:num w:numId="10" w16cid:durableId="15583243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425"/>
  <w:defaultTableStyle w:val="TableDefault"/>
  <w:characterSpacingControl w:val="doNotCompress"/>
  <w:hdrShapeDefaults>
    <o:shapedefaults v:ext="edit" spidmax="2050" style="mso-position-horizontal:center;mso-position-horizontal-relative:margin;mso-position-vertical:center;mso-position-vertical-relative:margin" o:allowincell="f" fillcolor="silver" stroke="f">
      <v:fill color="silver" opacity=".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yNTQxMjczMTA1tjBS0lEKTi0uzszPAykwrAUA6nASZCwAAAA="/>
    <w:docVar w:name="ContentsAppendix" w:val="1"/>
    <w:docVar w:name="ContentsAppendixLevel" w:val="1"/>
    <w:docVar w:name="ContentsCreated" w:val="1"/>
    <w:docVar w:name="ContentsFigure" w:val="1"/>
    <w:docVar w:name="ContentsMain" w:val="1"/>
    <w:docVar w:name="ContentsMainLevel" w:val="1"/>
    <w:docVar w:name="ContentsTable" w:val="1"/>
    <w:docVar w:name="DocumentStatus" w:val="DRAFT"/>
    <w:docVar w:name="IsA3Sections" w:val="False"/>
    <w:docVar w:name="IsfirstTb" w:val="True"/>
    <w:docVar w:name="IsInTable" w:val="False"/>
    <w:docVar w:name="rptAddress" w:val=" "/>
    <w:docVar w:name="rptAttention" w:val=" "/>
    <w:docVar w:name="rptAttentionTitle" w:val=" "/>
    <w:docVar w:name="rptAuthorName" w:val=" "/>
    <w:docVar w:name="rptAuthorName2" w:val=" "/>
    <w:docVar w:name="rptAuthorTitle" w:val=" "/>
    <w:docVar w:name="rptAuthorTitle2" w:val=" "/>
    <w:docVar w:name="rptByEmail" w:val=" "/>
    <w:docVar w:name="rptCC" w:val=" "/>
    <w:docVar w:name="rptChkByEmail" w:val="True"/>
    <w:docVar w:name="rptClosing" w:val=" "/>
    <w:docVar w:name="rptClosing0" w:val=" "/>
    <w:docVar w:name="rptCommercialInConfidence" w:val="Commercial In Confidence"/>
    <w:docVar w:name="rptCoverImage" w:val=" "/>
    <w:docVar w:name="rptDate" w:val="10 March 2014"/>
    <w:docVar w:name="rptDDI" w:val=" "/>
    <w:docVar w:name="rptDDI2" w:val=" "/>
    <w:docVar w:name="rptEmail" w:val=" "/>
    <w:docVar w:name="rptEmail2" w:val=" "/>
    <w:docVar w:name="rptEnclosures" w:val=" "/>
    <w:docVar w:name="rptFax" w:val=" "/>
    <w:docVar w:name="rptFax2" w:val=" "/>
    <w:docVar w:name="rptGreeting" w:val=" "/>
    <w:docVar w:name="rptGreeting0" w:val=" "/>
    <w:docVar w:name="rptGreetingText" w:val=" "/>
    <w:docVar w:name="rptInsertLogo" w:val="False"/>
    <w:docVar w:name="rptInsertSignature" w:val="True"/>
    <w:docVar w:name="rptLetterImageFile" w:val=" "/>
    <w:docVar w:name="rptLetterImageFile2" w:val=" "/>
    <w:docVar w:name="rptMobile" w:val=" "/>
    <w:docVar w:name="rptMobile2" w:val=" "/>
    <w:docVar w:name="rptOffice" w:val=" "/>
    <w:docVar w:name="rptOffice2" w:val=" "/>
    <w:docVar w:name="rptPrintPhysical" w:val="False"/>
    <w:docVar w:name="rptProposalDate" w:val=" "/>
    <w:docVar w:name="rptProposalSubtitle" w:val=" "/>
    <w:docVar w:name="rptProposalTitle" w:val=" "/>
    <w:docVar w:name="rptSalutation" w:val=" "/>
    <w:docVar w:name="rptSignOff" w:val=" "/>
    <w:docVar w:name="rptSignOff0" w:val=" "/>
    <w:docVar w:name="rptStatus" w:val=" "/>
    <w:docVar w:name="rptSubject" w:val=" "/>
    <w:docVar w:name="ShowDraft" w:val="True"/>
    <w:docVar w:name="ShowSaveDate" w:val="True"/>
  </w:docVars>
  <w:rsids>
    <w:rsidRoot w:val="0051281F"/>
    <w:rsid w:val="0000031E"/>
    <w:rsid w:val="000004FB"/>
    <w:rsid w:val="00000B77"/>
    <w:rsid w:val="00000BBF"/>
    <w:rsid w:val="000010B6"/>
    <w:rsid w:val="000012B2"/>
    <w:rsid w:val="000012E0"/>
    <w:rsid w:val="0000158E"/>
    <w:rsid w:val="00001739"/>
    <w:rsid w:val="000017B3"/>
    <w:rsid w:val="00001808"/>
    <w:rsid w:val="00001BA9"/>
    <w:rsid w:val="00001C6A"/>
    <w:rsid w:val="000020A2"/>
    <w:rsid w:val="00002163"/>
    <w:rsid w:val="000024C2"/>
    <w:rsid w:val="0000253E"/>
    <w:rsid w:val="000028ED"/>
    <w:rsid w:val="00002981"/>
    <w:rsid w:val="00003026"/>
    <w:rsid w:val="000030B9"/>
    <w:rsid w:val="0000319E"/>
    <w:rsid w:val="000032E6"/>
    <w:rsid w:val="000033B8"/>
    <w:rsid w:val="00003511"/>
    <w:rsid w:val="000035FC"/>
    <w:rsid w:val="000036A7"/>
    <w:rsid w:val="00003A0B"/>
    <w:rsid w:val="000043FC"/>
    <w:rsid w:val="000044FE"/>
    <w:rsid w:val="000049BD"/>
    <w:rsid w:val="00004F74"/>
    <w:rsid w:val="000051DC"/>
    <w:rsid w:val="0000523A"/>
    <w:rsid w:val="0000577A"/>
    <w:rsid w:val="000059A0"/>
    <w:rsid w:val="00005B51"/>
    <w:rsid w:val="00005D16"/>
    <w:rsid w:val="00006077"/>
    <w:rsid w:val="00006144"/>
    <w:rsid w:val="000065EC"/>
    <w:rsid w:val="0000683E"/>
    <w:rsid w:val="0000687E"/>
    <w:rsid w:val="00006ABF"/>
    <w:rsid w:val="00006DC6"/>
    <w:rsid w:val="000070D5"/>
    <w:rsid w:val="0000727B"/>
    <w:rsid w:val="00007816"/>
    <w:rsid w:val="00007B4D"/>
    <w:rsid w:val="00007B78"/>
    <w:rsid w:val="00007C6C"/>
    <w:rsid w:val="00007CB8"/>
    <w:rsid w:val="00007D1A"/>
    <w:rsid w:val="00007F68"/>
    <w:rsid w:val="00010A3A"/>
    <w:rsid w:val="00010FAC"/>
    <w:rsid w:val="00010FBF"/>
    <w:rsid w:val="00011579"/>
    <w:rsid w:val="0001158B"/>
    <w:rsid w:val="00011884"/>
    <w:rsid w:val="000118C6"/>
    <w:rsid w:val="000119C3"/>
    <w:rsid w:val="00011A68"/>
    <w:rsid w:val="00012537"/>
    <w:rsid w:val="000125DF"/>
    <w:rsid w:val="00012808"/>
    <w:rsid w:val="000129DA"/>
    <w:rsid w:val="00012E3E"/>
    <w:rsid w:val="00013147"/>
    <w:rsid w:val="000131AA"/>
    <w:rsid w:val="000131BC"/>
    <w:rsid w:val="000131BF"/>
    <w:rsid w:val="0001373C"/>
    <w:rsid w:val="000137B4"/>
    <w:rsid w:val="0001393A"/>
    <w:rsid w:val="00013C29"/>
    <w:rsid w:val="00013C4B"/>
    <w:rsid w:val="00013E39"/>
    <w:rsid w:val="00013FD9"/>
    <w:rsid w:val="00014308"/>
    <w:rsid w:val="000144D1"/>
    <w:rsid w:val="000149C4"/>
    <w:rsid w:val="00014A54"/>
    <w:rsid w:val="00014EB0"/>
    <w:rsid w:val="00014F2C"/>
    <w:rsid w:val="000151BC"/>
    <w:rsid w:val="000155DD"/>
    <w:rsid w:val="000157B4"/>
    <w:rsid w:val="00016100"/>
    <w:rsid w:val="000161DD"/>
    <w:rsid w:val="000168F0"/>
    <w:rsid w:val="00016A64"/>
    <w:rsid w:val="00016D93"/>
    <w:rsid w:val="00016DA3"/>
    <w:rsid w:val="000170A5"/>
    <w:rsid w:val="000172CC"/>
    <w:rsid w:val="00017352"/>
    <w:rsid w:val="0001792B"/>
    <w:rsid w:val="00017ABB"/>
    <w:rsid w:val="00017D26"/>
    <w:rsid w:val="00017F45"/>
    <w:rsid w:val="00020025"/>
    <w:rsid w:val="000203D8"/>
    <w:rsid w:val="00020787"/>
    <w:rsid w:val="00020C8A"/>
    <w:rsid w:val="00020EFB"/>
    <w:rsid w:val="00020FC4"/>
    <w:rsid w:val="000212A9"/>
    <w:rsid w:val="0002162B"/>
    <w:rsid w:val="000216DC"/>
    <w:rsid w:val="00021756"/>
    <w:rsid w:val="00021D7C"/>
    <w:rsid w:val="00021D93"/>
    <w:rsid w:val="00021E29"/>
    <w:rsid w:val="00021F4E"/>
    <w:rsid w:val="000220EB"/>
    <w:rsid w:val="00022124"/>
    <w:rsid w:val="000223CA"/>
    <w:rsid w:val="00022552"/>
    <w:rsid w:val="00022586"/>
    <w:rsid w:val="00022BEA"/>
    <w:rsid w:val="00022E48"/>
    <w:rsid w:val="00022F73"/>
    <w:rsid w:val="00023605"/>
    <w:rsid w:val="0002362B"/>
    <w:rsid w:val="000237A8"/>
    <w:rsid w:val="000239EE"/>
    <w:rsid w:val="00023DDE"/>
    <w:rsid w:val="00024758"/>
    <w:rsid w:val="00024808"/>
    <w:rsid w:val="000248E0"/>
    <w:rsid w:val="00024F01"/>
    <w:rsid w:val="000251D3"/>
    <w:rsid w:val="0002531D"/>
    <w:rsid w:val="000255AC"/>
    <w:rsid w:val="00025609"/>
    <w:rsid w:val="00025AE6"/>
    <w:rsid w:val="00025B19"/>
    <w:rsid w:val="00025D10"/>
    <w:rsid w:val="00025E46"/>
    <w:rsid w:val="00025E79"/>
    <w:rsid w:val="000261F7"/>
    <w:rsid w:val="00026299"/>
    <w:rsid w:val="0002687F"/>
    <w:rsid w:val="000268C8"/>
    <w:rsid w:val="00026AE2"/>
    <w:rsid w:val="00026DBD"/>
    <w:rsid w:val="00026FE9"/>
    <w:rsid w:val="0002701A"/>
    <w:rsid w:val="00027E25"/>
    <w:rsid w:val="00027FCB"/>
    <w:rsid w:val="000302FE"/>
    <w:rsid w:val="000303B8"/>
    <w:rsid w:val="00030448"/>
    <w:rsid w:val="0003047C"/>
    <w:rsid w:val="000304C0"/>
    <w:rsid w:val="0003096B"/>
    <w:rsid w:val="00030ACF"/>
    <w:rsid w:val="00030C22"/>
    <w:rsid w:val="00030DC8"/>
    <w:rsid w:val="000312D1"/>
    <w:rsid w:val="00031308"/>
    <w:rsid w:val="0003138A"/>
    <w:rsid w:val="0003161F"/>
    <w:rsid w:val="000316A2"/>
    <w:rsid w:val="00031816"/>
    <w:rsid w:val="00031B10"/>
    <w:rsid w:val="00031B89"/>
    <w:rsid w:val="00031D1E"/>
    <w:rsid w:val="00032010"/>
    <w:rsid w:val="000325C4"/>
    <w:rsid w:val="00032693"/>
    <w:rsid w:val="0003274F"/>
    <w:rsid w:val="000329CB"/>
    <w:rsid w:val="00032A25"/>
    <w:rsid w:val="00032AB3"/>
    <w:rsid w:val="00032BE6"/>
    <w:rsid w:val="00033005"/>
    <w:rsid w:val="0003342A"/>
    <w:rsid w:val="0003372B"/>
    <w:rsid w:val="000338A5"/>
    <w:rsid w:val="00033D7C"/>
    <w:rsid w:val="00034BEE"/>
    <w:rsid w:val="000352C3"/>
    <w:rsid w:val="000353F1"/>
    <w:rsid w:val="0003593B"/>
    <w:rsid w:val="00035A92"/>
    <w:rsid w:val="00035C10"/>
    <w:rsid w:val="0003613C"/>
    <w:rsid w:val="000361AC"/>
    <w:rsid w:val="00036309"/>
    <w:rsid w:val="0003633C"/>
    <w:rsid w:val="00036557"/>
    <w:rsid w:val="00036589"/>
    <w:rsid w:val="0003667E"/>
    <w:rsid w:val="0003668D"/>
    <w:rsid w:val="00036804"/>
    <w:rsid w:val="00036815"/>
    <w:rsid w:val="000374ED"/>
    <w:rsid w:val="00037A14"/>
    <w:rsid w:val="00037A3A"/>
    <w:rsid w:val="00037A7B"/>
    <w:rsid w:val="00037B14"/>
    <w:rsid w:val="00037C48"/>
    <w:rsid w:val="00037C62"/>
    <w:rsid w:val="00037CB3"/>
    <w:rsid w:val="00037CB6"/>
    <w:rsid w:val="00037D46"/>
    <w:rsid w:val="000401C4"/>
    <w:rsid w:val="000401C7"/>
    <w:rsid w:val="0004035D"/>
    <w:rsid w:val="0004044B"/>
    <w:rsid w:val="00040563"/>
    <w:rsid w:val="00040599"/>
    <w:rsid w:val="00040653"/>
    <w:rsid w:val="00040694"/>
    <w:rsid w:val="00040717"/>
    <w:rsid w:val="00040D7C"/>
    <w:rsid w:val="00040D91"/>
    <w:rsid w:val="00040DD6"/>
    <w:rsid w:val="00040FCC"/>
    <w:rsid w:val="000410EB"/>
    <w:rsid w:val="00041307"/>
    <w:rsid w:val="00041336"/>
    <w:rsid w:val="0004134A"/>
    <w:rsid w:val="000414E9"/>
    <w:rsid w:val="00041B53"/>
    <w:rsid w:val="00041C61"/>
    <w:rsid w:val="00041D7F"/>
    <w:rsid w:val="00041DFB"/>
    <w:rsid w:val="00042072"/>
    <w:rsid w:val="000422E3"/>
    <w:rsid w:val="000423D1"/>
    <w:rsid w:val="00042433"/>
    <w:rsid w:val="00042611"/>
    <w:rsid w:val="00042621"/>
    <w:rsid w:val="00042720"/>
    <w:rsid w:val="00042789"/>
    <w:rsid w:val="00042A7F"/>
    <w:rsid w:val="00042BEC"/>
    <w:rsid w:val="000430FF"/>
    <w:rsid w:val="00043200"/>
    <w:rsid w:val="0004320E"/>
    <w:rsid w:val="000432E9"/>
    <w:rsid w:val="00043989"/>
    <w:rsid w:val="00043CBE"/>
    <w:rsid w:val="000440A9"/>
    <w:rsid w:val="000444FA"/>
    <w:rsid w:val="00044804"/>
    <w:rsid w:val="00044B20"/>
    <w:rsid w:val="00044D17"/>
    <w:rsid w:val="0004531B"/>
    <w:rsid w:val="0004561A"/>
    <w:rsid w:val="000456F1"/>
    <w:rsid w:val="00045785"/>
    <w:rsid w:val="00045822"/>
    <w:rsid w:val="000458C7"/>
    <w:rsid w:val="00045909"/>
    <w:rsid w:val="00045B10"/>
    <w:rsid w:val="000462DE"/>
    <w:rsid w:val="00046356"/>
    <w:rsid w:val="00046776"/>
    <w:rsid w:val="00046CB5"/>
    <w:rsid w:val="00047097"/>
    <w:rsid w:val="000474B6"/>
    <w:rsid w:val="00047769"/>
    <w:rsid w:val="00047A4E"/>
    <w:rsid w:val="00047A5A"/>
    <w:rsid w:val="00047CC5"/>
    <w:rsid w:val="00047E07"/>
    <w:rsid w:val="00047E6A"/>
    <w:rsid w:val="0005000B"/>
    <w:rsid w:val="000503B8"/>
    <w:rsid w:val="00050681"/>
    <w:rsid w:val="00050840"/>
    <w:rsid w:val="000508C2"/>
    <w:rsid w:val="00050C9C"/>
    <w:rsid w:val="00050D79"/>
    <w:rsid w:val="00050E2D"/>
    <w:rsid w:val="0005124A"/>
    <w:rsid w:val="000513C0"/>
    <w:rsid w:val="00051406"/>
    <w:rsid w:val="000515ED"/>
    <w:rsid w:val="00051AD5"/>
    <w:rsid w:val="00051DEE"/>
    <w:rsid w:val="00051EE6"/>
    <w:rsid w:val="00051F86"/>
    <w:rsid w:val="0005228C"/>
    <w:rsid w:val="0005244D"/>
    <w:rsid w:val="00052510"/>
    <w:rsid w:val="00052569"/>
    <w:rsid w:val="00052ABC"/>
    <w:rsid w:val="00052E4D"/>
    <w:rsid w:val="000530F2"/>
    <w:rsid w:val="00053167"/>
    <w:rsid w:val="00053283"/>
    <w:rsid w:val="00053785"/>
    <w:rsid w:val="00053A82"/>
    <w:rsid w:val="00053B9F"/>
    <w:rsid w:val="00053F8E"/>
    <w:rsid w:val="00053FEB"/>
    <w:rsid w:val="00054226"/>
    <w:rsid w:val="00054294"/>
    <w:rsid w:val="00054371"/>
    <w:rsid w:val="00054614"/>
    <w:rsid w:val="000547BD"/>
    <w:rsid w:val="0005488C"/>
    <w:rsid w:val="00054ABD"/>
    <w:rsid w:val="00054E37"/>
    <w:rsid w:val="000554C3"/>
    <w:rsid w:val="000558CE"/>
    <w:rsid w:val="00055C1F"/>
    <w:rsid w:val="00055D9F"/>
    <w:rsid w:val="00055E5A"/>
    <w:rsid w:val="0005602D"/>
    <w:rsid w:val="0005608C"/>
    <w:rsid w:val="0005635F"/>
    <w:rsid w:val="00056435"/>
    <w:rsid w:val="00057221"/>
    <w:rsid w:val="00057234"/>
    <w:rsid w:val="000573A1"/>
    <w:rsid w:val="000577DD"/>
    <w:rsid w:val="000578AD"/>
    <w:rsid w:val="000579EA"/>
    <w:rsid w:val="00057B72"/>
    <w:rsid w:val="00060006"/>
    <w:rsid w:val="00060133"/>
    <w:rsid w:val="0006018D"/>
    <w:rsid w:val="0006037D"/>
    <w:rsid w:val="00060561"/>
    <w:rsid w:val="00060585"/>
    <w:rsid w:val="000605CF"/>
    <w:rsid w:val="00060998"/>
    <w:rsid w:val="00060C40"/>
    <w:rsid w:val="00060EBA"/>
    <w:rsid w:val="000611D6"/>
    <w:rsid w:val="00061478"/>
    <w:rsid w:val="000618E8"/>
    <w:rsid w:val="00061FF4"/>
    <w:rsid w:val="0006200D"/>
    <w:rsid w:val="000620CA"/>
    <w:rsid w:val="00062100"/>
    <w:rsid w:val="00062178"/>
    <w:rsid w:val="00062479"/>
    <w:rsid w:val="00062693"/>
    <w:rsid w:val="000628B4"/>
    <w:rsid w:val="00062C4C"/>
    <w:rsid w:val="00062D36"/>
    <w:rsid w:val="00062FB3"/>
    <w:rsid w:val="0006300A"/>
    <w:rsid w:val="000631D1"/>
    <w:rsid w:val="000632B2"/>
    <w:rsid w:val="000632C8"/>
    <w:rsid w:val="0006344A"/>
    <w:rsid w:val="0006347B"/>
    <w:rsid w:val="00063A73"/>
    <w:rsid w:val="00063C00"/>
    <w:rsid w:val="00063D1E"/>
    <w:rsid w:val="00064186"/>
    <w:rsid w:val="0006435A"/>
    <w:rsid w:val="00064A02"/>
    <w:rsid w:val="00064A82"/>
    <w:rsid w:val="00064E39"/>
    <w:rsid w:val="00064E65"/>
    <w:rsid w:val="0006500F"/>
    <w:rsid w:val="00065320"/>
    <w:rsid w:val="00065495"/>
    <w:rsid w:val="000657D9"/>
    <w:rsid w:val="0006598C"/>
    <w:rsid w:val="000659D7"/>
    <w:rsid w:val="00065D75"/>
    <w:rsid w:val="00066196"/>
    <w:rsid w:val="0006623B"/>
    <w:rsid w:val="0006627B"/>
    <w:rsid w:val="00066308"/>
    <w:rsid w:val="000664A3"/>
    <w:rsid w:val="0006670F"/>
    <w:rsid w:val="000667D2"/>
    <w:rsid w:val="000668DE"/>
    <w:rsid w:val="00066AAA"/>
    <w:rsid w:val="00066CE0"/>
    <w:rsid w:val="0006776B"/>
    <w:rsid w:val="00067D5D"/>
    <w:rsid w:val="00067F7D"/>
    <w:rsid w:val="00067F84"/>
    <w:rsid w:val="0007050F"/>
    <w:rsid w:val="00070686"/>
    <w:rsid w:val="00070C91"/>
    <w:rsid w:val="00070CE8"/>
    <w:rsid w:val="00071155"/>
    <w:rsid w:val="00071261"/>
    <w:rsid w:val="000712C8"/>
    <w:rsid w:val="00071673"/>
    <w:rsid w:val="00071702"/>
    <w:rsid w:val="0007171E"/>
    <w:rsid w:val="00071980"/>
    <w:rsid w:val="000719D3"/>
    <w:rsid w:val="0007205D"/>
    <w:rsid w:val="0007232B"/>
    <w:rsid w:val="000724EC"/>
    <w:rsid w:val="0007250B"/>
    <w:rsid w:val="00072816"/>
    <w:rsid w:val="00072AE4"/>
    <w:rsid w:val="00072B38"/>
    <w:rsid w:val="00072D0D"/>
    <w:rsid w:val="00073536"/>
    <w:rsid w:val="000736E2"/>
    <w:rsid w:val="000736E4"/>
    <w:rsid w:val="000738FC"/>
    <w:rsid w:val="00073A82"/>
    <w:rsid w:val="00073C96"/>
    <w:rsid w:val="00073D41"/>
    <w:rsid w:val="00073DC2"/>
    <w:rsid w:val="00073F45"/>
    <w:rsid w:val="00074310"/>
    <w:rsid w:val="0007444B"/>
    <w:rsid w:val="00074649"/>
    <w:rsid w:val="0007497D"/>
    <w:rsid w:val="00074A54"/>
    <w:rsid w:val="00074A89"/>
    <w:rsid w:val="00074A9A"/>
    <w:rsid w:val="00074F6C"/>
    <w:rsid w:val="00074F80"/>
    <w:rsid w:val="00075B40"/>
    <w:rsid w:val="00075E68"/>
    <w:rsid w:val="00075E74"/>
    <w:rsid w:val="00075F66"/>
    <w:rsid w:val="00076346"/>
    <w:rsid w:val="000765ED"/>
    <w:rsid w:val="000766BA"/>
    <w:rsid w:val="00076790"/>
    <w:rsid w:val="000768D7"/>
    <w:rsid w:val="00076B7D"/>
    <w:rsid w:val="00076BDF"/>
    <w:rsid w:val="00076D8E"/>
    <w:rsid w:val="00076EF5"/>
    <w:rsid w:val="00076F14"/>
    <w:rsid w:val="00077377"/>
    <w:rsid w:val="000774DD"/>
    <w:rsid w:val="000775E1"/>
    <w:rsid w:val="00077A2E"/>
    <w:rsid w:val="00077F83"/>
    <w:rsid w:val="00080097"/>
    <w:rsid w:val="0008009C"/>
    <w:rsid w:val="000801B5"/>
    <w:rsid w:val="000803E5"/>
    <w:rsid w:val="00080B11"/>
    <w:rsid w:val="00081078"/>
    <w:rsid w:val="000811CC"/>
    <w:rsid w:val="000813AF"/>
    <w:rsid w:val="0008144E"/>
    <w:rsid w:val="0008154A"/>
    <w:rsid w:val="00081685"/>
    <w:rsid w:val="00081922"/>
    <w:rsid w:val="00081960"/>
    <w:rsid w:val="00081B63"/>
    <w:rsid w:val="00081D7F"/>
    <w:rsid w:val="00081DF1"/>
    <w:rsid w:val="00082006"/>
    <w:rsid w:val="00082916"/>
    <w:rsid w:val="00082A7C"/>
    <w:rsid w:val="00082AA9"/>
    <w:rsid w:val="00082B44"/>
    <w:rsid w:val="00082B85"/>
    <w:rsid w:val="00082DAD"/>
    <w:rsid w:val="000830EC"/>
    <w:rsid w:val="00083189"/>
    <w:rsid w:val="0008331B"/>
    <w:rsid w:val="000833AA"/>
    <w:rsid w:val="00083404"/>
    <w:rsid w:val="00083538"/>
    <w:rsid w:val="000835C9"/>
    <w:rsid w:val="000837A6"/>
    <w:rsid w:val="000839B1"/>
    <w:rsid w:val="00083CE8"/>
    <w:rsid w:val="00083EB5"/>
    <w:rsid w:val="000846CF"/>
    <w:rsid w:val="00084719"/>
    <w:rsid w:val="0008496A"/>
    <w:rsid w:val="000849F9"/>
    <w:rsid w:val="00084F19"/>
    <w:rsid w:val="00084FD3"/>
    <w:rsid w:val="000850A6"/>
    <w:rsid w:val="000850E8"/>
    <w:rsid w:val="00085291"/>
    <w:rsid w:val="00085373"/>
    <w:rsid w:val="00085510"/>
    <w:rsid w:val="0008552F"/>
    <w:rsid w:val="000857DA"/>
    <w:rsid w:val="00085A3F"/>
    <w:rsid w:val="00086282"/>
    <w:rsid w:val="000862A0"/>
    <w:rsid w:val="000862E4"/>
    <w:rsid w:val="000862FB"/>
    <w:rsid w:val="000864F1"/>
    <w:rsid w:val="000867D3"/>
    <w:rsid w:val="000867F2"/>
    <w:rsid w:val="00086A6C"/>
    <w:rsid w:val="00086ACF"/>
    <w:rsid w:val="00086B4A"/>
    <w:rsid w:val="00086BED"/>
    <w:rsid w:val="00086D70"/>
    <w:rsid w:val="00086DCE"/>
    <w:rsid w:val="0008708B"/>
    <w:rsid w:val="00087228"/>
    <w:rsid w:val="000872A3"/>
    <w:rsid w:val="000872B9"/>
    <w:rsid w:val="00087449"/>
    <w:rsid w:val="00087A64"/>
    <w:rsid w:val="00087C3E"/>
    <w:rsid w:val="00087E01"/>
    <w:rsid w:val="00087EAC"/>
    <w:rsid w:val="00087EB4"/>
    <w:rsid w:val="00087ED1"/>
    <w:rsid w:val="00087F67"/>
    <w:rsid w:val="000902E9"/>
    <w:rsid w:val="00090359"/>
    <w:rsid w:val="00090412"/>
    <w:rsid w:val="0009060C"/>
    <w:rsid w:val="0009078A"/>
    <w:rsid w:val="00090A39"/>
    <w:rsid w:val="00090A9B"/>
    <w:rsid w:val="00090B77"/>
    <w:rsid w:val="00090C57"/>
    <w:rsid w:val="00090C60"/>
    <w:rsid w:val="00090F71"/>
    <w:rsid w:val="000913CB"/>
    <w:rsid w:val="000917D9"/>
    <w:rsid w:val="00091C38"/>
    <w:rsid w:val="00092299"/>
    <w:rsid w:val="0009235A"/>
    <w:rsid w:val="00092491"/>
    <w:rsid w:val="000925FB"/>
    <w:rsid w:val="0009267C"/>
    <w:rsid w:val="0009272E"/>
    <w:rsid w:val="000927B3"/>
    <w:rsid w:val="00092D8A"/>
    <w:rsid w:val="00092F6C"/>
    <w:rsid w:val="00093344"/>
    <w:rsid w:val="0009338E"/>
    <w:rsid w:val="00093565"/>
    <w:rsid w:val="000935BA"/>
    <w:rsid w:val="000935E3"/>
    <w:rsid w:val="000936E9"/>
    <w:rsid w:val="00093719"/>
    <w:rsid w:val="00093F4A"/>
    <w:rsid w:val="00093FCB"/>
    <w:rsid w:val="000940C2"/>
    <w:rsid w:val="000943A4"/>
    <w:rsid w:val="00094823"/>
    <w:rsid w:val="00094E9F"/>
    <w:rsid w:val="00094F3C"/>
    <w:rsid w:val="00095259"/>
    <w:rsid w:val="000952C2"/>
    <w:rsid w:val="000953E2"/>
    <w:rsid w:val="000954E0"/>
    <w:rsid w:val="00095759"/>
    <w:rsid w:val="000958BE"/>
    <w:rsid w:val="00095A3C"/>
    <w:rsid w:val="00095A59"/>
    <w:rsid w:val="00095A7A"/>
    <w:rsid w:val="00095AAA"/>
    <w:rsid w:val="00095FD8"/>
    <w:rsid w:val="000962AC"/>
    <w:rsid w:val="0009654B"/>
    <w:rsid w:val="00096594"/>
    <w:rsid w:val="00096B50"/>
    <w:rsid w:val="00096C19"/>
    <w:rsid w:val="00096C3F"/>
    <w:rsid w:val="000971F6"/>
    <w:rsid w:val="00097827"/>
    <w:rsid w:val="000979C4"/>
    <w:rsid w:val="00097C4B"/>
    <w:rsid w:val="00097E50"/>
    <w:rsid w:val="00097EB7"/>
    <w:rsid w:val="00097F3B"/>
    <w:rsid w:val="000A02CC"/>
    <w:rsid w:val="000A0514"/>
    <w:rsid w:val="000A066E"/>
    <w:rsid w:val="000A0B0C"/>
    <w:rsid w:val="000A0CEF"/>
    <w:rsid w:val="000A0EC1"/>
    <w:rsid w:val="000A0F54"/>
    <w:rsid w:val="000A12CF"/>
    <w:rsid w:val="000A16C1"/>
    <w:rsid w:val="000A1EBA"/>
    <w:rsid w:val="000A1F7E"/>
    <w:rsid w:val="000A20C6"/>
    <w:rsid w:val="000A2103"/>
    <w:rsid w:val="000A2313"/>
    <w:rsid w:val="000A2941"/>
    <w:rsid w:val="000A29C0"/>
    <w:rsid w:val="000A2E5B"/>
    <w:rsid w:val="000A2FCF"/>
    <w:rsid w:val="000A32FF"/>
    <w:rsid w:val="000A33C2"/>
    <w:rsid w:val="000A3516"/>
    <w:rsid w:val="000A357C"/>
    <w:rsid w:val="000A35D2"/>
    <w:rsid w:val="000A364D"/>
    <w:rsid w:val="000A3F60"/>
    <w:rsid w:val="000A40BF"/>
    <w:rsid w:val="000A4165"/>
    <w:rsid w:val="000A425B"/>
    <w:rsid w:val="000A4349"/>
    <w:rsid w:val="000A44CC"/>
    <w:rsid w:val="000A47A0"/>
    <w:rsid w:val="000A48BC"/>
    <w:rsid w:val="000A4938"/>
    <w:rsid w:val="000A4B6A"/>
    <w:rsid w:val="000A50DB"/>
    <w:rsid w:val="000A52E3"/>
    <w:rsid w:val="000A55E9"/>
    <w:rsid w:val="000A5905"/>
    <w:rsid w:val="000A5D03"/>
    <w:rsid w:val="000A60BC"/>
    <w:rsid w:val="000A60FB"/>
    <w:rsid w:val="000A642B"/>
    <w:rsid w:val="000A6456"/>
    <w:rsid w:val="000A6919"/>
    <w:rsid w:val="000A6A09"/>
    <w:rsid w:val="000A6A47"/>
    <w:rsid w:val="000A6EC2"/>
    <w:rsid w:val="000A6F1A"/>
    <w:rsid w:val="000A704F"/>
    <w:rsid w:val="000A786A"/>
    <w:rsid w:val="000A7C09"/>
    <w:rsid w:val="000B0290"/>
    <w:rsid w:val="000B0555"/>
    <w:rsid w:val="000B0583"/>
    <w:rsid w:val="000B05AD"/>
    <w:rsid w:val="000B088A"/>
    <w:rsid w:val="000B09D7"/>
    <w:rsid w:val="000B0C7D"/>
    <w:rsid w:val="000B0DDD"/>
    <w:rsid w:val="000B14BA"/>
    <w:rsid w:val="000B15B7"/>
    <w:rsid w:val="000B1855"/>
    <w:rsid w:val="000B1CCD"/>
    <w:rsid w:val="000B1ECB"/>
    <w:rsid w:val="000B1F02"/>
    <w:rsid w:val="000B1F97"/>
    <w:rsid w:val="000B2011"/>
    <w:rsid w:val="000B2067"/>
    <w:rsid w:val="000B223A"/>
    <w:rsid w:val="000B2742"/>
    <w:rsid w:val="000B2881"/>
    <w:rsid w:val="000B2C67"/>
    <w:rsid w:val="000B2DC4"/>
    <w:rsid w:val="000B2DD6"/>
    <w:rsid w:val="000B2FC9"/>
    <w:rsid w:val="000B310B"/>
    <w:rsid w:val="000B3332"/>
    <w:rsid w:val="000B359B"/>
    <w:rsid w:val="000B3B62"/>
    <w:rsid w:val="000B3F67"/>
    <w:rsid w:val="000B4245"/>
    <w:rsid w:val="000B46E2"/>
    <w:rsid w:val="000B4AFE"/>
    <w:rsid w:val="000B4EAF"/>
    <w:rsid w:val="000B50CC"/>
    <w:rsid w:val="000B5219"/>
    <w:rsid w:val="000B5464"/>
    <w:rsid w:val="000B5548"/>
    <w:rsid w:val="000B56C3"/>
    <w:rsid w:val="000B574F"/>
    <w:rsid w:val="000B5795"/>
    <w:rsid w:val="000B5C0C"/>
    <w:rsid w:val="000B5C40"/>
    <w:rsid w:val="000B5D77"/>
    <w:rsid w:val="000B6302"/>
    <w:rsid w:val="000B698A"/>
    <w:rsid w:val="000B6BC0"/>
    <w:rsid w:val="000B6C70"/>
    <w:rsid w:val="000B6DAE"/>
    <w:rsid w:val="000B73B7"/>
    <w:rsid w:val="000B73E4"/>
    <w:rsid w:val="000B769D"/>
    <w:rsid w:val="000B7776"/>
    <w:rsid w:val="000B7C3B"/>
    <w:rsid w:val="000B7DD9"/>
    <w:rsid w:val="000B7EC3"/>
    <w:rsid w:val="000C016D"/>
    <w:rsid w:val="000C039C"/>
    <w:rsid w:val="000C0533"/>
    <w:rsid w:val="000C05FE"/>
    <w:rsid w:val="000C0726"/>
    <w:rsid w:val="000C0D60"/>
    <w:rsid w:val="000C0E26"/>
    <w:rsid w:val="000C0F4B"/>
    <w:rsid w:val="000C12F0"/>
    <w:rsid w:val="000C14A8"/>
    <w:rsid w:val="000C1923"/>
    <w:rsid w:val="000C1A55"/>
    <w:rsid w:val="000C2076"/>
    <w:rsid w:val="000C20EB"/>
    <w:rsid w:val="000C22AB"/>
    <w:rsid w:val="000C23AB"/>
    <w:rsid w:val="000C25D6"/>
    <w:rsid w:val="000C272D"/>
    <w:rsid w:val="000C2876"/>
    <w:rsid w:val="000C2964"/>
    <w:rsid w:val="000C2B62"/>
    <w:rsid w:val="000C2CA9"/>
    <w:rsid w:val="000C2CD3"/>
    <w:rsid w:val="000C2D00"/>
    <w:rsid w:val="000C2D3B"/>
    <w:rsid w:val="000C313B"/>
    <w:rsid w:val="000C3808"/>
    <w:rsid w:val="000C387C"/>
    <w:rsid w:val="000C3D9A"/>
    <w:rsid w:val="000C3D9E"/>
    <w:rsid w:val="000C4292"/>
    <w:rsid w:val="000C4559"/>
    <w:rsid w:val="000C4B65"/>
    <w:rsid w:val="000C4CEB"/>
    <w:rsid w:val="000C4D5F"/>
    <w:rsid w:val="000C4F5E"/>
    <w:rsid w:val="000C5447"/>
    <w:rsid w:val="000C5468"/>
    <w:rsid w:val="000C56B0"/>
    <w:rsid w:val="000C5763"/>
    <w:rsid w:val="000C59FB"/>
    <w:rsid w:val="000C5BC0"/>
    <w:rsid w:val="000C5C9A"/>
    <w:rsid w:val="000C5E7F"/>
    <w:rsid w:val="000C5FA5"/>
    <w:rsid w:val="000C64E4"/>
    <w:rsid w:val="000C6500"/>
    <w:rsid w:val="000C6655"/>
    <w:rsid w:val="000C6704"/>
    <w:rsid w:val="000C67DF"/>
    <w:rsid w:val="000C6D0D"/>
    <w:rsid w:val="000C6D65"/>
    <w:rsid w:val="000C6EF9"/>
    <w:rsid w:val="000C6F2A"/>
    <w:rsid w:val="000C6F7C"/>
    <w:rsid w:val="000C6FE9"/>
    <w:rsid w:val="000C7451"/>
    <w:rsid w:val="000C756A"/>
    <w:rsid w:val="000C76EB"/>
    <w:rsid w:val="000C798F"/>
    <w:rsid w:val="000C7A86"/>
    <w:rsid w:val="000C7E21"/>
    <w:rsid w:val="000C7E22"/>
    <w:rsid w:val="000C7F2C"/>
    <w:rsid w:val="000D0599"/>
    <w:rsid w:val="000D06C0"/>
    <w:rsid w:val="000D0B3E"/>
    <w:rsid w:val="000D0B8A"/>
    <w:rsid w:val="000D0CD9"/>
    <w:rsid w:val="000D0DC8"/>
    <w:rsid w:val="000D136E"/>
    <w:rsid w:val="000D1496"/>
    <w:rsid w:val="000D1608"/>
    <w:rsid w:val="000D1A81"/>
    <w:rsid w:val="000D1AB4"/>
    <w:rsid w:val="000D1D3D"/>
    <w:rsid w:val="000D206F"/>
    <w:rsid w:val="000D2447"/>
    <w:rsid w:val="000D248E"/>
    <w:rsid w:val="000D2587"/>
    <w:rsid w:val="000D309D"/>
    <w:rsid w:val="000D321E"/>
    <w:rsid w:val="000D3527"/>
    <w:rsid w:val="000D3545"/>
    <w:rsid w:val="000D3802"/>
    <w:rsid w:val="000D3D4F"/>
    <w:rsid w:val="000D3DAF"/>
    <w:rsid w:val="000D3EDA"/>
    <w:rsid w:val="000D3F49"/>
    <w:rsid w:val="000D404E"/>
    <w:rsid w:val="000D4179"/>
    <w:rsid w:val="000D4279"/>
    <w:rsid w:val="000D42B1"/>
    <w:rsid w:val="000D4424"/>
    <w:rsid w:val="000D446C"/>
    <w:rsid w:val="000D447B"/>
    <w:rsid w:val="000D4A5F"/>
    <w:rsid w:val="000D4E0D"/>
    <w:rsid w:val="000D4F5E"/>
    <w:rsid w:val="000D5193"/>
    <w:rsid w:val="000D545E"/>
    <w:rsid w:val="000D550D"/>
    <w:rsid w:val="000D5554"/>
    <w:rsid w:val="000D56FB"/>
    <w:rsid w:val="000D57F2"/>
    <w:rsid w:val="000D5863"/>
    <w:rsid w:val="000D586C"/>
    <w:rsid w:val="000D5902"/>
    <w:rsid w:val="000D5E5B"/>
    <w:rsid w:val="000D61A2"/>
    <w:rsid w:val="000D637A"/>
    <w:rsid w:val="000D6563"/>
    <w:rsid w:val="000D671A"/>
    <w:rsid w:val="000D67C4"/>
    <w:rsid w:val="000D6C89"/>
    <w:rsid w:val="000D758C"/>
    <w:rsid w:val="000D7610"/>
    <w:rsid w:val="000D78E9"/>
    <w:rsid w:val="000D7A57"/>
    <w:rsid w:val="000D7ADC"/>
    <w:rsid w:val="000D7BAA"/>
    <w:rsid w:val="000D7DC2"/>
    <w:rsid w:val="000D7DDF"/>
    <w:rsid w:val="000D7EC4"/>
    <w:rsid w:val="000E00AD"/>
    <w:rsid w:val="000E01CE"/>
    <w:rsid w:val="000E02DE"/>
    <w:rsid w:val="000E045B"/>
    <w:rsid w:val="000E05A1"/>
    <w:rsid w:val="000E073F"/>
    <w:rsid w:val="000E07C1"/>
    <w:rsid w:val="000E096D"/>
    <w:rsid w:val="000E0A76"/>
    <w:rsid w:val="000E0C11"/>
    <w:rsid w:val="000E0E71"/>
    <w:rsid w:val="000E1283"/>
    <w:rsid w:val="000E145D"/>
    <w:rsid w:val="000E1C2F"/>
    <w:rsid w:val="000E1D7C"/>
    <w:rsid w:val="000E1F04"/>
    <w:rsid w:val="000E2047"/>
    <w:rsid w:val="000E23CF"/>
    <w:rsid w:val="000E2584"/>
    <w:rsid w:val="000E2657"/>
    <w:rsid w:val="000E2710"/>
    <w:rsid w:val="000E27B9"/>
    <w:rsid w:val="000E283B"/>
    <w:rsid w:val="000E28A3"/>
    <w:rsid w:val="000E29C7"/>
    <w:rsid w:val="000E2AFC"/>
    <w:rsid w:val="000E2DA1"/>
    <w:rsid w:val="000E2F10"/>
    <w:rsid w:val="000E2F3E"/>
    <w:rsid w:val="000E3006"/>
    <w:rsid w:val="000E312C"/>
    <w:rsid w:val="000E3753"/>
    <w:rsid w:val="000E3E92"/>
    <w:rsid w:val="000E43D7"/>
    <w:rsid w:val="000E4482"/>
    <w:rsid w:val="000E452A"/>
    <w:rsid w:val="000E475B"/>
    <w:rsid w:val="000E4C0F"/>
    <w:rsid w:val="000E4C95"/>
    <w:rsid w:val="000E506B"/>
    <w:rsid w:val="000E52A6"/>
    <w:rsid w:val="000E53D9"/>
    <w:rsid w:val="000E564E"/>
    <w:rsid w:val="000E564F"/>
    <w:rsid w:val="000E5650"/>
    <w:rsid w:val="000E56AA"/>
    <w:rsid w:val="000E5929"/>
    <w:rsid w:val="000E59D9"/>
    <w:rsid w:val="000E5A51"/>
    <w:rsid w:val="000E5A52"/>
    <w:rsid w:val="000E5DCE"/>
    <w:rsid w:val="000E5FA7"/>
    <w:rsid w:val="000E62BE"/>
    <w:rsid w:val="000E6719"/>
    <w:rsid w:val="000E67E9"/>
    <w:rsid w:val="000E6C46"/>
    <w:rsid w:val="000E6F02"/>
    <w:rsid w:val="000E7103"/>
    <w:rsid w:val="000E71A8"/>
    <w:rsid w:val="000E7259"/>
    <w:rsid w:val="000E7666"/>
    <w:rsid w:val="000E766D"/>
    <w:rsid w:val="000E7B19"/>
    <w:rsid w:val="000E7D0D"/>
    <w:rsid w:val="000E7D2C"/>
    <w:rsid w:val="000E7E85"/>
    <w:rsid w:val="000E7F32"/>
    <w:rsid w:val="000F01BA"/>
    <w:rsid w:val="000F022D"/>
    <w:rsid w:val="000F026C"/>
    <w:rsid w:val="000F047C"/>
    <w:rsid w:val="000F04AC"/>
    <w:rsid w:val="000F0688"/>
    <w:rsid w:val="000F08E0"/>
    <w:rsid w:val="000F0F54"/>
    <w:rsid w:val="000F0FAE"/>
    <w:rsid w:val="000F148F"/>
    <w:rsid w:val="000F17F1"/>
    <w:rsid w:val="000F189F"/>
    <w:rsid w:val="000F18FC"/>
    <w:rsid w:val="000F1BA7"/>
    <w:rsid w:val="000F1DEA"/>
    <w:rsid w:val="000F1EB1"/>
    <w:rsid w:val="000F2177"/>
    <w:rsid w:val="000F2277"/>
    <w:rsid w:val="000F2773"/>
    <w:rsid w:val="000F2BCC"/>
    <w:rsid w:val="000F2EA6"/>
    <w:rsid w:val="000F3136"/>
    <w:rsid w:val="000F39A6"/>
    <w:rsid w:val="000F4212"/>
    <w:rsid w:val="000F42DF"/>
    <w:rsid w:val="000F48B8"/>
    <w:rsid w:val="000F4927"/>
    <w:rsid w:val="000F4B93"/>
    <w:rsid w:val="000F4C76"/>
    <w:rsid w:val="000F4DAD"/>
    <w:rsid w:val="000F4F97"/>
    <w:rsid w:val="000F56A7"/>
    <w:rsid w:val="000F5B6F"/>
    <w:rsid w:val="000F5C9F"/>
    <w:rsid w:val="000F5D99"/>
    <w:rsid w:val="000F60B2"/>
    <w:rsid w:val="000F6CF2"/>
    <w:rsid w:val="000F6D5A"/>
    <w:rsid w:val="000F6D6A"/>
    <w:rsid w:val="000F6F5A"/>
    <w:rsid w:val="000F70C8"/>
    <w:rsid w:val="000F7640"/>
    <w:rsid w:val="000F76BB"/>
    <w:rsid w:val="000F7990"/>
    <w:rsid w:val="000F79CD"/>
    <w:rsid w:val="000F7C1F"/>
    <w:rsid w:val="000F7C5C"/>
    <w:rsid w:val="001001CD"/>
    <w:rsid w:val="00100340"/>
    <w:rsid w:val="001005CA"/>
    <w:rsid w:val="001007A4"/>
    <w:rsid w:val="001007B4"/>
    <w:rsid w:val="00100A6A"/>
    <w:rsid w:val="00100A79"/>
    <w:rsid w:val="00100AEA"/>
    <w:rsid w:val="00100FAB"/>
    <w:rsid w:val="00101025"/>
    <w:rsid w:val="0010102D"/>
    <w:rsid w:val="001010B0"/>
    <w:rsid w:val="00101158"/>
    <w:rsid w:val="00101321"/>
    <w:rsid w:val="001014F2"/>
    <w:rsid w:val="001016DA"/>
    <w:rsid w:val="00101A75"/>
    <w:rsid w:val="00101B54"/>
    <w:rsid w:val="00101D21"/>
    <w:rsid w:val="001024C1"/>
    <w:rsid w:val="001025AD"/>
    <w:rsid w:val="00102634"/>
    <w:rsid w:val="00102B38"/>
    <w:rsid w:val="00102C5F"/>
    <w:rsid w:val="00102CAE"/>
    <w:rsid w:val="00102F1F"/>
    <w:rsid w:val="00103248"/>
    <w:rsid w:val="00103445"/>
    <w:rsid w:val="00103577"/>
    <w:rsid w:val="001035EF"/>
    <w:rsid w:val="0010399A"/>
    <w:rsid w:val="001039C6"/>
    <w:rsid w:val="00103AFF"/>
    <w:rsid w:val="00103CC1"/>
    <w:rsid w:val="00103CDD"/>
    <w:rsid w:val="00103CF3"/>
    <w:rsid w:val="00103EA1"/>
    <w:rsid w:val="0010434F"/>
    <w:rsid w:val="001044AA"/>
    <w:rsid w:val="001047EE"/>
    <w:rsid w:val="00104AA4"/>
    <w:rsid w:val="00104E31"/>
    <w:rsid w:val="00105122"/>
    <w:rsid w:val="001052C6"/>
    <w:rsid w:val="00105313"/>
    <w:rsid w:val="00105971"/>
    <w:rsid w:val="00105AA3"/>
    <w:rsid w:val="00105B78"/>
    <w:rsid w:val="00105B8F"/>
    <w:rsid w:val="00105DAC"/>
    <w:rsid w:val="0010629F"/>
    <w:rsid w:val="001062F5"/>
    <w:rsid w:val="001064B2"/>
    <w:rsid w:val="00106568"/>
    <w:rsid w:val="00106A18"/>
    <w:rsid w:val="00107098"/>
    <w:rsid w:val="001072DA"/>
    <w:rsid w:val="00107478"/>
    <w:rsid w:val="00107B42"/>
    <w:rsid w:val="00107CCD"/>
    <w:rsid w:val="00107E8E"/>
    <w:rsid w:val="00110204"/>
    <w:rsid w:val="0011055C"/>
    <w:rsid w:val="001105B0"/>
    <w:rsid w:val="001106C4"/>
    <w:rsid w:val="0011071C"/>
    <w:rsid w:val="00110EBB"/>
    <w:rsid w:val="00110F7C"/>
    <w:rsid w:val="00111329"/>
    <w:rsid w:val="001116ED"/>
    <w:rsid w:val="00111828"/>
    <w:rsid w:val="00111BF7"/>
    <w:rsid w:val="00111C39"/>
    <w:rsid w:val="00111EF2"/>
    <w:rsid w:val="0011270B"/>
    <w:rsid w:val="0011270E"/>
    <w:rsid w:val="00112719"/>
    <w:rsid w:val="001129EE"/>
    <w:rsid w:val="00112CE6"/>
    <w:rsid w:val="00112D18"/>
    <w:rsid w:val="00112FFA"/>
    <w:rsid w:val="001130DF"/>
    <w:rsid w:val="001131BF"/>
    <w:rsid w:val="0011324F"/>
    <w:rsid w:val="001133D3"/>
    <w:rsid w:val="0011368C"/>
    <w:rsid w:val="001137E8"/>
    <w:rsid w:val="00113A0D"/>
    <w:rsid w:val="00113AFF"/>
    <w:rsid w:val="00114004"/>
    <w:rsid w:val="001140C8"/>
    <w:rsid w:val="00114170"/>
    <w:rsid w:val="0011465F"/>
    <w:rsid w:val="00114A87"/>
    <w:rsid w:val="00114B92"/>
    <w:rsid w:val="00114BB0"/>
    <w:rsid w:val="001153E0"/>
    <w:rsid w:val="00115578"/>
    <w:rsid w:val="00115677"/>
    <w:rsid w:val="0011583E"/>
    <w:rsid w:val="001158D4"/>
    <w:rsid w:val="00115B4A"/>
    <w:rsid w:val="00115B93"/>
    <w:rsid w:val="00115DD2"/>
    <w:rsid w:val="00115E11"/>
    <w:rsid w:val="00115F5B"/>
    <w:rsid w:val="00116404"/>
    <w:rsid w:val="00116479"/>
    <w:rsid w:val="00116531"/>
    <w:rsid w:val="00116B2F"/>
    <w:rsid w:val="00116D86"/>
    <w:rsid w:val="00116E20"/>
    <w:rsid w:val="00117362"/>
    <w:rsid w:val="0011759E"/>
    <w:rsid w:val="0011772C"/>
    <w:rsid w:val="001178CD"/>
    <w:rsid w:val="00117C18"/>
    <w:rsid w:val="00117CD8"/>
    <w:rsid w:val="00117D76"/>
    <w:rsid w:val="0012013C"/>
    <w:rsid w:val="001205C7"/>
    <w:rsid w:val="001206CE"/>
    <w:rsid w:val="001207BA"/>
    <w:rsid w:val="001208FA"/>
    <w:rsid w:val="00120BCB"/>
    <w:rsid w:val="00120ED9"/>
    <w:rsid w:val="00121105"/>
    <w:rsid w:val="001211FC"/>
    <w:rsid w:val="00121247"/>
    <w:rsid w:val="00121360"/>
    <w:rsid w:val="001213D7"/>
    <w:rsid w:val="001213E2"/>
    <w:rsid w:val="00121521"/>
    <w:rsid w:val="0012186E"/>
    <w:rsid w:val="00121913"/>
    <w:rsid w:val="00121A5E"/>
    <w:rsid w:val="00121AC0"/>
    <w:rsid w:val="00121B1D"/>
    <w:rsid w:val="00121BAF"/>
    <w:rsid w:val="00121CB0"/>
    <w:rsid w:val="001220C9"/>
    <w:rsid w:val="00122461"/>
    <w:rsid w:val="001224FF"/>
    <w:rsid w:val="00122707"/>
    <w:rsid w:val="00122893"/>
    <w:rsid w:val="00122ECA"/>
    <w:rsid w:val="001235A3"/>
    <w:rsid w:val="00123625"/>
    <w:rsid w:val="00124100"/>
    <w:rsid w:val="0012415C"/>
    <w:rsid w:val="0012417D"/>
    <w:rsid w:val="0012434A"/>
    <w:rsid w:val="00124528"/>
    <w:rsid w:val="0012456D"/>
    <w:rsid w:val="0012471C"/>
    <w:rsid w:val="00124725"/>
    <w:rsid w:val="00124CAB"/>
    <w:rsid w:val="00124DA3"/>
    <w:rsid w:val="00125073"/>
    <w:rsid w:val="001251B0"/>
    <w:rsid w:val="00125332"/>
    <w:rsid w:val="00125335"/>
    <w:rsid w:val="0012562E"/>
    <w:rsid w:val="00125679"/>
    <w:rsid w:val="0012581B"/>
    <w:rsid w:val="001258D1"/>
    <w:rsid w:val="001258FE"/>
    <w:rsid w:val="00125A69"/>
    <w:rsid w:val="00125E90"/>
    <w:rsid w:val="00125FC7"/>
    <w:rsid w:val="0012636D"/>
    <w:rsid w:val="00126A8E"/>
    <w:rsid w:val="00126B0D"/>
    <w:rsid w:val="00126B65"/>
    <w:rsid w:val="001274FB"/>
    <w:rsid w:val="0012771F"/>
    <w:rsid w:val="00127B89"/>
    <w:rsid w:val="00127E02"/>
    <w:rsid w:val="001301E1"/>
    <w:rsid w:val="001302C4"/>
    <w:rsid w:val="0013045D"/>
    <w:rsid w:val="001304E2"/>
    <w:rsid w:val="00130771"/>
    <w:rsid w:val="00130B30"/>
    <w:rsid w:val="00130D20"/>
    <w:rsid w:val="001313CB"/>
    <w:rsid w:val="00131706"/>
    <w:rsid w:val="00131D50"/>
    <w:rsid w:val="00131EB4"/>
    <w:rsid w:val="00131FEA"/>
    <w:rsid w:val="00132037"/>
    <w:rsid w:val="001321BE"/>
    <w:rsid w:val="001322AC"/>
    <w:rsid w:val="00132382"/>
    <w:rsid w:val="001323C8"/>
    <w:rsid w:val="00132486"/>
    <w:rsid w:val="001329A3"/>
    <w:rsid w:val="00132EA8"/>
    <w:rsid w:val="00133177"/>
    <w:rsid w:val="001332A3"/>
    <w:rsid w:val="00133929"/>
    <w:rsid w:val="00133AC3"/>
    <w:rsid w:val="00133AC5"/>
    <w:rsid w:val="00133D0E"/>
    <w:rsid w:val="001345C3"/>
    <w:rsid w:val="001348EF"/>
    <w:rsid w:val="00134AAA"/>
    <w:rsid w:val="00134CA9"/>
    <w:rsid w:val="00134D60"/>
    <w:rsid w:val="00134F4B"/>
    <w:rsid w:val="00135050"/>
    <w:rsid w:val="00135301"/>
    <w:rsid w:val="001354F7"/>
    <w:rsid w:val="0013573B"/>
    <w:rsid w:val="0013583B"/>
    <w:rsid w:val="00135902"/>
    <w:rsid w:val="00135BC5"/>
    <w:rsid w:val="00135DDE"/>
    <w:rsid w:val="0013636D"/>
    <w:rsid w:val="0013656B"/>
    <w:rsid w:val="00136741"/>
    <w:rsid w:val="00136AA7"/>
    <w:rsid w:val="00136E00"/>
    <w:rsid w:val="0013726C"/>
    <w:rsid w:val="001373F4"/>
    <w:rsid w:val="00137539"/>
    <w:rsid w:val="001376BE"/>
    <w:rsid w:val="00137AB9"/>
    <w:rsid w:val="00137AF4"/>
    <w:rsid w:val="00137D56"/>
    <w:rsid w:val="00137E82"/>
    <w:rsid w:val="00137EEA"/>
    <w:rsid w:val="00137F42"/>
    <w:rsid w:val="001400FD"/>
    <w:rsid w:val="001401D3"/>
    <w:rsid w:val="001402B4"/>
    <w:rsid w:val="00140388"/>
    <w:rsid w:val="00140682"/>
    <w:rsid w:val="0014081C"/>
    <w:rsid w:val="00140A2E"/>
    <w:rsid w:val="00140B03"/>
    <w:rsid w:val="00140F8F"/>
    <w:rsid w:val="00140FFC"/>
    <w:rsid w:val="00141529"/>
    <w:rsid w:val="001415AF"/>
    <w:rsid w:val="00141718"/>
    <w:rsid w:val="001417AB"/>
    <w:rsid w:val="00141DA5"/>
    <w:rsid w:val="00141E8B"/>
    <w:rsid w:val="001421F5"/>
    <w:rsid w:val="00142662"/>
    <w:rsid w:val="00142828"/>
    <w:rsid w:val="001428AA"/>
    <w:rsid w:val="00142A01"/>
    <w:rsid w:val="00142B64"/>
    <w:rsid w:val="00143020"/>
    <w:rsid w:val="00143503"/>
    <w:rsid w:val="001437EA"/>
    <w:rsid w:val="00143815"/>
    <w:rsid w:val="00144009"/>
    <w:rsid w:val="00144093"/>
    <w:rsid w:val="001443D4"/>
    <w:rsid w:val="0014473F"/>
    <w:rsid w:val="001449D9"/>
    <w:rsid w:val="00144CB7"/>
    <w:rsid w:val="00144D0C"/>
    <w:rsid w:val="00145193"/>
    <w:rsid w:val="001451E1"/>
    <w:rsid w:val="001452D6"/>
    <w:rsid w:val="0014578D"/>
    <w:rsid w:val="00145C48"/>
    <w:rsid w:val="00145DDF"/>
    <w:rsid w:val="00145E52"/>
    <w:rsid w:val="0014634E"/>
    <w:rsid w:val="001464CA"/>
    <w:rsid w:val="001464F8"/>
    <w:rsid w:val="001465B0"/>
    <w:rsid w:val="00146704"/>
    <w:rsid w:val="0014676D"/>
    <w:rsid w:val="00146817"/>
    <w:rsid w:val="00146BDC"/>
    <w:rsid w:val="001471B9"/>
    <w:rsid w:val="001479F1"/>
    <w:rsid w:val="00147BC6"/>
    <w:rsid w:val="00147C5C"/>
    <w:rsid w:val="00147D02"/>
    <w:rsid w:val="00147DB5"/>
    <w:rsid w:val="001500ED"/>
    <w:rsid w:val="00150501"/>
    <w:rsid w:val="001506B6"/>
    <w:rsid w:val="00150B8A"/>
    <w:rsid w:val="001511E6"/>
    <w:rsid w:val="001512B7"/>
    <w:rsid w:val="001512D4"/>
    <w:rsid w:val="00151453"/>
    <w:rsid w:val="0015155B"/>
    <w:rsid w:val="001515AE"/>
    <w:rsid w:val="0015170D"/>
    <w:rsid w:val="00151B1B"/>
    <w:rsid w:val="00151B8A"/>
    <w:rsid w:val="00151DC9"/>
    <w:rsid w:val="00151FB2"/>
    <w:rsid w:val="001522CC"/>
    <w:rsid w:val="00152660"/>
    <w:rsid w:val="00152D5E"/>
    <w:rsid w:val="001531D6"/>
    <w:rsid w:val="001532CC"/>
    <w:rsid w:val="00153307"/>
    <w:rsid w:val="00153750"/>
    <w:rsid w:val="0015379B"/>
    <w:rsid w:val="001537AE"/>
    <w:rsid w:val="00153AAA"/>
    <w:rsid w:val="00153AAF"/>
    <w:rsid w:val="00153AE7"/>
    <w:rsid w:val="00153B58"/>
    <w:rsid w:val="00153C00"/>
    <w:rsid w:val="001540B8"/>
    <w:rsid w:val="001540DD"/>
    <w:rsid w:val="0015453B"/>
    <w:rsid w:val="0015453F"/>
    <w:rsid w:val="001545EC"/>
    <w:rsid w:val="00154B65"/>
    <w:rsid w:val="00154B84"/>
    <w:rsid w:val="00154BD3"/>
    <w:rsid w:val="00154C82"/>
    <w:rsid w:val="00154D2B"/>
    <w:rsid w:val="00154DBD"/>
    <w:rsid w:val="00154E8B"/>
    <w:rsid w:val="00154EE9"/>
    <w:rsid w:val="00155068"/>
    <w:rsid w:val="00155222"/>
    <w:rsid w:val="00155532"/>
    <w:rsid w:val="001558C3"/>
    <w:rsid w:val="00155CC9"/>
    <w:rsid w:val="00155FA9"/>
    <w:rsid w:val="00156445"/>
    <w:rsid w:val="00156521"/>
    <w:rsid w:val="001566BB"/>
    <w:rsid w:val="00156722"/>
    <w:rsid w:val="00156751"/>
    <w:rsid w:val="001567F6"/>
    <w:rsid w:val="00156BA8"/>
    <w:rsid w:val="00156E43"/>
    <w:rsid w:val="00156F81"/>
    <w:rsid w:val="00157029"/>
    <w:rsid w:val="00157095"/>
    <w:rsid w:val="00157234"/>
    <w:rsid w:val="00157548"/>
    <w:rsid w:val="00157578"/>
    <w:rsid w:val="0015786F"/>
    <w:rsid w:val="00157AAC"/>
    <w:rsid w:val="00157D6F"/>
    <w:rsid w:val="00160149"/>
    <w:rsid w:val="00160174"/>
    <w:rsid w:val="00160316"/>
    <w:rsid w:val="001604C2"/>
    <w:rsid w:val="001606CF"/>
    <w:rsid w:val="0016077C"/>
    <w:rsid w:val="001608CC"/>
    <w:rsid w:val="00160B1B"/>
    <w:rsid w:val="00160DF7"/>
    <w:rsid w:val="00160DFD"/>
    <w:rsid w:val="00160F24"/>
    <w:rsid w:val="00161403"/>
    <w:rsid w:val="0016190A"/>
    <w:rsid w:val="00161917"/>
    <w:rsid w:val="00161B45"/>
    <w:rsid w:val="00161D92"/>
    <w:rsid w:val="00161EB5"/>
    <w:rsid w:val="00162019"/>
    <w:rsid w:val="00162160"/>
    <w:rsid w:val="001621DC"/>
    <w:rsid w:val="00162239"/>
    <w:rsid w:val="00162370"/>
    <w:rsid w:val="00162518"/>
    <w:rsid w:val="00162DB0"/>
    <w:rsid w:val="00163116"/>
    <w:rsid w:val="00163184"/>
    <w:rsid w:val="00163201"/>
    <w:rsid w:val="001633E7"/>
    <w:rsid w:val="001634A6"/>
    <w:rsid w:val="00163703"/>
    <w:rsid w:val="00163920"/>
    <w:rsid w:val="001639A3"/>
    <w:rsid w:val="00163CC6"/>
    <w:rsid w:val="00163D96"/>
    <w:rsid w:val="00163ED2"/>
    <w:rsid w:val="00163FE8"/>
    <w:rsid w:val="00164157"/>
    <w:rsid w:val="0016438D"/>
    <w:rsid w:val="00164768"/>
    <w:rsid w:val="001647C6"/>
    <w:rsid w:val="00164EFF"/>
    <w:rsid w:val="0016503F"/>
    <w:rsid w:val="001650D5"/>
    <w:rsid w:val="001651C3"/>
    <w:rsid w:val="0016522C"/>
    <w:rsid w:val="00165528"/>
    <w:rsid w:val="001659BE"/>
    <w:rsid w:val="00165B69"/>
    <w:rsid w:val="00165CCD"/>
    <w:rsid w:val="00166081"/>
    <w:rsid w:val="0016643B"/>
    <w:rsid w:val="001664B1"/>
    <w:rsid w:val="001668C5"/>
    <w:rsid w:val="001669B3"/>
    <w:rsid w:val="00166B15"/>
    <w:rsid w:val="00166C8D"/>
    <w:rsid w:val="00166C9A"/>
    <w:rsid w:val="00166CE5"/>
    <w:rsid w:val="00166E53"/>
    <w:rsid w:val="00166EC8"/>
    <w:rsid w:val="00166F5B"/>
    <w:rsid w:val="001670A7"/>
    <w:rsid w:val="0016735D"/>
    <w:rsid w:val="001673B3"/>
    <w:rsid w:val="00167951"/>
    <w:rsid w:val="00167BE5"/>
    <w:rsid w:val="0017006A"/>
    <w:rsid w:val="00170307"/>
    <w:rsid w:val="00170425"/>
    <w:rsid w:val="001704C3"/>
    <w:rsid w:val="001704FA"/>
    <w:rsid w:val="00170505"/>
    <w:rsid w:val="00170534"/>
    <w:rsid w:val="00170634"/>
    <w:rsid w:val="001708C4"/>
    <w:rsid w:val="00170A3A"/>
    <w:rsid w:val="00170E00"/>
    <w:rsid w:val="001710A3"/>
    <w:rsid w:val="001715A7"/>
    <w:rsid w:val="001717BE"/>
    <w:rsid w:val="001718AC"/>
    <w:rsid w:val="00171950"/>
    <w:rsid w:val="00171CD4"/>
    <w:rsid w:val="00171D46"/>
    <w:rsid w:val="00171F61"/>
    <w:rsid w:val="00172021"/>
    <w:rsid w:val="001720F0"/>
    <w:rsid w:val="0017246F"/>
    <w:rsid w:val="001727AA"/>
    <w:rsid w:val="001727DA"/>
    <w:rsid w:val="00172B6C"/>
    <w:rsid w:val="00172CF5"/>
    <w:rsid w:val="00172EFC"/>
    <w:rsid w:val="00172FC0"/>
    <w:rsid w:val="001730A4"/>
    <w:rsid w:val="00173255"/>
    <w:rsid w:val="001733B2"/>
    <w:rsid w:val="00173426"/>
    <w:rsid w:val="001735D0"/>
    <w:rsid w:val="00173624"/>
    <w:rsid w:val="0017373B"/>
    <w:rsid w:val="00173A84"/>
    <w:rsid w:val="00173AE1"/>
    <w:rsid w:val="00173BAE"/>
    <w:rsid w:val="00173BFF"/>
    <w:rsid w:val="00173E88"/>
    <w:rsid w:val="00173F44"/>
    <w:rsid w:val="00174036"/>
    <w:rsid w:val="001740CC"/>
    <w:rsid w:val="0017419A"/>
    <w:rsid w:val="001744BE"/>
    <w:rsid w:val="0017458D"/>
    <w:rsid w:val="001746E6"/>
    <w:rsid w:val="00174732"/>
    <w:rsid w:val="001749B4"/>
    <w:rsid w:val="00174C14"/>
    <w:rsid w:val="00175200"/>
    <w:rsid w:val="00175270"/>
    <w:rsid w:val="0017533B"/>
    <w:rsid w:val="0017557D"/>
    <w:rsid w:val="00175BCF"/>
    <w:rsid w:val="00175C76"/>
    <w:rsid w:val="00175D29"/>
    <w:rsid w:val="00175E51"/>
    <w:rsid w:val="001762EB"/>
    <w:rsid w:val="001763D5"/>
    <w:rsid w:val="001763FF"/>
    <w:rsid w:val="0017651C"/>
    <w:rsid w:val="00176607"/>
    <w:rsid w:val="00176693"/>
    <w:rsid w:val="001766B7"/>
    <w:rsid w:val="00176814"/>
    <w:rsid w:val="0017687C"/>
    <w:rsid w:val="00176C50"/>
    <w:rsid w:val="001771BB"/>
    <w:rsid w:val="00177330"/>
    <w:rsid w:val="001777D4"/>
    <w:rsid w:val="00177D88"/>
    <w:rsid w:val="001801D2"/>
    <w:rsid w:val="00180342"/>
    <w:rsid w:val="001804AD"/>
    <w:rsid w:val="001805E8"/>
    <w:rsid w:val="0018061F"/>
    <w:rsid w:val="00180679"/>
    <w:rsid w:val="00180712"/>
    <w:rsid w:val="00180807"/>
    <w:rsid w:val="001808BA"/>
    <w:rsid w:val="00180A0C"/>
    <w:rsid w:val="00180B6B"/>
    <w:rsid w:val="00180C2D"/>
    <w:rsid w:val="00180E50"/>
    <w:rsid w:val="00180F1F"/>
    <w:rsid w:val="00181551"/>
    <w:rsid w:val="0018165D"/>
    <w:rsid w:val="0018175E"/>
    <w:rsid w:val="0018197E"/>
    <w:rsid w:val="00181A73"/>
    <w:rsid w:val="00181AA6"/>
    <w:rsid w:val="00181ABE"/>
    <w:rsid w:val="00181BEA"/>
    <w:rsid w:val="00181C45"/>
    <w:rsid w:val="00181E62"/>
    <w:rsid w:val="00182118"/>
    <w:rsid w:val="00182176"/>
    <w:rsid w:val="001821CC"/>
    <w:rsid w:val="00182591"/>
    <w:rsid w:val="00182C1F"/>
    <w:rsid w:val="00182D34"/>
    <w:rsid w:val="00182EFA"/>
    <w:rsid w:val="00183206"/>
    <w:rsid w:val="001834F2"/>
    <w:rsid w:val="0018361F"/>
    <w:rsid w:val="00183902"/>
    <w:rsid w:val="00183CB7"/>
    <w:rsid w:val="00183E71"/>
    <w:rsid w:val="001841DF"/>
    <w:rsid w:val="001842D3"/>
    <w:rsid w:val="00184378"/>
    <w:rsid w:val="00184547"/>
    <w:rsid w:val="00184D05"/>
    <w:rsid w:val="00184E24"/>
    <w:rsid w:val="0018506F"/>
    <w:rsid w:val="001852D0"/>
    <w:rsid w:val="00185498"/>
    <w:rsid w:val="001854E6"/>
    <w:rsid w:val="0018559A"/>
    <w:rsid w:val="00185736"/>
    <w:rsid w:val="00185846"/>
    <w:rsid w:val="00185909"/>
    <w:rsid w:val="00185929"/>
    <w:rsid w:val="00185BDC"/>
    <w:rsid w:val="00185D12"/>
    <w:rsid w:val="00186670"/>
    <w:rsid w:val="001866A1"/>
    <w:rsid w:val="00186781"/>
    <w:rsid w:val="00186A72"/>
    <w:rsid w:val="00186BB8"/>
    <w:rsid w:val="00186BBF"/>
    <w:rsid w:val="0018729D"/>
    <w:rsid w:val="00187446"/>
    <w:rsid w:val="001874FE"/>
    <w:rsid w:val="0018768F"/>
    <w:rsid w:val="00187872"/>
    <w:rsid w:val="001878BE"/>
    <w:rsid w:val="001878D7"/>
    <w:rsid w:val="00187A19"/>
    <w:rsid w:val="00187A49"/>
    <w:rsid w:val="00187A66"/>
    <w:rsid w:val="00187A6D"/>
    <w:rsid w:val="00187B53"/>
    <w:rsid w:val="00187C08"/>
    <w:rsid w:val="001901A6"/>
    <w:rsid w:val="0019043F"/>
    <w:rsid w:val="00190899"/>
    <w:rsid w:val="00190B9D"/>
    <w:rsid w:val="00190D5A"/>
    <w:rsid w:val="00190DD3"/>
    <w:rsid w:val="001910A0"/>
    <w:rsid w:val="001917D6"/>
    <w:rsid w:val="0019188C"/>
    <w:rsid w:val="001919EC"/>
    <w:rsid w:val="00191B1D"/>
    <w:rsid w:val="00192130"/>
    <w:rsid w:val="00192767"/>
    <w:rsid w:val="00192829"/>
    <w:rsid w:val="001928EA"/>
    <w:rsid w:val="00192CFE"/>
    <w:rsid w:val="00192EFB"/>
    <w:rsid w:val="00192F82"/>
    <w:rsid w:val="00193190"/>
    <w:rsid w:val="001931B8"/>
    <w:rsid w:val="0019355B"/>
    <w:rsid w:val="00193857"/>
    <w:rsid w:val="001938E8"/>
    <w:rsid w:val="00193924"/>
    <w:rsid w:val="00193A97"/>
    <w:rsid w:val="00193BB7"/>
    <w:rsid w:val="00193DE6"/>
    <w:rsid w:val="0019408D"/>
    <w:rsid w:val="001942E5"/>
    <w:rsid w:val="001946F4"/>
    <w:rsid w:val="00194E5E"/>
    <w:rsid w:val="00194F38"/>
    <w:rsid w:val="00195026"/>
    <w:rsid w:val="001950CD"/>
    <w:rsid w:val="0019590E"/>
    <w:rsid w:val="001959A3"/>
    <w:rsid w:val="001959D2"/>
    <w:rsid w:val="001963EE"/>
    <w:rsid w:val="00196F4F"/>
    <w:rsid w:val="00196FD8"/>
    <w:rsid w:val="00196FE5"/>
    <w:rsid w:val="0019729D"/>
    <w:rsid w:val="001972A3"/>
    <w:rsid w:val="00197420"/>
    <w:rsid w:val="001975EF"/>
    <w:rsid w:val="001976AD"/>
    <w:rsid w:val="001A045A"/>
    <w:rsid w:val="001A04C4"/>
    <w:rsid w:val="001A0541"/>
    <w:rsid w:val="001A066B"/>
    <w:rsid w:val="001A06A2"/>
    <w:rsid w:val="001A0865"/>
    <w:rsid w:val="001A0909"/>
    <w:rsid w:val="001A0A26"/>
    <w:rsid w:val="001A0CB8"/>
    <w:rsid w:val="001A14E3"/>
    <w:rsid w:val="001A165F"/>
    <w:rsid w:val="001A1746"/>
    <w:rsid w:val="001A19A2"/>
    <w:rsid w:val="001A1B65"/>
    <w:rsid w:val="001A1CFE"/>
    <w:rsid w:val="001A2001"/>
    <w:rsid w:val="001A2021"/>
    <w:rsid w:val="001A249C"/>
    <w:rsid w:val="001A25C4"/>
    <w:rsid w:val="001A29A7"/>
    <w:rsid w:val="001A2AFB"/>
    <w:rsid w:val="001A2B61"/>
    <w:rsid w:val="001A2CF5"/>
    <w:rsid w:val="001A2E81"/>
    <w:rsid w:val="001A2F9A"/>
    <w:rsid w:val="001A33FA"/>
    <w:rsid w:val="001A344D"/>
    <w:rsid w:val="001A350A"/>
    <w:rsid w:val="001A3634"/>
    <w:rsid w:val="001A3714"/>
    <w:rsid w:val="001A3919"/>
    <w:rsid w:val="001A3B3A"/>
    <w:rsid w:val="001A3EDE"/>
    <w:rsid w:val="001A40B4"/>
    <w:rsid w:val="001A44E5"/>
    <w:rsid w:val="001A45CF"/>
    <w:rsid w:val="001A4909"/>
    <w:rsid w:val="001A4981"/>
    <w:rsid w:val="001A4B68"/>
    <w:rsid w:val="001A4E54"/>
    <w:rsid w:val="001A53C7"/>
    <w:rsid w:val="001A5581"/>
    <w:rsid w:val="001A5614"/>
    <w:rsid w:val="001A5930"/>
    <w:rsid w:val="001A5969"/>
    <w:rsid w:val="001A5C0D"/>
    <w:rsid w:val="001A5EF5"/>
    <w:rsid w:val="001A624C"/>
    <w:rsid w:val="001A6576"/>
    <w:rsid w:val="001A68CF"/>
    <w:rsid w:val="001A6B12"/>
    <w:rsid w:val="001A6BC2"/>
    <w:rsid w:val="001A6C5A"/>
    <w:rsid w:val="001A6C66"/>
    <w:rsid w:val="001A6DFE"/>
    <w:rsid w:val="001A6E94"/>
    <w:rsid w:val="001A6E97"/>
    <w:rsid w:val="001A6FB1"/>
    <w:rsid w:val="001A75A4"/>
    <w:rsid w:val="001A75F9"/>
    <w:rsid w:val="001A7DC8"/>
    <w:rsid w:val="001A7E78"/>
    <w:rsid w:val="001A7F14"/>
    <w:rsid w:val="001A7F8C"/>
    <w:rsid w:val="001A7FD1"/>
    <w:rsid w:val="001B0245"/>
    <w:rsid w:val="001B0287"/>
    <w:rsid w:val="001B0296"/>
    <w:rsid w:val="001B03CF"/>
    <w:rsid w:val="001B04F0"/>
    <w:rsid w:val="001B05FC"/>
    <w:rsid w:val="001B07BE"/>
    <w:rsid w:val="001B0873"/>
    <w:rsid w:val="001B0954"/>
    <w:rsid w:val="001B0C4D"/>
    <w:rsid w:val="001B0C7D"/>
    <w:rsid w:val="001B0F00"/>
    <w:rsid w:val="001B11CF"/>
    <w:rsid w:val="001B11E7"/>
    <w:rsid w:val="001B1C0D"/>
    <w:rsid w:val="001B1FE5"/>
    <w:rsid w:val="001B2101"/>
    <w:rsid w:val="001B21FD"/>
    <w:rsid w:val="001B2320"/>
    <w:rsid w:val="001B2418"/>
    <w:rsid w:val="001B2692"/>
    <w:rsid w:val="001B2A5C"/>
    <w:rsid w:val="001B2FFB"/>
    <w:rsid w:val="001B3134"/>
    <w:rsid w:val="001B3A76"/>
    <w:rsid w:val="001B3B6F"/>
    <w:rsid w:val="001B3CDD"/>
    <w:rsid w:val="001B3D7B"/>
    <w:rsid w:val="001B3FE7"/>
    <w:rsid w:val="001B4012"/>
    <w:rsid w:val="001B4024"/>
    <w:rsid w:val="001B40D5"/>
    <w:rsid w:val="001B436B"/>
    <w:rsid w:val="001B46D7"/>
    <w:rsid w:val="001B472F"/>
    <w:rsid w:val="001B4827"/>
    <w:rsid w:val="001B5426"/>
    <w:rsid w:val="001B56A3"/>
    <w:rsid w:val="001B59AA"/>
    <w:rsid w:val="001B5A7A"/>
    <w:rsid w:val="001B5B89"/>
    <w:rsid w:val="001B5C1C"/>
    <w:rsid w:val="001B5D27"/>
    <w:rsid w:val="001B5E91"/>
    <w:rsid w:val="001B5EA4"/>
    <w:rsid w:val="001B5EBB"/>
    <w:rsid w:val="001B6157"/>
    <w:rsid w:val="001B625D"/>
    <w:rsid w:val="001B62B9"/>
    <w:rsid w:val="001B6685"/>
    <w:rsid w:val="001B6A4D"/>
    <w:rsid w:val="001B6C97"/>
    <w:rsid w:val="001B6F44"/>
    <w:rsid w:val="001B7050"/>
    <w:rsid w:val="001B7329"/>
    <w:rsid w:val="001B744E"/>
    <w:rsid w:val="001B7684"/>
    <w:rsid w:val="001B7847"/>
    <w:rsid w:val="001B789A"/>
    <w:rsid w:val="001B7B1A"/>
    <w:rsid w:val="001B7B52"/>
    <w:rsid w:val="001B7E24"/>
    <w:rsid w:val="001B7EE1"/>
    <w:rsid w:val="001C0238"/>
    <w:rsid w:val="001C0348"/>
    <w:rsid w:val="001C0653"/>
    <w:rsid w:val="001C093B"/>
    <w:rsid w:val="001C1165"/>
    <w:rsid w:val="001C1606"/>
    <w:rsid w:val="001C1744"/>
    <w:rsid w:val="001C182E"/>
    <w:rsid w:val="001C1922"/>
    <w:rsid w:val="001C1DE9"/>
    <w:rsid w:val="001C2132"/>
    <w:rsid w:val="001C262C"/>
    <w:rsid w:val="001C266A"/>
    <w:rsid w:val="001C27C9"/>
    <w:rsid w:val="001C2999"/>
    <w:rsid w:val="001C29E8"/>
    <w:rsid w:val="001C2A55"/>
    <w:rsid w:val="001C2B94"/>
    <w:rsid w:val="001C2C81"/>
    <w:rsid w:val="001C2E9C"/>
    <w:rsid w:val="001C2F18"/>
    <w:rsid w:val="001C2F38"/>
    <w:rsid w:val="001C3050"/>
    <w:rsid w:val="001C305D"/>
    <w:rsid w:val="001C307A"/>
    <w:rsid w:val="001C3140"/>
    <w:rsid w:val="001C3255"/>
    <w:rsid w:val="001C33F2"/>
    <w:rsid w:val="001C39C6"/>
    <w:rsid w:val="001C3D08"/>
    <w:rsid w:val="001C3D2A"/>
    <w:rsid w:val="001C3D58"/>
    <w:rsid w:val="001C3DA4"/>
    <w:rsid w:val="001C4017"/>
    <w:rsid w:val="001C4024"/>
    <w:rsid w:val="001C4637"/>
    <w:rsid w:val="001C4713"/>
    <w:rsid w:val="001C4737"/>
    <w:rsid w:val="001C4804"/>
    <w:rsid w:val="001C4AB5"/>
    <w:rsid w:val="001C4D85"/>
    <w:rsid w:val="001C4DC6"/>
    <w:rsid w:val="001C50A0"/>
    <w:rsid w:val="001C50AD"/>
    <w:rsid w:val="001C5251"/>
    <w:rsid w:val="001C5318"/>
    <w:rsid w:val="001C5472"/>
    <w:rsid w:val="001C547E"/>
    <w:rsid w:val="001C5646"/>
    <w:rsid w:val="001C59EB"/>
    <w:rsid w:val="001C5CCF"/>
    <w:rsid w:val="001C5D49"/>
    <w:rsid w:val="001C5D71"/>
    <w:rsid w:val="001C5F40"/>
    <w:rsid w:val="001C5FC5"/>
    <w:rsid w:val="001C6034"/>
    <w:rsid w:val="001C65D3"/>
    <w:rsid w:val="001C6798"/>
    <w:rsid w:val="001C6AF7"/>
    <w:rsid w:val="001C6E8E"/>
    <w:rsid w:val="001C73FA"/>
    <w:rsid w:val="001C7723"/>
    <w:rsid w:val="001C774B"/>
    <w:rsid w:val="001C7AD9"/>
    <w:rsid w:val="001C7DC4"/>
    <w:rsid w:val="001C7F60"/>
    <w:rsid w:val="001C7FC9"/>
    <w:rsid w:val="001D02F9"/>
    <w:rsid w:val="001D036B"/>
    <w:rsid w:val="001D0488"/>
    <w:rsid w:val="001D04AC"/>
    <w:rsid w:val="001D0708"/>
    <w:rsid w:val="001D0742"/>
    <w:rsid w:val="001D07E3"/>
    <w:rsid w:val="001D0A6C"/>
    <w:rsid w:val="001D0BE6"/>
    <w:rsid w:val="001D0CD7"/>
    <w:rsid w:val="001D0E33"/>
    <w:rsid w:val="001D11BE"/>
    <w:rsid w:val="001D1246"/>
    <w:rsid w:val="001D1319"/>
    <w:rsid w:val="001D177C"/>
    <w:rsid w:val="001D1A0A"/>
    <w:rsid w:val="001D1CA8"/>
    <w:rsid w:val="001D1F0F"/>
    <w:rsid w:val="001D1F67"/>
    <w:rsid w:val="001D1F92"/>
    <w:rsid w:val="001D22C5"/>
    <w:rsid w:val="001D22FE"/>
    <w:rsid w:val="001D23A1"/>
    <w:rsid w:val="001D2404"/>
    <w:rsid w:val="001D24BD"/>
    <w:rsid w:val="001D2782"/>
    <w:rsid w:val="001D27F3"/>
    <w:rsid w:val="001D2A69"/>
    <w:rsid w:val="001D2BFF"/>
    <w:rsid w:val="001D2F0C"/>
    <w:rsid w:val="001D2F9E"/>
    <w:rsid w:val="001D3098"/>
    <w:rsid w:val="001D3727"/>
    <w:rsid w:val="001D39B6"/>
    <w:rsid w:val="001D3AC3"/>
    <w:rsid w:val="001D3B0F"/>
    <w:rsid w:val="001D3C79"/>
    <w:rsid w:val="001D3CDE"/>
    <w:rsid w:val="001D3DE5"/>
    <w:rsid w:val="001D3F12"/>
    <w:rsid w:val="001D400D"/>
    <w:rsid w:val="001D427F"/>
    <w:rsid w:val="001D4384"/>
    <w:rsid w:val="001D44AB"/>
    <w:rsid w:val="001D451E"/>
    <w:rsid w:val="001D452B"/>
    <w:rsid w:val="001D4833"/>
    <w:rsid w:val="001D4A36"/>
    <w:rsid w:val="001D4A63"/>
    <w:rsid w:val="001D4C44"/>
    <w:rsid w:val="001D4E41"/>
    <w:rsid w:val="001D4E76"/>
    <w:rsid w:val="001D5002"/>
    <w:rsid w:val="001D5105"/>
    <w:rsid w:val="001D5589"/>
    <w:rsid w:val="001D5637"/>
    <w:rsid w:val="001D57BE"/>
    <w:rsid w:val="001D5A2D"/>
    <w:rsid w:val="001D5B6D"/>
    <w:rsid w:val="001D5D3F"/>
    <w:rsid w:val="001D5F40"/>
    <w:rsid w:val="001D6168"/>
    <w:rsid w:val="001D6182"/>
    <w:rsid w:val="001D6441"/>
    <w:rsid w:val="001D6D9F"/>
    <w:rsid w:val="001D7154"/>
    <w:rsid w:val="001D7570"/>
    <w:rsid w:val="001D75C3"/>
    <w:rsid w:val="001D763A"/>
    <w:rsid w:val="001D782D"/>
    <w:rsid w:val="001D7E05"/>
    <w:rsid w:val="001D7F6B"/>
    <w:rsid w:val="001E0534"/>
    <w:rsid w:val="001E0AD7"/>
    <w:rsid w:val="001E0FB0"/>
    <w:rsid w:val="001E1084"/>
    <w:rsid w:val="001E10F8"/>
    <w:rsid w:val="001E16AB"/>
    <w:rsid w:val="001E1A6F"/>
    <w:rsid w:val="001E1A8F"/>
    <w:rsid w:val="001E1AB0"/>
    <w:rsid w:val="001E229F"/>
    <w:rsid w:val="001E260F"/>
    <w:rsid w:val="001E2828"/>
    <w:rsid w:val="001E2B93"/>
    <w:rsid w:val="001E2BA3"/>
    <w:rsid w:val="001E2C57"/>
    <w:rsid w:val="001E2E13"/>
    <w:rsid w:val="001E2F56"/>
    <w:rsid w:val="001E3391"/>
    <w:rsid w:val="001E3570"/>
    <w:rsid w:val="001E3B4B"/>
    <w:rsid w:val="001E3D34"/>
    <w:rsid w:val="001E3EEA"/>
    <w:rsid w:val="001E454F"/>
    <w:rsid w:val="001E46B5"/>
    <w:rsid w:val="001E48AA"/>
    <w:rsid w:val="001E4988"/>
    <w:rsid w:val="001E49B0"/>
    <w:rsid w:val="001E4C7A"/>
    <w:rsid w:val="001E4CB6"/>
    <w:rsid w:val="001E4CEA"/>
    <w:rsid w:val="001E4D85"/>
    <w:rsid w:val="001E4F69"/>
    <w:rsid w:val="001E5030"/>
    <w:rsid w:val="001E517C"/>
    <w:rsid w:val="001E5183"/>
    <w:rsid w:val="001E51D5"/>
    <w:rsid w:val="001E522B"/>
    <w:rsid w:val="001E553C"/>
    <w:rsid w:val="001E55A1"/>
    <w:rsid w:val="001E5701"/>
    <w:rsid w:val="001E5983"/>
    <w:rsid w:val="001E5AD2"/>
    <w:rsid w:val="001E60C8"/>
    <w:rsid w:val="001E60D4"/>
    <w:rsid w:val="001E624A"/>
    <w:rsid w:val="001E67B3"/>
    <w:rsid w:val="001E68D7"/>
    <w:rsid w:val="001E695A"/>
    <w:rsid w:val="001E6ABE"/>
    <w:rsid w:val="001E6D22"/>
    <w:rsid w:val="001E757F"/>
    <w:rsid w:val="001E7637"/>
    <w:rsid w:val="001E76F0"/>
    <w:rsid w:val="001E7775"/>
    <w:rsid w:val="001E7874"/>
    <w:rsid w:val="001E787F"/>
    <w:rsid w:val="001E7A02"/>
    <w:rsid w:val="001E7B03"/>
    <w:rsid w:val="001E7B42"/>
    <w:rsid w:val="001E7B6F"/>
    <w:rsid w:val="001E7C2C"/>
    <w:rsid w:val="001E7C50"/>
    <w:rsid w:val="001F0735"/>
    <w:rsid w:val="001F096E"/>
    <w:rsid w:val="001F0E35"/>
    <w:rsid w:val="001F1279"/>
    <w:rsid w:val="001F140F"/>
    <w:rsid w:val="001F1535"/>
    <w:rsid w:val="001F159E"/>
    <w:rsid w:val="001F15B9"/>
    <w:rsid w:val="001F162B"/>
    <w:rsid w:val="001F1CD6"/>
    <w:rsid w:val="001F2436"/>
    <w:rsid w:val="001F251D"/>
    <w:rsid w:val="001F2989"/>
    <w:rsid w:val="001F2B78"/>
    <w:rsid w:val="001F2F43"/>
    <w:rsid w:val="001F2FA8"/>
    <w:rsid w:val="001F316B"/>
    <w:rsid w:val="001F323D"/>
    <w:rsid w:val="001F3420"/>
    <w:rsid w:val="001F3730"/>
    <w:rsid w:val="001F3863"/>
    <w:rsid w:val="001F394C"/>
    <w:rsid w:val="001F3E24"/>
    <w:rsid w:val="001F4114"/>
    <w:rsid w:val="001F423E"/>
    <w:rsid w:val="001F4292"/>
    <w:rsid w:val="001F4429"/>
    <w:rsid w:val="001F4493"/>
    <w:rsid w:val="001F44E9"/>
    <w:rsid w:val="001F477E"/>
    <w:rsid w:val="001F49F3"/>
    <w:rsid w:val="001F4F43"/>
    <w:rsid w:val="001F4FB6"/>
    <w:rsid w:val="001F512A"/>
    <w:rsid w:val="001F5141"/>
    <w:rsid w:val="001F56F7"/>
    <w:rsid w:val="001F5969"/>
    <w:rsid w:val="001F5D38"/>
    <w:rsid w:val="001F5E17"/>
    <w:rsid w:val="001F5F1C"/>
    <w:rsid w:val="001F5F4E"/>
    <w:rsid w:val="001F5FCE"/>
    <w:rsid w:val="001F6247"/>
    <w:rsid w:val="001F65D5"/>
    <w:rsid w:val="001F6B0E"/>
    <w:rsid w:val="001F755C"/>
    <w:rsid w:val="001F75EC"/>
    <w:rsid w:val="001F7663"/>
    <w:rsid w:val="001F784B"/>
    <w:rsid w:val="001F7861"/>
    <w:rsid w:val="001F793A"/>
    <w:rsid w:val="001F7F0B"/>
    <w:rsid w:val="001F7F49"/>
    <w:rsid w:val="0020047A"/>
    <w:rsid w:val="00200545"/>
    <w:rsid w:val="0020054B"/>
    <w:rsid w:val="0020054D"/>
    <w:rsid w:val="002009AA"/>
    <w:rsid w:val="00200B8A"/>
    <w:rsid w:val="00200D92"/>
    <w:rsid w:val="00200DE3"/>
    <w:rsid w:val="00200E02"/>
    <w:rsid w:val="002013A3"/>
    <w:rsid w:val="00201666"/>
    <w:rsid w:val="00201743"/>
    <w:rsid w:val="00201809"/>
    <w:rsid w:val="00201BEB"/>
    <w:rsid w:val="00201E94"/>
    <w:rsid w:val="002020AF"/>
    <w:rsid w:val="002022BF"/>
    <w:rsid w:val="002023FE"/>
    <w:rsid w:val="00202AB9"/>
    <w:rsid w:val="00202DB0"/>
    <w:rsid w:val="002032AB"/>
    <w:rsid w:val="00203442"/>
    <w:rsid w:val="002035CD"/>
    <w:rsid w:val="0020386A"/>
    <w:rsid w:val="0020387E"/>
    <w:rsid w:val="00203900"/>
    <w:rsid w:val="00203969"/>
    <w:rsid w:val="002039F3"/>
    <w:rsid w:val="00203A5E"/>
    <w:rsid w:val="002041F0"/>
    <w:rsid w:val="00204383"/>
    <w:rsid w:val="00204399"/>
    <w:rsid w:val="0020496A"/>
    <w:rsid w:val="00204A06"/>
    <w:rsid w:val="00204B07"/>
    <w:rsid w:val="00204B9B"/>
    <w:rsid w:val="00204C55"/>
    <w:rsid w:val="00204DC5"/>
    <w:rsid w:val="00204ED7"/>
    <w:rsid w:val="00205157"/>
    <w:rsid w:val="002051E9"/>
    <w:rsid w:val="002053A0"/>
    <w:rsid w:val="00205495"/>
    <w:rsid w:val="002054BB"/>
    <w:rsid w:val="002054FD"/>
    <w:rsid w:val="0020551F"/>
    <w:rsid w:val="0020553A"/>
    <w:rsid w:val="002055F9"/>
    <w:rsid w:val="0020597D"/>
    <w:rsid w:val="00205C97"/>
    <w:rsid w:val="00205C9E"/>
    <w:rsid w:val="0020627E"/>
    <w:rsid w:val="00206499"/>
    <w:rsid w:val="002069C7"/>
    <w:rsid w:val="00206BC2"/>
    <w:rsid w:val="002073D4"/>
    <w:rsid w:val="00207622"/>
    <w:rsid w:val="002077F4"/>
    <w:rsid w:val="0020794A"/>
    <w:rsid w:val="002079AF"/>
    <w:rsid w:val="002079BF"/>
    <w:rsid w:val="0021023C"/>
    <w:rsid w:val="0021034F"/>
    <w:rsid w:val="00210582"/>
    <w:rsid w:val="002105E8"/>
    <w:rsid w:val="00210A02"/>
    <w:rsid w:val="00210A70"/>
    <w:rsid w:val="00210ADC"/>
    <w:rsid w:val="00210C7D"/>
    <w:rsid w:val="00210D23"/>
    <w:rsid w:val="00210F83"/>
    <w:rsid w:val="002110C5"/>
    <w:rsid w:val="0021175F"/>
    <w:rsid w:val="00211B85"/>
    <w:rsid w:val="002121EB"/>
    <w:rsid w:val="002122FE"/>
    <w:rsid w:val="002123F0"/>
    <w:rsid w:val="00212559"/>
    <w:rsid w:val="00212674"/>
    <w:rsid w:val="002127B2"/>
    <w:rsid w:val="002128EA"/>
    <w:rsid w:val="00212B1D"/>
    <w:rsid w:val="00212BD6"/>
    <w:rsid w:val="00212BF8"/>
    <w:rsid w:val="00212D8D"/>
    <w:rsid w:val="00212F4B"/>
    <w:rsid w:val="00213318"/>
    <w:rsid w:val="0021355F"/>
    <w:rsid w:val="00213909"/>
    <w:rsid w:val="00213947"/>
    <w:rsid w:val="00213ADE"/>
    <w:rsid w:val="00213C28"/>
    <w:rsid w:val="00213D65"/>
    <w:rsid w:val="00213F17"/>
    <w:rsid w:val="0021410C"/>
    <w:rsid w:val="00214134"/>
    <w:rsid w:val="00214274"/>
    <w:rsid w:val="00214418"/>
    <w:rsid w:val="0021455D"/>
    <w:rsid w:val="00214671"/>
    <w:rsid w:val="00214729"/>
    <w:rsid w:val="002147C8"/>
    <w:rsid w:val="00214CC5"/>
    <w:rsid w:val="00214CE3"/>
    <w:rsid w:val="00214D3B"/>
    <w:rsid w:val="00214E3F"/>
    <w:rsid w:val="00214EEF"/>
    <w:rsid w:val="00215ECF"/>
    <w:rsid w:val="00216053"/>
    <w:rsid w:val="00216181"/>
    <w:rsid w:val="00216264"/>
    <w:rsid w:val="0021678A"/>
    <w:rsid w:val="002169C0"/>
    <w:rsid w:val="00216A60"/>
    <w:rsid w:val="00216BB8"/>
    <w:rsid w:val="00216C28"/>
    <w:rsid w:val="00216CC1"/>
    <w:rsid w:val="00216D2F"/>
    <w:rsid w:val="002171DE"/>
    <w:rsid w:val="0021731C"/>
    <w:rsid w:val="002174AE"/>
    <w:rsid w:val="00217B41"/>
    <w:rsid w:val="00217B83"/>
    <w:rsid w:val="00217BEC"/>
    <w:rsid w:val="00217C61"/>
    <w:rsid w:val="00217D62"/>
    <w:rsid w:val="00217DC6"/>
    <w:rsid w:val="00220277"/>
    <w:rsid w:val="002202AF"/>
    <w:rsid w:val="00220525"/>
    <w:rsid w:val="00220578"/>
    <w:rsid w:val="0022081E"/>
    <w:rsid w:val="00220FC6"/>
    <w:rsid w:val="002218A1"/>
    <w:rsid w:val="00221A92"/>
    <w:rsid w:val="00221B38"/>
    <w:rsid w:val="00221FA7"/>
    <w:rsid w:val="00222093"/>
    <w:rsid w:val="00222360"/>
    <w:rsid w:val="002225A6"/>
    <w:rsid w:val="00222C0D"/>
    <w:rsid w:val="00222DB4"/>
    <w:rsid w:val="00223075"/>
    <w:rsid w:val="0022317E"/>
    <w:rsid w:val="00223222"/>
    <w:rsid w:val="00223236"/>
    <w:rsid w:val="002233A3"/>
    <w:rsid w:val="00223805"/>
    <w:rsid w:val="0022393E"/>
    <w:rsid w:val="002239E7"/>
    <w:rsid w:val="00223A86"/>
    <w:rsid w:val="00224302"/>
    <w:rsid w:val="0022430E"/>
    <w:rsid w:val="0022452B"/>
    <w:rsid w:val="00224732"/>
    <w:rsid w:val="00225247"/>
    <w:rsid w:val="0022536C"/>
    <w:rsid w:val="002253BD"/>
    <w:rsid w:val="002254CC"/>
    <w:rsid w:val="002257B4"/>
    <w:rsid w:val="00225C0E"/>
    <w:rsid w:val="00225D24"/>
    <w:rsid w:val="00225D53"/>
    <w:rsid w:val="00225F26"/>
    <w:rsid w:val="00225F55"/>
    <w:rsid w:val="00225FBE"/>
    <w:rsid w:val="002265EE"/>
    <w:rsid w:val="0022676A"/>
    <w:rsid w:val="0022693D"/>
    <w:rsid w:val="00226965"/>
    <w:rsid w:val="00226A6D"/>
    <w:rsid w:val="00226FB3"/>
    <w:rsid w:val="00227435"/>
    <w:rsid w:val="002276BE"/>
    <w:rsid w:val="00227B95"/>
    <w:rsid w:val="00227BE9"/>
    <w:rsid w:val="00227C2D"/>
    <w:rsid w:val="00227D65"/>
    <w:rsid w:val="00227E36"/>
    <w:rsid w:val="0023026F"/>
    <w:rsid w:val="00230512"/>
    <w:rsid w:val="00230607"/>
    <w:rsid w:val="00230AAC"/>
    <w:rsid w:val="00230FCA"/>
    <w:rsid w:val="0023119F"/>
    <w:rsid w:val="00231313"/>
    <w:rsid w:val="002315B8"/>
    <w:rsid w:val="002315B9"/>
    <w:rsid w:val="002315BC"/>
    <w:rsid w:val="002317A1"/>
    <w:rsid w:val="002317EF"/>
    <w:rsid w:val="00231C25"/>
    <w:rsid w:val="00231CD1"/>
    <w:rsid w:val="00231FE1"/>
    <w:rsid w:val="00232234"/>
    <w:rsid w:val="00232281"/>
    <w:rsid w:val="00232648"/>
    <w:rsid w:val="00232871"/>
    <w:rsid w:val="00232C3E"/>
    <w:rsid w:val="00232D93"/>
    <w:rsid w:val="002331C1"/>
    <w:rsid w:val="00233389"/>
    <w:rsid w:val="002333C4"/>
    <w:rsid w:val="0023366A"/>
    <w:rsid w:val="0023391B"/>
    <w:rsid w:val="00233987"/>
    <w:rsid w:val="00233A2A"/>
    <w:rsid w:val="00233AB4"/>
    <w:rsid w:val="00233F9E"/>
    <w:rsid w:val="00233FBA"/>
    <w:rsid w:val="00234068"/>
    <w:rsid w:val="00234477"/>
    <w:rsid w:val="002345C6"/>
    <w:rsid w:val="00234908"/>
    <w:rsid w:val="00234A67"/>
    <w:rsid w:val="00234B83"/>
    <w:rsid w:val="00234C30"/>
    <w:rsid w:val="00234EE5"/>
    <w:rsid w:val="00234EF4"/>
    <w:rsid w:val="00234FDA"/>
    <w:rsid w:val="002351EC"/>
    <w:rsid w:val="002352F9"/>
    <w:rsid w:val="00235D4C"/>
    <w:rsid w:val="00235D71"/>
    <w:rsid w:val="00235F52"/>
    <w:rsid w:val="002360B2"/>
    <w:rsid w:val="00236125"/>
    <w:rsid w:val="002361FE"/>
    <w:rsid w:val="00236226"/>
    <w:rsid w:val="0023622C"/>
    <w:rsid w:val="0023624D"/>
    <w:rsid w:val="002363EB"/>
    <w:rsid w:val="002363F1"/>
    <w:rsid w:val="002364B6"/>
    <w:rsid w:val="002365BC"/>
    <w:rsid w:val="00236726"/>
    <w:rsid w:val="00237018"/>
    <w:rsid w:val="00237203"/>
    <w:rsid w:val="0023723D"/>
    <w:rsid w:val="00237242"/>
    <w:rsid w:val="002372A4"/>
    <w:rsid w:val="002372DE"/>
    <w:rsid w:val="002374E1"/>
    <w:rsid w:val="0023774D"/>
    <w:rsid w:val="00237809"/>
    <w:rsid w:val="0023796C"/>
    <w:rsid w:val="00237A76"/>
    <w:rsid w:val="00237A7F"/>
    <w:rsid w:val="00237B60"/>
    <w:rsid w:val="00237BF6"/>
    <w:rsid w:val="00237DF2"/>
    <w:rsid w:val="00237E22"/>
    <w:rsid w:val="00237E6C"/>
    <w:rsid w:val="00240309"/>
    <w:rsid w:val="00240735"/>
    <w:rsid w:val="00240904"/>
    <w:rsid w:val="0024096D"/>
    <w:rsid w:val="00240CAD"/>
    <w:rsid w:val="0024128B"/>
    <w:rsid w:val="00241370"/>
    <w:rsid w:val="002413B4"/>
    <w:rsid w:val="0024159D"/>
    <w:rsid w:val="002418F9"/>
    <w:rsid w:val="00241EB7"/>
    <w:rsid w:val="00242405"/>
    <w:rsid w:val="002424A7"/>
    <w:rsid w:val="002426A8"/>
    <w:rsid w:val="00242786"/>
    <w:rsid w:val="00242816"/>
    <w:rsid w:val="00242A78"/>
    <w:rsid w:val="00242EA1"/>
    <w:rsid w:val="00242FAB"/>
    <w:rsid w:val="002435C4"/>
    <w:rsid w:val="00243612"/>
    <w:rsid w:val="00243AF7"/>
    <w:rsid w:val="00243B51"/>
    <w:rsid w:val="00243C7C"/>
    <w:rsid w:val="00244726"/>
    <w:rsid w:val="00244CA0"/>
    <w:rsid w:val="00244DC7"/>
    <w:rsid w:val="00244E6C"/>
    <w:rsid w:val="00244E76"/>
    <w:rsid w:val="00245071"/>
    <w:rsid w:val="002450E2"/>
    <w:rsid w:val="00245386"/>
    <w:rsid w:val="00245940"/>
    <w:rsid w:val="00245AFE"/>
    <w:rsid w:val="00245B36"/>
    <w:rsid w:val="0024688B"/>
    <w:rsid w:val="00246B70"/>
    <w:rsid w:val="00246B84"/>
    <w:rsid w:val="00246CD8"/>
    <w:rsid w:val="00246E01"/>
    <w:rsid w:val="00246F54"/>
    <w:rsid w:val="0024705C"/>
    <w:rsid w:val="0024761B"/>
    <w:rsid w:val="002476F4"/>
    <w:rsid w:val="00247BC7"/>
    <w:rsid w:val="00247D25"/>
    <w:rsid w:val="00250472"/>
    <w:rsid w:val="00250594"/>
    <w:rsid w:val="002506C4"/>
    <w:rsid w:val="00250809"/>
    <w:rsid w:val="0025087A"/>
    <w:rsid w:val="00250C94"/>
    <w:rsid w:val="00250C9B"/>
    <w:rsid w:val="0025102F"/>
    <w:rsid w:val="00251162"/>
    <w:rsid w:val="00251370"/>
    <w:rsid w:val="00251450"/>
    <w:rsid w:val="00251461"/>
    <w:rsid w:val="002514E0"/>
    <w:rsid w:val="002516A5"/>
    <w:rsid w:val="002516B4"/>
    <w:rsid w:val="002516E3"/>
    <w:rsid w:val="00251B0A"/>
    <w:rsid w:val="00251D95"/>
    <w:rsid w:val="00252086"/>
    <w:rsid w:val="00252431"/>
    <w:rsid w:val="0025265C"/>
    <w:rsid w:val="0025318D"/>
    <w:rsid w:val="00253926"/>
    <w:rsid w:val="00253B21"/>
    <w:rsid w:val="00253D1D"/>
    <w:rsid w:val="00253EE3"/>
    <w:rsid w:val="00254513"/>
    <w:rsid w:val="0025454A"/>
    <w:rsid w:val="002545D8"/>
    <w:rsid w:val="002545F0"/>
    <w:rsid w:val="00254753"/>
    <w:rsid w:val="00254761"/>
    <w:rsid w:val="002549A1"/>
    <w:rsid w:val="00254F4E"/>
    <w:rsid w:val="00255395"/>
    <w:rsid w:val="002556A1"/>
    <w:rsid w:val="002557F7"/>
    <w:rsid w:val="00255859"/>
    <w:rsid w:val="0025599E"/>
    <w:rsid w:val="00255DFF"/>
    <w:rsid w:val="00255F14"/>
    <w:rsid w:val="00255F66"/>
    <w:rsid w:val="002563EC"/>
    <w:rsid w:val="00256967"/>
    <w:rsid w:val="00256A51"/>
    <w:rsid w:val="00256E29"/>
    <w:rsid w:val="00256E4F"/>
    <w:rsid w:val="00257020"/>
    <w:rsid w:val="0025719D"/>
    <w:rsid w:val="00257428"/>
    <w:rsid w:val="00257495"/>
    <w:rsid w:val="00257501"/>
    <w:rsid w:val="0025777E"/>
    <w:rsid w:val="0025783C"/>
    <w:rsid w:val="0025794D"/>
    <w:rsid w:val="00257C41"/>
    <w:rsid w:val="00257D8D"/>
    <w:rsid w:val="0026004C"/>
    <w:rsid w:val="002602F8"/>
    <w:rsid w:val="0026036B"/>
    <w:rsid w:val="002603AC"/>
    <w:rsid w:val="00260438"/>
    <w:rsid w:val="00260454"/>
    <w:rsid w:val="0026045E"/>
    <w:rsid w:val="0026060F"/>
    <w:rsid w:val="002606EA"/>
    <w:rsid w:val="00260BEE"/>
    <w:rsid w:val="00260E27"/>
    <w:rsid w:val="00260F5E"/>
    <w:rsid w:val="00260F85"/>
    <w:rsid w:val="00260F9D"/>
    <w:rsid w:val="00260FA1"/>
    <w:rsid w:val="00261095"/>
    <w:rsid w:val="002612AD"/>
    <w:rsid w:val="00261926"/>
    <w:rsid w:val="00261934"/>
    <w:rsid w:val="00261A46"/>
    <w:rsid w:val="00261F06"/>
    <w:rsid w:val="00262057"/>
    <w:rsid w:val="00262317"/>
    <w:rsid w:val="002624DE"/>
    <w:rsid w:val="002625CD"/>
    <w:rsid w:val="002627E2"/>
    <w:rsid w:val="0026282E"/>
    <w:rsid w:val="00262ACD"/>
    <w:rsid w:val="00262C2F"/>
    <w:rsid w:val="00262C5B"/>
    <w:rsid w:val="00263420"/>
    <w:rsid w:val="00263632"/>
    <w:rsid w:val="00263925"/>
    <w:rsid w:val="0026412C"/>
    <w:rsid w:val="00264144"/>
    <w:rsid w:val="00264319"/>
    <w:rsid w:val="00264357"/>
    <w:rsid w:val="0026436B"/>
    <w:rsid w:val="00264450"/>
    <w:rsid w:val="00264507"/>
    <w:rsid w:val="00264576"/>
    <w:rsid w:val="002645FF"/>
    <w:rsid w:val="002646B4"/>
    <w:rsid w:val="0026492A"/>
    <w:rsid w:val="002649B6"/>
    <w:rsid w:val="00264A94"/>
    <w:rsid w:val="00264C40"/>
    <w:rsid w:val="00264C85"/>
    <w:rsid w:val="00264D64"/>
    <w:rsid w:val="00264EEB"/>
    <w:rsid w:val="00264F0B"/>
    <w:rsid w:val="00264F2A"/>
    <w:rsid w:val="00264FF9"/>
    <w:rsid w:val="0026504B"/>
    <w:rsid w:val="00265085"/>
    <w:rsid w:val="002650D3"/>
    <w:rsid w:val="002653F3"/>
    <w:rsid w:val="0026555C"/>
    <w:rsid w:val="00265C53"/>
    <w:rsid w:val="00265C6B"/>
    <w:rsid w:val="00265F05"/>
    <w:rsid w:val="00265FF5"/>
    <w:rsid w:val="002661C4"/>
    <w:rsid w:val="00266503"/>
    <w:rsid w:val="0026665D"/>
    <w:rsid w:val="00266768"/>
    <w:rsid w:val="00266A08"/>
    <w:rsid w:val="00266A2C"/>
    <w:rsid w:val="00266A2E"/>
    <w:rsid w:val="00266D57"/>
    <w:rsid w:val="00266DED"/>
    <w:rsid w:val="00266FAB"/>
    <w:rsid w:val="0026704E"/>
    <w:rsid w:val="0026711D"/>
    <w:rsid w:val="00267401"/>
    <w:rsid w:val="0026760B"/>
    <w:rsid w:val="00267973"/>
    <w:rsid w:val="00267BAF"/>
    <w:rsid w:val="00267D03"/>
    <w:rsid w:val="00267D17"/>
    <w:rsid w:val="00267DC9"/>
    <w:rsid w:val="00267E6C"/>
    <w:rsid w:val="00267F25"/>
    <w:rsid w:val="00270048"/>
    <w:rsid w:val="0027009D"/>
    <w:rsid w:val="002705CB"/>
    <w:rsid w:val="00270F62"/>
    <w:rsid w:val="00271171"/>
    <w:rsid w:val="0027122D"/>
    <w:rsid w:val="002712F9"/>
    <w:rsid w:val="0027130C"/>
    <w:rsid w:val="002713DF"/>
    <w:rsid w:val="002714BB"/>
    <w:rsid w:val="002714EC"/>
    <w:rsid w:val="00271675"/>
    <w:rsid w:val="0027190E"/>
    <w:rsid w:val="00271AA6"/>
    <w:rsid w:val="00271EF3"/>
    <w:rsid w:val="00272135"/>
    <w:rsid w:val="00272234"/>
    <w:rsid w:val="00272422"/>
    <w:rsid w:val="00272497"/>
    <w:rsid w:val="00272782"/>
    <w:rsid w:val="00272BA8"/>
    <w:rsid w:val="00272BC2"/>
    <w:rsid w:val="00272DF5"/>
    <w:rsid w:val="002731B1"/>
    <w:rsid w:val="0027337F"/>
    <w:rsid w:val="0027348E"/>
    <w:rsid w:val="0027364D"/>
    <w:rsid w:val="00273733"/>
    <w:rsid w:val="00273B19"/>
    <w:rsid w:val="00273D60"/>
    <w:rsid w:val="00273DBC"/>
    <w:rsid w:val="00273E59"/>
    <w:rsid w:val="00274308"/>
    <w:rsid w:val="002747D9"/>
    <w:rsid w:val="002748BB"/>
    <w:rsid w:val="00274904"/>
    <w:rsid w:val="00274B8F"/>
    <w:rsid w:val="00275BB3"/>
    <w:rsid w:val="00275CD9"/>
    <w:rsid w:val="00275D0D"/>
    <w:rsid w:val="00275EDC"/>
    <w:rsid w:val="00275F18"/>
    <w:rsid w:val="00275F1E"/>
    <w:rsid w:val="002760DC"/>
    <w:rsid w:val="002762ED"/>
    <w:rsid w:val="00276D77"/>
    <w:rsid w:val="00276FA2"/>
    <w:rsid w:val="00276FB1"/>
    <w:rsid w:val="00277203"/>
    <w:rsid w:val="00277377"/>
    <w:rsid w:val="002774B7"/>
    <w:rsid w:val="002774E4"/>
    <w:rsid w:val="0027755F"/>
    <w:rsid w:val="002777D6"/>
    <w:rsid w:val="0027797C"/>
    <w:rsid w:val="00277DCC"/>
    <w:rsid w:val="00277E48"/>
    <w:rsid w:val="00277EA8"/>
    <w:rsid w:val="0028083C"/>
    <w:rsid w:val="00280968"/>
    <w:rsid w:val="00280A37"/>
    <w:rsid w:val="00280AB2"/>
    <w:rsid w:val="00280AE0"/>
    <w:rsid w:val="00280CEE"/>
    <w:rsid w:val="00280FC2"/>
    <w:rsid w:val="0028114A"/>
    <w:rsid w:val="0028117E"/>
    <w:rsid w:val="002811F7"/>
    <w:rsid w:val="002812D6"/>
    <w:rsid w:val="0028148F"/>
    <w:rsid w:val="002816C2"/>
    <w:rsid w:val="00281896"/>
    <w:rsid w:val="00281A63"/>
    <w:rsid w:val="00281ACE"/>
    <w:rsid w:val="00281B2E"/>
    <w:rsid w:val="00281C5B"/>
    <w:rsid w:val="00281D14"/>
    <w:rsid w:val="00281D36"/>
    <w:rsid w:val="00281F4C"/>
    <w:rsid w:val="0028219F"/>
    <w:rsid w:val="002826A2"/>
    <w:rsid w:val="00282857"/>
    <w:rsid w:val="00282E28"/>
    <w:rsid w:val="0028310D"/>
    <w:rsid w:val="0028313F"/>
    <w:rsid w:val="0028319B"/>
    <w:rsid w:val="00283385"/>
    <w:rsid w:val="002833B5"/>
    <w:rsid w:val="002833D6"/>
    <w:rsid w:val="002835E4"/>
    <w:rsid w:val="002839EA"/>
    <w:rsid w:val="00283CD4"/>
    <w:rsid w:val="00284597"/>
    <w:rsid w:val="0028467B"/>
    <w:rsid w:val="002846A8"/>
    <w:rsid w:val="00284775"/>
    <w:rsid w:val="0028496D"/>
    <w:rsid w:val="00284C81"/>
    <w:rsid w:val="00284FB2"/>
    <w:rsid w:val="00285083"/>
    <w:rsid w:val="00285210"/>
    <w:rsid w:val="0028531B"/>
    <w:rsid w:val="002857D6"/>
    <w:rsid w:val="002857E6"/>
    <w:rsid w:val="00285CE0"/>
    <w:rsid w:val="00285E00"/>
    <w:rsid w:val="00285E89"/>
    <w:rsid w:val="0028641D"/>
    <w:rsid w:val="002864A9"/>
    <w:rsid w:val="0028681E"/>
    <w:rsid w:val="00286942"/>
    <w:rsid w:val="002869AF"/>
    <w:rsid w:val="00286B33"/>
    <w:rsid w:val="00286BE7"/>
    <w:rsid w:val="00286CAF"/>
    <w:rsid w:val="00286DC7"/>
    <w:rsid w:val="00286F38"/>
    <w:rsid w:val="00286F42"/>
    <w:rsid w:val="002870B8"/>
    <w:rsid w:val="00287277"/>
    <w:rsid w:val="002872D3"/>
    <w:rsid w:val="002875F9"/>
    <w:rsid w:val="00287BC7"/>
    <w:rsid w:val="0028EBC9"/>
    <w:rsid w:val="002900A6"/>
    <w:rsid w:val="002902ED"/>
    <w:rsid w:val="00290334"/>
    <w:rsid w:val="002908ED"/>
    <w:rsid w:val="002909E6"/>
    <w:rsid w:val="00290A9C"/>
    <w:rsid w:val="00290B3C"/>
    <w:rsid w:val="00290EE4"/>
    <w:rsid w:val="0029129A"/>
    <w:rsid w:val="002912D4"/>
    <w:rsid w:val="00291798"/>
    <w:rsid w:val="00292671"/>
    <w:rsid w:val="002926EA"/>
    <w:rsid w:val="0029326F"/>
    <w:rsid w:val="002932C1"/>
    <w:rsid w:val="002936DC"/>
    <w:rsid w:val="002937BB"/>
    <w:rsid w:val="00293821"/>
    <w:rsid w:val="002938A2"/>
    <w:rsid w:val="002939AE"/>
    <w:rsid w:val="00293C6E"/>
    <w:rsid w:val="00293DE4"/>
    <w:rsid w:val="002940A6"/>
    <w:rsid w:val="0029432F"/>
    <w:rsid w:val="00294353"/>
    <w:rsid w:val="002943EA"/>
    <w:rsid w:val="0029475A"/>
    <w:rsid w:val="0029493E"/>
    <w:rsid w:val="00294A55"/>
    <w:rsid w:val="00294AEB"/>
    <w:rsid w:val="00294E5D"/>
    <w:rsid w:val="00294EC3"/>
    <w:rsid w:val="0029502B"/>
    <w:rsid w:val="00295205"/>
    <w:rsid w:val="0029542B"/>
    <w:rsid w:val="00295437"/>
    <w:rsid w:val="002956C2"/>
    <w:rsid w:val="00295A9A"/>
    <w:rsid w:val="00295C5E"/>
    <w:rsid w:val="00295E95"/>
    <w:rsid w:val="00295FCF"/>
    <w:rsid w:val="002961A3"/>
    <w:rsid w:val="002961DF"/>
    <w:rsid w:val="0029635B"/>
    <w:rsid w:val="0029655A"/>
    <w:rsid w:val="00296949"/>
    <w:rsid w:val="00296C1C"/>
    <w:rsid w:val="0029730F"/>
    <w:rsid w:val="002975AB"/>
    <w:rsid w:val="002975B7"/>
    <w:rsid w:val="00297696"/>
    <w:rsid w:val="002979DA"/>
    <w:rsid w:val="002979EB"/>
    <w:rsid w:val="00297D0D"/>
    <w:rsid w:val="00297E1D"/>
    <w:rsid w:val="002A0959"/>
    <w:rsid w:val="002A09E2"/>
    <w:rsid w:val="002A0D23"/>
    <w:rsid w:val="002A0FA0"/>
    <w:rsid w:val="002A134A"/>
    <w:rsid w:val="002A1362"/>
    <w:rsid w:val="002A1436"/>
    <w:rsid w:val="002A146A"/>
    <w:rsid w:val="002A150B"/>
    <w:rsid w:val="002A1935"/>
    <w:rsid w:val="002A1C86"/>
    <w:rsid w:val="002A1DF2"/>
    <w:rsid w:val="002A1E22"/>
    <w:rsid w:val="002A1F91"/>
    <w:rsid w:val="002A2037"/>
    <w:rsid w:val="002A219B"/>
    <w:rsid w:val="002A21CA"/>
    <w:rsid w:val="002A2399"/>
    <w:rsid w:val="002A2422"/>
    <w:rsid w:val="002A2489"/>
    <w:rsid w:val="002A275A"/>
    <w:rsid w:val="002A29E1"/>
    <w:rsid w:val="002A2B0B"/>
    <w:rsid w:val="002A2B0C"/>
    <w:rsid w:val="002A2B2F"/>
    <w:rsid w:val="002A306D"/>
    <w:rsid w:val="002A30CE"/>
    <w:rsid w:val="002A3192"/>
    <w:rsid w:val="002A390B"/>
    <w:rsid w:val="002A3AF1"/>
    <w:rsid w:val="002A3B18"/>
    <w:rsid w:val="002A3B29"/>
    <w:rsid w:val="002A3C29"/>
    <w:rsid w:val="002A3C48"/>
    <w:rsid w:val="002A3DEF"/>
    <w:rsid w:val="002A3E2F"/>
    <w:rsid w:val="002A3FE7"/>
    <w:rsid w:val="002A42DC"/>
    <w:rsid w:val="002A4369"/>
    <w:rsid w:val="002A4492"/>
    <w:rsid w:val="002A44A1"/>
    <w:rsid w:val="002A44FF"/>
    <w:rsid w:val="002A472A"/>
    <w:rsid w:val="002A488A"/>
    <w:rsid w:val="002A4BF4"/>
    <w:rsid w:val="002A4E9C"/>
    <w:rsid w:val="002A501B"/>
    <w:rsid w:val="002A51A1"/>
    <w:rsid w:val="002A5366"/>
    <w:rsid w:val="002A53A9"/>
    <w:rsid w:val="002A53EB"/>
    <w:rsid w:val="002A58F9"/>
    <w:rsid w:val="002A59DA"/>
    <w:rsid w:val="002A5DB6"/>
    <w:rsid w:val="002A5E58"/>
    <w:rsid w:val="002A613D"/>
    <w:rsid w:val="002A615E"/>
    <w:rsid w:val="002A61E5"/>
    <w:rsid w:val="002A620F"/>
    <w:rsid w:val="002A6354"/>
    <w:rsid w:val="002A6614"/>
    <w:rsid w:val="002A6951"/>
    <w:rsid w:val="002A69CF"/>
    <w:rsid w:val="002A6F66"/>
    <w:rsid w:val="002A706F"/>
    <w:rsid w:val="002A7505"/>
    <w:rsid w:val="002A7637"/>
    <w:rsid w:val="002A79DF"/>
    <w:rsid w:val="002A7C8B"/>
    <w:rsid w:val="002A7ED1"/>
    <w:rsid w:val="002B0152"/>
    <w:rsid w:val="002B019A"/>
    <w:rsid w:val="002B0385"/>
    <w:rsid w:val="002B055E"/>
    <w:rsid w:val="002B094D"/>
    <w:rsid w:val="002B0AAC"/>
    <w:rsid w:val="002B0E2E"/>
    <w:rsid w:val="002B10D8"/>
    <w:rsid w:val="002B1347"/>
    <w:rsid w:val="002B13F8"/>
    <w:rsid w:val="002B14BC"/>
    <w:rsid w:val="002B15AE"/>
    <w:rsid w:val="002B16A2"/>
    <w:rsid w:val="002B1BE9"/>
    <w:rsid w:val="002B1BF5"/>
    <w:rsid w:val="002B1C6C"/>
    <w:rsid w:val="002B20EA"/>
    <w:rsid w:val="002B24DC"/>
    <w:rsid w:val="002B2589"/>
    <w:rsid w:val="002B3067"/>
    <w:rsid w:val="002B31CD"/>
    <w:rsid w:val="002B3401"/>
    <w:rsid w:val="002B389C"/>
    <w:rsid w:val="002B3B72"/>
    <w:rsid w:val="002B4489"/>
    <w:rsid w:val="002B4795"/>
    <w:rsid w:val="002B485B"/>
    <w:rsid w:val="002B490F"/>
    <w:rsid w:val="002B4BB4"/>
    <w:rsid w:val="002B502F"/>
    <w:rsid w:val="002B50E2"/>
    <w:rsid w:val="002B52C2"/>
    <w:rsid w:val="002B548E"/>
    <w:rsid w:val="002B568D"/>
    <w:rsid w:val="002B5960"/>
    <w:rsid w:val="002B5AEC"/>
    <w:rsid w:val="002B6018"/>
    <w:rsid w:val="002B6198"/>
    <w:rsid w:val="002B6353"/>
    <w:rsid w:val="002B63A4"/>
    <w:rsid w:val="002B64C5"/>
    <w:rsid w:val="002B67FD"/>
    <w:rsid w:val="002B6801"/>
    <w:rsid w:val="002B687A"/>
    <w:rsid w:val="002B6A8F"/>
    <w:rsid w:val="002B6B43"/>
    <w:rsid w:val="002B6B98"/>
    <w:rsid w:val="002B6CFE"/>
    <w:rsid w:val="002B6FFA"/>
    <w:rsid w:val="002B70C9"/>
    <w:rsid w:val="002B75C6"/>
    <w:rsid w:val="002B7A4D"/>
    <w:rsid w:val="002B7A4F"/>
    <w:rsid w:val="002B7AC3"/>
    <w:rsid w:val="002B7C24"/>
    <w:rsid w:val="002B7CC7"/>
    <w:rsid w:val="002B7EB3"/>
    <w:rsid w:val="002B7F08"/>
    <w:rsid w:val="002C02E3"/>
    <w:rsid w:val="002C0B4C"/>
    <w:rsid w:val="002C0B82"/>
    <w:rsid w:val="002C0E61"/>
    <w:rsid w:val="002C0E79"/>
    <w:rsid w:val="002C121C"/>
    <w:rsid w:val="002C1695"/>
    <w:rsid w:val="002C183F"/>
    <w:rsid w:val="002C1A0A"/>
    <w:rsid w:val="002C1BE5"/>
    <w:rsid w:val="002C1E23"/>
    <w:rsid w:val="002C1F5C"/>
    <w:rsid w:val="002C2220"/>
    <w:rsid w:val="002C2268"/>
    <w:rsid w:val="002C22B4"/>
    <w:rsid w:val="002C22E6"/>
    <w:rsid w:val="002C258D"/>
    <w:rsid w:val="002C25E0"/>
    <w:rsid w:val="002C2619"/>
    <w:rsid w:val="002C2B08"/>
    <w:rsid w:val="002C2FD2"/>
    <w:rsid w:val="002C3605"/>
    <w:rsid w:val="002C376A"/>
    <w:rsid w:val="002C3943"/>
    <w:rsid w:val="002C394E"/>
    <w:rsid w:val="002C3AD7"/>
    <w:rsid w:val="002C3B93"/>
    <w:rsid w:val="002C3C14"/>
    <w:rsid w:val="002C3DE3"/>
    <w:rsid w:val="002C3E72"/>
    <w:rsid w:val="002C4058"/>
    <w:rsid w:val="002C41CD"/>
    <w:rsid w:val="002C4262"/>
    <w:rsid w:val="002C4581"/>
    <w:rsid w:val="002C45EC"/>
    <w:rsid w:val="002C469F"/>
    <w:rsid w:val="002C47CE"/>
    <w:rsid w:val="002C4870"/>
    <w:rsid w:val="002C488A"/>
    <w:rsid w:val="002C4A77"/>
    <w:rsid w:val="002C4B38"/>
    <w:rsid w:val="002C4E0D"/>
    <w:rsid w:val="002C4F5E"/>
    <w:rsid w:val="002C546E"/>
    <w:rsid w:val="002C5696"/>
    <w:rsid w:val="002C57CB"/>
    <w:rsid w:val="002C58CF"/>
    <w:rsid w:val="002C5C7B"/>
    <w:rsid w:val="002C5D21"/>
    <w:rsid w:val="002C5F97"/>
    <w:rsid w:val="002C61CD"/>
    <w:rsid w:val="002C61FA"/>
    <w:rsid w:val="002C679B"/>
    <w:rsid w:val="002C68E6"/>
    <w:rsid w:val="002C68E9"/>
    <w:rsid w:val="002C6EEA"/>
    <w:rsid w:val="002C6F67"/>
    <w:rsid w:val="002C7B7C"/>
    <w:rsid w:val="002C7E8B"/>
    <w:rsid w:val="002C7E8D"/>
    <w:rsid w:val="002D04B6"/>
    <w:rsid w:val="002D072F"/>
    <w:rsid w:val="002D0967"/>
    <w:rsid w:val="002D0985"/>
    <w:rsid w:val="002D0B27"/>
    <w:rsid w:val="002D0BF4"/>
    <w:rsid w:val="002D0C3E"/>
    <w:rsid w:val="002D0D16"/>
    <w:rsid w:val="002D0F4B"/>
    <w:rsid w:val="002D0F84"/>
    <w:rsid w:val="002D130B"/>
    <w:rsid w:val="002D1635"/>
    <w:rsid w:val="002D17D7"/>
    <w:rsid w:val="002D1872"/>
    <w:rsid w:val="002D1D61"/>
    <w:rsid w:val="002D1DDA"/>
    <w:rsid w:val="002D26AB"/>
    <w:rsid w:val="002D26AF"/>
    <w:rsid w:val="002D26D8"/>
    <w:rsid w:val="002D2A38"/>
    <w:rsid w:val="002D2B14"/>
    <w:rsid w:val="002D30BC"/>
    <w:rsid w:val="002D333A"/>
    <w:rsid w:val="002D35BC"/>
    <w:rsid w:val="002D36D0"/>
    <w:rsid w:val="002D36E8"/>
    <w:rsid w:val="002D389A"/>
    <w:rsid w:val="002D3D62"/>
    <w:rsid w:val="002D3F83"/>
    <w:rsid w:val="002D3FFC"/>
    <w:rsid w:val="002D4409"/>
    <w:rsid w:val="002D443A"/>
    <w:rsid w:val="002D44FF"/>
    <w:rsid w:val="002D455E"/>
    <w:rsid w:val="002D4588"/>
    <w:rsid w:val="002D47BD"/>
    <w:rsid w:val="002D48ED"/>
    <w:rsid w:val="002D4D36"/>
    <w:rsid w:val="002D4D3D"/>
    <w:rsid w:val="002D4DFF"/>
    <w:rsid w:val="002D4EA2"/>
    <w:rsid w:val="002D4FF9"/>
    <w:rsid w:val="002D507C"/>
    <w:rsid w:val="002D55CE"/>
    <w:rsid w:val="002D5C9C"/>
    <w:rsid w:val="002D5D81"/>
    <w:rsid w:val="002D5D97"/>
    <w:rsid w:val="002D5E95"/>
    <w:rsid w:val="002D608F"/>
    <w:rsid w:val="002D6295"/>
    <w:rsid w:val="002D635D"/>
    <w:rsid w:val="002D63D7"/>
    <w:rsid w:val="002D6B5A"/>
    <w:rsid w:val="002D7279"/>
    <w:rsid w:val="002D72FC"/>
    <w:rsid w:val="002D758A"/>
    <w:rsid w:val="002E037F"/>
    <w:rsid w:val="002E06AB"/>
    <w:rsid w:val="002E08C8"/>
    <w:rsid w:val="002E0CBA"/>
    <w:rsid w:val="002E0E7A"/>
    <w:rsid w:val="002E0FB6"/>
    <w:rsid w:val="002E125F"/>
    <w:rsid w:val="002E1E69"/>
    <w:rsid w:val="002E1EF4"/>
    <w:rsid w:val="002E2157"/>
    <w:rsid w:val="002E24B9"/>
    <w:rsid w:val="002E25A0"/>
    <w:rsid w:val="002E2AAB"/>
    <w:rsid w:val="002E2DDC"/>
    <w:rsid w:val="002E32C3"/>
    <w:rsid w:val="002E3A1A"/>
    <w:rsid w:val="002E3A53"/>
    <w:rsid w:val="002E3E98"/>
    <w:rsid w:val="002E42E9"/>
    <w:rsid w:val="002E476B"/>
    <w:rsid w:val="002E4935"/>
    <w:rsid w:val="002E4A06"/>
    <w:rsid w:val="002E4A40"/>
    <w:rsid w:val="002E4A46"/>
    <w:rsid w:val="002E4FA3"/>
    <w:rsid w:val="002E528A"/>
    <w:rsid w:val="002E52E1"/>
    <w:rsid w:val="002E54C1"/>
    <w:rsid w:val="002E56E1"/>
    <w:rsid w:val="002E58BC"/>
    <w:rsid w:val="002E5C25"/>
    <w:rsid w:val="002E5F55"/>
    <w:rsid w:val="002E60DC"/>
    <w:rsid w:val="002E6168"/>
    <w:rsid w:val="002E6299"/>
    <w:rsid w:val="002E64A7"/>
    <w:rsid w:val="002E64F2"/>
    <w:rsid w:val="002E6790"/>
    <w:rsid w:val="002E67B4"/>
    <w:rsid w:val="002E6B40"/>
    <w:rsid w:val="002E6F32"/>
    <w:rsid w:val="002E7123"/>
    <w:rsid w:val="002E7674"/>
    <w:rsid w:val="002E7C61"/>
    <w:rsid w:val="002E9D47"/>
    <w:rsid w:val="002F0258"/>
    <w:rsid w:val="002F05A9"/>
    <w:rsid w:val="002F07D7"/>
    <w:rsid w:val="002F0884"/>
    <w:rsid w:val="002F099C"/>
    <w:rsid w:val="002F0B7F"/>
    <w:rsid w:val="002F1995"/>
    <w:rsid w:val="002F1B36"/>
    <w:rsid w:val="002F1CDF"/>
    <w:rsid w:val="002F22E8"/>
    <w:rsid w:val="002F2531"/>
    <w:rsid w:val="002F2643"/>
    <w:rsid w:val="002F2833"/>
    <w:rsid w:val="002F2A52"/>
    <w:rsid w:val="002F2C30"/>
    <w:rsid w:val="002F2C58"/>
    <w:rsid w:val="002F308E"/>
    <w:rsid w:val="002F3176"/>
    <w:rsid w:val="002F322C"/>
    <w:rsid w:val="002F3267"/>
    <w:rsid w:val="002F33A3"/>
    <w:rsid w:val="002F3540"/>
    <w:rsid w:val="002F35ED"/>
    <w:rsid w:val="002F36EB"/>
    <w:rsid w:val="002F3715"/>
    <w:rsid w:val="002F39FF"/>
    <w:rsid w:val="002F3B46"/>
    <w:rsid w:val="002F4217"/>
    <w:rsid w:val="002F4648"/>
    <w:rsid w:val="002F4D77"/>
    <w:rsid w:val="002F5039"/>
    <w:rsid w:val="002F50F9"/>
    <w:rsid w:val="002F5351"/>
    <w:rsid w:val="002F547B"/>
    <w:rsid w:val="002F5793"/>
    <w:rsid w:val="002F58CF"/>
    <w:rsid w:val="002F58D5"/>
    <w:rsid w:val="002F5AD0"/>
    <w:rsid w:val="002F5E58"/>
    <w:rsid w:val="002F5EEE"/>
    <w:rsid w:val="002F5F60"/>
    <w:rsid w:val="002F60C6"/>
    <w:rsid w:val="002F60DE"/>
    <w:rsid w:val="002F60E4"/>
    <w:rsid w:val="002F6160"/>
    <w:rsid w:val="002F622C"/>
    <w:rsid w:val="002F6619"/>
    <w:rsid w:val="002F6788"/>
    <w:rsid w:val="002F6E1D"/>
    <w:rsid w:val="002F715D"/>
    <w:rsid w:val="002F7205"/>
    <w:rsid w:val="002F74DC"/>
    <w:rsid w:val="002F74E6"/>
    <w:rsid w:val="002F76A7"/>
    <w:rsid w:val="002F76E4"/>
    <w:rsid w:val="002F7CA3"/>
    <w:rsid w:val="002F7CF4"/>
    <w:rsid w:val="003000AD"/>
    <w:rsid w:val="00300174"/>
    <w:rsid w:val="00300439"/>
    <w:rsid w:val="003004B5"/>
    <w:rsid w:val="00300540"/>
    <w:rsid w:val="0030081C"/>
    <w:rsid w:val="00300909"/>
    <w:rsid w:val="00300CF7"/>
    <w:rsid w:val="003013D9"/>
    <w:rsid w:val="003014C7"/>
    <w:rsid w:val="003019A8"/>
    <w:rsid w:val="00302084"/>
    <w:rsid w:val="003022EB"/>
    <w:rsid w:val="003026E2"/>
    <w:rsid w:val="003029E6"/>
    <w:rsid w:val="00302B68"/>
    <w:rsid w:val="00302B8C"/>
    <w:rsid w:val="00302D37"/>
    <w:rsid w:val="003030B0"/>
    <w:rsid w:val="0030392D"/>
    <w:rsid w:val="00303A85"/>
    <w:rsid w:val="00303D38"/>
    <w:rsid w:val="00303E0B"/>
    <w:rsid w:val="00304056"/>
    <w:rsid w:val="0030406D"/>
    <w:rsid w:val="00304125"/>
    <w:rsid w:val="0030456A"/>
    <w:rsid w:val="003048E7"/>
    <w:rsid w:val="00304C6D"/>
    <w:rsid w:val="003050FC"/>
    <w:rsid w:val="00305129"/>
    <w:rsid w:val="0030527E"/>
    <w:rsid w:val="003053BF"/>
    <w:rsid w:val="003053F8"/>
    <w:rsid w:val="00305658"/>
    <w:rsid w:val="003058D4"/>
    <w:rsid w:val="00305B7F"/>
    <w:rsid w:val="00305BFB"/>
    <w:rsid w:val="00306060"/>
    <w:rsid w:val="00306172"/>
    <w:rsid w:val="00306540"/>
    <w:rsid w:val="00306596"/>
    <w:rsid w:val="0030663E"/>
    <w:rsid w:val="003066BA"/>
    <w:rsid w:val="003066E3"/>
    <w:rsid w:val="00306939"/>
    <w:rsid w:val="00306CD5"/>
    <w:rsid w:val="00306D66"/>
    <w:rsid w:val="00306E6D"/>
    <w:rsid w:val="00306F77"/>
    <w:rsid w:val="00307214"/>
    <w:rsid w:val="00307436"/>
    <w:rsid w:val="00307629"/>
    <w:rsid w:val="003077B5"/>
    <w:rsid w:val="003078A7"/>
    <w:rsid w:val="00307981"/>
    <w:rsid w:val="00307A89"/>
    <w:rsid w:val="00307C4B"/>
    <w:rsid w:val="00307D53"/>
    <w:rsid w:val="00307E0E"/>
    <w:rsid w:val="0031033B"/>
    <w:rsid w:val="003103BB"/>
    <w:rsid w:val="003104EA"/>
    <w:rsid w:val="00310A35"/>
    <w:rsid w:val="00310DEF"/>
    <w:rsid w:val="003111EC"/>
    <w:rsid w:val="00311314"/>
    <w:rsid w:val="00311399"/>
    <w:rsid w:val="003115E7"/>
    <w:rsid w:val="00311823"/>
    <w:rsid w:val="0031197E"/>
    <w:rsid w:val="00311B47"/>
    <w:rsid w:val="00311F81"/>
    <w:rsid w:val="0031201A"/>
    <w:rsid w:val="0031202B"/>
    <w:rsid w:val="003120DB"/>
    <w:rsid w:val="00312398"/>
    <w:rsid w:val="003125D7"/>
    <w:rsid w:val="003126DE"/>
    <w:rsid w:val="0031274B"/>
    <w:rsid w:val="00312753"/>
    <w:rsid w:val="0031275B"/>
    <w:rsid w:val="00312A3E"/>
    <w:rsid w:val="00312E22"/>
    <w:rsid w:val="00312E51"/>
    <w:rsid w:val="00312EE9"/>
    <w:rsid w:val="00312F75"/>
    <w:rsid w:val="00313208"/>
    <w:rsid w:val="003136A4"/>
    <w:rsid w:val="003137F1"/>
    <w:rsid w:val="00313A19"/>
    <w:rsid w:val="00313C96"/>
    <w:rsid w:val="00313F3B"/>
    <w:rsid w:val="00313F85"/>
    <w:rsid w:val="00313FD3"/>
    <w:rsid w:val="00314291"/>
    <w:rsid w:val="00314311"/>
    <w:rsid w:val="00314740"/>
    <w:rsid w:val="0031496B"/>
    <w:rsid w:val="003149A1"/>
    <w:rsid w:val="00314B65"/>
    <w:rsid w:val="00314EA4"/>
    <w:rsid w:val="00314F67"/>
    <w:rsid w:val="003150A0"/>
    <w:rsid w:val="003153E7"/>
    <w:rsid w:val="003154AF"/>
    <w:rsid w:val="0031561D"/>
    <w:rsid w:val="003156C8"/>
    <w:rsid w:val="00315B86"/>
    <w:rsid w:val="0031608F"/>
    <w:rsid w:val="003161FB"/>
    <w:rsid w:val="00316531"/>
    <w:rsid w:val="0031668B"/>
    <w:rsid w:val="003168BC"/>
    <w:rsid w:val="00316B5F"/>
    <w:rsid w:val="00316CC9"/>
    <w:rsid w:val="00316CF5"/>
    <w:rsid w:val="00316EA1"/>
    <w:rsid w:val="00316F41"/>
    <w:rsid w:val="00316F63"/>
    <w:rsid w:val="00316F86"/>
    <w:rsid w:val="003171DA"/>
    <w:rsid w:val="0031755C"/>
    <w:rsid w:val="003175CD"/>
    <w:rsid w:val="0031761F"/>
    <w:rsid w:val="00317750"/>
    <w:rsid w:val="00317773"/>
    <w:rsid w:val="00317884"/>
    <w:rsid w:val="00317999"/>
    <w:rsid w:val="0031799E"/>
    <w:rsid w:val="00317A91"/>
    <w:rsid w:val="00317B2E"/>
    <w:rsid w:val="00317D91"/>
    <w:rsid w:val="00317EAC"/>
    <w:rsid w:val="00320447"/>
    <w:rsid w:val="00320739"/>
    <w:rsid w:val="00320AE9"/>
    <w:rsid w:val="00320E8F"/>
    <w:rsid w:val="0032120F"/>
    <w:rsid w:val="00321380"/>
    <w:rsid w:val="00321591"/>
    <w:rsid w:val="0032159C"/>
    <w:rsid w:val="00321686"/>
    <w:rsid w:val="003216E0"/>
    <w:rsid w:val="003219BB"/>
    <w:rsid w:val="00321DED"/>
    <w:rsid w:val="003224B1"/>
    <w:rsid w:val="00322680"/>
    <w:rsid w:val="00322D00"/>
    <w:rsid w:val="00323066"/>
    <w:rsid w:val="0032315E"/>
    <w:rsid w:val="003231C9"/>
    <w:rsid w:val="003233C1"/>
    <w:rsid w:val="003233D2"/>
    <w:rsid w:val="00323B46"/>
    <w:rsid w:val="00323E6E"/>
    <w:rsid w:val="0032443B"/>
    <w:rsid w:val="00324666"/>
    <w:rsid w:val="0032477F"/>
    <w:rsid w:val="003248AD"/>
    <w:rsid w:val="0032493C"/>
    <w:rsid w:val="00324EB0"/>
    <w:rsid w:val="00324FEA"/>
    <w:rsid w:val="003250C8"/>
    <w:rsid w:val="00325375"/>
    <w:rsid w:val="0032538D"/>
    <w:rsid w:val="00325517"/>
    <w:rsid w:val="003258B2"/>
    <w:rsid w:val="00325958"/>
    <w:rsid w:val="00325AC2"/>
    <w:rsid w:val="00325C04"/>
    <w:rsid w:val="00325D19"/>
    <w:rsid w:val="00325F6A"/>
    <w:rsid w:val="0032601F"/>
    <w:rsid w:val="0032613A"/>
    <w:rsid w:val="00326189"/>
    <w:rsid w:val="0032639A"/>
    <w:rsid w:val="003263A9"/>
    <w:rsid w:val="003263B2"/>
    <w:rsid w:val="0032642C"/>
    <w:rsid w:val="003265CD"/>
    <w:rsid w:val="00326A0E"/>
    <w:rsid w:val="00326A6F"/>
    <w:rsid w:val="00326C1B"/>
    <w:rsid w:val="00326E18"/>
    <w:rsid w:val="00326F0F"/>
    <w:rsid w:val="003275A8"/>
    <w:rsid w:val="0032760C"/>
    <w:rsid w:val="00327663"/>
    <w:rsid w:val="0032783C"/>
    <w:rsid w:val="00327911"/>
    <w:rsid w:val="00327C94"/>
    <w:rsid w:val="00327D86"/>
    <w:rsid w:val="00327E47"/>
    <w:rsid w:val="00327EB3"/>
    <w:rsid w:val="00327FFE"/>
    <w:rsid w:val="00330099"/>
    <w:rsid w:val="003307D8"/>
    <w:rsid w:val="00330FA8"/>
    <w:rsid w:val="00331089"/>
    <w:rsid w:val="003314F8"/>
    <w:rsid w:val="00331918"/>
    <w:rsid w:val="00332006"/>
    <w:rsid w:val="00332359"/>
    <w:rsid w:val="00332556"/>
    <w:rsid w:val="0033279D"/>
    <w:rsid w:val="00332A6E"/>
    <w:rsid w:val="00332BA8"/>
    <w:rsid w:val="00332C0E"/>
    <w:rsid w:val="00332C1A"/>
    <w:rsid w:val="00332C64"/>
    <w:rsid w:val="00332CE3"/>
    <w:rsid w:val="00332FFB"/>
    <w:rsid w:val="003331BB"/>
    <w:rsid w:val="003332CB"/>
    <w:rsid w:val="003333FB"/>
    <w:rsid w:val="00333C88"/>
    <w:rsid w:val="0033421E"/>
    <w:rsid w:val="0033437E"/>
    <w:rsid w:val="003343BF"/>
    <w:rsid w:val="00334906"/>
    <w:rsid w:val="0033499A"/>
    <w:rsid w:val="003349ED"/>
    <w:rsid w:val="003349F9"/>
    <w:rsid w:val="00334BC4"/>
    <w:rsid w:val="00334EE2"/>
    <w:rsid w:val="00335289"/>
    <w:rsid w:val="003352F4"/>
    <w:rsid w:val="0033534A"/>
    <w:rsid w:val="00335485"/>
    <w:rsid w:val="00335BD4"/>
    <w:rsid w:val="00335D1F"/>
    <w:rsid w:val="00335D74"/>
    <w:rsid w:val="0033608E"/>
    <w:rsid w:val="0033618B"/>
    <w:rsid w:val="00336212"/>
    <w:rsid w:val="00336259"/>
    <w:rsid w:val="003362EE"/>
    <w:rsid w:val="003365E5"/>
    <w:rsid w:val="003366CA"/>
    <w:rsid w:val="00336847"/>
    <w:rsid w:val="00336E61"/>
    <w:rsid w:val="00337045"/>
    <w:rsid w:val="00337100"/>
    <w:rsid w:val="003371A8"/>
    <w:rsid w:val="003376C6"/>
    <w:rsid w:val="00337753"/>
    <w:rsid w:val="0033779C"/>
    <w:rsid w:val="0033782A"/>
    <w:rsid w:val="003379FD"/>
    <w:rsid w:val="00340125"/>
    <w:rsid w:val="003401F8"/>
    <w:rsid w:val="0034034A"/>
    <w:rsid w:val="00340502"/>
    <w:rsid w:val="003407D7"/>
    <w:rsid w:val="00340AA8"/>
    <w:rsid w:val="00340AE3"/>
    <w:rsid w:val="00340D23"/>
    <w:rsid w:val="00340F84"/>
    <w:rsid w:val="00341187"/>
    <w:rsid w:val="003412AA"/>
    <w:rsid w:val="0034169C"/>
    <w:rsid w:val="00341DA8"/>
    <w:rsid w:val="00341FA7"/>
    <w:rsid w:val="0034246B"/>
    <w:rsid w:val="003424C9"/>
    <w:rsid w:val="00342B05"/>
    <w:rsid w:val="00342DDA"/>
    <w:rsid w:val="00343581"/>
    <w:rsid w:val="003436AB"/>
    <w:rsid w:val="00343944"/>
    <w:rsid w:val="00343966"/>
    <w:rsid w:val="00343A36"/>
    <w:rsid w:val="00343AD8"/>
    <w:rsid w:val="00343B88"/>
    <w:rsid w:val="00343FE0"/>
    <w:rsid w:val="003443A1"/>
    <w:rsid w:val="003443C3"/>
    <w:rsid w:val="00344767"/>
    <w:rsid w:val="003447CE"/>
    <w:rsid w:val="003447D2"/>
    <w:rsid w:val="00344A0A"/>
    <w:rsid w:val="00344B57"/>
    <w:rsid w:val="00344F89"/>
    <w:rsid w:val="00345892"/>
    <w:rsid w:val="00345909"/>
    <w:rsid w:val="00345A32"/>
    <w:rsid w:val="00345F47"/>
    <w:rsid w:val="003464D9"/>
    <w:rsid w:val="0034658D"/>
    <w:rsid w:val="003465D8"/>
    <w:rsid w:val="003466F7"/>
    <w:rsid w:val="00346A70"/>
    <w:rsid w:val="00346ABA"/>
    <w:rsid w:val="00346CA9"/>
    <w:rsid w:val="00346CFA"/>
    <w:rsid w:val="00346D8E"/>
    <w:rsid w:val="00346DB0"/>
    <w:rsid w:val="00346ECE"/>
    <w:rsid w:val="00347042"/>
    <w:rsid w:val="003474D1"/>
    <w:rsid w:val="0034794D"/>
    <w:rsid w:val="00347B14"/>
    <w:rsid w:val="003501B5"/>
    <w:rsid w:val="00350749"/>
    <w:rsid w:val="00350891"/>
    <w:rsid w:val="00350B99"/>
    <w:rsid w:val="00350BFB"/>
    <w:rsid w:val="00350FAA"/>
    <w:rsid w:val="00351042"/>
    <w:rsid w:val="0035118A"/>
    <w:rsid w:val="00351265"/>
    <w:rsid w:val="00351321"/>
    <w:rsid w:val="0035132A"/>
    <w:rsid w:val="00351416"/>
    <w:rsid w:val="00351FFD"/>
    <w:rsid w:val="003524F0"/>
    <w:rsid w:val="00352AAC"/>
    <w:rsid w:val="00352DC9"/>
    <w:rsid w:val="00352F4D"/>
    <w:rsid w:val="00352F9E"/>
    <w:rsid w:val="003531CB"/>
    <w:rsid w:val="003532C5"/>
    <w:rsid w:val="003532F9"/>
    <w:rsid w:val="0035344E"/>
    <w:rsid w:val="00353840"/>
    <w:rsid w:val="003539E8"/>
    <w:rsid w:val="00353BEA"/>
    <w:rsid w:val="00353ED9"/>
    <w:rsid w:val="003548A1"/>
    <w:rsid w:val="00354CD3"/>
    <w:rsid w:val="00354DC2"/>
    <w:rsid w:val="00355382"/>
    <w:rsid w:val="0035562C"/>
    <w:rsid w:val="003556C9"/>
    <w:rsid w:val="003559A2"/>
    <w:rsid w:val="00355D4B"/>
    <w:rsid w:val="00355E35"/>
    <w:rsid w:val="00355E58"/>
    <w:rsid w:val="00355EDB"/>
    <w:rsid w:val="003561F3"/>
    <w:rsid w:val="003562D8"/>
    <w:rsid w:val="003563FF"/>
    <w:rsid w:val="003565CB"/>
    <w:rsid w:val="003566C1"/>
    <w:rsid w:val="0035673D"/>
    <w:rsid w:val="00356907"/>
    <w:rsid w:val="00356AC6"/>
    <w:rsid w:val="00357591"/>
    <w:rsid w:val="003577C4"/>
    <w:rsid w:val="003578C6"/>
    <w:rsid w:val="00357A96"/>
    <w:rsid w:val="00357C72"/>
    <w:rsid w:val="00357CE4"/>
    <w:rsid w:val="00357FEB"/>
    <w:rsid w:val="00360235"/>
    <w:rsid w:val="0036041A"/>
    <w:rsid w:val="0036079F"/>
    <w:rsid w:val="00360AD4"/>
    <w:rsid w:val="00360C57"/>
    <w:rsid w:val="00361033"/>
    <w:rsid w:val="003611CF"/>
    <w:rsid w:val="00361428"/>
    <w:rsid w:val="00361454"/>
    <w:rsid w:val="00361683"/>
    <w:rsid w:val="003617E1"/>
    <w:rsid w:val="00361908"/>
    <w:rsid w:val="00361988"/>
    <w:rsid w:val="00361BA8"/>
    <w:rsid w:val="00361DF2"/>
    <w:rsid w:val="0036204F"/>
    <w:rsid w:val="003624BF"/>
    <w:rsid w:val="00362A0C"/>
    <w:rsid w:val="00362BA2"/>
    <w:rsid w:val="00362BD1"/>
    <w:rsid w:val="00362CCB"/>
    <w:rsid w:val="00362D2C"/>
    <w:rsid w:val="00362ECC"/>
    <w:rsid w:val="003630CA"/>
    <w:rsid w:val="0036312F"/>
    <w:rsid w:val="00363665"/>
    <w:rsid w:val="003636AA"/>
    <w:rsid w:val="00363876"/>
    <w:rsid w:val="00363C4D"/>
    <w:rsid w:val="00363D11"/>
    <w:rsid w:val="00363DAA"/>
    <w:rsid w:val="00364035"/>
    <w:rsid w:val="00364233"/>
    <w:rsid w:val="003642AB"/>
    <w:rsid w:val="003642DA"/>
    <w:rsid w:val="00364609"/>
    <w:rsid w:val="00364619"/>
    <w:rsid w:val="003646C5"/>
    <w:rsid w:val="00364809"/>
    <w:rsid w:val="003648F1"/>
    <w:rsid w:val="0036499C"/>
    <w:rsid w:val="00364AD5"/>
    <w:rsid w:val="00364B91"/>
    <w:rsid w:val="00364BA2"/>
    <w:rsid w:val="00364CE3"/>
    <w:rsid w:val="00364F1D"/>
    <w:rsid w:val="00365157"/>
    <w:rsid w:val="00365454"/>
    <w:rsid w:val="0036567B"/>
    <w:rsid w:val="00365862"/>
    <w:rsid w:val="00365968"/>
    <w:rsid w:val="00365A46"/>
    <w:rsid w:val="00366073"/>
    <w:rsid w:val="00366262"/>
    <w:rsid w:val="003662CB"/>
    <w:rsid w:val="0036649E"/>
    <w:rsid w:val="003665A6"/>
    <w:rsid w:val="00366981"/>
    <w:rsid w:val="003669DD"/>
    <w:rsid w:val="00366A5B"/>
    <w:rsid w:val="003675A8"/>
    <w:rsid w:val="003677B5"/>
    <w:rsid w:val="00367922"/>
    <w:rsid w:val="00367A4E"/>
    <w:rsid w:val="00367ADE"/>
    <w:rsid w:val="00367B7B"/>
    <w:rsid w:val="00370671"/>
    <w:rsid w:val="00370BDC"/>
    <w:rsid w:val="00370CA2"/>
    <w:rsid w:val="0037153B"/>
    <w:rsid w:val="00371648"/>
    <w:rsid w:val="00371A3F"/>
    <w:rsid w:val="00371B0D"/>
    <w:rsid w:val="00371B7A"/>
    <w:rsid w:val="00371DBB"/>
    <w:rsid w:val="00371E35"/>
    <w:rsid w:val="00371FB2"/>
    <w:rsid w:val="0037228C"/>
    <w:rsid w:val="003723D0"/>
    <w:rsid w:val="00372445"/>
    <w:rsid w:val="003725BB"/>
    <w:rsid w:val="003727D1"/>
    <w:rsid w:val="003727EC"/>
    <w:rsid w:val="00372959"/>
    <w:rsid w:val="0037295E"/>
    <w:rsid w:val="00372CCC"/>
    <w:rsid w:val="00372CD8"/>
    <w:rsid w:val="00373584"/>
    <w:rsid w:val="0037375C"/>
    <w:rsid w:val="00373A77"/>
    <w:rsid w:val="00373E90"/>
    <w:rsid w:val="003743CA"/>
    <w:rsid w:val="00374559"/>
    <w:rsid w:val="0037455F"/>
    <w:rsid w:val="003745D7"/>
    <w:rsid w:val="00374910"/>
    <w:rsid w:val="00374CCE"/>
    <w:rsid w:val="00374D8F"/>
    <w:rsid w:val="0037522C"/>
    <w:rsid w:val="0037523F"/>
    <w:rsid w:val="003754A1"/>
    <w:rsid w:val="003754EE"/>
    <w:rsid w:val="0037564F"/>
    <w:rsid w:val="003758E0"/>
    <w:rsid w:val="00375C6D"/>
    <w:rsid w:val="003760DF"/>
    <w:rsid w:val="00376116"/>
    <w:rsid w:val="00376317"/>
    <w:rsid w:val="00376380"/>
    <w:rsid w:val="0037669C"/>
    <w:rsid w:val="0037677A"/>
    <w:rsid w:val="003768C4"/>
    <w:rsid w:val="00376A65"/>
    <w:rsid w:val="00376C79"/>
    <w:rsid w:val="00376CF5"/>
    <w:rsid w:val="00376F5B"/>
    <w:rsid w:val="00377489"/>
    <w:rsid w:val="00377674"/>
    <w:rsid w:val="00380077"/>
    <w:rsid w:val="003801BD"/>
    <w:rsid w:val="0038021A"/>
    <w:rsid w:val="00380598"/>
    <w:rsid w:val="003806E6"/>
    <w:rsid w:val="003806FF"/>
    <w:rsid w:val="003809C5"/>
    <w:rsid w:val="00380AAF"/>
    <w:rsid w:val="00380C56"/>
    <w:rsid w:val="00380CED"/>
    <w:rsid w:val="00380E66"/>
    <w:rsid w:val="00380E86"/>
    <w:rsid w:val="00380FDF"/>
    <w:rsid w:val="003811C0"/>
    <w:rsid w:val="00381244"/>
    <w:rsid w:val="00381493"/>
    <w:rsid w:val="00381A18"/>
    <w:rsid w:val="00381F33"/>
    <w:rsid w:val="003822C8"/>
    <w:rsid w:val="00382371"/>
    <w:rsid w:val="00382408"/>
    <w:rsid w:val="00382688"/>
    <w:rsid w:val="0038270F"/>
    <w:rsid w:val="0038272A"/>
    <w:rsid w:val="003827A5"/>
    <w:rsid w:val="00382A1E"/>
    <w:rsid w:val="00382BF8"/>
    <w:rsid w:val="00382D91"/>
    <w:rsid w:val="003831EC"/>
    <w:rsid w:val="00383528"/>
    <w:rsid w:val="003838A5"/>
    <w:rsid w:val="00383B28"/>
    <w:rsid w:val="00383B35"/>
    <w:rsid w:val="00383D13"/>
    <w:rsid w:val="003842CB"/>
    <w:rsid w:val="0038440B"/>
    <w:rsid w:val="003846B6"/>
    <w:rsid w:val="003846D3"/>
    <w:rsid w:val="003847F2"/>
    <w:rsid w:val="00384B5A"/>
    <w:rsid w:val="00384B8B"/>
    <w:rsid w:val="00384F23"/>
    <w:rsid w:val="0038508B"/>
    <w:rsid w:val="003853E2"/>
    <w:rsid w:val="0038547E"/>
    <w:rsid w:val="00385556"/>
    <w:rsid w:val="00385636"/>
    <w:rsid w:val="003856C4"/>
    <w:rsid w:val="0038578B"/>
    <w:rsid w:val="00385929"/>
    <w:rsid w:val="00385A1C"/>
    <w:rsid w:val="00385AB4"/>
    <w:rsid w:val="00385CF4"/>
    <w:rsid w:val="0038611E"/>
    <w:rsid w:val="003863EA"/>
    <w:rsid w:val="00386ADE"/>
    <w:rsid w:val="00386CFD"/>
    <w:rsid w:val="00386D2E"/>
    <w:rsid w:val="0038708E"/>
    <w:rsid w:val="003870B2"/>
    <w:rsid w:val="003870DC"/>
    <w:rsid w:val="003874C3"/>
    <w:rsid w:val="003877BE"/>
    <w:rsid w:val="00387846"/>
    <w:rsid w:val="00387F49"/>
    <w:rsid w:val="00387FC5"/>
    <w:rsid w:val="00390100"/>
    <w:rsid w:val="0039053E"/>
    <w:rsid w:val="0039059B"/>
    <w:rsid w:val="0039086F"/>
    <w:rsid w:val="003909D5"/>
    <w:rsid w:val="00390A90"/>
    <w:rsid w:val="00390A98"/>
    <w:rsid w:val="00390CB5"/>
    <w:rsid w:val="00390D69"/>
    <w:rsid w:val="00390D89"/>
    <w:rsid w:val="00390E2C"/>
    <w:rsid w:val="003911C7"/>
    <w:rsid w:val="003911D9"/>
    <w:rsid w:val="0039183F"/>
    <w:rsid w:val="0039196C"/>
    <w:rsid w:val="003919BF"/>
    <w:rsid w:val="00391D95"/>
    <w:rsid w:val="003920BD"/>
    <w:rsid w:val="00392662"/>
    <w:rsid w:val="003926D8"/>
    <w:rsid w:val="003926DA"/>
    <w:rsid w:val="00392713"/>
    <w:rsid w:val="00392780"/>
    <w:rsid w:val="00392B1B"/>
    <w:rsid w:val="00392F1B"/>
    <w:rsid w:val="00392F97"/>
    <w:rsid w:val="00393118"/>
    <w:rsid w:val="0039336F"/>
    <w:rsid w:val="003934D2"/>
    <w:rsid w:val="00393556"/>
    <w:rsid w:val="00393695"/>
    <w:rsid w:val="003937D9"/>
    <w:rsid w:val="0039388F"/>
    <w:rsid w:val="003938AC"/>
    <w:rsid w:val="00394017"/>
    <w:rsid w:val="0039433B"/>
    <w:rsid w:val="00394695"/>
    <w:rsid w:val="00394809"/>
    <w:rsid w:val="00394E81"/>
    <w:rsid w:val="00394FB4"/>
    <w:rsid w:val="00395579"/>
    <w:rsid w:val="00395764"/>
    <w:rsid w:val="003957B2"/>
    <w:rsid w:val="00395BB8"/>
    <w:rsid w:val="00395E63"/>
    <w:rsid w:val="00396092"/>
    <w:rsid w:val="00396197"/>
    <w:rsid w:val="003964DF"/>
    <w:rsid w:val="003966A8"/>
    <w:rsid w:val="003969D6"/>
    <w:rsid w:val="00396C35"/>
    <w:rsid w:val="00396C49"/>
    <w:rsid w:val="00396CCE"/>
    <w:rsid w:val="00396D37"/>
    <w:rsid w:val="00396E66"/>
    <w:rsid w:val="00396F24"/>
    <w:rsid w:val="003972E2"/>
    <w:rsid w:val="003974AF"/>
    <w:rsid w:val="00397550"/>
    <w:rsid w:val="0039755D"/>
    <w:rsid w:val="00397668"/>
    <w:rsid w:val="003977E3"/>
    <w:rsid w:val="00397CCB"/>
    <w:rsid w:val="00397DD6"/>
    <w:rsid w:val="00397DDF"/>
    <w:rsid w:val="00397DF3"/>
    <w:rsid w:val="00397E93"/>
    <w:rsid w:val="00397F13"/>
    <w:rsid w:val="00397F27"/>
    <w:rsid w:val="00397FA4"/>
    <w:rsid w:val="003A0061"/>
    <w:rsid w:val="003A030B"/>
    <w:rsid w:val="003A0382"/>
    <w:rsid w:val="003A061C"/>
    <w:rsid w:val="003A0B13"/>
    <w:rsid w:val="003A124F"/>
    <w:rsid w:val="003A1275"/>
    <w:rsid w:val="003A1620"/>
    <w:rsid w:val="003A1C31"/>
    <w:rsid w:val="003A1CA4"/>
    <w:rsid w:val="003A1D84"/>
    <w:rsid w:val="003A20BF"/>
    <w:rsid w:val="003A20F2"/>
    <w:rsid w:val="003A226E"/>
    <w:rsid w:val="003A22AC"/>
    <w:rsid w:val="003A2475"/>
    <w:rsid w:val="003A2518"/>
    <w:rsid w:val="003A25A5"/>
    <w:rsid w:val="003A2712"/>
    <w:rsid w:val="003A28E8"/>
    <w:rsid w:val="003A2A21"/>
    <w:rsid w:val="003A2A98"/>
    <w:rsid w:val="003A2AA9"/>
    <w:rsid w:val="003A2B88"/>
    <w:rsid w:val="003A2C13"/>
    <w:rsid w:val="003A2DE8"/>
    <w:rsid w:val="003A2F08"/>
    <w:rsid w:val="003A2F47"/>
    <w:rsid w:val="003A304C"/>
    <w:rsid w:val="003A3235"/>
    <w:rsid w:val="003A34C1"/>
    <w:rsid w:val="003A34F7"/>
    <w:rsid w:val="003A3599"/>
    <w:rsid w:val="003A38BB"/>
    <w:rsid w:val="003A3CFC"/>
    <w:rsid w:val="003A3D36"/>
    <w:rsid w:val="003A44CA"/>
    <w:rsid w:val="003A4652"/>
    <w:rsid w:val="003A49DB"/>
    <w:rsid w:val="003A5128"/>
    <w:rsid w:val="003A5248"/>
    <w:rsid w:val="003A5460"/>
    <w:rsid w:val="003A54D4"/>
    <w:rsid w:val="003A5682"/>
    <w:rsid w:val="003A64AC"/>
    <w:rsid w:val="003A65BF"/>
    <w:rsid w:val="003A65CC"/>
    <w:rsid w:val="003A6651"/>
    <w:rsid w:val="003A6739"/>
    <w:rsid w:val="003A6AAA"/>
    <w:rsid w:val="003A6B99"/>
    <w:rsid w:val="003A6CE8"/>
    <w:rsid w:val="003A6D9E"/>
    <w:rsid w:val="003A70E9"/>
    <w:rsid w:val="003A7239"/>
    <w:rsid w:val="003A7311"/>
    <w:rsid w:val="003A7B65"/>
    <w:rsid w:val="003A7E75"/>
    <w:rsid w:val="003B0ECD"/>
    <w:rsid w:val="003B0F0C"/>
    <w:rsid w:val="003B0FC6"/>
    <w:rsid w:val="003B13DD"/>
    <w:rsid w:val="003B14DA"/>
    <w:rsid w:val="003B1538"/>
    <w:rsid w:val="003B19CA"/>
    <w:rsid w:val="003B1C12"/>
    <w:rsid w:val="003B1C7F"/>
    <w:rsid w:val="003B1D69"/>
    <w:rsid w:val="003B1E4F"/>
    <w:rsid w:val="003B1FCE"/>
    <w:rsid w:val="003B20D8"/>
    <w:rsid w:val="003B2447"/>
    <w:rsid w:val="003B2538"/>
    <w:rsid w:val="003B26E8"/>
    <w:rsid w:val="003B281D"/>
    <w:rsid w:val="003B312E"/>
    <w:rsid w:val="003B347E"/>
    <w:rsid w:val="003B364A"/>
    <w:rsid w:val="003B38FD"/>
    <w:rsid w:val="003B3974"/>
    <w:rsid w:val="003B3BA0"/>
    <w:rsid w:val="003B3D83"/>
    <w:rsid w:val="003B4153"/>
    <w:rsid w:val="003B41D5"/>
    <w:rsid w:val="003B490F"/>
    <w:rsid w:val="003B491C"/>
    <w:rsid w:val="003B49FD"/>
    <w:rsid w:val="003B4ABB"/>
    <w:rsid w:val="003B4C9B"/>
    <w:rsid w:val="003B4DBC"/>
    <w:rsid w:val="003B4F77"/>
    <w:rsid w:val="003B509C"/>
    <w:rsid w:val="003B50CB"/>
    <w:rsid w:val="003B5342"/>
    <w:rsid w:val="003B557C"/>
    <w:rsid w:val="003B5671"/>
    <w:rsid w:val="003B574A"/>
    <w:rsid w:val="003B5870"/>
    <w:rsid w:val="003B58D4"/>
    <w:rsid w:val="003B5967"/>
    <w:rsid w:val="003B5AB7"/>
    <w:rsid w:val="003B5C2C"/>
    <w:rsid w:val="003B5DC2"/>
    <w:rsid w:val="003B62C8"/>
    <w:rsid w:val="003B6B73"/>
    <w:rsid w:val="003B6C85"/>
    <w:rsid w:val="003B6E03"/>
    <w:rsid w:val="003B6F03"/>
    <w:rsid w:val="003B70E5"/>
    <w:rsid w:val="003B713F"/>
    <w:rsid w:val="003B73F6"/>
    <w:rsid w:val="003B755D"/>
    <w:rsid w:val="003B7752"/>
    <w:rsid w:val="003B777F"/>
    <w:rsid w:val="003B7907"/>
    <w:rsid w:val="003B7B49"/>
    <w:rsid w:val="003C0109"/>
    <w:rsid w:val="003C0168"/>
    <w:rsid w:val="003C01C0"/>
    <w:rsid w:val="003C0270"/>
    <w:rsid w:val="003C02DF"/>
    <w:rsid w:val="003C0343"/>
    <w:rsid w:val="003C0349"/>
    <w:rsid w:val="003C04F8"/>
    <w:rsid w:val="003C05F9"/>
    <w:rsid w:val="003C0A27"/>
    <w:rsid w:val="003C0DE4"/>
    <w:rsid w:val="003C0FAD"/>
    <w:rsid w:val="003C104D"/>
    <w:rsid w:val="003C1227"/>
    <w:rsid w:val="003C137C"/>
    <w:rsid w:val="003C1629"/>
    <w:rsid w:val="003C1D77"/>
    <w:rsid w:val="003C1FB0"/>
    <w:rsid w:val="003C242A"/>
    <w:rsid w:val="003C2736"/>
    <w:rsid w:val="003C278A"/>
    <w:rsid w:val="003C2800"/>
    <w:rsid w:val="003C297F"/>
    <w:rsid w:val="003C2C09"/>
    <w:rsid w:val="003C33E1"/>
    <w:rsid w:val="003C3456"/>
    <w:rsid w:val="003C34B9"/>
    <w:rsid w:val="003C3FD7"/>
    <w:rsid w:val="003C40B3"/>
    <w:rsid w:val="003C40F2"/>
    <w:rsid w:val="003C41A1"/>
    <w:rsid w:val="003C4DEA"/>
    <w:rsid w:val="003C4F0B"/>
    <w:rsid w:val="003C52C5"/>
    <w:rsid w:val="003C534C"/>
    <w:rsid w:val="003C5515"/>
    <w:rsid w:val="003C56CC"/>
    <w:rsid w:val="003C586B"/>
    <w:rsid w:val="003C5AD1"/>
    <w:rsid w:val="003C5E71"/>
    <w:rsid w:val="003C5F0D"/>
    <w:rsid w:val="003C640D"/>
    <w:rsid w:val="003C64BE"/>
    <w:rsid w:val="003C6587"/>
    <w:rsid w:val="003C6625"/>
    <w:rsid w:val="003C6C47"/>
    <w:rsid w:val="003C6CE4"/>
    <w:rsid w:val="003C6DE4"/>
    <w:rsid w:val="003C6ED0"/>
    <w:rsid w:val="003C6F54"/>
    <w:rsid w:val="003C6FCC"/>
    <w:rsid w:val="003C6FEC"/>
    <w:rsid w:val="003C708C"/>
    <w:rsid w:val="003C72F4"/>
    <w:rsid w:val="003C7559"/>
    <w:rsid w:val="003C78C9"/>
    <w:rsid w:val="003C797B"/>
    <w:rsid w:val="003C79CB"/>
    <w:rsid w:val="003C7C36"/>
    <w:rsid w:val="003C7F79"/>
    <w:rsid w:val="003D038F"/>
    <w:rsid w:val="003D0795"/>
    <w:rsid w:val="003D0B1B"/>
    <w:rsid w:val="003D0EF6"/>
    <w:rsid w:val="003D1186"/>
    <w:rsid w:val="003D11EE"/>
    <w:rsid w:val="003D13B0"/>
    <w:rsid w:val="003D147C"/>
    <w:rsid w:val="003D153C"/>
    <w:rsid w:val="003D1562"/>
    <w:rsid w:val="003D1631"/>
    <w:rsid w:val="003D16D7"/>
    <w:rsid w:val="003D1CDC"/>
    <w:rsid w:val="003D1D54"/>
    <w:rsid w:val="003D21D8"/>
    <w:rsid w:val="003D227C"/>
    <w:rsid w:val="003D25FF"/>
    <w:rsid w:val="003D298E"/>
    <w:rsid w:val="003D2AF0"/>
    <w:rsid w:val="003D2B36"/>
    <w:rsid w:val="003D2B85"/>
    <w:rsid w:val="003D2F72"/>
    <w:rsid w:val="003D37FD"/>
    <w:rsid w:val="003D3806"/>
    <w:rsid w:val="003D3888"/>
    <w:rsid w:val="003D38CD"/>
    <w:rsid w:val="003D3DD8"/>
    <w:rsid w:val="003D4061"/>
    <w:rsid w:val="003D42F4"/>
    <w:rsid w:val="003D4355"/>
    <w:rsid w:val="003D462F"/>
    <w:rsid w:val="003D4816"/>
    <w:rsid w:val="003D4D85"/>
    <w:rsid w:val="003D4FC2"/>
    <w:rsid w:val="003D5088"/>
    <w:rsid w:val="003D509A"/>
    <w:rsid w:val="003D50B7"/>
    <w:rsid w:val="003D5194"/>
    <w:rsid w:val="003D53D5"/>
    <w:rsid w:val="003D55AF"/>
    <w:rsid w:val="003D563E"/>
    <w:rsid w:val="003D5691"/>
    <w:rsid w:val="003D56C6"/>
    <w:rsid w:val="003D5765"/>
    <w:rsid w:val="003D604C"/>
    <w:rsid w:val="003D64BA"/>
    <w:rsid w:val="003D6576"/>
    <w:rsid w:val="003D6771"/>
    <w:rsid w:val="003D6ED8"/>
    <w:rsid w:val="003D705B"/>
    <w:rsid w:val="003D70C6"/>
    <w:rsid w:val="003D71C0"/>
    <w:rsid w:val="003D7B2E"/>
    <w:rsid w:val="003D7C31"/>
    <w:rsid w:val="003D7CFC"/>
    <w:rsid w:val="003D7D71"/>
    <w:rsid w:val="003D7FF8"/>
    <w:rsid w:val="003E032A"/>
    <w:rsid w:val="003E0350"/>
    <w:rsid w:val="003E07A7"/>
    <w:rsid w:val="003E0818"/>
    <w:rsid w:val="003E08DF"/>
    <w:rsid w:val="003E09AD"/>
    <w:rsid w:val="003E0B58"/>
    <w:rsid w:val="003E0C4E"/>
    <w:rsid w:val="003E0DD6"/>
    <w:rsid w:val="003E100C"/>
    <w:rsid w:val="003E1263"/>
    <w:rsid w:val="003E149C"/>
    <w:rsid w:val="003E183C"/>
    <w:rsid w:val="003E1B25"/>
    <w:rsid w:val="003E1BB6"/>
    <w:rsid w:val="003E1BDD"/>
    <w:rsid w:val="003E1CF0"/>
    <w:rsid w:val="003E208E"/>
    <w:rsid w:val="003E220D"/>
    <w:rsid w:val="003E222E"/>
    <w:rsid w:val="003E2405"/>
    <w:rsid w:val="003E248B"/>
    <w:rsid w:val="003E2701"/>
    <w:rsid w:val="003E27E3"/>
    <w:rsid w:val="003E2C2C"/>
    <w:rsid w:val="003E2ED8"/>
    <w:rsid w:val="003E2F3C"/>
    <w:rsid w:val="003E30E2"/>
    <w:rsid w:val="003E3107"/>
    <w:rsid w:val="003E31B2"/>
    <w:rsid w:val="003E3385"/>
    <w:rsid w:val="003E3463"/>
    <w:rsid w:val="003E3809"/>
    <w:rsid w:val="003E38C7"/>
    <w:rsid w:val="003E39A8"/>
    <w:rsid w:val="003E3A63"/>
    <w:rsid w:val="003E3B8B"/>
    <w:rsid w:val="003E3BC8"/>
    <w:rsid w:val="003E3CF5"/>
    <w:rsid w:val="003E3D01"/>
    <w:rsid w:val="003E3DE0"/>
    <w:rsid w:val="003E3E17"/>
    <w:rsid w:val="003E4534"/>
    <w:rsid w:val="003E455F"/>
    <w:rsid w:val="003E45AF"/>
    <w:rsid w:val="003E490D"/>
    <w:rsid w:val="003E4BC1"/>
    <w:rsid w:val="003E51CE"/>
    <w:rsid w:val="003E53A8"/>
    <w:rsid w:val="003E5636"/>
    <w:rsid w:val="003E5B1C"/>
    <w:rsid w:val="003E5C87"/>
    <w:rsid w:val="003E5D19"/>
    <w:rsid w:val="003E5D2C"/>
    <w:rsid w:val="003E5D39"/>
    <w:rsid w:val="003E5E33"/>
    <w:rsid w:val="003E609B"/>
    <w:rsid w:val="003E633F"/>
    <w:rsid w:val="003E6EA0"/>
    <w:rsid w:val="003E72C5"/>
    <w:rsid w:val="003E762F"/>
    <w:rsid w:val="003E7820"/>
    <w:rsid w:val="003E7945"/>
    <w:rsid w:val="003E797A"/>
    <w:rsid w:val="003E7A26"/>
    <w:rsid w:val="003E7BE3"/>
    <w:rsid w:val="003E7C47"/>
    <w:rsid w:val="003E7C9B"/>
    <w:rsid w:val="003F005E"/>
    <w:rsid w:val="003F043A"/>
    <w:rsid w:val="003F0966"/>
    <w:rsid w:val="003F0D13"/>
    <w:rsid w:val="003F1264"/>
    <w:rsid w:val="003F12E9"/>
    <w:rsid w:val="003F135C"/>
    <w:rsid w:val="003F147B"/>
    <w:rsid w:val="003F162F"/>
    <w:rsid w:val="003F1668"/>
    <w:rsid w:val="003F18F5"/>
    <w:rsid w:val="003F1C1E"/>
    <w:rsid w:val="003F1FB7"/>
    <w:rsid w:val="003F2137"/>
    <w:rsid w:val="003F2933"/>
    <w:rsid w:val="003F2C1B"/>
    <w:rsid w:val="003F2FF1"/>
    <w:rsid w:val="003F33C0"/>
    <w:rsid w:val="003F3879"/>
    <w:rsid w:val="003F38AB"/>
    <w:rsid w:val="003F3AAE"/>
    <w:rsid w:val="003F4300"/>
    <w:rsid w:val="003F458D"/>
    <w:rsid w:val="003F46CD"/>
    <w:rsid w:val="003F4A13"/>
    <w:rsid w:val="003F4A47"/>
    <w:rsid w:val="003F4A55"/>
    <w:rsid w:val="003F4F68"/>
    <w:rsid w:val="003F50DB"/>
    <w:rsid w:val="003F5276"/>
    <w:rsid w:val="003F543C"/>
    <w:rsid w:val="003F5596"/>
    <w:rsid w:val="003F564B"/>
    <w:rsid w:val="003F5868"/>
    <w:rsid w:val="003F5A70"/>
    <w:rsid w:val="003F5B84"/>
    <w:rsid w:val="003F5C5D"/>
    <w:rsid w:val="003F5EB5"/>
    <w:rsid w:val="003F5FAC"/>
    <w:rsid w:val="003F62CF"/>
    <w:rsid w:val="003F64B2"/>
    <w:rsid w:val="003F65D8"/>
    <w:rsid w:val="003F6A70"/>
    <w:rsid w:val="003F6B11"/>
    <w:rsid w:val="003F6EED"/>
    <w:rsid w:val="003F6F1E"/>
    <w:rsid w:val="003F7548"/>
    <w:rsid w:val="003F7697"/>
    <w:rsid w:val="003F771A"/>
    <w:rsid w:val="003F792A"/>
    <w:rsid w:val="003F7C7E"/>
    <w:rsid w:val="003F7C8E"/>
    <w:rsid w:val="003F7E30"/>
    <w:rsid w:val="003F7FD1"/>
    <w:rsid w:val="00400337"/>
    <w:rsid w:val="00400478"/>
    <w:rsid w:val="00400514"/>
    <w:rsid w:val="00400E42"/>
    <w:rsid w:val="00401158"/>
    <w:rsid w:val="0040127D"/>
    <w:rsid w:val="004012B6"/>
    <w:rsid w:val="004012F7"/>
    <w:rsid w:val="004014F0"/>
    <w:rsid w:val="004017CC"/>
    <w:rsid w:val="0040196C"/>
    <w:rsid w:val="00401A43"/>
    <w:rsid w:val="00401F7F"/>
    <w:rsid w:val="004020DE"/>
    <w:rsid w:val="0040223C"/>
    <w:rsid w:val="00402695"/>
    <w:rsid w:val="004026C3"/>
    <w:rsid w:val="00402756"/>
    <w:rsid w:val="00402780"/>
    <w:rsid w:val="0040286E"/>
    <w:rsid w:val="00402883"/>
    <w:rsid w:val="00402914"/>
    <w:rsid w:val="00402A55"/>
    <w:rsid w:val="00402B23"/>
    <w:rsid w:val="00402B3A"/>
    <w:rsid w:val="00402BE1"/>
    <w:rsid w:val="00402C35"/>
    <w:rsid w:val="00402CA1"/>
    <w:rsid w:val="00402D74"/>
    <w:rsid w:val="00402E61"/>
    <w:rsid w:val="0040318F"/>
    <w:rsid w:val="00403249"/>
    <w:rsid w:val="004032B7"/>
    <w:rsid w:val="00403348"/>
    <w:rsid w:val="00403492"/>
    <w:rsid w:val="00403907"/>
    <w:rsid w:val="00403C34"/>
    <w:rsid w:val="00403CDF"/>
    <w:rsid w:val="00404141"/>
    <w:rsid w:val="004044DD"/>
    <w:rsid w:val="0040476C"/>
    <w:rsid w:val="0040492D"/>
    <w:rsid w:val="00404A15"/>
    <w:rsid w:val="00404B0D"/>
    <w:rsid w:val="00404C33"/>
    <w:rsid w:val="00405327"/>
    <w:rsid w:val="004053B5"/>
    <w:rsid w:val="004053F9"/>
    <w:rsid w:val="00405425"/>
    <w:rsid w:val="00405932"/>
    <w:rsid w:val="00405AAA"/>
    <w:rsid w:val="00405C4C"/>
    <w:rsid w:val="00405F24"/>
    <w:rsid w:val="004063F4"/>
    <w:rsid w:val="0040667D"/>
    <w:rsid w:val="00406775"/>
    <w:rsid w:val="0040696A"/>
    <w:rsid w:val="00407293"/>
    <w:rsid w:val="00407339"/>
    <w:rsid w:val="00407431"/>
    <w:rsid w:val="00407731"/>
    <w:rsid w:val="00407A7B"/>
    <w:rsid w:val="00407B27"/>
    <w:rsid w:val="00407C64"/>
    <w:rsid w:val="00407FE6"/>
    <w:rsid w:val="00410021"/>
    <w:rsid w:val="0041008A"/>
    <w:rsid w:val="00410289"/>
    <w:rsid w:val="0041029A"/>
    <w:rsid w:val="00410589"/>
    <w:rsid w:val="004106D8"/>
    <w:rsid w:val="00410744"/>
    <w:rsid w:val="0041080F"/>
    <w:rsid w:val="00410845"/>
    <w:rsid w:val="00410976"/>
    <w:rsid w:val="004109C3"/>
    <w:rsid w:val="00410E24"/>
    <w:rsid w:val="00410E30"/>
    <w:rsid w:val="0041102B"/>
    <w:rsid w:val="00411082"/>
    <w:rsid w:val="004115F1"/>
    <w:rsid w:val="0041178B"/>
    <w:rsid w:val="004117AF"/>
    <w:rsid w:val="00411836"/>
    <w:rsid w:val="00411A35"/>
    <w:rsid w:val="00411D88"/>
    <w:rsid w:val="00411D96"/>
    <w:rsid w:val="00411E2D"/>
    <w:rsid w:val="00412000"/>
    <w:rsid w:val="00412048"/>
    <w:rsid w:val="00412333"/>
    <w:rsid w:val="00412814"/>
    <w:rsid w:val="004128F0"/>
    <w:rsid w:val="00412CA2"/>
    <w:rsid w:val="00412F10"/>
    <w:rsid w:val="00412F76"/>
    <w:rsid w:val="0041340C"/>
    <w:rsid w:val="00413486"/>
    <w:rsid w:val="00413573"/>
    <w:rsid w:val="00413991"/>
    <w:rsid w:val="00413A64"/>
    <w:rsid w:val="00413BA9"/>
    <w:rsid w:val="00413BCA"/>
    <w:rsid w:val="00413CCB"/>
    <w:rsid w:val="00413D64"/>
    <w:rsid w:val="00413FCA"/>
    <w:rsid w:val="00414045"/>
    <w:rsid w:val="0041409F"/>
    <w:rsid w:val="00414154"/>
    <w:rsid w:val="00414315"/>
    <w:rsid w:val="00414321"/>
    <w:rsid w:val="004146D1"/>
    <w:rsid w:val="00414722"/>
    <w:rsid w:val="00414792"/>
    <w:rsid w:val="004149B5"/>
    <w:rsid w:val="00414E86"/>
    <w:rsid w:val="004153E6"/>
    <w:rsid w:val="004154E6"/>
    <w:rsid w:val="00415609"/>
    <w:rsid w:val="00415BA4"/>
    <w:rsid w:val="00415D0C"/>
    <w:rsid w:val="00415D63"/>
    <w:rsid w:val="00415E7A"/>
    <w:rsid w:val="00415FB9"/>
    <w:rsid w:val="00416034"/>
    <w:rsid w:val="0041622E"/>
    <w:rsid w:val="004162F5"/>
    <w:rsid w:val="0041633E"/>
    <w:rsid w:val="00416367"/>
    <w:rsid w:val="0041647C"/>
    <w:rsid w:val="0041686E"/>
    <w:rsid w:val="004168CB"/>
    <w:rsid w:val="00416900"/>
    <w:rsid w:val="00416CBC"/>
    <w:rsid w:val="00416E90"/>
    <w:rsid w:val="00416EBB"/>
    <w:rsid w:val="004170AF"/>
    <w:rsid w:val="0041753D"/>
    <w:rsid w:val="0041764A"/>
    <w:rsid w:val="00417E75"/>
    <w:rsid w:val="0042066F"/>
    <w:rsid w:val="004206E8"/>
    <w:rsid w:val="00420A20"/>
    <w:rsid w:val="00420B9A"/>
    <w:rsid w:val="00420C43"/>
    <w:rsid w:val="00420CB7"/>
    <w:rsid w:val="00420E3C"/>
    <w:rsid w:val="00420F9C"/>
    <w:rsid w:val="0042107A"/>
    <w:rsid w:val="004213DA"/>
    <w:rsid w:val="00421400"/>
    <w:rsid w:val="00421BD5"/>
    <w:rsid w:val="00421CD8"/>
    <w:rsid w:val="00421E22"/>
    <w:rsid w:val="004222A7"/>
    <w:rsid w:val="00422407"/>
    <w:rsid w:val="00422493"/>
    <w:rsid w:val="00422882"/>
    <w:rsid w:val="00422C0D"/>
    <w:rsid w:val="00422DE7"/>
    <w:rsid w:val="00422FCF"/>
    <w:rsid w:val="00423329"/>
    <w:rsid w:val="00423500"/>
    <w:rsid w:val="00423754"/>
    <w:rsid w:val="00423841"/>
    <w:rsid w:val="00423A66"/>
    <w:rsid w:val="00423AF3"/>
    <w:rsid w:val="00423F92"/>
    <w:rsid w:val="00424137"/>
    <w:rsid w:val="00424599"/>
    <w:rsid w:val="0042486F"/>
    <w:rsid w:val="00424BC3"/>
    <w:rsid w:val="00424BD8"/>
    <w:rsid w:val="00424D89"/>
    <w:rsid w:val="00425184"/>
    <w:rsid w:val="00425C0A"/>
    <w:rsid w:val="0042619E"/>
    <w:rsid w:val="004261A2"/>
    <w:rsid w:val="004264CF"/>
    <w:rsid w:val="00426643"/>
    <w:rsid w:val="004266BC"/>
    <w:rsid w:val="004267AE"/>
    <w:rsid w:val="00426994"/>
    <w:rsid w:val="00426D4F"/>
    <w:rsid w:val="00426F41"/>
    <w:rsid w:val="00426F72"/>
    <w:rsid w:val="00427112"/>
    <w:rsid w:val="004271F5"/>
    <w:rsid w:val="00427386"/>
    <w:rsid w:val="00427440"/>
    <w:rsid w:val="00427761"/>
    <w:rsid w:val="0042794F"/>
    <w:rsid w:val="00427BBE"/>
    <w:rsid w:val="00427C0F"/>
    <w:rsid w:val="00427D3E"/>
    <w:rsid w:val="004301B1"/>
    <w:rsid w:val="004301EC"/>
    <w:rsid w:val="00430840"/>
    <w:rsid w:val="004309E4"/>
    <w:rsid w:val="00430AB7"/>
    <w:rsid w:val="004310A7"/>
    <w:rsid w:val="00431119"/>
    <w:rsid w:val="0043114F"/>
    <w:rsid w:val="004311A2"/>
    <w:rsid w:val="0043137A"/>
    <w:rsid w:val="00431540"/>
    <w:rsid w:val="0043171E"/>
    <w:rsid w:val="0043193E"/>
    <w:rsid w:val="00432113"/>
    <w:rsid w:val="004321B4"/>
    <w:rsid w:val="004325E0"/>
    <w:rsid w:val="00432637"/>
    <w:rsid w:val="00432B53"/>
    <w:rsid w:val="00432E5A"/>
    <w:rsid w:val="00433165"/>
    <w:rsid w:val="0043332C"/>
    <w:rsid w:val="0043346C"/>
    <w:rsid w:val="00433583"/>
    <w:rsid w:val="00433797"/>
    <w:rsid w:val="00433864"/>
    <w:rsid w:val="00433ACE"/>
    <w:rsid w:val="00433B7E"/>
    <w:rsid w:val="00433D41"/>
    <w:rsid w:val="00433E48"/>
    <w:rsid w:val="00434058"/>
    <w:rsid w:val="00434178"/>
    <w:rsid w:val="004343DC"/>
    <w:rsid w:val="004344FC"/>
    <w:rsid w:val="00434670"/>
    <w:rsid w:val="00434A41"/>
    <w:rsid w:val="00434EA1"/>
    <w:rsid w:val="0043518B"/>
    <w:rsid w:val="0043534D"/>
    <w:rsid w:val="00435385"/>
    <w:rsid w:val="00435538"/>
    <w:rsid w:val="0043573E"/>
    <w:rsid w:val="004358C4"/>
    <w:rsid w:val="00435C07"/>
    <w:rsid w:val="00436D04"/>
    <w:rsid w:val="0043713A"/>
    <w:rsid w:val="004371DE"/>
    <w:rsid w:val="0043728D"/>
    <w:rsid w:val="00437507"/>
    <w:rsid w:val="004379F0"/>
    <w:rsid w:val="00437C8B"/>
    <w:rsid w:val="00437DC8"/>
    <w:rsid w:val="00437F84"/>
    <w:rsid w:val="004400A4"/>
    <w:rsid w:val="004400FD"/>
    <w:rsid w:val="00440205"/>
    <w:rsid w:val="004403DA"/>
    <w:rsid w:val="00440467"/>
    <w:rsid w:val="00440622"/>
    <w:rsid w:val="004406BF"/>
    <w:rsid w:val="00440703"/>
    <w:rsid w:val="0044083D"/>
    <w:rsid w:val="00440BAF"/>
    <w:rsid w:val="004411D0"/>
    <w:rsid w:val="00441A74"/>
    <w:rsid w:val="00441EF7"/>
    <w:rsid w:val="00442189"/>
    <w:rsid w:val="0044260C"/>
    <w:rsid w:val="0044278B"/>
    <w:rsid w:val="00442795"/>
    <w:rsid w:val="0044299A"/>
    <w:rsid w:val="00442B6D"/>
    <w:rsid w:val="00442BA9"/>
    <w:rsid w:val="00442BF3"/>
    <w:rsid w:val="00442EEB"/>
    <w:rsid w:val="00443097"/>
    <w:rsid w:val="0044358E"/>
    <w:rsid w:val="004435C4"/>
    <w:rsid w:val="00443614"/>
    <w:rsid w:val="004438E2"/>
    <w:rsid w:val="00443A38"/>
    <w:rsid w:val="00443C87"/>
    <w:rsid w:val="00443E94"/>
    <w:rsid w:val="00443E9E"/>
    <w:rsid w:val="00443EC7"/>
    <w:rsid w:val="0044405F"/>
    <w:rsid w:val="0044434B"/>
    <w:rsid w:val="00444788"/>
    <w:rsid w:val="004447DF"/>
    <w:rsid w:val="004447EF"/>
    <w:rsid w:val="00444811"/>
    <w:rsid w:val="00444D38"/>
    <w:rsid w:val="004452B3"/>
    <w:rsid w:val="00445443"/>
    <w:rsid w:val="00445457"/>
    <w:rsid w:val="0044553F"/>
    <w:rsid w:val="00445666"/>
    <w:rsid w:val="00445692"/>
    <w:rsid w:val="004456D0"/>
    <w:rsid w:val="0044581E"/>
    <w:rsid w:val="004458F9"/>
    <w:rsid w:val="00445960"/>
    <w:rsid w:val="004459BE"/>
    <w:rsid w:val="00445EA6"/>
    <w:rsid w:val="00446021"/>
    <w:rsid w:val="004461AB"/>
    <w:rsid w:val="0044657C"/>
    <w:rsid w:val="00446680"/>
    <w:rsid w:val="00446A7B"/>
    <w:rsid w:val="00446EDB"/>
    <w:rsid w:val="0044706E"/>
    <w:rsid w:val="00447085"/>
    <w:rsid w:val="00447390"/>
    <w:rsid w:val="004477F3"/>
    <w:rsid w:val="00447870"/>
    <w:rsid w:val="00447A2C"/>
    <w:rsid w:val="00447A39"/>
    <w:rsid w:val="00447E6A"/>
    <w:rsid w:val="00447F23"/>
    <w:rsid w:val="00450541"/>
    <w:rsid w:val="004505A5"/>
    <w:rsid w:val="0045068E"/>
    <w:rsid w:val="0045082E"/>
    <w:rsid w:val="00450C50"/>
    <w:rsid w:val="004510D1"/>
    <w:rsid w:val="004511B0"/>
    <w:rsid w:val="00451266"/>
    <w:rsid w:val="004515AB"/>
    <w:rsid w:val="004515F2"/>
    <w:rsid w:val="0045160C"/>
    <w:rsid w:val="004517CA"/>
    <w:rsid w:val="00451D87"/>
    <w:rsid w:val="00451DB3"/>
    <w:rsid w:val="00451DC4"/>
    <w:rsid w:val="00451E8F"/>
    <w:rsid w:val="00451F1F"/>
    <w:rsid w:val="00451FD2"/>
    <w:rsid w:val="00452548"/>
    <w:rsid w:val="00452993"/>
    <w:rsid w:val="00452D84"/>
    <w:rsid w:val="00452DE0"/>
    <w:rsid w:val="00453077"/>
    <w:rsid w:val="00453100"/>
    <w:rsid w:val="0045327F"/>
    <w:rsid w:val="004533A0"/>
    <w:rsid w:val="004535BA"/>
    <w:rsid w:val="00453745"/>
    <w:rsid w:val="0045386E"/>
    <w:rsid w:val="00453884"/>
    <w:rsid w:val="004538AB"/>
    <w:rsid w:val="00453938"/>
    <w:rsid w:val="00453ACA"/>
    <w:rsid w:val="00453B30"/>
    <w:rsid w:val="00453C75"/>
    <w:rsid w:val="004543EB"/>
    <w:rsid w:val="00454492"/>
    <w:rsid w:val="0045451D"/>
    <w:rsid w:val="00454690"/>
    <w:rsid w:val="00454693"/>
    <w:rsid w:val="00454714"/>
    <w:rsid w:val="00454947"/>
    <w:rsid w:val="00454EE0"/>
    <w:rsid w:val="0045539D"/>
    <w:rsid w:val="00455510"/>
    <w:rsid w:val="004557CE"/>
    <w:rsid w:val="00455917"/>
    <w:rsid w:val="0045599E"/>
    <w:rsid w:val="00455C58"/>
    <w:rsid w:val="00455D2C"/>
    <w:rsid w:val="00456C0C"/>
    <w:rsid w:val="00456DAC"/>
    <w:rsid w:val="00456FCB"/>
    <w:rsid w:val="0045713A"/>
    <w:rsid w:val="00457310"/>
    <w:rsid w:val="00457498"/>
    <w:rsid w:val="004578E7"/>
    <w:rsid w:val="0045795F"/>
    <w:rsid w:val="00457D05"/>
    <w:rsid w:val="00457DC8"/>
    <w:rsid w:val="0046004A"/>
    <w:rsid w:val="004600A7"/>
    <w:rsid w:val="00460375"/>
    <w:rsid w:val="004604B5"/>
    <w:rsid w:val="00460958"/>
    <w:rsid w:val="00460AB3"/>
    <w:rsid w:val="00460B3A"/>
    <w:rsid w:val="00461042"/>
    <w:rsid w:val="00461179"/>
    <w:rsid w:val="0046139B"/>
    <w:rsid w:val="004613AE"/>
    <w:rsid w:val="004613FE"/>
    <w:rsid w:val="00461642"/>
    <w:rsid w:val="00461696"/>
    <w:rsid w:val="00461ACF"/>
    <w:rsid w:val="00461BAD"/>
    <w:rsid w:val="00461BE7"/>
    <w:rsid w:val="00461EF6"/>
    <w:rsid w:val="004620C7"/>
    <w:rsid w:val="004620FD"/>
    <w:rsid w:val="00462106"/>
    <w:rsid w:val="0046216D"/>
    <w:rsid w:val="004621AA"/>
    <w:rsid w:val="004622D2"/>
    <w:rsid w:val="00462366"/>
    <w:rsid w:val="004625B6"/>
    <w:rsid w:val="00462647"/>
    <w:rsid w:val="00462811"/>
    <w:rsid w:val="00462825"/>
    <w:rsid w:val="00462A80"/>
    <w:rsid w:val="00462AF1"/>
    <w:rsid w:val="00462D1C"/>
    <w:rsid w:val="00462F6E"/>
    <w:rsid w:val="00462FFE"/>
    <w:rsid w:val="00463072"/>
    <w:rsid w:val="00463143"/>
    <w:rsid w:val="00463182"/>
    <w:rsid w:val="0046345E"/>
    <w:rsid w:val="00463544"/>
    <w:rsid w:val="00463569"/>
    <w:rsid w:val="0046365A"/>
    <w:rsid w:val="00463B7C"/>
    <w:rsid w:val="00463C88"/>
    <w:rsid w:val="00463F7D"/>
    <w:rsid w:val="0046434F"/>
    <w:rsid w:val="004645A5"/>
    <w:rsid w:val="0046466E"/>
    <w:rsid w:val="00464783"/>
    <w:rsid w:val="00464AD9"/>
    <w:rsid w:val="00464C3D"/>
    <w:rsid w:val="00464CE2"/>
    <w:rsid w:val="00464E33"/>
    <w:rsid w:val="004651A2"/>
    <w:rsid w:val="004657FE"/>
    <w:rsid w:val="004658D2"/>
    <w:rsid w:val="00465A38"/>
    <w:rsid w:val="00465A76"/>
    <w:rsid w:val="00465D34"/>
    <w:rsid w:val="00465D75"/>
    <w:rsid w:val="00465DEF"/>
    <w:rsid w:val="00465EB9"/>
    <w:rsid w:val="00465FE6"/>
    <w:rsid w:val="004662B3"/>
    <w:rsid w:val="004662F2"/>
    <w:rsid w:val="00466499"/>
    <w:rsid w:val="0046663C"/>
    <w:rsid w:val="00466680"/>
    <w:rsid w:val="00466826"/>
    <w:rsid w:val="00466B1F"/>
    <w:rsid w:val="00466DC8"/>
    <w:rsid w:val="004673FC"/>
    <w:rsid w:val="004674B8"/>
    <w:rsid w:val="004675F8"/>
    <w:rsid w:val="00467B46"/>
    <w:rsid w:val="00467E35"/>
    <w:rsid w:val="00467E83"/>
    <w:rsid w:val="00470114"/>
    <w:rsid w:val="004701C5"/>
    <w:rsid w:val="00470399"/>
    <w:rsid w:val="00470613"/>
    <w:rsid w:val="004708BD"/>
    <w:rsid w:val="00470C1C"/>
    <w:rsid w:val="00470CAC"/>
    <w:rsid w:val="00470CE8"/>
    <w:rsid w:val="00470D15"/>
    <w:rsid w:val="00470D60"/>
    <w:rsid w:val="00470E6F"/>
    <w:rsid w:val="0047107B"/>
    <w:rsid w:val="00471656"/>
    <w:rsid w:val="00471763"/>
    <w:rsid w:val="00471A21"/>
    <w:rsid w:val="00471AEE"/>
    <w:rsid w:val="00471BB5"/>
    <w:rsid w:val="00471C0A"/>
    <w:rsid w:val="00471CC9"/>
    <w:rsid w:val="00471EA4"/>
    <w:rsid w:val="004720A1"/>
    <w:rsid w:val="004720DD"/>
    <w:rsid w:val="004726FD"/>
    <w:rsid w:val="004727B0"/>
    <w:rsid w:val="00472945"/>
    <w:rsid w:val="0047298D"/>
    <w:rsid w:val="00472AEF"/>
    <w:rsid w:val="00472BF4"/>
    <w:rsid w:val="004730F3"/>
    <w:rsid w:val="004731B2"/>
    <w:rsid w:val="00473362"/>
    <w:rsid w:val="004735EE"/>
    <w:rsid w:val="00473801"/>
    <w:rsid w:val="0047399F"/>
    <w:rsid w:val="00473EA9"/>
    <w:rsid w:val="0047420B"/>
    <w:rsid w:val="00474348"/>
    <w:rsid w:val="004749E2"/>
    <w:rsid w:val="00474E14"/>
    <w:rsid w:val="00474EC4"/>
    <w:rsid w:val="00474F42"/>
    <w:rsid w:val="00474F9B"/>
    <w:rsid w:val="00475477"/>
    <w:rsid w:val="00475631"/>
    <w:rsid w:val="004757B5"/>
    <w:rsid w:val="004757D6"/>
    <w:rsid w:val="0047590E"/>
    <w:rsid w:val="00475986"/>
    <w:rsid w:val="00475B39"/>
    <w:rsid w:val="00475B51"/>
    <w:rsid w:val="00475C13"/>
    <w:rsid w:val="0047604F"/>
    <w:rsid w:val="004761CC"/>
    <w:rsid w:val="00476344"/>
    <w:rsid w:val="004764D6"/>
    <w:rsid w:val="00476501"/>
    <w:rsid w:val="00476762"/>
    <w:rsid w:val="00476957"/>
    <w:rsid w:val="00476996"/>
    <w:rsid w:val="00476EE5"/>
    <w:rsid w:val="004770BD"/>
    <w:rsid w:val="00477282"/>
    <w:rsid w:val="004772C3"/>
    <w:rsid w:val="00477377"/>
    <w:rsid w:val="00477397"/>
    <w:rsid w:val="00477461"/>
    <w:rsid w:val="00477FA5"/>
    <w:rsid w:val="004802DA"/>
    <w:rsid w:val="00480E57"/>
    <w:rsid w:val="00480F24"/>
    <w:rsid w:val="0048138F"/>
    <w:rsid w:val="00481778"/>
    <w:rsid w:val="0048212E"/>
    <w:rsid w:val="0048226D"/>
    <w:rsid w:val="00482704"/>
    <w:rsid w:val="004827BA"/>
    <w:rsid w:val="00482C87"/>
    <w:rsid w:val="00482CD1"/>
    <w:rsid w:val="00482E79"/>
    <w:rsid w:val="00483214"/>
    <w:rsid w:val="00483756"/>
    <w:rsid w:val="004837AC"/>
    <w:rsid w:val="00483BE4"/>
    <w:rsid w:val="0048403F"/>
    <w:rsid w:val="004842CE"/>
    <w:rsid w:val="00484945"/>
    <w:rsid w:val="00484E72"/>
    <w:rsid w:val="00484ED6"/>
    <w:rsid w:val="00484F29"/>
    <w:rsid w:val="00485253"/>
    <w:rsid w:val="00485272"/>
    <w:rsid w:val="004852C6"/>
    <w:rsid w:val="0048530A"/>
    <w:rsid w:val="0048533D"/>
    <w:rsid w:val="00485484"/>
    <w:rsid w:val="004854E2"/>
    <w:rsid w:val="00485538"/>
    <w:rsid w:val="0048554F"/>
    <w:rsid w:val="004856A8"/>
    <w:rsid w:val="004856E9"/>
    <w:rsid w:val="004856FC"/>
    <w:rsid w:val="0048593F"/>
    <w:rsid w:val="00485A04"/>
    <w:rsid w:val="00485B54"/>
    <w:rsid w:val="00485D03"/>
    <w:rsid w:val="00485FB0"/>
    <w:rsid w:val="0048603D"/>
    <w:rsid w:val="004860F8"/>
    <w:rsid w:val="00486217"/>
    <w:rsid w:val="00486720"/>
    <w:rsid w:val="00486AD0"/>
    <w:rsid w:val="00486BBF"/>
    <w:rsid w:val="00486E81"/>
    <w:rsid w:val="00486F0F"/>
    <w:rsid w:val="00487080"/>
    <w:rsid w:val="00487311"/>
    <w:rsid w:val="00487511"/>
    <w:rsid w:val="0048779B"/>
    <w:rsid w:val="00487939"/>
    <w:rsid w:val="00487B63"/>
    <w:rsid w:val="00487C55"/>
    <w:rsid w:val="00487EDF"/>
    <w:rsid w:val="00490217"/>
    <w:rsid w:val="00490851"/>
    <w:rsid w:val="00490979"/>
    <w:rsid w:val="00490A2D"/>
    <w:rsid w:val="00490A57"/>
    <w:rsid w:val="00490AE9"/>
    <w:rsid w:val="00490BD2"/>
    <w:rsid w:val="00490BE9"/>
    <w:rsid w:val="00490EE7"/>
    <w:rsid w:val="00490F1D"/>
    <w:rsid w:val="00490FC3"/>
    <w:rsid w:val="0049105A"/>
    <w:rsid w:val="00491241"/>
    <w:rsid w:val="0049148C"/>
    <w:rsid w:val="0049197A"/>
    <w:rsid w:val="004919D8"/>
    <w:rsid w:val="00491CEC"/>
    <w:rsid w:val="00491D2D"/>
    <w:rsid w:val="00491EA5"/>
    <w:rsid w:val="0049205F"/>
    <w:rsid w:val="004921B8"/>
    <w:rsid w:val="00492448"/>
    <w:rsid w:val="00492B70"/>
    <w:rsid w:val="00492B75"/>
    <w:rsid w:val="00492BA8"/>
    <w:rsid w:val="00492EFF"/>
    <w:rsid w:val="00493214"/>
    <w:rsid w:val="004934C1"/>
    <w:rsid w:val="004938EA"/>
    <w:rsid w:val="00493CEA"/>
    <w:rsid w:val="0049408E"/>
    <w:rsid w:val="004940A3"/>
    <w:rsid w:val="00494579"/>
    <w:rsid w:val="00494755"/>
    <w:rsid w:val="00494CD1"/>
    <w:rsid w:val="00494D83"/>
    <w:rsid w:val="0049505F"/>
    <w:rsid w:val="00495242"/>
    <w:rsid w:val="00495629"/>
    <w:rsid w:val="004956C6"/>
    <w:rsid w:val="0049580E"/>
    <w:rsid w:val="00495822"/>
    <w:rsid w:val="00495B66"/>
    <w:rsid w:val="0049655C"/>
    <w:rsid w:val="00496638"/>
    <w:rsid w:val="00496BA0"/>
    <w:rsid w:val="00496E26"/>
    <w:rsid w:val="0049715B"/>
    <w:rsid w:val="004972A7"/>
    <w:rsid w:val="0049737A"/>
    <w:rsid w:val="004973FE"/>
    <w:rsid w:val="004974F9"/>
    <w:rsid w:val="00497624"/>
    <w:rsid w:val="004976AA"/>
    <w:rsid w:val="004977E6"/>
    <w:rsid w:val="00497B5C"/>
    <w:rsid w:val="00497E86"/>
    <w:rsid w:val="00497F7B"/>
    <w:rsid w:val="004A0233"/>
    <w:rsid w:val="004A0246"/>
    <w:rsid w:val="004A024E"/>
    <w:rsid w:val="004A054A"/>
    <w:rsid w:val="004A06E3"/>
    <w:rsid w:val="004A076C"/>
    <w:rsid w:val="004A07AB"/>
    <w:rsid w:val="004A0A62"/>
    <w:rsid w:val="004A0EA7"/>
    <w:rsid w:val="004A1012"/>
    <w:rsid w:val="004A13C7"/>
    <w:rsid w:val="004A13CB"/>
    <w:rsid w:val="004A150A"/>
    <w:rsid w:val="004A1848"/>
    <w:rsid w:val="004A1F8F"/>
    <w:rsid w:val="004A21E8"/>
    <w:rsid w:val="004A2380"/>
    <w:rsid w:val="004A23AD"/>
    <w:rsid w:val="004A2A80"/>
    <w:rsid w:val="004A2CA0"/>
    <w:rsid w:val="004A2CE1"/>
    <w:rsid w:val="004A2EE4"/>
    <w:rsid w:val="004A3123"/>
    <w:rsid w:val="004A354E"/>
    <w:rsid w:val="004A35EE"/>
    <w:rsid w:val="004A367A"/>
    <w:rsid w:val="004A36DE"/>
    <w:rsid w:val="004A3AA8"/>
    <w:rsid w:val="004A3ABC"/>
    <w:rsid w:val="004A3D04"/>
    <w:rsid w:val="004A3F49"/>
    <w:rsid w:val="004A4036"/>
    <w:rsid w:val="004A415F"/>
    <w:rsid w:val="004A41CE"/>
    <w:rsid w:val="004A437B"/>
    <w:rsid w:val="004A44C2"/>
    <w:rsid w:val="004A469B"/>
    <w:rsid w:val="004A4717"/>
    <w:rsid w:val="004A4BF2"/>
    <w:rsid w:val="004A4E09"/>
    <w:rsid w:val="004A4E8E"/>
    <w:rsid w:val="004A5209"/>
    <w:rsid w:val="004A531F"/>
    <w:rsid w:val="004A55BE"/>
    <w:rsid w:val="004A56D4"/>
    <w:rsid w:val="004A56E5"/>
    <w:rsid w:val="004A5904"/>
    <w:rsid w:val="004A5A1F"/>
    <w:rsid w:val="004A6260"/>
    <w:rsid w:val="004A62E2"/>
    <w:rsid w:val="004A66CE"/>
    <w:rsid w:val="004A6FEC"/>
    <w:rsid w:val="004A6FF9"/>
    <w:rsid w:val="004A72F6"/>
    <w:rsid w:val="004A7925"/>
    <w:rsid w:val="004A7A49"/>
    <w:rsid w:val="004A7CB7"/>
    <w:rsid w:val="004A7FAD"/>
    <w:rsid w:val="004B0159"/>
    <w:rsid w:val="004B0207"/>
    <w:rsid w:val="004B02BB"/>
    <w:rsid w:val="004B02CC"/>
    <w:rsid w:val="004B0391"/>
    <w:rsid w:val="004B0592"/>
    <w:rsid w:val="004B0737"/>
    <w:rsid w:val="004B096A"/>
    <w:rsid w:val="004B0B31"/>
    <w:rsid w:val="004B0BC7"/>
    <w:rsid w:val="004B0E8B"/>
    <w:rsid w:val="004B130D"/>
    <w:rsid w:val="004B1393"/>
    <w:rsid w:val="004B176B"/>
    <w:rsid w:val="004B1962"/>
    <w:rsid w:val="004B19F1"/>
    <w:rsid w:val="004B1C7D"/>
    <w:rsid w:val="004B1F2F"/>
    <w:rsid w:val="004B2113"/>
    <w:rsid w:val="004B2150"/>
    <w:rsid w:val="004B21FB"/>
    <w:rsid w:val="004B2356"/>
    <w:rsid w:val="004B2BA1"/>
    <w:rsid w:val="004B2D6F"/>
    <w:rsid w:val="004B2F33"/>
    <w:rsid w:val="004B2FD0"/>
    <w:rsid w:val="004B3158"/>
    <w:rsid w:val="004B3383"/>
    <w:rsid w:val="004B3447"/>
    <w:rsid w:val="004B36D5"/>
    <w:rsid w:val="004B3A93"/>
    <w:rsid w:val="004B4291"/>
    <w:rsid w:val="004B454B"/>
    <w:rsid w:val="004B45B6"/>
    <w:rsid w:val="004B4833"/>
    <w:rsid w:val="004B48A6"/>
    <w:rsid w:val="004B4A2F"/>
    <w:rsid w:val="004B4E28"/>
    <w:rsid w:val="004B4E9C"/>
    <w:rsid w:val="004B4ED8"/>
    <w:rsid w:val="004B5318"/>
    <w:rsid w:val="004B54C3"/>
    <w:rsid w:val="004B54C6"/>
    <w:rsid w:val="004B5633"/>
    <w:rsid w:val="004B5820"/>
    <w:rsid w:val="004B58E4"/>
    <w:rsid w:val="004B5B9A"/>
    <w:rsid w:val="004B6091"/>
    <w:rsid w:val="004B63F5"/>
    <w:rsid w:val="004B65F9"/>
    <w:rsid w:val="004B672E"/>
    <w:rsid w:val="004B6BFB"/>
    <w:rsid w:val="004B704B"/>
    <w:rsid w:val="004B742D"/>
    <w:rsid w:val="004B7877"/>
    <w:rsid w:val="004B789B"/>
    <w:rsid w:val="004B791E"/>
    <w:rsid w:val="004B7AB8"/>
    <w:rsid w:val="004B7B12"/>
    <w:rsid w:val="004B7C06"/>
    <w:rsid w:val="004B7CC1"/>
    <w:rsid w:val="004B7D60"/>
    <w:rsid w:val="004B7F87"/>
    <w:rsid w:val="004C001C"/>
    <w:rsid w:val="004C00AB"/>
    <w:rsid w:val="004C01B5"/>
    <w:rsid w:val="004C0269"/>
    <w:rsid w:val="004C08A4"/>
    <w:rsid w:val="004C0936"/>
    <w:rsid w:val="004C0995"/>
    <w:rsid w:val="004C0A6C"/>
    <w:rsid w:val="004C12AA"/>
    <w:rsid w:val="004C145C"/>
    <w:rsid w:val="004C1742"/>
    <w:rsid w:val="004C17FF"/>
    <w:rsid w:val="004C189F"/>
    <w:rsid w:val="004C18AA"/>
    <w:rsid w:val="004C18C7"/>
    <w:rsid w:val="004C1B7F"/>
    <w:rsid w:val="004C1C1A"/>
    <w:rsid w:val="004C210E"/>
    <w:rsid w:val="004C212F"/>
    <w:rsid w:val="004C2153"/>
    <w:rsid w:val="004C21B8"/>
    <w:rsid w:val="004C2262"/>
    <w:rsid w:val="004C23AF"/>
    <w:rsid w:val="004C2731"/>
    <w:rsid w:val="004C285D"/>
    <w:rsid w:val="004C297F"/>
    <w:rsid w:val="004C2A53"/>
    <w:rsid w:val="004C2BFD"/>
    <w:rsid w:val="004C2C18"/>
    <w:rsid w:val="004C2CF4"/>
    <w:rsid w:val="004C3C22"/>
    <w:rsid w:val="004C3F25"/>
    <w:rsid w:val="004C41B6"/>
    <w:rsid w:val="004C41DC"/>
    <w:rsid w:val="004C428D"/>
    <w:rsid w:val="004C42B4"/>
    <w:rsid w:val="004C44A7"/>
    <w:rsid w:val="004C467C"/>
    <w:rsid w:val="004C5163"/>
    <w:rsid w:val="004C5181"/>
    <w:rsid w:val="004C550E"/>
    <w:rsid w:val="004C57E8"/>
    <w:rsid w:val="004C59F0"/>
    <w:rsid w:val="004C5B63"/>
    <w:rsid w:val="004C5C81"/>
    <w:rsid w:val="004C6123"/>
    <w:rsid w:val="004C66FB"/>
    <w:rsid w:val="004C6985"/>
    <w:rsid w:val="004C69F1"/>
    <w:rsid w:val="004C6A69"/>
    <w:rsid w:val="004C6C41"/>
    <w:rsid w:val="004C6CA2"/>
    <w:rsid w:val="004C6CF4"/>
    <w:rsid w:val="004C71BE"/>
    <w:rsid w:val="004C7293"/>
    <w:rsid w:val="004C798F"/>
    <w:rsid w:val="004C7A78"/>
    <w:rsid w:val="004C7AF8"/>
    <w:rsid w:val="004C7B91"/>
    <w:rsid w:val="004C7DD5"/>
    <w:rsid w:val="004C7E1F"/>
    <w:rsid w:val="004C7E58"/>
    <w:rsid w:val="004D0087"/>
    <w:rsid w:val="004D027C"/>
    <w:rsid w:val="004D0351"/>
    <w:rsid w:val="004D03D3"/>
    <w:rsid w:val="004D03D6"/>
    <w:rsid w:val="004D0A08"/>
    <w:rsid w:val="004D0A7E"/>
    <w:rsid w:val="004D0B52"/>
    <w:rsid w:val="004D0B8A"/>
    <w:rsid w:val="004D0D66"/>
    <w:rsid w:val="004D0F57"/>
    <w:rsid w:val="004D0FB8"/>
    <w:rsid w:val="004D115B"/>
    <w:rsid w:val="004D1300"/>
    <w:rsid w:val="004D13A0"/>
    <w:rsid w:val="004D1477"/>
    <w:rsid w:val="004D1619"/>
    <w:rsid w:val="004D17CD"/>
    <w:rsid w:val="004D18C2"/>
    <w:rsid w:val="004D197F"/>
    <w:rsid w:val="004D1BC8"/>
    <w:rsid w:val="004D1D88"/>
    <w:rsid w:val="004D1E41"/>
    <w:rsid w:val="004D21B2"/>
    <w:rsid w:val="004D229F"/>
    <w:rsid w:val="004D26F0"/>
    <w:rsid w:val="004D294F"/>
    <w:rsid w:val="004D296E"/>
    <w:rsid w:val="004D2AE5"/>
    <w:rsid w:val="004D2B10"/>
    <w:rsid w:val="004D2B38"/>
    <w:rsid w:val="004D2B4D"/>
    <w:rsid w:val="004D2CE8"/>
    <w:rsid w:val="004D2D9B"/>
    <w:rsid w:val="004D30FF"/>
    <w:rsid w:val="004D32BB"/>
    <w:rsid w:val="004D3614"/>
    <w:rsid w:val="004D3633"/>
    <w:rsid w:val="004D3644"/>
    <w:rsid w:val="004D3921"/>
    <w:rsid w:val="004D3D90"/>
    <w:rsid w:val="004D48ED"/>
    <w:rsid w:val="004D4A2C"/>
    <w:rsid w:val="004D5340"/>
    <w:rsid w:val="004D53BA"/>
    <w:rsid w:val="004D53EF"/>
    <w:rsid w:val="004D550D"/>
    <w:rsid w:val="004D5DB1"/>
    <w:rsid w:val="004D6101"/>
    <w:rsid w:val="004D6320"/>
    <w:rsid w:val="004D6377"/>
    <w:rsid w:val="004D64C0"/>
    <w:rsid w:val="004D6572"/>
    <w:rsid w:val="004D67B1"/>
    <w:rsid w:val="004D67C6"/>
    <w:rsid w:val="004D6B26"/>
    <w:rsid w:val="004D6C17"/>
    <w:rsid w:val="004D6CE8"/>
    <w:rsid w:val="004D6D53"/>
    <w:rsid w:val="004D712B"/>
    <w:rsid w:val="004D7366"/>
    <w:rsid w:val="004D77B3"/>
    <w:rsid w:val="004D781B"/>
    <w:rsid w:val="004D7C50"/>
    <w:rsid w:val="004D7D82"/>
    <w:rsid w:val="004D7FC1"/>
    <w:rsid w:val="004E000E"/>
    <w:rsid w:val="004E0062"/>
    <w:rsid w:val="004E03F6"/>
    <w:rsid w:val="004E041C"/>
    <w:rsid w:val="004E0739"/>
    <w:rsid w:val="004E1153"/>
    <w:rsid w:val="004E117D"/>
    <w:rsid w:val="004E170C"/>
    <w:rsid w:val="004E1CB2"/>
    <w:rsid w:val="004E1CD2"/>
    <w:rsid w:val="004E1D58"/>
    <w:rsid w:val="004E1EFC"/>
    <w:rsid w:val="004E20C4"/>
    <w:rsid w:val="004E21BB"/>
    <w:rsid w:val="004E247D"/>
    <w:rsid w:val="004E2849"/>
    <w:rsid w:val="004E28B5"/>
    <w:rsid w:val="004E2928"/>
    <w:rsid w:val="004E29DF"/>
    <w:rsid w:val="004E2A3A"/>
    <w:rsid w:val="004E2B1E"/>
    <w:rsid w:val="004E2C03"/>
    <w:rsid w:val="004E3879"/>
    <w:rsid w:val="004E387E"/>
    <w:rsid w:val="004E399E"/>
    <w:rsid w:val="004E3A10"/>
    <w:rsid w:val="004E3C0D"/>
    <w:rsid w:val="004E3D82"/>
    <w:rsid w:val="004E3F18"/>
    <w:rsid w:val="004E3FE7"/>
    <w:rsid w:val="004E4293"/>
    <w:rsid w:val="004E43F0"/>
    <w:rsid w:val="004E4430"/>
    <w:rsid w:val="004E453B"/>
    <w:rsid w:val="004E4591"/>
    <w:rsid w:val="004E45A1"/>
    <w:rsid w:val="004E4823"/>
    <w:rsid w:val="004E4950"/>
    <w:rsid w:val="004E4BB4"/>
    <w:rsid w:val="004E4D38"/>
    <w:rsid w:val="004E4D55"/>
    <w:rsid w:val="004E4D97"/>
    <w:rsid w:val="004E5143"/>
    <w:rsid w:val="004E54CB"/>
    <w:rsid w:val="004E57AA"/>
    <w:rsid w:val="004E590C"/>
    <w:rsid w:val="004E5AB9"/>
    <w:rsid w:val="004E5ACC"/>
    <w:rsid w:val="004E5C6F"/>
    <w:rsid w:val="004E5DA0"/>
    <w:rsid w:val="004E5DAF"/>
    <w:rsid w:val="004E5DF6"/>
    <w:rsid w:val="004E6122"/>
    <w:rsid w:val="004E61FD"/>
    <w:rsid w:val="004E63B5"/>
    <w:rsid w:val="004E6546"/>
    <w:rsid w:val="004E662A"/>
    <w:rsid w:val="004E677E"/>
    <w:rsid w:val="004E6855"/>
    <w:rsid w:val="004E6B46"/>
    <w:rsid w:val="004E6C47"/>
    <w:rsid w:val="004E6D9F"/>
    <w:rsid w:val="004E6DA2"/>
    <w:rsid w:val="004E6DB6"/>
    <w:rsid w:val="004E6FAB"/>
    <w:rsid w:val="004E71E7"/>
    <w:rsid w:val="004E7460"/>
    <w:rsid w:val="004E75A9"/>
    <w:rsid w:val="004E7742"/>
    <w:rsid w:val="004E7780"/>
    <w:rsid w:val="004E7835"/>
    <w:rsid w:val="004E7A63"/>
    <w:rsid w:val="004F0003"/>
    <w:rsid w:val="004F06A0"/>
    <w:rsid w:val="004F0769"/>
    <w:rsid w:val="004F0B40"/>
    <w:rsid w:val="004F0BF4"/>
    <w:rsid w:val="004F0C8C"/>
    <w:rsid w:val="004F0EE3"/>
    <w:rsid w:val="004F100F"/>
    <w:rsid w:val="004F13E0"/>
    <w:rsid w:val="004F156F"/>
    <w:rsid w:val="004F160B"/>
    <w:rsid w:val="004F163A"/>
    <w:rsid w:val="004F1805"/>
    <w:rsid w:val="004F18B6"/>
    <w:rsid w:val="004F18F2"/>
    <w:rsid w:val="004F195C"/>
    <w:rsid w:val="004F1BE7"/>
    <w:rsid w:val="004F1D9A"/>
    <w:rsid w:val="004F1E1F"/>
    <w:rsid w:val="004F20A9"/>
    <w:rsid w:val="004F23E7"/>
    <w:rsid w:val="004F28BD"/>
    <w:rsid w:val="004F2931"/>
    <w:rsid w:val="004F2C90"/>
    <w:rsid w:val="004F2E7F"/>
    <w:rsid w:val="004F2FE1"/>
    <w:rsid w:val="004F307D"/>
    <w:rsid w:val="004F3326"/>
    <w:rsid w:val="004F3671"/>
    <w:rsid w:val="004F37C8"/>
    <w:rsid w:val="004F385C"/>
    <w:rsid w:val="004F38C9"/>
    <w:rsid w:val="004F3AEC"/>
    <w:rsid w:val="004F3C7F"/>
    <w:rsid w:val="004F3DEC"/>
    <w:rsid w:val="004F3F8C"/>
    <w:rsid w:val="004F4019"/>
    <w:rsid w:val="004F422B"/>
    <w:rsid w:val="004F4400"/>
    <w:rsid w:val="004F4589"/>
    <w:rsid w:val="004F46AE"/>
    <w:rsid w:val="004F47CE"/>
    <w:rsid w:val="004F47E7"/>
    <w:rsid w:val="004F4A63"/>
    <w:rsid w:val="004F4D5D"/>
    <w:rsid w:val="004F4DC9"/>
    <w:rsid w:val="004F4DCE"/>
    <w:rsid w:val="004F51F4"/>
    <w:rsid w:val="004F536D"/>
    <w:rsid w:val="004F56DC"/>
    <w:rsid w:val="004F57D5"/>
    <w:rsid w:val="004F5B21"/>
    <w:rsid w:val="004F5DDD"/>
    <w:rsid w:val="004F62F0"/>
    <w:rsid w:val="004F6608"/>
    <w:rsid w:val="004F6782"/>
    <w:rsid w:val="004F70AB"/>
    <w:rsid w:val="004F71C4"/>
    <w:rsid w:val="004F720D"/>
    <w:rsid w:val="004F7289"/>
    <w:rsid w:val="004F7346"/>
    <w:rsid w:val="004F7549"/>
    <w:rsid w:val="004F7633"/>
    <w:rsid w:val="004F7B13"/>
    <w:rsid w:val="004F7B68"/>
    <w:rsid w:val="004F7BFB"/>
    <w:rsid w:val="004F7DD2"/>
    <w:rsid w:val="005008D5"/>
    <w:rsid w:val="005009D1"/>
    <w:rsid w:val="00501981"/>
    <w:rsid w:val="00501A76"/>
    <w:rsid w:val="00501CDA"/>
    <w:rsid w:val="00501D4B"/>
    <w:rsid w:val="00502059"/>
    <w:rsid w:val="0050275D"/>
    <w:rsid w:val="005028B1"/>
    <w:rsid w:val="00502A51"/>
    <w:rsid w:val="0050323D"/>
    <w:rsid w:val="0050331E"/>
    <w:rsid w:val="00503615"/>
    <w:rsid w:val="0050376E"/>
    <w:rsid w:val="00503A50"/>
    <w:rsid w:val="00503A5E"/>
    <w:rsid w:val="00503AF0"/>
    <w:rsid w:val="00503CCB"/>
    <w:rsid w:val="0050411C"/>
    <w:rsid w:val="00504437"/>
    <w:rsid w:val="005044DB"/>
    <w:rsid w:val="00504602"/>
    <w:rsid w:val="0050467A"/>
    <w:rsid w:val="00504B16"/>
    <w:rsid w:val="00504D2D"/>
    <w:rsid w:val="00504E6F"/>
    <w:rsid w:val="005054E8"/>
    <w:rsid w:val="005057D7"/>
    <w:rsid w:val="00505BAE"/>
    <w:rsid w:val="00505BFA"/>
    <w:rsid w:val="00505E84"/>
    <w:rsid w:val="005060D0"/>
    <w:rsid w:val="00506168"/>
    <w:rsid w:val="00506562"/>
    <w:rsid w:val="005066E4"/>
    <w:rsid w:val="005067C7"/>
    <w:rsid w:val="00506847"/>
    <w:rsid w:val="0050693C"/>
    <w:rsid w:val="005069EE"/>
    <w:rsid w:val="00506FC8"/>
    <w:rsid w:val="005070D4"/>
    <w:rsid w:val="0050717B"/>
    <w:rsid w:val="005071C5"/>
    <w:rsid w:val="005072DD"/>
    <w:rsid w:val="00507445"/>
    <w:rsid w:val="005079BA"/>
    <w:rsid w:val="00507AAB"/>
    <w:rsid w:val="00507AFE"/>
    <w:rsid w:val="00507CEF"/>
    <w:rsid w:val="00507D88"/>
    <w:rsid w:val="00507DF4"/>
    <w:rsid w:val="0051004E"/>
    <w:rsid w:val="005101E2"/>
    <w:rsid w:val="005102E7"/>
    <w:rsid w:val="00510342"/>
    <w:rsid w:val="005104D8"/>
    <w:rsid w:val="0051057B"/>
    <w:rsid w:val="005106D8"/>
    <w:rsid w:val="00510C63"/>
    <w:rsid w:val="00511044"/>
    <w:rsid w:val="005110AA"/>
    <w:rsid w:val="005112F9"/>
    <w:rsid w:val="00511456"/>
    <w:rsid w:val="00511628"/>
    <w:rsid w:val="0051210A"/>
    <w:rsid w:val="00512297"/>
    <w:rsid w:val="00512456"/>
    <w:rsid w:val="00512534"/>
    <w:rsid w:val="005125DB"/>
    <w:rsid w:val="0051265A"/>
    <w:rsid w:val="00512666"/>
    <w:rsid w:val="0051281F"/>
    <w:rsid w:val="0051285F"/>
    <w:rsid w:val="00512DCE"/>
    <w:rsid w:val="00512F3C"/>
    <w:rsid w:val="00513474"/>
    <w:rsid w:val="005134DC"/>
    <w:rsid w:val="00513725"/>
    <w:rsid w:val="005137C3"/>
    <w:rsid w:val="005138B5"/>
    <w:rsid w:val="00513C2D"/>
    <w:rsid w:val="00514670"/>
    <w:rsid w:val="0051486A"/>
    <w:rsid w:val="00514C75"/>
    <w:rsid w:val="00514E20"/>
    <w:rsid w:val="00514EAC"/>
    <w:rsid w:val="00514F40"/>
    <w:rsid w:val="0051524D"/>
    <w:rsid w:val="005155EF"/>
    <w:rsid w:val="0051573F"/>
    <w:rsid w:val="00515D10"/>
    <w:rsid w:val="00515D31"/>
    <w:rsid w:val="00515D74"/>
    <w:rsid w:val="00516064"/>
    <w:rsid w:val="005163E5"/>
    <w:rsid w:val="00516533"/>
    <w:rsid w:val="00516BC0"/>
    <w:rsid w:val="00516DB2"/>
    <w:rsid w:val="00516E74"/>
    <w:rsid w:val="005171DA"/>
    <w:rsid w:val="005175A6"/>
    <w:rsid w:val="00517B21"/>
    <w:rsid w:val="00517EAA"/>
    <w:rsid w:val="00517FEC"/>
    <w:rsid w:val="0052036F"/>
    <w:rsid w:val="00520795"/>
    <w:rsid w:val="00520BE2"/>
    <w:rsid w:val="005211AE"/>
    <w:rsid w:val="005211B7"/>
    <w:rsid w:val="005212F0"/>
    <w:rsid w:val="00521443"/>
    <w:rsid w:val="0052148F"/>
    <w:rsid w:val="0052178C"/>
    <w:rsid w:val="00521CF6"/>
    <w:rsid w:val="00522153"/>
    <w:rsid w:val="0052229F"/>
    <w:rsid w:val="00522305"/>
    <w:rsid w:val="00522365"/>
    <w:rsid w:val="0052249D"/>
    <w:rsid w:val="00522855"/>
    <w:rsid w:val="0052289F"/>
    <w:rsid w:val="00522912"/>
    <w:rsid w:val="00522A2C"/>
    <w:rsid w:val="00522E92"/>
    <w:rsid w:val="00523586"/>
    <w:rsid w:val="0052358E"/>
    <w:rsid w:val="00523632"/>
    <w:rsid w:val="0052379E"/>
    <w:rsid w:val="005237BA"/>
    <w:rsid w:val="00523A6E"/>
    <w:rsid w:val="00523D26"/>
    <w:rsid w:val="00523EA5"/>
    <w:rsid w:val="0052476F"/>
    <w:rsid w:val="00524930"/>
    <w:rsid w:val="005249F8"/>
    <w:rsid w:val="00524A25"/>
    <w:rsid w:val="00524D4C"/>
    <w:rsid w:val="00524FD0"/>
    <w:rsid w:val="005250F2"/>
    <w:rsid w:val="005251E7"/>
    <w:rsid w:val="0052533F"/>
    <w:rsid w:val="005254CA"/>
    <w:rsid w:val="0052599E"/>
    <w:rsid w:val="005259C4"/>
    <w:rsid w:val="00525EC7"/>
    <w:rsid w:val="005260D4"/>
    <w:rsid w:val="005263DD"/>
    <w:rsid w:val="00526659"/>
    <w:rsid w:val="005266BD"/>
    <w:rsid w:val="005267CF"/>
    <w:rsid w:val="00526804"/>
    <w:rsid w:val="0052680A"/>
    <w:rsid w:val="00526A4E"/>
    <w:rsid w:val="00526C93"/>
    <w:rsid w:val="00526E17"/>
    <w:rsid w:val="00526F44"/>
    <w:rsid w:val="005272DD"/>
    <w:rsid w:val="005274F6"/>
    <w:rsid w:val="0052763E"/>
    <w:rsid w:val="00527689"/>
    <w:rsid w:val="005279D1"/>
    <w:rsid w:val="00527AC2"/>
    <w:rsid w:val="00527CF5"/>
    <w:rsid w:val="00527D81"/>
    <w:rsid w:val="005303D5"/>
    <w:rsid w:val="00530415"/>
    <w:rsid w:val="0053053C"/>
    <w:rsid w:val="00530A17"/>
    <w:rsid w:val="00530C46"/>
    <w:rsid w:val="00530ED4"/>
    <w:rsid w:val="00531159"/>
    <w:rsid w:val="0053182B"/>
    <w:rsid w:val="0053197E"/>
    <w:rsid w:val="00531C35"/>
    <w:rsid w:val="00531ECA"/>
    <w:rsid w:val="0053229C"/>
    <w:rsid w:val="00532361"/>
    <w:rsid w:val="0053240A"/>
    <w:rsid w:val="00532581"/>
    <w:rsid w:val="0053291F"/>
    <w:rsid w:val="00532D28"/>
    <w:rsid w:val="00532DDA"/>
    <w:rsid w:val="005330A4"/>
    <w:rsid w:val="00533664"/>
    <w:rsid w:val="00533A2D"/>
    <w:rsid w:val="00533ABA"/>
    <w:rsid w:val="00533F6A"/>
    <w:rsid w:val="005340D7"/>
    <w:rsid w:val="00534264"/>
    <w:rsid w:val="00534712"/>
    <w:rsid w:val="00534838"/>
    <w:rsid w:val="0053489D"/>
    <w:rsid w:val="00534AC9"/>
    <w:rsid w:val="00534C9A"/>
    <w:rsid w:val="00534D00"/>
    <w:rsid w:val="00534E12"/>
    <w:rsid w:val="00535064"/>
    <w:rsid w:val="0053526C"/>
    <w:rsid w:val="00535810"/>
    <w:rsid w:val="0053589B"/>
    <w:rsid w:val="00535C05"/>
    <w:rsid w:val="00535E6F"/>
    <w:rsid w:val="00536758"/>
    <w:rsid w:val="005367BD"/>
    <w:rsid w:val="005368A5"/>
    <w:rsid w:val="00536AE9"/>
    <w:rsid w:val="00536B58"/>
    <w:rsid w:val="00536C37"/>
    <w:rsid w:val="00536EC3"/>
    <w:rsid w:val="0053702F"/>
    <w:rsid w:val="00537059"/>
    <w:rsid w:val="005374DF"/>
    <w:rsid w:val="00537920"/>
    <w:rsid w:val="00537C73"/>
    <w:rsid w:val="00537C8D"/>
    <w:rsid w:val="0054006E"/>
    <w:rsid w:val="00540074"/>
    <w:rsid w:val="0054085C"/>
    <w:rsid w:val="00540A60"/>
    <w:rsid w:val="00540C8F"/>
    <w:rsid w:val="00540DC1"/>
    <w:rsid w:val="00540F7D"/>
    <w:rsid w:val="00541147"/>
    <w:rsid w:val="00541197"/>
    <w:rsid w:val="0054126C"/>
    <w:rsid w:val="0054154F"/>
    <w:rsid w:val="00541722"/>
    <w:rsid w:val="005418DC"/>
    <w:rsid w:val="00541960"/>
    <w:rsid w:val="00541C9B"/>
    <w:rsid w:val="00542064"/>
    <w:rsid w:val="005423B9"/>
    <w:rsid w:val="005424C4"/>
    <w:rsid w:val="005425C7"/>
    <w:rsid w:val="00542611"/>
    <w:rsid w:val="00542781"/>
    <w:rsid w:val="005429A7"/>
    <w:rsid w:val="005429EB"/>
    <w:rsid w:val="00542A0E"/>
    <w:rsid w:val="00542F6C"/>
    <w:rsid w:val="005430A2"/>
    <w:rsid w:val="00543193"/>
    <w:rsid w:val="0054347E"/>
    <w:rsid w:val="005436A0"/>
    <w:rsid w:val="00543893"/>
    <w:rsid w:val="00543C2C"/>
    <w:rsid w:val="00543E2D"/>
    <w:rsid w:val="00543FA1"/>
    <w:rsid w:val="005440F1"/>
    <w:rsid w:val="005442C1"/>
    <w:rsid w:val="00544728"/>
    <w:rsid w:val="005448B3"/>
    <w:rsid w:val="005448F1"/>
    <w:rsid w:val="00544AAC"/>
    <w:rsid w:val="00544CB2"/>
    <w:rsid w:val="00544EBA"/>
    <w:rsid w:val="00545314"/>
    <w:rsid w:val="005453A1"/>
    <w:rsid w:val="00545E8E"/>
    <w:rsid w:val="00545F0F"/>
    <w:rsid w:val="00545FB0"/>
    <w:rsid w:val="0054678E"/>
    <w:rsid w:val="005469D3"/>
    <w:rsid w:val="00546AC4"/>
    <w:rsid w:val="00547172"/>
    <w:rsid w:val="005473E9"/>
    <w:rsid w:val="00547486"/>
    <w:rsid w:val="0054793B"/>
    <w:rsid w:val="00547C43"/>
    <w:rsid w:val="00547CA4"/>
    <w:rsid w:val="00547E88"/>
    <w:rsid w:val="00547FBC"/>
    <w:rsid w:val="0055004E"/>
    <w:rsid w:val="00550257"/>
    <w:rsid w:val="005503A0"/>
    <w:rsid w:val="00550787"/>
    <w:rsid w:val="005508C6"/>
    <w:rsid w:val="005509AA"/>
    <w:rsid w:val="005509DC"/>
    <w:rsid w:val="00550BF1"/>
    <w:rsid w:val="00550D05"/>
    <w:rsid w:val="00550EC9"/>
    <w:rsid w:val="0055114A"/>
    <w:rsid w:val="00551324"/>
    <w:rsid w:val="005515B4"/>
    <w:rsid w:val="005515ED"/>
    <w:rsid w:val="0055165F"/>
    <w:rsid w:val="00551A94"/>
    <w:rsid w:val="00551C01"/>
    <w:rsid w:val="00551CD1"/>
    <w:rsid w:val="00551F7B"/>
    <w:rsid w:val="005520E6"/>
    <w:rsid w:val="005522F1"/>
    <w:rsid w:val="005524F9"/>
    <w:rsid w:val="00552848"/>
    <w:rsid w:val="005528FE"/>
    <w:rsid w:val="005529F6"/>
    <w:rsid w:val="00552EC7"/>
    <w:rsid w:val="005531A3"/>
    <w:rsid w:val="005536C0"/>
    <w:rsid w:val="00553720"/>
    <w:rsid w:val="00553D91"/>
    <w:rsid w:val="005543C1"/>
    <w:rsid w:val="00554628"/>
    <w:rsid w:val="0055466A"/>
    <w:rsid w:val="005546DA"/>
    <w:rsid w:val="0055477C"/>
    <w:rsid w:val="00554A8E"/>
    <w:rsid w:val="00554B1D"/>
    <w:rsid w:val="00554CFC"/>
    <w:rsid w:val="00554D17"/>
    <w:rsid w:val="0055514A"/>
    <w:rsid w:val="005551D1"/>
    <w:rsid w:val="005552C1"/>
    <w:rsid w:val="005553C7"/>
    <w:rsid w:val="00555496"/>
    <w:rsid w:val="00555633"/>
    <w:rsid w:val="00555BB4"/>
    <w:rsid w:val="00555D7D"/>
    <w:rsid w:val="00555D88"/>
    <w:rsid w:val="00555DD4"/>
    <w:rsid w:val="00555E4C"/>
    <w:rsid w:val="0055616C"/>
    <w:rsid w:val="005561A7"/>
    <w:rsid w:val="0055639A"/>
    <w:rsid w:val="00556548"/>
    <w:rsid w:val="00556724"/>
    <w:rsid w:val="005568E7"/>
    <w:rsid w:val="00556CAC"/>
    <w:rsid w:val="00556E13"/>
    <w:rsid w:val="005570EF"/>
    <w:rsid w:val="00557155"/>
    <w:rsid w:val="005571DD"/>
    <w:rsid w:val="0055785B"/>
    <w:rsid w:val="00557A2E"/>
    <w:rsid w:val="00557AED"/>
    <w:rsid w:val="00557C18"/>
    <w:rsid w:val="00557DC4"/>
    <w:rsid w:val="00557EF1"/>
    <w:rsid w:val="00560134"/>
    <w:rsid w:val="00560276"/>
    <w:rsid w:val="005602B9"/>
    <w:rsid w:val="005602FA"/>
    <w:rsid w:val="0056045F"/>
    <w:rsid w:val="005604B7"/>
    <w:rsid w:val="0056078A"/>
    <w:rsid w:val="00560CD5"/>
    <w:rsid w:val="00560E48"/>
    <w:rsid w:val="00561044"/>
    <w:rsid w:val="0056104A"/>
    <w:rsid w:val="005610BF"/>
    <w:rsid w:val="005611FA"/>
    <w:rsid w:val="00561368"/>
    <w:rsid w:val="00561E89"/>
    <w:rsid w:val="00561F1C"/>
    <w:rsid w:val="00561F66"/>
    <w:rsid w:val="00561F92"/>
    <w:rsid w:val="00562149"/>
    <w:rsid w:val="005625DD"/>
    <w:rsid w:val="00562711"/>
    <w:rsid w:val="0056273D"/>
    <w:rsid w:val="00562A50"/>
    <w:rsid w:val="00562BB1"/>
    <w:rsid w:val="00562CB7"/>
    <w:rsid w:val="00562DFB"/>
    <w:rsid w:val="00563261"/>
    <w:rsid w:val="0056331C"/>
    <w:rsid w:val="0056347E"/>
    <w:rsid w:val="005637FF"/>
    <w:rsid w:val="005639D2"/>
    <w:rsid w:val="00563A70"/>
    <w:rsid w:val="00563C0A"/>
    <w:rsid w:val="00563C0C"/>
    <w:rsid w:val="00563E5B"/>
    <w:rsid w:val="00563F42"/>
    <w:rsid w:val="0056401F"/>
    <w:rsid w:val="005640DE"/>
    <w:rsid w:val="005643B0"/>
    <w:rsid w:val="0056462F"/>
    <w:rsid w:val="00564857"/>
    <w:rsid w:val="005649E5"/>
    <w:rsid w:val="00564A97"/>
    <w:rsid w:val="00564BC5"/>
    <w:rsid w:val="00565216"/>
    <w:rsid w:val="00565662"/>
    <w:rsid w:val="00565929"/>
    <w:rsid w:val="00565BFB"/>
    <w:rsid w:val="00565CE2"/>
    <w:rsid w:val="00566041"/>
    <w:rsid w:val="00566043"/>
    <w:rsid w:val="00566067"/>
    <w:rsid w:val="0056616C"/>
    <w:rsid w:val="005662D8"/>
    <w:rsid w:val="0056640C"/>
    <w:rsid w:val="00566595"/>
    <w:rsid w:val="00566683"/>
    <w:rsid w:val="00566A22"/>
    <w:rsid w:val="00566A50"/>
    <w:rsid w:val="00566CCB"/>
    <w:rsid w:val="00566DCF"/>
    <w:rsid w:val="00566E34"/>
    <w:rsid w:val="00567298"/>
    <w:rsid w:val="005677EC"/>
    <w:rsid w:val="00567BBE"/>
    <w:rsid w:val="00570239"/>
    <w:rsid w:val="005702F2"/>
    <w:rsid w:val="00570493"/>
    <w:rsid w:val="0057068D"/>
    <w:rsid w:val="005709C8"/>
    <w:rsid w:val="00570B97"/>
    <w:rsid w:val="00571115"/>
    <w:rsid w:val="0057112A"/>
    <w:rsid w:val="00571511"/>
    <w:rsid w:val="005716A3"/>
    <w:rsid w:val="005717F1"/>
    <w:rsid w:val="00571881"/>
    <w:rsid w:val="0057198F"/>
    <w:rsid w:val="005721DC"/>
    <w:rsid w:val="005722F2"/>
    <w:rsid w:val="00572694"/>
    <w:rsid w:val="00572751"/>
    <w:rsid w:val="005727E6"/>
    <w:rsid w:val="005729E3"/>
    <w:rsid w:val="00572C4D"/>
    <w:rsid w:val="00573035"/>
    <w:rsid w:val="00573231"/>
    <w:rsid w:val="005736A1"/>
    <w:rsid w:val="00573AF0"/>
    <w:rsid w:val="00573D39"/>
    <w:rsid w:val="00573FBC"/>
    <w:rsid w:val="00574041"/>
    <w:rsid w:val="005740E3"/>
    <w:rsid w:val="0057415A"/>
    <w:rsid w:val="005741BA"/>
    <w:rsid w:val="005742BC"/>
    <w:rsid w:val="005743DA"/>
    <w:rsid w:val="00574714"/>
    <w:rsid w:val="005749A1"/>
    <w:rsid w:val="005749D3"/>
    <w:rsid w:val="00574D34"/>
    <w:rsid w:val="00574D7D"/>
    <w:rsid w:val="00575028"/>
    <w:rsid w:val="0057544B"/>
    <w:rsid w:val="00575456"/>
    <w:rsid w:val="005755DA"/>
    <w:rsid w:val="00575624"/>
    <w:rsid w:val="005758DC"/>
    <w:rsid w:val="00575973"/>
    <w:rsid w:val="00575AB5"/>
    <w:rsid w:val="00575DA7"/>
    <w:rsid w:val="00576132"/>
    <w:rsid w:val="005769A1"/>
    <w:rsid w:val="005769DA"/>
    <w:rsid w:val="00576A4D"/>
    <w:rsid w:val="00576B71"/>
    <w:rsid w:val="00576B9A"/>
    <w:rsid w:val="00576C17"/>
    <w:rsid w:val="00576EB6"/>
    <w:rsid w:val="00577082"/>
    <w:rsid w:val="00577C77"/>
    <w:rsid w:val="00577D6B"/>
    <w:rsid w:val="00577D87"/>
    <w:rsid w:val="00577ED4"/>
    <w:rsid w:val="00577F63"/>
    <w:rsid w:val="00580148"/>
    <w:rsid w:val="0058038B"/>
    <w:rsid w:val="005804CF"/>
    <w:rsid w:val="00580CAE"/>
    <w:rsid w:val="00580CE5"/>
    <w:rsid w:val="00580EBB"/>
    <w:rsid w:val="00580EEB"/>
    <w:rsid w:val="00580F45"/>
    <w:rsid w:val="005810D2"/>
    <w:rsid w:val="00581326"/>
    <w:rsid w:val="00581461"/>
    <w:rsid w:val="00581548"/>
    <w:rsid w:val="005818A9"/>
    <w:rsid w:val="005818BA"/>
    <w:rsid w:val="00581FBD"/>
    <w:rsid w:val="00582012"/>
    <w:rsid w:val="005828C2"/>
    <w:rsid w:val="00582908"/>
    <w:rsid w:val="0058292E"/>
    <w:rsid w:val="0058306A"/>
    <w:rsid w:val="00583141"/>
    <w:rsid w:val="00583299"/>
    <w:rsid w:val="00583313"/>
    <w:rsid w:val="0058344A"/>
    <w:rsid w:val="00583876"/>
    <w:rsid w:val="005838F6"/>
    <w:rsid w:val="00583939"/>
    <w:rsid w:val="005839AA"/>
    <w:rsid w:val="00583A7D"/>
    <w:rsid w:val="00584182"/>
    <w:rsid w:val="00584256"/>
    <w:rsid w:val="005847E6"/>
    <w:rsid w:val="005849DC"/>
    <w:rsid w:val="005849EE"/>
    <w:rsid w:val="00584DB7"/>
    <w:rsid w:val="0058506D"/>
    <w:rsid w:val="005852E3"/>
    <w:rsid w:val="0058550F"/>
    <w:rsid w:val="00585686"/>
    <w:rsid w:val="00585CD2"/>
    <w:rsid w:val="00585D65"/>
    <w:rsid w:val="00585DAE"/>
    <w:rsid w:val="00585DC7"/>
    <w:rsid w:val="00585FED"/>
    <w:rsid w:val="00586080"/>
    <w:rsid w:val="0058630C"/>
    <w:rsid w:val="005864F2"/>
    <w:rsid w:val="00586943"/>
    <w:rsid w:val="00586B36"/>
    <w:rsid w:val="00586BB2"/>
    <w:rsid w:val="00587050"/>
    <w:rsid w:val="00587348"/>
    <w:rsid w:val="00587401"/>
    <w:rsid w:val="005875BD"/>
    <w:rsid w:val="005878A8"/>
    <w:rsid w:val="00590121"/>
    <w:rsid w:val="00590196"/>
    <w:rsid w:val="00590254"/>
    <w:rsid w:val="0059062C"/>
    <w:rsid w:val="0059096A"/>
    <w:rsid w:val="00590B50"/>
    <w:rsid w:val="00590B8A"/>
    <w:rsid w:val="00590C9C"/>
    <w:rsid w:val="00591416"/>
    <w:rsid w:val="00591883"/>
    <w:rsid w:val="00591956"/>
    <w:rsid w:val="005919FE"/>
    <w:rsid w:val="00591CF1"/>
    <w:rsid w:val="00591D90"/>
    <w:rsid w:val="00591E6A"/>
    <w:rsid w:val="00591E76"/>
    <w:rsid w:val="00592428"/>
    <w:rsid w:val="0059248F"/>
    <w:rsid w:val="005925F4"/>
    <w:rsid w:val="00592718"/>
    <w:rsid w:val="0059277E"/>
    <w:rsid w:val="005928DD"/>
    <w:rsid w:val="00592B87"/>
    <w:rsid w:val="00592DE2"/>
    <w:rsid w:val="00592E1F"/>
    <w:rsid w:val="00592FAD"/>
    <w:rsid w:val="00593157"/>
    <w:rsid w:val="00593173"/>
    <w:rsid w:val="005934A9"/>
    <w:rsid w:val="005934B7"/>
    <w:rsid w:val="0059369A"/>
    <w:rsid w:val="0059373E"/>
    <w:rsid w:val="00593BD6"/>
    <w:rsid w:val="00593DF4"/>
    <w:rsid w:val="00593F22"/>
    <w:rsid w:val="00593F3D"/>
    <w:rsid w:val="00593F7C"/>
    <w:rsid w:val="00594060"/>
    <w:rsid w:val="005944E5"/>
    <w:rsid w:val="00594564"/>
    <w:rsid w:val="00594615"/>
    <w:rsid w:val="005946C8"/>
    <w:rsid w:val="005946DD"/>
    <w:rsid w:val="00594780"/>
    <w:rsid w:val="005948A6"/>
    <w:rsid w:val="005948D7"/>
    <w:rsid w:val="005948E7"/>
    <w:rsid w:val="005949E7"/>
    <w:rsid w:val="00594C35"/>
    <w:rsid w:val="00594C5A"/>
    <w:rsid w:val="00594D65"/>
    <w:rsid w:val="00594F3B"/>
    <w:rsid w:val="00594F6E"/>
    <w:rsid w:val="00595848"/>
    <w:rsid w:val="00595CA6"/>
    <w:rsid w:val="005960A1"/>
    <w:rsid w:val="00596459"/>
    <w:rsid w:val="00596680"/>
    <w:rsid w:val="00596D2F"/>
    <w:rsid w:val="00596E83"/>
    <w:rsid w:val="00596E91"/>
    <w:rsid w:val="00596EA1"/>
    <w:rsid w:val="00596F8D"/>
    <w:rsid w:val="00597083"/>
    <w:rsid w:val="00597931"/>
    <w:rsid w:val="005979D3"/>
    <w:rsid w:val="00597B7A"/>
    <w:rsid w:val="00597E30"/>
    <w:rsid w:val="00597F1B"/>
    <w:rsid w:val="005A015D"/>
    <w:rsid w:val="005A0206"/>
    <w:rsid w:val="005A0348"/>
    <w:rsid w:val="005A0421"/>
    <w:rsid w:val="005A05BC"/>
    <w:rsid w:val="005A0607"/>
    <w:rsid w:val="005A07E1"/>
    <w:rsid w:val="005A0871"/>
    <w:rsid w:val="005A0B24"/>
    <w:rsid w:val="005A0B86"/>
    <w:rsid w:val="005A0D30"/>
    <w:rsid w:val="005A0DD0"/>
    <w:rsid w:val="005A0E12"/>
    <w:rsid w:val="005A0EBD"/>
    <w:rsid w:val="005A1018"/>
    <w:rsid w:val="005A1107"/>
    <w:rsid w:val="005A11ED"/>
    <w:rsid w:val="005A1396"/>
    <w:rsid w:val="005A14FE"/>
    <w:rsid w:val="005A1D0F"/>
    <w:rsid w:val="005A221A"/>
    <w:rsid w:val="005A2235"/>
    <w:rsid w:val="005A2318"/>
    <w:rsid w:val="005A2441"/>
    <w:rsid w:val="005A2470"/>
    <w:rsid w:val="005A24A7"/>
    <w:rsid w:val="005A2519"/>
    <w:rsid w:val="005A28A0"/>
    <w:rsid w:val="005A28C1"/>
    <w:rsid w:val="005A28D6"/>
    <w:rsid w:val="005A2CA4"/>
    <w:rsid w:val="005A3310"/>
    <w:rsid w:val="005A3374"/>
    <w:rsid w:val="005A38FD"/>
    <w:rsid w:val="005A3B23"/>
    <w:rsid w:val="005A3CDF"/>
    <w:rsid w:val="005A4002"/>
    <w:rsid w:val="005A409C"/>
    <w:rsid w:val="005A4196"/>
    <w:rsid w:val="005A429D"/>
    <w:rsid w:val="005A48E1"/>
    <w:rsid w:val="005A4B03"/>
    <w:rsid w:val="005A4BCA"/>
    <w:rsid w:val="005A4C4E"/>
    <w:rsid w:val="005A5119"/>
    <w:rsid w:val="005A53B7"/>
    <w:rsid w:val="005A5493"/>
    <w:rsid w:val="005A59D8"/>
    <w:rsid w:val="005A5B77"/>
    <w:rsid w:val="005A5FBC"/>
    <w:rsid w:val="005A6099"/>
    <w:rsid w:val="005A61AA"/>
    <w:rsid w:val="005A6434"/>
    <w:rsid w:val="005A6520"/>
    <w:rsid w:val="005A65A8"/>
    <w:rsid w:val="005A660C"/>
    <w:rsid w:val="005A661D"/>
    <w:rsid w:val="005A6B9F"/>
    <w:rsid w:val="005A6E7B"/>
    <w:rsid w:val="005A6F92"/>
    <w:rsid w:val="005A71C6"/>
    <w:rsid w:val="005A7247"/>
    <w:rsid w:val="005A72B8"/>
    <w:rsid w:val="005A73B5"/>
    <w:rsid w:val="005A76B6"/>
    <w:rsid w:val="005A77E7"/>
    <w:rsid w:val="005A7ABD"/>
    <w:rsid w:val="005A7AE8"/>
    <w:rsid w:val="005A7CEE"/>
    <w:rsid w:val="005B0039"/>
    <w:rsid w:val="005B0124"/>
    <w:rsid w:val="005B053B"/>
    <w:rsid w:val="005B0950"/>
    <w:rsid w:val="005B0A64"/>
    <w:rsid w:val="005B0B31"/>
    <w:rsid w:val="005B1330"/>
    <w:rsid w:val="005B16D8"/>
    <w:rsid w:val="005B17D0"/>
    <w:rsid w:val="005B17D1"/>
    <w:rsid w:val="005B182A"/>
    <w:rsid w:val="005B1841"/>
    <w:rsid w:val="005B19DF"/>
    <w:rsid w:val="005B1C6E"/>
    <w:rsid w:val="005B21A8"/>
    <w:rsid w:val="005B230B"/>
    <w:rsid w:val="005B2413"/>
    <w:rsid w:val="005B246E"/>
    <w:rsid w:val="005B261D"/>
    <w:rsid w:val="005B2663"/>
    <w:rsid w:val="005B27B8"/>
    <w:rsid w:val="005B28CB"/>
    <w:rsid w:val="005B2B63"/>
    <w:rsid w:val="005B2C5F"/>
    <w:rsid w:val="005B2F8E"/>
    <w:rsid w:val="005B31F9"/>
    <w:rsid w:val="005B3456"/>
    <w:rsid w:val="005B3638"/>
    <w:rsid w:val="005B3680"/>
    <w:rsid w:val="005B381C"/>
    <w:rsid w:val="005B3E60"/>
    <w:rsid w:val="005B3E86"/>
    <w:rsid w:val="005B40C0"/>
    <w:rsid w:val="005B43DD"/>
    <w:rsid w:val="005B44CF"/>
    <w:rsid w:val="005B45C1"/>
    <w:rsid w:val="005B47FF"/>
    <w:rsid w:val="005B4871"/>
    <w:rsid w:val="005B4D57"/>
    <w:rsid w:val="005B4DA1"/>
    <w:rsid w:val="005B514A"/>
    <w:rsid w:val="005B5161"/>
    <w:rsid w:val="005B525C"/>
    <w:rsid w:val="005B54CB"/>
    <w:rsid w:val="005B575B"/>
    <w:rsid w:val="005B577C"/>
    <w:rsid w:val="005B57DE"/>
    <w:rsid w:val="005B5A88"/>
    <w:rsid w:val="005B5AD4"/>
    <w:rsid w:val="005B6223"/>
    <w:rsid w:val="005B62D9"/>
    <w:rsid w:val="005B62DA"/>
    <w:rsid w:val="005B64AD"/>
    <w:rsid w:val="005B64C3"/>
    <w:rsid w:val="005B660A"/>
    <w:rsid w:val="005B6912"/>
    <w:rsid w:val="005B6C4A"/>
    <w:rsid w:val="005B6E6E"/>
    <w:rsid w:val="005B6F8A"/>
    <w:rsid w:val="005B7150"/>
    <w:rsid w:val="005B7202"/>
    <w:rsid w:val="005B72CF"/>
    <w:rsid w:val="005B74B8"/>
    <w:rsid w:val="005B7A0E"/>
    <w:rsid w:val="005B7BA8"/>
    <w:rsid w:val="005B7DE5"/>
    <w:rsid w:val="005C0056"/>
    <w:rsid w:val="005C00F5"/>
    <w:rsid w:val="005C05BC"/>
    <w:rsid w:val="005C0646"/>
    <w:rsid w:val="005C06D1"/>
    <w:rsid w:val="005C06EA"/>
    <w:rsid w:val="005C0843"/>
    <w:rsid w:val="005C0BB4"/>
    <w:rsid w:val="005C0BC8"/>
    <w:rsid w:val="005C0FC4"/>
    <w:rsid w:val="005C10B5"/>
    <w:rsid w:val="005C131E"/>
    <w:rsid w:val="005C13EF"/>
    <w:rsid w:val="005C14A9"/>
    <w:rsid w:val="005C1A81"/>
    <w:rsid w:val="005C232F"/>
    <w:rsid w:val="005C24CF"/>
    <w:rsid w:val="005C2A44"/>
    <w:rsid w:val="005C2BA0"/>
    <w:rsid w:val="005C2D01"/>
    <w:rsid w:val="005C348D"/>
    <w:rsid w:val="005C348E"/>
    <w:rsid w:val="005C366B"/>
    <w:rsid w:val="005C388E"/>
    <w:rsid w:val="005C3EBA"/>
    <w:rsid w:val="005C44EE"/>
    <w:rsid w:val="005C4843"/>
    <w:rsid w:val="005C4BA9"/>
    <w:rsid w:val="005C4D15"/>
    <w:rsid w:val="005C4EC5"/>
    <w:rsid w:val="005C5280"/>
    <w:rsid w:val="005C5494"/>
    <w:rsid w:val="005C55A4"/>
    <w:rsid w:val="005C5A7C"/>
    <w:rsid w:val="005C5D1E"/>
    <w:rsid w:val="005C5E9E"/>
    <w:rsid w:val="005C6197"/>
    <w:rsid w:val="005C6387"/>
    <w:rsid w:val="005C6855"/>
    <w:rsid w:val="005C6BEA"/>
    <w:rsid w:val="005C6BFD"/>
    <w:rsid w:val="005C6EE6"/>
    <w:rsid w:val="005C6F0C"/>
    <w:rsid w:val="005C713F"/>
    <w:rsid w:val="005C718E"/>
    <w:rsid w:val="005C72E5"/>
    <w:rsid w:val="005C7517"/>
    <w:rsid w:val="005C75D8"/>
    <w:rsid w:val="005C7700"/>
    <w:rsid w:val="005C77E7"/>
    <w:rsid w:val="005C78CA"/>
    <w:rsid w:val="005C7B8B"/>
    <w:rsid w:val="005C7C74"/>
    <w:rsid w:val="005C7D16"/>
    <w:rsid w:val="005C7EE8"/>
    <w:rsid w:val="005D029A"/>
    <w:rsid w:val="005D078D"/>
    <w:rsid w:val="005D09EA"/>
    <w:rsid w:val="005D0AC7"/>
    <w:rsid w:val="005D0B09"/>
    <w:rsid w:val="005D0BA9"/>
    <w:rsid w:val="005D0F1A"/>
    <w:rsid w:val="005D12B7"/>
    <w:rsid w:val="005D1679"/>
    <w:rsid w:val="005D16F2"/>
    <w:rsid w:val="005D1FCE"/>
    <w:rsid w:val="005D200E"/>
    <w:rsid w:val="005D22B2"/>
    <w:rsid w:val="005D2323"/>
    <w:rsid w:val="005D23E2"/>
    <w:rsid w:val="005D2493"/>
    <w:rsid w:val="005D273C"/>
    <w:rsid w:val="005D2748"/>
    <w:rsid w:val="005D2778"/>
    <w:rsid w:val="005D29E9"/>
    <w:rsid w:val="005D2AD6"/>
    <w:rsid w:val="005D3179"/>
    <w:rsid w:val="005D3272"/>
    <w:rsid w:val="005D3435"/>
    <w:rsid w:val="005D393F"/>
    <w:rsid w:val="005D42AB"/>
    <w:rsid w:val="005D4492"/>
    <w:rsid w:val="005D44F3"/>
    <w:rsid w:val="005D472C"/>
    <w:rsid w:val="005D4A02"/>
    <w:rsid w:val="005D4A1B"/>
    <w:rsid w:val="005D4A3F"/>
    <w:rsid w:val="005D4B1C"/>
    <w:rsid w:val="005D4B5C"/>
    <w:rsid w:val="005D4DCE"/>
    <w:rsid w:val="005D50C8"/>
    <w:rsid w:val="005D5527"/>
    <w:rsid w:val="005D56C9"/>
    <w:rsid w:val="005D5834"/>
    <w:rsid w:val="005D5881"/>
    <w:rsid w:val="005D5899"/>
    <w:rsid w:val="005D5C24"/>
    <w:rsid w:val="005D5E9A"/>
    <w:rsid w:val="005D5FC2"/>
    <w:rsid w:val="005D6021"/>
    <w:rsid w:val="005D6029"/>
    <w:rsid w:val="005D6391"/>
    <w:rsid w:val="005D6ECA"/>
    <w:rsid w:val="005D6ED2"/>
    <w:rsid w:val="005D7134"/>
    <w:rsid w:val="005D746E"/>
    <w:rsid w:val="005D781D"/>
    <w:rsid w:val="005D791B"/>
    <w:rsid w:val="005D7C41"/>
    <w:rsid w:val="005D7D16"/>
    <w:rsid w:val="005D7DDF"/>
    <w:rsid w:val="005D7EAC"/>
    <w:rsid w:val="005D7F0D"/>
    <w:rsid w:val="005D7F38"/>
    <w:rsid w:val="005E039A"/>
    <w:rsid w:val="005E0741"/>
    <w:rsid w:val="005E09E4"/>
    <w:rsid w:val="005E09EE"/>
    <w:rsid w:val="005E0A24"/>
    <w:rsid w:val="005E0F5A"/>
    <w:rsid w:val="005E0F94"/>
    <w:rsid w:val="005E0FD5"/>
    <w:rsid w:val="005E1067"/>
    <w:rsid w:val="005E11C1"/>
    <w:rsid w:val="005E1416"/>
    <w:rsid w:val="005E15F1"/>
    <w:rsid w:val="005E17B7"/>
    <w:rsid w:val="005E194F"/>
    <w:rsid w:val="005E1DFE"/>
    <w:rsid w:val="005E1E5F"/>
    <w:rsid w:val="005E1E66"/>
    <w:rsid w:val="005E21DA"/>
    <w:rsid w:val="005E2336"/>
    <w:rsid w:val="005E23CD"/>
    <w:rsid w:val="005E2403"/>
    <w:rsid w:val="005E2729"/>
    <w:rsid w:val="005E2747"/>
    <w:rsid w:val="005E2946"/>
    <w:rsid w:val="005E2B61"/>
    <w:rsid w:val="005E2F1C"/>
    <w:rsid w:val="005E3075"/>
    <w:rsid w:val="005E3A2A"/>
    <w:rsid w:val="005E3B47"/>
    <w:rsid w:val="005E3C8A"/>
    <w:rsid w:val="005E3F5C"/>
    <w:rsid w:val="005E3F80"/>
    <w:rsid w:val="005E3FAC"/>
    <w:rsid w:val="005E3FC2"/>
    <w:rsid w:val="005E3FF9"/>
    <w:rsid w:val="005E4619"/>
    <w:rsid w:val="005E47D2"/>
    <w:rsid w:val="005E4C06"/>
    <w:rsid w:val="005E5406"/>
    <w:rsid w:val="005E55EE"/>
    <w:rsid w:val="005E5824"/>
    <w:rsid w:val="005E5969"/>
    <w:rsid w:val="005E5BBA"/>
    <w:rsid w:val="005E5D72"/>
    <w:rsid w:val="005E5E2A"/>
    <w:rsid w:val="005E657A"/>
    <w:rsid w:val="005E68BA"/>
    <w:rsid w:val="005E6AAD"/>
    <w:rsid w:val="005E6BEF"/>
    <w:rsid w:val="005E712F"/>
    <w:rsid w:val="005E72EE"/>
    <w:rsid w:val="005E752C"/>
    <w:rsid w:val="005E7878"/>
    <w:rsid w:val="005E7A91"/>
    <w:rsid w:val="005E7D91"/>
    <w:rsid w:val="005E7EFA"/>
    <w:rsid w:val="005F0045"/>
    <w:rsid w:val="005F035D"/>
    <w:rsid w:val="005F0397"/>
    <w:rsid w:val="005F03ED"/>
    <w:rsid w:val="005F0480"/>
    <w:rsid w:val="005F0980"/>
    <w:rsid w:val="005F0A0C"/>
    <w:rsid w:val="005F0A0F"/>
    <w:rsid w:val="005F0ADB"/>
    <w:rsid w:val="005F0BD2"/>
    <w:rsid w:val="005F1311"/>
    <w:rsid w:val="005F1777"/>
    <w:rsid w:val="005F192B"/>
    <w:rsid w:val="005F1B1F"/>
    <w:rsid w:val="005F1BEF"/>
    <w:rsid w:val="005F1D1F"/>
    <w:rsid w:val="005F1D80"/>
    <w:rsid w:val="005F1DC0"/>
    <w:rsid w:val="005F1E85"/>
    <w:rsid w:val="005F1FA2"/>
    <w:rsid w:val="005F2179"/>
    <w:rsid w:val="005F2547"/>
    <w:rsid w:val="005F284A"/>
    <w:rsid w:val="005F284F"/>
    <w:rsid w:val="005F290F"/>
    <w:rsid w:val="005F2927"/>
    <w:rsid w:val="005F2B23"/>
    <w:rsid w:val="005F2C24"/>
    <w:rsid w:val="005F2D35"/>
    <w:rsid w:val="005F2E56"/>
    <w:rsid w:val="005F2E61"/>
    <w:rsid w:val="005F3127"/>
    <w:rsid w:val="005F313A"/>
    <w:rsid w:val="005F31E4"/>
    <w:rsid w:val="005F3394"/>
    <w:rsid w:val="005F34B9"/>
    <w:rsid w:val="005F3C77"/>
    <w:rsid w:val="005F3D86"/>
    <w:rsid w:val="005F3E1A"/>
    <w:rsid w:val="005F3FD7"/>
    <w:rsid w:val="005F41CD"/>
    <w:rsid w:val="005F43DA"/>
    <w:rsid w:val="005F4445"/>
    <w:rsid w:val="005F4AEA"/>
    <w:rsid w:val="005F4BAC"/>
    <w:rsid w:val="005F4C13"/>
    <w:rsid w:val="005F4ECF"/>
    <w:rsid w:val="005F52AE"/>
    <w:rsid w:val="005F5750"/>
    <w:rsid w:val="005F5870"/>
    <w:rsid w:val="005F6223"/>
    <w:rsid w:val="005F644C"/>
    <w:rsid w:val="005F645C"/>
    <w:rsid w:val="005F66EA"/>
    <w:rsid w:val="005F68BE"/>
    <w:rsid w:val="005F6E08"/>
    <w:rsid w:val="005F71B9"/>
    <w:rsid w:val="005F785F"/>
    <w:rsid w:val="005F7A5D"/>
    <w:rsid w:val="005F7D4B"/>
    <w:rsid w:val="005F7D87"/>
    <w:rsid w:val="005F7EF4"/>
    <w:rsid w:val="005F7FDA"/>
    <w:rsid w:val="00600270"/>
    <w:rsid w:val="006006FC"/>
    <w:rsid w:val="006008E2"/>
    <w:rsid w:val="00600EB5"/>
    <w:rsid w:val="0060106F"/>
    <w:rsid w:val="00601237"/>
    <w:rsid w:val="00601264"/>
    <w:rsid w:val="0060142C"/>
    <w:rsid w:val="006014D8"/>
    <w:rsid w:val="00601947"/>
    <w:rsid w:val="00601B68"/>
    <w:rsid w:val="00601C2E"/>
    <w:rsid w:val="00601D16"/>
    <w:rsid w:val="006022BE"/>
    <w:rsid w:val="0060230B"/>
    <w:rsid w:val="00602598"/>
    <w:rsid w:val="00602781"/>
    <w:rsid w:val="00602798"/>
    <w:rsid w:val="00602B32"/>
    <w:rsid w:val="00603039"/>
    <w:rsid w:val="00603399"/>
    <w:rsid w:val="00603634"/>
    <w:rsid w:val="006037CA"/>
    <w:rsid w:val="006037FC"/>
    <w:rsid w:val="00603911"/>
    <w:rsid w:val="0060432E"/>
    <w:rsid w:val="006043EC"/>
    <w:rsid w:val="00604475"/>
    <w:rsid w:val="006047DD"/>
    <w:rsid w:val="00604856"/>
    <w:rsid w:val="00604861"/>
    <w:rsid w:val="00604993"/>
    <w:rsid w:val="00604A0E"/>
    <w:rsid w:val="00604C53"/>
    <w:rsid w:val="00604DEF"/>
    <w:rsid w:val="00604F53"/>
    <w:rsid w:val="00605066"/>
    <w:rsid w:val="00605252"/>
    <w:rsid w:val="00605301"/>
    <w:rsid w:val="0060538C"/>
    <w:rsid w:val="0060542A"/>
    <w:rsid w:val="00605766"/>
    <w:rsid w:val="006059F1"/>
    <w:rsid w:val="00605A9B"/>
    <w:rsid w:val="00605E81"/>
    <w:rsid w:val="0060605E"/>
    <w:rsid w:val="00606694"/>
    <w:rsid w:val="00606811"/>
    <w:rsid w:val="00606874"/>
    <w:rsid w:val="006069B0"/>
    <w:rsid w:val="00606AB8"/>
    <w:rsid w:val="00606CAE"/>
    <w:rsid w:val="00606D52"/>
    <w:rsid w:val="00606F6B"/>
    <w:rsid w:val="00606F8E"/>
    <w:rsid w:val="006072C3"/>
    <w:rsid w:val="006072D1"/>
    <w:rsid w:val="00607371"/>
    <w:rsid w:val="006075F8"/>
    <w:rsid w:val="00607714"/>
    <w:rsid w:val="006077CC"/>
    <w:rsid w:val="0060787C"/>
    <w:rsid w:val="00607A22"/>
    <w:rsid w:val="00607B7F"/>
    <w:rsid w:val="00607C2B"/>
    <w:rsid w:val="00607CAD"/>
    <w:rsid w:val="00607D4E"/>
    <w:rsid w:val="00607D50"/>
    <w:rsid w:val="00607D5A"/>
    <w:rsid w:val="00607DC3"/>
    <w:rsid w:val="00610026"/>
    <w:rsid w:val="00610110"/>
    <w:rsid w:val="006101D0"/>
    <w:rsid w:val="006101D8"/>
    <w:rsid w:val="0061036F"/>
    <w:rsid w:val="00610501"/>
    <w:rsid w:val="00610502"/>
    <w:rsid w:val="0061055E"/>
    <w:rsid w:val="006107DB"/>
    <w:rsid w:val="00610880"/>
    <w:rsid w:val="00610B17"/>
    <w:rsid w:val="00610B37"/>
    <w:rsid w:val="00610BED"/>
    <w:rsid w:val="00610CA3"/>
    <w:rsid w:val="00611080"/>
    <w:rsid w:val="006110C0"/>
    <w:rsid w:val="00611393"/>
    <w:rsid w:val="0061175D"/>
    <w:rsid w:val="006117D4"/>
    <w:rsid w:val="0061185D"/>
    <w:rsid w:val="006119F1"/>
    <w:rsid w:val="00611F90"/>
    <w:rsid w:val="00611FE0"/>
    <w:rsid w:val="00612A59"/>
    <w:rsid w:val="00612AF6"/>
    <w:rsid w:val="00612CA3"/>
    <w:rsid w:val="00613013"/>
    <w:rsid w:val="00613372"/>
    <w:rsid w:val="00613392"/>
    <w:rsid w:val="006133EB"/>
    <w:rsid w:val="006135CD"/>
    <w:rsid w:val="006136F3"/>
    <w:rsid w:val="0061396F"/>
    <w:rsid w:val="00613C80"/>
    <w:rsid w:val="00614235"/>
    <w:rsid w:val="0061463E"/>
    <w:rsid w:val="00614676"/>
    <w:rsid w:val="0061469F"/>
    <w:rsid w:val="006148DB"/>
    <w:rsid w:val="006148FC"/>
    <w:rsid w:val="00614CE2"/>
    <w:rsid w:val="00615217"/>
    <w:rsid w:val="006154E8"/>
    <w:rsid w:val="00615694"/>
    <w:rsid w:val="0061578E"/>
    <w:rsid w:val="00615C77"/>
    <w:rsid w:val="00615D3A"/>
    <w:rsid w:val="00615E5B"/>
    <w:rsid w:val="00615E82"/>
    <w:rsid w:val="006167DC"/>
    <w:rsid w:val="0061746C"/>
    <w:rsid w:val="006174E3"/>
    <w:rsid w:val="00617509"/>
    <w:rsid w:val="006177F2"/>
    <w:rsid w:val="00617803"/>
    <w:rsid w:val="00617BA7"/>
    <w:rsid w:val="00617EF4"/>
    <w:rsid w:val="00620078"/>
    <w:rsid w:val="0062017D"/>
    <w:rsid w:val="00620228"/>
    <w:rsid w:val="0062022E"/>
    <w:rsid w:val="00620517"/>
    <w:rsid w:val="00620C24"/>
    <w:rsid w:val="00620D97"/>
    <w:rsid w:val="00620E48"/>
    <w:rsid w:val="00620FAB"/>
    <w:rsid w:val="00621058"/>
    <w:rsid w:val="00621144"/>
    <w:rsid w:val="00621221"/>
    <w:rsid w:val="00621254"/>
    <w:rsid w:val="0062165B"/>
    <w:rsid w:val="00621B4E"/>
    <w:rsid w:val="00621D9F"/>
    <w:rsid w:val="006221E2"/>
    <w:rsid w:val="0062227E"/>
    <w:rsid w:val="00622592"/>
    <w:rsid w:val="00622947"/>
    <w:rsid w:val="00622A2E"/>
    <w:rsid w:val="00622B0D"/>
    <w:rsid w:val="00622B9E"/>
    <w:rsid w:val="00622BAC"/>
    <w:rsid w:val="00622D72"/>
    <w:rsid w:val="00622DD6"/>
    <w:rsid w:val="006230A3"/>
    <w:rsid w:val="00623420"/>
    <w:rsid w:val="0062389D"/>
    <w:rsid w:val="00623EDA"/>
    <w:rsid w:val="00623FD2"/>
    <w:rsid w:val="006241E9"/>
    <w:rsid w:val="006245F0"/>
    <w:rsid w:val="006248E5"/>
    <w:rsid w:val="0062491E"/>
    <w:rsid w:val="00624C26"/>
    <w:rsid w:val="00624EEB"/>
    <w:rsid w:val="006250BD"/>
    <w:rsid w:val="006257D9"/>
    <w:rsid w:val="00625871"/>
    <w:rsid w:val="0062601C"/>
    <w:rsid w:val="00626241"/>
    <w:rsid w:val="00626297"/>
    <w:rsid w:val="00626422"/>
    <w:rsid w:val="00626692"/>
    <w:rsid w:val="0062689F"/>
    <w:rsid w:val="00626B54"/>
    <w:rsid w:val="00626E04"/>
    <w:rsid w:val="00627032"/>
    <w:rsid w:val="00627512"/>
    <w:rsid w:val="0062755E"/>
    <w:rsid w:val="006275D2"/>
    <w:rsid w:val="006277FD"/>
    <w:rsid w:val="0062781E"/>
    <w:rsid w:val="00627BB5"/>
    <w:rsid w:val="0063019E"/>
    <w:rsid w:val="0063023B"/>
    <w:rsid w:val="00630605"/>
    <w:rsid w:val="0063062A"/>
    <w:rsid w:val="00630A20"/>
    <w:rsid w:val="00630A57"/>
    <w:rsid w:val="00630A9B"/>
    <w:rsid w:val="00630FDE"/>
    <w:rsid w:val="006310F8"/>
    <w:rsid w:val="00631510"/>
    <w:rsid w:val="00631513"/>
    <w:rsid w:val="006317E6"/>
    <w:rsid w:val="006318B3"/>
    <w:rsid w:val="0063193B"/>
    <w:rsid w:val="006319AC"/>
    <w:rsid w:val="00631C71"/>
    <w:rsid w:val="00631CB7"/>
    <w:rsid w:val="00631E26"/>
    <w:rsid w:val="006321C8"/>
    <w:rsid w:val="00632214"/>
    <w:rsid w:val="00632547"/>
    <w:rsid w:val="00632630"/>
    <w:rsid w:val="00632CAD"/>
    <w:rsid w:val="00632CBF"/>
    <w:rsid w:val="00632CCD"/>
    <w:rsid w:val="00632E5D"/>
    <w:rsid w:val="00632EF1"/>
    <w:rsid w:val="00632FCE"/>
    <w:rsid w:val="00633058"/>
    <w:rsid w:val="006331B7"/>
    <w:rsid w:val="00633360"/>
    <w:rsid w:val="006333F3"/>
    <w:rsid w:val="0063341C"/>
    <w:rsid w:val="00633A91"/>
    <w:rsid w:val="00633BC4"/>
    <w:rsid w:val="00633C19"/>
    <w:rsid w:val="00633CFB"/>
    <w:rsid w:val="00633D1C"/>
    <w:rsid w:val="00634092"/>
    <w:rsid w:val="006343C5"/>
    <w:rsid w:val="006345C7"/>
    <w:rsid w:val="006346FF"/>
    <w:rsid w:val="00634701"/>
    <w:rsid w:val="006347DD"/>
    <w:rsid w:val="00634845"/>
    <w:rsid w:val="00634A07"/>
    <w:rsid w:val="00634CDB"/>
    <w:rsid w:val="00634D8B"/>
    <w:rsid w:val="00634E48"/>
    <w:rsid w:val="00634EB6"/>
    <w:rsid w:val="00634FA4"/>
    <w:rsid w:val="0063514C"/>
    <w:rsid w:val="0063521C"/>
    <w:rsid w:val="006352B1"/>
    <w:rsid w:val="00635509"/>
    <w:rsid w:val="0063597C"/>
    <w:rsid w:val="006359AF"/>
    <w:rsid w:val="00635B88"/>
    <w:rsid w:val="00635C55"/>
    <w:rsid w:val="00635D71"/>
    <w:rsid w:val="00636023"/>
    <w:rsid w:val="006361B5"/>
    <w:rsid w:val="00636395"/>
    <w:rsid w:val="006365DB"/>
    <w:rsid w:val="00636DFD"/>
    <w:rsid w:val="00636EBF"/>
    <w:rsid w:val="0063700F"/>
    <w:rsid w:val="006370F4"/>
    <w:rsid w:val="006373ED"/>
    <w:rsid w:val="006374CE"/>
    <w:rsid w:val="00637602"/>
    <w:rsid w:val="00637729"/>
    <w:rsid w:val="0063776C"/>
    <w:rsid w:val="00637DB1"/>
    <w:rsid w:val="0064006E"/>
    <w:rsid w:val="0064058D"/>
    <w:rsid w:val="00640931"/>
    <w:rsid w:val="00640B79"/>
    <w:rsid w:val="0064103D"/>
    <w:rsid w:val="006410CF"/>
    <w:rsid w:val="006411CF"/>
    <w:rsid w:val="00641233"/>
    <w:rsid w:val="00641336"/>
    <w:rsid w:val="006414F7"/>
    <w:rsid w:val="0064162E"/>
    <w:rsid w:val="00641662"/>
    <w:rsid w:val="00641C1E"/>
    <w:rsid w:val="00641EE7"/>
    <w:rsid w:val="00641F92"/>
    <w:rsid w:val="006420C3"/>
    <w:rsid w:val="00642409"/>
    <w:rsid w:val="006425FC"/>
    <w:rsid w:val="0064262F"/>
    <w:rsid w:val="00642703"/>
    <w:rsid w:val="0064292B"/>
    <w:rsid w:val="00642C87"/>
    <w:rsid w:val="00642DB3"/>
    <w:rsid w:val="00642E2F"/>
    <w:rsid w:val="00643076"/>
    <w:rsid w:val="00643212"/>
    <w:rsid w:val="0064342F"/>
    <w:rsid w:val="00643582"/>
    <w:rsid w:val="00643B33"/>
    <w:rsid w:val="00643B79"/>
    <w:rsid w:val="00643C4D"/>
    <w:rsid w:val="00643CFB"/>
    <w:rsid w:val="00643D41"/>
    <w:rsid w:val="0064444D"/>
    <w:rsid w:val="006444DB"/>
    <w:rsid w:val="00644A4B"/>
    <w:rsid w:val="00644C90"/>
    <w:rsid w:val="00644F83"/>
    <w:rsid w:val="0064501A"/>
    <w:rsid w:val="00645643"/>
    <w:rsid w:val="0064565A"/>
    <w:rsid w:val="00645666"/>
    <w:rsid w:val="00645AE3"/>
    <w:rsid w:val="00645C67"/>
    <w:rsid w:val="00646733"/>
    <w:rsid w:val="00646A51"/>
    <w:rsid w:val="00646B46"/>
    <w:rsid w:val="00646C30"/>
    <w:rsid w:val="00646CCC"/>
    <w:rsid w:val="00646D9A"/>
    <w:rsid w:val="00646DFA"/>
    <w:rsid w:val="00646EC8"/>
    <w:rsid w:val="00647635"/>
    <w:rsid w:val="00647B87"/>
    <w:rsid w:val="006500BA"/>
    <w:rsid w:val="0065038E"/>
    <w:rsid w:val="0065050A"/>
    <w:rsid w:val="00650535"/>
    <w:rsid w:val="00650544"/>
    <w:rsid w:val="006505CD"/>
    <w:rsid w:val="00650642"/>
    <w:rsid w:val="006506AF"/>
    <w:rsid w:val="006506EC"/>
    <w:rsid w:val="0065072E"/>
    <w:rsid w:val="00650B25"/>
    <w:rsid w:val="00650DE0"/>
    <w:rsid w:val="00650F13"/>
    <w:rsid w:val="00650F1E"/>
    <w:rsid w:val="00650F73"/>
    <w:rsid w:val="00651110"/>
    <w:rsid w:val="00651174"/>
    <w:rsid w:val="00651314"/>
    <w:rsid w:val="0065164E"/>
    <w:rsid w:val="00651872"/>
    <w:rsid w:val="006518AE"/>
    <w:rsid w:val="00651B3C"/>
    <w:rsid w:val="00651B91"/>
    <w:rsid w:val="00651D84"/>
    <w:rsid w:val="00651E3E"/>
    <w:rsid w:val="00652B85"/>
    <w:rsid w:val="00652EE6"/>
    <w:rsid w:val="00652FD9"/>
    <w:rsid w:val="00653030"/>
    <w:rsid w:val="006538D0"/>
    <w:rsid w:val="00653998"/>
    <w:rsid w:val="00653A41"/>
    <w:rsid w:val="00653AE4"/>
    <w:rsid w:val="00653C8C"/>
    <w:rsid w:val="00653EDC"/>
    <w:rsid w:val="00653F6A"/>
    <w:rsid w:val="0065413A"/>
    <w:rsid w:val="00654287"/>
    <w:rsid w:val="0065432B"/>
    <w:rsid w:val="0065435E"/>
    <w:rsid w:val="0065452B"/>
    <w:rsid w:val="00654873"/>
    <w:rsid w:val="00655114"/>
    <w:rsid w:val="0065539C"/>
    <w:rsid w:val="00655678"/>
    <w:rsid w:val="00655BC6"/>
    <w:rsid w:val="00655D69"/>
    <w:rsid w:val="00655E7A"/>
    <w:rsid w:val="00655EA7"/>
    <w:rsid w:val="00656071"/>
    <w:rsid w:val="006560E0"/>
    <w:rsid w:val="0065666B"/>
    <w:rsid w:val="00656DEF"/>
    <w:rsid w:val="00656EEE"/>
    <w:rsid w:val="00657051"/>
    <w:rsid w:val="00657568"/>
    <w:rsid w:val="00657870"/>
    <w:rsid w:val="00657A42"/>
    <w:rsid w:val="00657CAD"/>
    <w:rsid w:val="00657D1C"/>
    <w:rsid w:val="00657D64"/>
    <w:rsid w:val="00657FA9"/>
    <w:rsid w:val="00657FCA"/>
    <w:rsid w:val="006600E7"/>
    <w:rsid w:val="00660291"/>
    <w:rsid w:val="00660446"/>
    <w:rsid w:val="0066055F"/>
    <w:rsid w:val="00660992"/>
    <w:rsid w:val="006609C2"/>
    <w:rsid w:val="00660A4D"/>
    <w:rsid w:val="00660D20"/>
    <w:rsid w:val="00660EDA"/>
    <w:rsid w:val="00661183"/>
    <w:rsid w:val="00661284"/>
    <w:rsid w:val="00661503"/>
    <w:rsid w:val="0066172E"/>
    <w:rsid w:val="00661D40"/>
    <w:rsid w:val="00661DE0"/>
    <w:rsid w:val="00661F2F"/>
    <w:rsid w:val="00661F65"/>
    <w:rsid w:val="0066215C"/>
    <w:rsid w:val="0066218F"/>
    <w:rsid w:val="00662372"/>
    <w:rsid w:val="00662760"/>
    <w:rsid w:val="006628C8"/>
    <w:rsid w:val="00662B65"/>
    <w:rsid w:val="00662D6B"/>
    <w:rsid w:val="00663441"/>
    <w:rsid w:val="00663625"/>
    <w:rsid w:val="0066363A"/>
    <w:rsid w:val="006636B7"/>
    <w:rsid w:val="006639E7"/>
    <w:rsid w:val="00663A76"/>
    <w:rsid w:val="00663BCB"/>
    <w:rsid w:val="00663F9E"/>
    <w:rsid w:val="006647B2"/>
    <w:rsid w:val="006648DC"/>
    <w:rsid w:val="00664A1A"/>
    <w:rsid w:val="00664A33"/>
    <w:rsid w:val="00664E3B"/>
    <w:rsid w:val="00664E80"/>
    <w:rsid w:val="006650DF"/>
    <w:rsid w:val="00665263"/>
    <w:rsid w:val="00665390"/>
    <w:rsid w:val="006654FF"/>
    <w:rsid w:val="00665A44"/>
    <w:rsid w:val="00665B9D"/>
    <w:rsid w:val="00665F56"/>
    <w:rsid w:val="006660CC"/>
    <w:rsid w:val="006660DD"/>
    <w:rsid w:val="006660EF"/>
    <w:rsid w:val="00666122"/>
    <w:rsid w:val="0066614D"/>
    <w:rsid w:val="006662B7"/>
    <w:rsid w:val="006662E0"/>
    <w:rsid w:val="0066653E"/>
    <w:rsid w:val="00666759"/>
    <w:rsid w:val="0066687C"/>
    <w:rsid w:val="006669AB"/>
    <w:rsid w:val="00666C88"/>
    <w:rsid w:val="006670AE"/>
    <w:rsid w:val="0066730B"/>
    <w:rsid w:val="006673DD"/>
    <w:rsid w:val="00667429"/>
    <w:rsid w:val="006674CB"/>
    <w:rsid w:val="00667512"/>
    <w:rsid w:val="006677C4"/>
    <w:rsid w:val="00667A43"/>
    <w:rsid w:val="00667A54"/>
    <w:rsid w:val="00667B5A"/>
    <w:rsid w:val="00667E73"/>
    <w:rsid w:val="00670193"/>
    <w:rsid w:val="0067045B"/>
    <w:rsid w:val="00670A01"/>
    <w:rsid w:val="00670AA0"/>
    <w:rsid w:val="00670DE0"/>
    <w:rsid w:val="00670EC7"/>
    <w:rsid w:val="00670F65"/>
    <w:rsid w:val="00670FC2"/>
    <w:rsid w:val="0067114A"/>
    <w:rsid w:val="00671236"/>
    <w:rsid w:val="0067137C"/>
    <w:rsid w:val="0067144E"/>
    <w:rsid w:val="00671743"/>
    <w:rsid w:val="006717AC"/>
    <w:rsid w:val="0067181E"/>
    <w:rsid w:val="00671BA3"/>
    <w:rsid w:val="00671DB1"/>
    <w:rsid w:val="00671F50"/>
    <w:rsid w:val="00671FB4"/>
    <w:rsid w:val="006723DB"/>
    <w:rsid w:val="0067265E"/>
    <w:rsid w:val="0067268D"/>
    <w:rsid w:val="006726C7"/>
    <w:rsid w:val="006728D5"/>
    <w:rsid w:val="00672CE9"/>
    <w:rsid w:val="00672F2D"/>
    <w:rsid w:val="00672F5B"/>
    <w:rsid w:val="00673187"/>
    <w:rsid w:val="006731E5"/>
    <w:rsid w:val="006732EC"/>
    <w:rsid w:val="0067332F"/>
    <w:rsid w:val="0067356F"/>
    <w:rsid w:val="00673623"/>
    <w:rsid w:val="00673C74"/>
    <w:rsid w:val="00673D9F"/>
    <w:rsid w:val="00673DC3"/>
    <w:rsid w:val="00673E92"/>
    <w:rsid w:val="00673F10"/>
    <w:rsid w:val="00674018"/>
    <w:rsid w:val="006740AA"/>
    <w:rsid w:val="006740C3"/>
    <w:rsid w:val="006743BC"/>
    <w:rsid w:val="006748AD"/>
    <w:rsid w:val="00674B13"/>
    <w:rsid w:val="00674B58"/>
    <w:rsid w:val="00674DC9"/>
    <w:rsid w:val="00674F3E"/>
    <w:rsid w:val="00675230"/>
    <w:rsid w:val="0067527F"/>
    <w:rsid w:val="0067536A"/>
    <w:rsid w:val="00675798"/>
    <w:rsid w:val="00675944"/>
    <w:rsid w:val="006759E3"/>
    <w:rsid w:val="00675A32"/>
    <w:rsid w:val="00675E8D"/>
    <w:rsid w:val="00675E8F"/>
    <w:rsid w:val="006761B6"/>
    <w:rsid w:val="00676346"/>
    <w:rsid w:val="006764B5"/>
    <w:rsid w:val="006765FD"/>
    <w:rsid w:val="0067665D"/>
    <w:rsid w:val="006768FA"/>
    <w:rsid w:val="00676A24"/>
    <w:rsid w:val="00676C1F"/>
    <w:rsid w:val="00676C6F"/>
    <w:rsid w:val="00676CD5"/>
    <w:rsid w:val="00676D5A"/>
    <w:rsid w:val="00676F8C"/>
    <w:rsid w:val="006778BA"/>
    <w:rsid w:val="006778D4"/>
    <w:rsid w:val="006779A6"/>
    <w:rsid w:val="00677BBD"/>
    <w:rsid w:val="00677C10"/>
    <w:rsid w:val="00677F4A"/>
    <w:rsid w:val="006800C9"/>
    <w:rsid w:val="0068028F"/>
    <w:rsid w:val="0068040D"/>
    <w:rsid w:val="00680AEA"/>
    <w:rsid w:val="00680E4F"/>
    <w:rsid w:val="00680FC7"/>
    <w:rsid w:val="00680FF8"/>
    <w:rsid w:val="006811A9"/>
    <w:rsid w:val="00681421"/>
    <w:rsid w:val="006816DA"/>
    <w:rsid w:val="00681B31"/>
    <w:rsid w:val="0068202E"/>
    <w:rsid w:val="00682191"/>
    <w:rsid w:val="0068295C"/>
    <w:rsid w:val="00682996"/>
    <w:rsid w:val="006829F7"/>
    <w:rsid w:val="00682E4F"/>
    <w:rsid w:val="0068314C"/>
    <w:rsid w:val="006834AE"/>
    <w:rsid w:val="00683666"/>
    <w:rsid w:val="00683969"/>
    <w:rsid w:val="00683980"/>
    <w:rsid w:val="00683ED0"/>
    <w:rsid w:val="006842A5"/>
    <w:rsid w:val="00684639"/>
    <w:rsid w:val="00684646"/>
    <w:rsid w:val="0068486E"/>
    <w:rsid w:val="00684A69"/>
    <w:rsid w:val="00684C91"/>
    <w:rsid w:val="00684EC0"/>
    <w:rsid w:val="00685002"/>
    <w:rsid w:val="00685145"/>
    <w:rsid w:val="00685329"/>
    <w:rsid w:val="00685390"/>
    <w:rsid w:val="00685914"/>
    <w:rsid w:val="00685CE1"/>
    <w:rsid w:val="006862A5"/>
    <w:rsid w:val="006864DF"/>
    <w:rsid w:val="00686879"/>
    <w:rsid w:val="006869F8"/>
    <w:rsid w:val="00686D89"/>
    <w:rsid w:val="00687013"/>
    <w:rsid w:val="006870FD"/>
    <w:rsid w:val="006876B0"/>
    <w:rsid w:val="006879B2"/>
    <w:rsid w:val="00687D16"/>
    <w:rsid w:val="00687D66"/>
    <w:rsid w:val="00687EA7"/>
    <w:rsid w:val="00687F60"/>
    <w:rsid w:val="00687FFD"/>
    <w:rsid w:val="0069002B"/>
    <w:rsid w:val="0069002E"/>
    <w:rsid w:val="006900C7"/>
    <w:rsid w:val="0069037E"/>
    <w:rsid w:val="006904C4"/>
    <w:rsid w:val="00690597"/>
    <w:rsid w:val="006905BF"/>
    <w:rsid w:val="00690728"/>
    <w:rsid w:val="00690D20"/>
    <w:rsid w:val="00690F1A"/>
    <w:rsid w:val="00690FA7"/>
    <w:rsid w:val="00690FD8"/>
    <w:rsid w:val="00691906"/>
    <w:rsid w:val="0069190F"/>
    <w:rsid w:val="00691D16"/>
    <w:rsid w:val="00691E83"/>
    <w:rsid w:val="00691F8C"/>
    <w:rsid w:val="00692121"/>
    <w:rsid w:val="00692483"/>
    <w:rsid w:val="00692774"/>
    <w:rsid w:val="006927A9"/>
    <w:rsid w:val="006927FA"/>
    <w:rsid w:val="0069287D"/>
    <w:rsid w:val="006928B6"/>
    <w:rsid w:val="0069298C"/>
    <w:rsid w:val="00692BAE"/>
    <w:rsid w:val="00692F1C"/>
    <w:rsid w:val="00693469"/>
    <w:rsid w:val="00693C72"/>
    <w:rsid w:val="00693CDA"/>
    <w:rsid w:val="00693D5B"/>
    <w:rsid w:val="00693FA5"/>
    <w:rsid w:val="00693FE9"/>
    <w:rsid w:val="0069408D"/>
    <w:rsid w:val="006940DD"/>
    <w:rsid w:val="0069428E"/>
    <w:rsid w:val="006942AE"/>
    <w:rsid w:val="00694329"/>
    <w:rsid w:val="006943D9"/>
    <w:rsid w:val="00694436"/>
    <w:rsid w:val="0069469C"/>
    <w:rsid w:val="00694AEF"/>
    <w:rsid w:val="006951A7"/>
    <w:rsid w:val="00695256"/>
    <w:rsid w:val="00695A55"/>
    <w:rsid w:val="00695DB8"/>
    <w:rsid w:val="006962F0"/>
    <w:rsid w:val="00696322"/>
    <w:rsid w:val="006963A5"/>
    <w:rsid w:val="0069665A"/>
    <w:rsid w:val="00696781"/>
    <w:rsid w:val="00696A70"/>
    <w:rsid w:val="00696B67"/>
    <w:rsid w:val="00696BBD"/>
    <w:rsid w:val="00696ED7"/>
    <w:rsid w:val="0069758D"/>
    <w:rsid w:val="00697701"/>
    <w:rsid w:val="006977DE"/>
    <w:rsid w:val="00697ACA"/>
    <w:rsid w:val="00697D16"/>
    <w:rsid w:val="00697D55"/>
    <w:rsid w:val="00697E83"/>
    <w:rsid w:val="006A003E"/>
    <w:rsid w:val="006A0072"/>
    <w:rsid w:val="006A0698"/>
    <w:rsid w:val="006A0847"/>
    <w:rsid w:val="006A0BB2"/>
    <w:rsid w:val="006A0BCC"/>
    <w:rsid w:val="006A0C20"/>
    <w:rsid w:val="006A0C23"/>
    <w:rsid w:val="006A0C8E"/>
    <w:rsid w:val="006A1045"/>
    <w:rsid w:val="006A11CD"/>
    <w:rsid w:val="006A126F"/>
    <w:rsid w:val="006A13D6"/>
    <w:rsid w:val="006A1430"/>
    <w:rsid w:val="006A14F8"/>
    <w:rsid w:val="006A167A"/>
    <w:rsid w:val="006A1BDC"/>
    <w:rsid w:val="006A1D23"/>
    <w:rsid w:val="006A1E54"/>
    <w:rsid w:val="006A205B"/>
    <w:rsid w:val="006A229C"/>
    <w:rsid w:val="006A2BBE"/>
    <w:rsid w:val="006A2C63"/>
    <w:rsid w:val="006A3336"/>
    <w:rsid w:val="006A351A"/>
    <w:rsid w:val="006A3714"/>
    <w:rsid w:val="006A38C4"/>
    <w:rsid w:val="006A3AF8"/>
    <w:rsid w:val="006A3B64"/>
    <w:rsid w:val="006A3BC3"/>
    <w:rsid w:val="006A3C61"/>
    <w:rsid w:val="006A3FED"/>
    <w:rsid w:val="006A403A"/>
    <w:rsid w:val="006A472B"/>
    <w:rsid w:val="006A47C4"/>
    <w:rsid w:val="006A47EE"/>
    <w:rsid w:val="006A495E"/>
    <w:rsid w:val="006A4BA1"/>
    <w:rsid w:val="006A4C3B"/>
    <w:rsid w:val="006A4D6A"/>
    <w:rsid w:val="006A5379"/>
    <w:rsid w:val="006A53CD"/>
    <w:rsid w:val="006A5735"/>
    <w:rsid w:val="006A5BC8"/>
    <w:rsid w:val="006A5C61"/>
    <w:rsid w:val="006A5DAC"/>
    <w:rsid w:val="006A5FB1"/>
    <w:rsid w:val="006A62A7"/>
    <w:rsid w:val="006A62DE"/>
    <w:rsid w:val="006A6391"/>
    <w:rsid w:val="006A63CE"/>
    <w:rsid w:val="006A64EC"/>
    <w:rsid w:val="006A652E"/>
    <w:rsid w:val="006A66B3"/>
    <w:rsid w:val="006A68C4"/>
    <w:rsid w:val="006A692F"/>
    <w:rsid w:val="006A6974"/>
    <w:rsid w:val="006A6B4F"/>
    <w:rsid w:val="006A6BB2"/>
    <w:rsid w:val="006A6DF4"/>
    <w:rsid w:val="006A7184"/>
    <w:rsid w:val="006A71BC"/>
    <w:rsid w:val="006A7261"/>
    <w:rsid w:val="006A7402"/>
    <w:rsid w:val="006A761D"/>
    <w:rsid w:val="006A7655"/>
    <w:rsid w:val="006A76E1"/>
    <w:rsid w:val="006A77F2"/>
    <w:rsid w:val="006A787C"/>
    <w:rsid w:val="006A78F8"/>
    <w:rsid w:val="006A79D0"/>
    <w:rsid w:val="006A7FA5"/>
    <w:rsid w:val="006B01D6"/>
    <w:rsid w:val="006B0250"/>
    <w:rsid w:val="006B05CB"/>
    <w:rsid w:val="006B07F8"/>
    <w:rsid w:val="006B0875"/>
    <w:rsid w:val="006B09AD"/>
    <w:rsid w:val="006B0E42"/>
    <w:rsid w:val="006B0F51"/>
    <w:rsid w:val="006B0F6B"/>
    <w:rsid w:val="006B1063"/>
    <w:rsid w:val="006B1079"/>
    <w:rsid w:val="006B1091"/>
    <w:rsid w:val="006B1094"/>
    <w:rsid w:val="006B13DA"/>
    <w:rsid w:val="006B167C"/>
    <w:rsid w:val="006B1C45"/>
    <w:rsid w:val="006B1DCF"/>
    <w:rsid w:val="006B200C"/>
    <w:rsid w:val="006B207E"/>
    <w:rsid w:val="006B2271"/>
    <w:rsid w:val="006B2397"/>
    <w:rsid w:val="006B265C"/>
    <w:rsid w:val="006B2720"/>
    <w:rsid w:val="006B2DF4"/>
    <w:rsid w:val="006B32E4"/>
    <w:rsid w:val="006B379F"/>
    <w:rsid w:val="006B37A5"/>
    <w:rsid w:val="006B3B47"/>
    <w:rsid w:val="006B3B85"/>
    <w:rsid w:val="006B3BB1"/>
    <w:rsid w:val="006B3C0E"/>
    <w:rsid w:val="006B3F01"/>
    <w:rsid w:val="006B3FEE"/>
    <w:rsid w:val="006B41F7"/>
    <w:rsid w:val="006B4478"/>
    <w:rsid w:val="006B478B"/>
    <w:rsid w:val="006B4D9C"/>
    <w:rsid w:val="006B4F84"/>
    <w:rsid w:val="006B54A9"/>
    <w:rsid w:val="006B54C9"/>
    <w:rsid w:val="006B555F"/>
    <w:rsid w:val="006B57A9"/>
    <w:rsid w:val="006B5991"/>
    <w:rsid w:val="006B5A10"/>
    <w:rsid w:val="006B5DA6"/>
    <w:rsid w:val="006B6615"/>
    <w:rsid w:val="006B663E"/>
    <w:rsid w:val="006B66CE"/>
    <w:rsid w:val="006B6998"/>
    <w:rsid w:val="006B6A5E"/>
    <w:rsid w:val="006B6C00"/>
    <w:rsid w:val="006B6EDB"/>
    <w:rsid w:val="006B6FB5"/>
    <w:rsid w:val="006B710E"/>
    <w:rsid w:val="006B7867"/>
    <w:rsid w:val="006B78CE"/>
    <w:rsid w:val="006B7998"/>
    <w:rsid w:val="006B7DC6"/>
    <w:rsid w:val="006B7E97"/>
    <w:rsid w:val="006C01ED"/>
    <w:rsid w:val="006C03F5"/>
    <w:rsid w:val="006C05FF"/>
    <w:rsid w:val="006C06B4"/>
    <w:rsid w:val="006C06D0"/>
    <w:rsid w:val="006C06DC"/>
    <w:rsid w:val="006C073B"/>
    <w:rsid w:val="006C0766"/>
    <w:rsid w:val="006C07C6"/>
    <w:rsid w:val="006C0823"/>
    <w:rsid w:val="006C0B75"/>
    <w:rsid w:val="006C0BC2"/>
    <w:rsid w:val="006C0D92"/>
    <w:rsid w:val="006C0E4B"/>
    <w:rsid w:val="006C103D"/>
    <w:rsid w:val="006C1A12"/>
    <w:rsid w:val="006C1C0B"/>
    <w:rsid w:val="006C1DAA"/>
    <w:rsid w:val="006C2071"/>
    <w:rsid w:val="006C2124"/>
    <w:rsid w:val="006C2146"/>
    <w:rsid w:val="006C2549"/>
    <w:rsid w:val="006C268E"/>
    <w:rsid w:val="006C29BA"/>
    <w:rsid w:val="006C2D5D"/>
    <w:rsid w:val="006C31DB"/>
    <w:rsid w:val="006C33F8"/>
    <w:rsid w:val="006C3609"/>
    <w:rsid w:val="006C37DD"/>
    <w:rsid w:val="006C38B5"/>
    <w:rsid w:val="006C38CB"/>
    <w:rsid w:val="006C3A3F"/>
    <w:rsid w:val="006C3D80"/>
    <w:rsid w:val="006C3EA5"/>
    <w:rsid w:val="006C3F51"/>
    <w:rsid w:val="006C4031"/>
    <w:rsid w:val="006C436C"/>
    <w:rsid w:val="006C4449"/>
    <w:rsid w:val="006C44BD"/>
    <w:rsid w:val="006C4A2F"/>
    <w:rsid w:val="006C4B4E"/>
    <w:rsid w:val="006C4C80"/>
    <w:rsid w:val="006C54CC"/>
    <w:rsid w:val="006C5593"/>
    <w:rsid w:val="006C591D"/>
    <w:rsid w:val="006C5C65"/>
    <w:rsid w:val="006C5C90"/>
    <w:rsid w:val="006C6039"/>
    <w:rsid w:val="006C611A"/>
    <w:rsid w:val="006C6A67"/>
    <w:rsid w:val="006C6AE6"/>
    <w:rsid w:val="006C710F"/>
    <w:rsid w:val="006C7213"/>
    <w:rsid w:val="006C7489"/>
    <w:rsid w:val="006C7674"/>
    <w:rsid w:val="006C768A"/>
    <w:rsid w:val="006C7882"/>
    <w:rsid w:val="006C78EA"/>
    <w:rsid w:val="006C7933"/>
    <w:rsid w:val="006C7A5F"/>
    <w:rsid w:val="006C7B81"/>
    <w:rsid w:val="006C7E13"/>
    <w:rsid w:val="006C7EC4"/>
    <w:rsid w:val="006C7FB5"/>
    <w:rsid w:val="006D0273"/>
    <w:rsid w:val="006D02D7"/>
    <w:rsid w:val="006D032A"/>
    <w:rsid w:val="006D03A7"/>
    <w:rsid w:val="006D0843"/>
    <w:rsid w:val="006D0B20"/>
    <w:rsid w:val="006D0BF3"/>
    <w:rsid w:val="006D0EF5"/>
    <w:rsid w:val="006D108F"/>
    <w:rsid w:val="006D10FF"/>
    <w:rsid w:val="006D11A7"/>
    <w:rsid w:val="006D158B"/>
    <w:rsid w:val="006D18FC"/>
    <w:rsid w:val="006D1A51"/>
    <w:rsid w:val="006D2194"/>
    <w:rsid w:val="006D21C5"/>
    <w:rsid w:val="006D26B7"/>
    <w:rsid w:val="006D27F0"/>
    <w:rsid w:val="006D27F3"/>
    <w:rsid w:val="006D2AD0"/>
    <w:rsid w:val="006D2C56"/>
    <w:rsid w:val="006D2E7F"/>
    <w:rsid w:val="006D326E"/>
    <w:rsid w:val="006D3310"/>
    <w:rsid w:val="006D336B"/>
    <w:rsid w:val="006D343E"/>
    <w:rsid w:val="006D3494"/>
    <w:rsid w:val="006D3656"/>
    <w:rsid w:val="006D38F6"/>
    <w:rsid w:val="006D3BD1"/>
    <w:rsid w:val="006D3DBE"/>
    <w:rsid w:val="006D3E3C"/>
    <w:rsid w:val="006D41DF"/>
    <w:rsid w:val="006D41EB"/>
    <w:rsid w:val="006D47FC"/>
    <w:rsid w:val="006D4852"/>
    <w:rsid w:val="006D49F6"/>
    <w:rsid w:val="006D4D29"/>
    <w:rsid w:val="006D5214"/>
    <w:rsid w:val="006D5507"/>
    <w:rsid w:val="006D5709"/>
    <w:rsid w:val="006D5726"/>
    <w:rsid w:val="006D5BC2"/>
    <w:rsid w:val="006D5C9C"/>
    <w:rsid w:val="006D5E03"/>
    <w:rsid w:val="006D5F58"/>
    <w:rsid w:val="006D644F"/>
    <w:rsid w:val="006D65D7"/>
    <w:rsid w:val="006D6636"/>
    <w:rsid w:val="006D6698"/>
    <w:rsid w:val="006D6836"/>
    <w:rsid w:val="006D6A53"/>
    <w:rsid w:val="006D6A61"/>
    <w:rsid w:val="006D6FC7"/>
    <w:rsid w:val="006D7002"/>
    <w:rsid w:val="006D700F"/>
    <w:rsid w:val="006D7030"/>
    <w:rsid w:val="006D70C4"/>
    <w:rsid w:val="006D71B3"/>
    <w:rsid w:val="006D7337"/>
    <w:rsid w:val="006D7931"/>
    <w:rsid w:val="006D7AA9"/>
    <w:rsid w:val="006D7F15"/>
    <w:rsid w:val="006E05E3"/>
    <w:rsid w:val="006E1689"/>
    <w:rsid w:val="006E1A04"/>
    <w:rsid w:val="006E1A42"/>
    <w:rsid w:val="006E1B18"/>
    <w:rsid w:val="006E1B8F"/>
    <w:rsid w:val="006E1D89"/>
    <w:rsid w:val="006E1DA2"/>
    <w:rsid w:val="006E2B2D"/>
    <w:rsid w:val="006E2CD7"/>
    <w:rsid w:val="006E2DA2"/>
    <w:rsid w:val="006E2F06"/>
    <w:rsid w:val="006E2F5E"/>
    <w:rsid w:val="006E3164"/>
    <w:rsid w:val="006E317C"/>
    <w:rsid w:val="006E347F"/>
    <w:rsid w:val="006E36AD"/>
    <w:rsid w:val="006E3932"/>
    <w:rsid w:val="006E39D1"/>
    <w:rsid w:val="006E3A4D"/>
    <w:rsid w:val="006E3B0D"/>
    <w:rsid w:val="006E3BA0"/>
    <w:rsid w:val="006E3CC5"/>
    <w:rsid w:val="006E3E70"/>
    <w:rsid w:val="006E3E82"/>
    <w:rsid w:val="006E3F20"/>
    <w:rsid w:val="006E43AC"/>
    <w:rsid w:val="006E43FE"/>
    <w:rsid w:val="006E4474"/>
    <w:rsid w:val="006E466B"/>
    <w:rsid w:val="006E46A2"/>
    <w:rsid w:val="006E4B01"/>
    <w:rsid w:val="006E4B44"/>
    <w:rsid w:val="006E4D28"/>
    <w:rsid w:val="006E4D29"/>
    <w:rsid w:val="006E4DE0"/>
    <w:rsid w:val="006E4E7D"/>
    <w:rsid w:val="006E4F7F"/>
    <w:rsid w:val="006E5538"/>
    <w:rsid w:val="006E558F"/>
    <w:rsid w:val="006E55F5"/>
    <w:rsid w:val="006E58BA"/>
    <w:rsid w:val="006E5AD4"/>
    <w:rsid w:val="006E5BCF"/>
    <w:rsid w:val="006E5FEE"/>
    <w:rsid w:val="006E649B"/>
    <w:rsid w:val="006E6AD9"/>
    <w:rsid w:val="006E6B98"/>
    <w:rsid w:val="006E6C27"/>
    <w:rsid w:val="006E6D2A"/>
    <w:rsid w:val="006E6EB7"/>
    <w:rsid w:val="006E6F76"/>
    <w:rsid w:val="006E7686"/>
    <w:rsid w:val="006E76D9"/>
    <w:rsid w:val="006E7703"/>
    <w:rsid w:val="006E780B"/>
    <w:rsid w:val="006E7E94"/>
    <w:rsid w:val="006F01CE"/>
    <w:rsid w:val="006F03D0"/>
    <w:rsid w:val="006F043D"/>
    <w:rsid w:val="006F0757"/>
    <w:rsid w:val="006F075D"/>
    <w:rsid w:val="006F0B53"/>
    <w:rsid w:val="006F0D16"/>
    <w:rsid w:val="006F0D53"/>
    <w:rsid w:val="006F0ED4"/>
    <w:rsid w:val="006F1716"/>
    <w:rsid w:val="006F1C96"/>
    <w:rsid w:val="006F1DAC"/>
    <w:rsid w:val="006F1E77"/>
    <w:rsid w:val="006F27EC"/>
    <w:rsid w:val="006F2C6F"/>
    <w:rsid w:val="006F2EEF"/>
    <w:rsid w:val="006F2F76"/>
    <w:rsid w:val="006F31D2"/>
    <w:rsid w:val="006F3F0F"/>
    <w:rsid w:val="006F3F46"/>
    <w:rsid w:val="006F4475"/>
    <w:rsid w:val="006F46E8"/>
    <w:rsid w:val="006F48C6"/>
    <w:rsid w:val="006F48D2"/>
    <w:rsid w:val="006F4ACD"/>
    <w:rsid w:val="006F4B3C"/>
    <w:rsid w:val="006F5033"/>
    <w:rsid w:val="006F503F"/>
    <w:rsid w:val="006F529C"/>
    <w:rsid w:val="006F52EB"/>
    <w:rsid w:val="006F53FE"/>
    <w:rsid w:val="006F5601"/>
    <w:rsid w:val="006F5684"/>
    <w:rsid w:val="006F56E4"/>
    <w:rsid w:val="006F58D0"/>
    <w:rsid w:val="006F5995"/>
    <w:rsid w:val="006F5DFB"/>
    <w:rsid w:val="006F5E47"/>
    <w:rsid w:val="006F5FD7"/>
    <w:rsid w:val="006F60B1"/>
    <w:rsid w:val="006F64C6"/>
    <w:rsid w:val="006F66E2"/>
    <w:rsid w:val="006F6B7E"/>
    <w:rsid w:val="006F6B91"/>
    <w:rsid w:val="006F6C54"/>
    <w:rsid w:val="006F6CEA"/>
    <w:rsid w:val="006F6D2B"/>
    <w:rsid w:val="006F6E81"/>
    <w:rsid w:val="006F7423"/>
    <w:rsid w:val="006F7463"/>
    <w:rsid w:val="006F74C1"/>
    <w:rsid w:val="006F7640"/>
    <w:rsid w:val="006F7807"/>
    <w:rsid w:val="006F79BE"/>
    <w:rsid w:val="006F7BCA"/>
    <w:rsid w:val="00700082"/>
    <w:rsid w:val="00700181"/>
    <w:rsid w:val="007001BC"/>
    <w:rsid w:val="00700473"/>
    <w:rsid w:val="00700572"/>
    <w:rsid w:val="007006DF"/>
    <w:rsid w:val="00700741"/>
    <w:rsid w:val="007008B0"/>
    <w:rsid w:val="007008DF"/>
    <w:rsid w:val="0070095D"/>
    <w:rsid w:val="00700A66"/>
    <w:rsid w:val="00700BFE"/>
    <w:rsid w:val="00700C69"/>
    <w:rsid w:val="00700EA5"/>
    <w:rsid w:val="00700FA6"/>
    <w:rsid w:val="0070109C"/>
    <w:rsid w:val="00701454"/>
    <w:rsid w:val="0070151D"/>
    <w:rsid w:val="00701722"/>
    <w:rsid w:val="007018C9"/>
    <w:rsid w:val="00701A59"/>
    <w:rsid w:val="00701A80"/>
    <w:rsid w:val="00701AF6"/>
    <w:rsid w:val="00701D43"/>
    <w:rsid w:val="00702023"/>
    <w:rsid w:val="007023BD"/>
    <w:rsid w:val="007026AC"/>
    <w:rsid w:val="007027D5"/>
    <w:rsid w:val="00702873"/>
    <w:rsid w:val="007031E7"/>
    <w:rsid w:val="0070389A"/>
    <w:rsid w:val="00703C95"/>
    <w:rsid w:val="00704177"/>
    <w:rsid w:val="00704287"/>
    <w:rsid w:val="00704314"/>
    <w:rsid w:val="00704982"/>
    <w:rsid w:val="00704988"/>
    <w:rsid w:val="00704B0D"/>
    <w:rsid w:val="00704BF0"/>
    <w:rsid w:val="00704C61"/>
    <w:rsid w:val="007050FB"/>
    <w:rsid w:val="00705541"/>
    <w:rsid w:val="007058A0"/>
    <w:rsid w:val="00705CB2"/>
    <w:rsid w:val="007060BC"/>
    <w:rsid w:val="007061DE"/>
    <w:rsid w:val="00706459"/>
    <w:rsid w:val="007066C0"/>
    <w:rsid w:val="0070694E"/>
    <w:rsid w:val="007069E0"/>
    <w:rsid w:val="007071D6"/>
    <w:rsid w:val="007073B4"/>
    <w:rsid w:val="0070779E"/>
    <w:rsid w:val="007078BB"/>
    <w:rsid w:val="0070797A"/>
    <w:rsid w:val="00707D59"/>
    <w:rsid w:val="00710019"/>
    <w:rsid w:val="00710075"/>
    <w:rsid w:val="00710130"/>
    <w:rsid w:val="0071013A"/>
    <w:rsid w:val="00710225"/>
    <w:rsid w:val="00710413"/>
    <w:rsid w:val="00710492"/>
    <w:rsid w:val="007104E7"/>
    <w:rsid w:val="00710536"/>
    <w:rsid w:val="0071069F"/>
    <w:rsid w:val="0071080C"/>
    <w:rsid w:val="007108C5"/>
    <w:rsid w:val="00710941"/>
    <w:rsid w:val="00710A26"/>
    <w:rsid w:val="00710D54"/>
    <w:rsid w:val="00710EE8"/>
    <w:rsid w:val="007110C0"/>
    <w:rsid w:val="007113C9"/>
    <w:rsid w:val="007116A4"/>
    <w:rsid w:val="007118FE"/>
    <w:rsid w:val="00711959"/>
    <w:rsid w:val="00711A5C"/>
    <w:rsid w:val="00711AA4"/>
    <w:rsid w:val="00711C2A"/>
    <w:rsid w:val="007120E5"/>
    <w:rsid w:val="00712204"/>
    <w:rsid w:val="007122F6"/>
    <w:rsid w:val="007125BB"/>
    <w:rsid w:val="0071276A"/>
    <w:rsid w:val="00712991"/>
    <w:rsid w:val="007129A5"/>
    <w:rsid w:val="00712ABE"/>
    <w:rsid w:val="00713181"/>
    <w:rsid w:val="00713442"/>
    <w:rsid w:val="007136B4"/>
    <w:rsid w:val="00713AD8"/>
    <w:rsid w:val="00713F9E"/>
    <w:rsid w:val="00714649"/>
    <w:rsid w:val="007147A8"/>
    <w:rsid w:val="007148E3"/>
    <w:rsid w:val="00714C0D"/>
    <w:rsid w:val="0071572C"/>
    <w:rsid w:val="007158CA"/>
    <w:rsid w:val="00715B73"/>
    <w:rsid w:val="00716239"/>
    <w:rsid w:val="007164E0"/>
    <w:rsid w:val="0071650F"/>
    <w:rsid w:val="0071654C"/>
    <w:rsid w:val="007168AE"/>
    <w:rsid w:val="0071693F"/>
    <w:rsid w:val="00716BDE"/>
    <w:rsid w:val="00716C11"/>
    <w:rsid w:val="00716C47"/>
    <w:rsid w:val="00716DF7"/>
    <w:rsid w:val="007170EE"/>
    <w:rsid w:val="00717217"/>
    <w:rsid w:val="007172A6"/>
    <w:rsid w:val="007172D3"/>
    <w:rsid w:val="0071749C"/>
    <w:rsid w:val="0071777F"/>
    <w:rsid w:val="007178E5"/>
    <w:rsid w:val="00717B56"/>
    <w:rsid w:val="00717C87"/>
    <w:rsid w:val="00717E74"/>
    <w:rsid w:val="00717E93"/>
    <w:rsid w:val="00720062"/>
    <w:rsid w:val="007200EF"/>
    <w:rsid w:val="007201CD"/>
    <w:rsid w:val="007201EA"/>
    <w:rsid w:val="0072021F"/>
    <w:rsid w:val="007202AA"/>
    <w:rsid w:val="00720382"/>
    <w:rsid w:val="007205E7"/>
    <w:rsid w:val="00720BBC"/>
    <w:rsid w:val="00720FB2"/>
    <w:rsid w:val="00720FB5"/>
    <w:rsid w:val="0072112C"/>
    <w:rsid w:val="00721534"/>
    <w:rsid w:val="00721BA7"/>
    <w:rsid w:val="00721E0A"/>
    <w:rsid w:val="00722131"/>
    <w:rsid w:val="007223A4"/>
    <w:rsid w:val="00722581"/>
    <w:rsid w:val="007228C8"/>
    <w:rsid w:val="00722F3F"/>
    <w:rsid w:val="00722FFB"/>
    <w:rsid w:val="00723256"/>
    <w:rsid w:val="007232B1"/>
    <w:rsid w:val="007233EF"/>
    <w:rsid w:val="007234E7"/>
    <w:rsid w:val="0072389E"/>
    <w:rsid w:val="00723909"/>
    <w:rsid w:val="007239A5"/>
    <w:rsid w:val="007239D9"/>
    <w:rsid w:val="00723F3D"/>
    <w:rsid w:val="00723F87"/>
    <w:rsid w:val="007241DA"/>
    <w:rsid w:val="007244C4"/>
    <w:rsid w:val="00724651"/>
    <w:rsid w:val="0072472E"/>
    <w:rsid w:val="00724833"/>
    <w:rsid w:val="007248F0"/>
    <w:rsid w:val="00724BA5"/>
    <w:rsid w:val="00724C12"/>
    <w:rsid w:val="00724DBC"/>
    <w:rsid w:val="00724EA0"/>
    <w:rsid w:val="00724FC3"/>
    <w:rsid w:val="00724FFC"/>
    <w:rsid w:val="007250AD"/>
    <w:rsid w:val="00725348"/>
    <w:rsid w:val="00725512"/>
    <w:rsid w:val="007258D2"/>
    <w:rsid w:val="00725982"/>
    <w:rsid w:val="00725CDA"/>
    <w:rsid w:val="007260DF"/>
    <w:rsid w:val="007264BC"/>
    <w:rsid w:val="00726576"/>
    <w:rsid w:val="007265BB"/>
    <w:rsid w:val="0072677A"/>
    <w:rsid w:val="00726C79"/>
    <w:rsid w:val="00726C7F"/>
    <w:rsid w:val="00726D9C"/>
    <w:rsid w:val="007270E9"/>
    <w:rsid w:val="00727127"/>
    <w:rsid w:val="007272CA"/>
    <w:rsid w:val="007272E6"/>
    <w:rsid w:val="007276B7"/>
    <w:rsid w:val="0072777E"/>
    <w:rsid w:val="0072779C"/>
    <w:rsid w:val="007277F7"/>
    <w:rsid w:val="00727D02"/>
    <w:rsid w:val="00727D7B"/>
    <w:rsid w:val="00727E4F"/>
    <w:rsid w:val="00730175"/>
    <w:rsid w:val="007303E3"/>
    <w:rsid w:val="0073054C"/>
    <w:rsid w:val="00730A81"/>
    <w:rsid w:val="00730FAF"/>
    <w:rsid w:val="0073130C"/>
    <w:rsid w:val="0073159E"/>
    <w:rsid w:val="00731726"/>
    <w:rsid w:val="00731998"/>
    <w:rsid w:val="00731CA6"/>
    <w:rsid w:val="00731D32"/>
    <w:rsid w:val="00731EB3"/>
    <w:rsid w:val="00731FDA"/>
    <w:rsid w:val="007323B6"/>
    <w:rsid w:val="00732726"/>
    <w:rsid w:val="00732875"/>
    <w:rsid w:val="00732C1E"/>
    <w:rsid w:val="00732CE0"/>
    <w:rsid w:val="00732D6B"/>
    <w:rsid w:val="0073318A"/>
    <w:rsid w:val="00733393"/>
    <w:rsid w:val="0073344B"/>
    <w:rsid w:val="00733B67"/>
    <w:rsid w:val="00733D6B"/>
    <w:rsid w:val="0073432E"/>
    <w:rsid w:val="00734732"/>
    <w:rsid w:val="0073497F"/>
    <w:rsid w:val="00734A35"/>
    <w:rsid w:val="00734BFD"/>
    <w:rsid w:val="00734DB4"/>
    <w:rsid w:val="007354A0"/>
    <w:rsid w:val="00735530"/>
    <w:rsid w:val="00735866"/>
    <w:rsid w:val="007359FE"/>
    <w:rsid w:val="00735D85"/>
    <w:rsid w:val="00735DAA"/>
    <w:rsid w:val="0073651C"/>
    <w:rsid w:val="007367E0"/>
    <w:rsid w:val="007369C9"/>
    <w:rsid w:val="00736A8F"/>
    <w:rsid w:val="00736E75"/>
    <w:rsid w:val="00736EED"/>
    <w:rsid w:val="007370B9"/>
    <w:rsid w:val="00737332"/>
    <w:rsid w:val="00737389"/>
    <w:rsid w:val="007375E2"/>
    <w:rsid w:val="00737786"/>
    <w:rsid w:val="007378F3"/>
    <w:rsid w:val="00737A0D"/>
    <w:rsid w:val="00737B9A"/>
    <w:rsid w:val="00737EFC"/>
    <w:rsid w:val="0074059A"/>
    <w:rsid w:val="00740633"/>
    <w:rsid w:val="00740786"/>
    <w:rsid w:val="007407A9"/>
    <w:rsid w:val="00740A91"/>
    <w:rsid w:val="00740D2E"/>
    <w:rsid w:val="00740E3E"/>
    <w:rsid w:val="007410D6"/>
    <w:rsid w:val="007414A6"/>
    <w:rsid w:val="007415E3"/>
    <w:rsid w:val="007416CD"/>
    <w:rsid w:val="00741760"/>
    <w:rsid w:val="007418A0"/>
    <w:rsid w:val="007418B9"/>
    <w:rsid w:val="007418D7"/>
    <w:rsid w:val="00741955"/>
    <w:rsid w:val="00741B38"/>
    <w:rsid w:val="00741BE8"/>
    <w:rsid w:val="00741CF2"/>
    <w:rsid w:val="00741ED6"/>
    <w:rsid w:val="00741F47"/>
    <w:rsid w:val="00741FBA"/>
    <w:rsid w:val="0074211B"/>
    <w:rsid w:val="00742169"/>
    <w:rsid w:val="007423E4"/>
    <w:rsid w:val="007425C1"/>
    <w:rsid w:val="007426D2"/>
    <w:rsid w:val="007429AA"/>
    <w:rsid w:val="007430A8"/>
    <w:rsid w:val="00743460"/>
    <w:rsid w:val="00743489"/>
    <w:rsid w:val="00743657"/>
    <w:rsid w:val="00743BD6"/>
    <w:rsid w:val="00743BDA"/>
    <w:rsid w:val="00743C1A"/>
    <w:rsid w:val="00743C9E"/>
    <w:rsid w:val="00744148"/>
    <w:rsid w:val="00744253"/>
    <w:rsid w:val="00744401"/>
    <w:rsid w:val="00744532"/>
    <w:rsid w:val="00744602"/>
    <w:rsid w:val="007448C7"/>
    <w:rsid w:val="00744BEC"/>
    <w:rsid w:val="00744C55"/>
    <w:rsid w:val="00744ED8"/>
    <w:rsid w:val="00744F1A"/>
    <w:rsid w:val="00745199"/>
    <w:rsid w:val="00745268"/>
    <w:rsid w:val="0074530D"/>
    <w:rsid w:val="007453AF"/>
    <w:rsid w:val="007453C3"/>
    <w:rsid w:val="00745475"/>
    <w:rsid w:val="0074570A"/>
    <w:rsid w:val="00745990"/>
    <w:rsid w:val="007459D2"/>
    <w:rsid w:val="00745F0E"/>
    <w:rsid w:val="00746298"/>
    <w:rsid w:val="00746884"/>
    <w:rsid w:val="00746A15"/>
    <w:rsid w:val="00746AA4"/>
    <w:rsid w:val="00746D98"/>
    <w:rsid w:val="00747056"/>
    <w:rsid w:val="00747839"/>
    <w:rsid w:val="00747A6A"/>
    <w:rsid w:val="00747A8E"/>
    <w:rsid w:val="00747B4F"/>
    <w:rsid w:val="00747BF5"/>
    <w:rsid w:val="00747E50"/>
    <w:rsid w:val="0075027C"/>
    <w:rsid w:val="00750313"/>
    <w:rsid w:val="007505FB"/>
    <w:rsid w:val="0075060B"/>
    <w:rsid w:val="007509C2"/>
    <w:rsid w:val="00750B43"/>
    <w:rsid w:val="00750D2D"/>
    <w:rsid w:val="00750DE9"/>
    <w:rsid w:val="00750FEF"/>
    <w:rsid w:val="00751109"/>
    <w:rsid w:val="00751450"/>
    <w:rsid w:val="007515BC"/>
    <w:rsid w:val="00751704"/>
    <w:rsid w:val="00751AA6"/>
    <w:rsid w:val="00751AAD"/>
    <w:rsid w:val="00751BBE"/>
    <w:rsid w:val="00751E5B"/>
    <w:rsid w:val="00751ECA"/>
    <w:rsid w:val="00751F05"/>
    <w:rsid w:val="00751F61"/>
    <w:rsid w:val="0075223A"/>
    <w:rsid w:val="007522E2"/>
    <w:rsid w:val="00752953"/>
    <w:rsid w:val="00752F71"/>
    <w:rsid w:val="00752FF9"/>
    <w:rsid w:val="007530BE"/>
    <w:rsid w:val="0075334D"/>
    <w:rsid w:val="00753478"/>
    <w:rsid w:val="00753576"/>
    <w:rsid w:val="007535F7"/>
    <w:rsid w:val="00753846"/>
    <w:rsid w:val="0075396D"/>
    <w:rsid w:val="007539E1"/>
    <w:rsid w:val="00753CFF"/>
    <w:rsid w:val="00753D88"/>
    <w:rsid w:val="00753F65"/>
    <w:rsid w:val="00753F7D"/>
    <w:rsid w:val="0075425E"/>
    <w:rsid w:val="00754385"/>
    <w:rsid w:val="00754431"/>
    <w:rsid w:val="00754972"/>
    <w:rsid w:val="0075498D"/>
    <w:rsid w:val="00754AB5"/>
    <w:rsid w:val="00754ADE"/>
    <w:rsid w:val="00754F6C"/>
    <w:rsid w:val="00755027"/>
    <w:rsid w:val="007551EE"/>
    <w:rsid w:val="00755295"/>
    <w:rsid w:val="00755F11"/>
    <w:rsid w:val="0075644E"/>
    <w:rsid w:val="00756612"/>
    <w:rsid w:val="0075664E"/>
    <w:rsid w:val="00756759"/>
    <w:rsid w:val="0075683E"/>
    <w:rsid w:val="007569E5"/>
    <w:rsid w:val="00756E16"/>
    <w:rsid w:val="00757361"/>
    <w:rsid w:val="00757B77"/>
    <w:rsid w:val="00757CD9"/>
    <w:rsid w:val="00757DB8"/>
    <w:rsid w:val="00757F74"/>
    <w:rsid w:val="00760478"/>
    <w:rsid w:val="0076062F"/>
    <w:rsid w:val="0076071E"/>
    <w:rsid w:val="00760E43"/>
    <w:rsid w:val="00760E68"/>
    <w:rsid w:val="0076116A"/>
    <w:rsid w:val="00761547"/>
    <w:rsid w:val="00761A63"/>
    <w:rsid w:val="00761BE0"/>
    <w:rsid w:val="00761C0E"/>
    <w:rsid w:val="00761E25"/>
    <w:rsid w:val="00761EC7"/>
    <w:rsid w:val="00761FAE"/>
    <w:rsid w:val="0076250F"/>
    <w:rsid w:val="007626B3"/>
    <w:rsid w:val="0076296C"/>
    <w:rsid w:val="00762B0B"/>
    <w:rsid w:val="00762CD9"/>
    <w:rsid w:val="00762E02"/>
    <w:rsid w:val="0076315B"/>
    <w:rsid w:val="007631C7"/>
    <w:rsid w:val="007632DB"/>
    <w:rsid w:val="0076363A"/>
    <w:rsid w:val="0076370E"/>
    <w:rsid w:val="00763768"/>
    <w:rsid w:val="007638FF"/>
    <w:rsid w:val="00763BB3"/>
    <w:rsid w:val="00763C7C"/>
    <w:rsid w:val="0076409E"/>
    <w:rsid w:val="0076413F"/>
    <w:rsid w:val="007641E3"/>
    <w:rsid w:val="00764204"/>
    <w:rsid w:val="00764276"/>
    <w:rsid w:val="0076484B"/>
    <w:rsid w:val="007648F4"/>
    <w:rsid w:val="007649EE"/>
    <w:rsid w:val="00764A76"/>
    <w:rsid w:val="00764CBF"/>
    <w:rsid w:val="00764D35"/>
    <w:rsid w:val="00764D86"/>
    <w:rsid w:val="007655BE"/>
    <w:rsid w:val="007658CB"/>
    <w:rsid w:val="007658DC"/>
    <w:rsid w:val="00765904"/>
    <w:rsid w:val="00765A12"/>
    <w:rsid w:val="00765ADC"/>
    <w:rsid w:val="00765CA1"/>
    <w:rsid w:val="00765E75"/>
    <w:rsid w:val="00766055"/>
    <w:rsid w:val="00766150"/>
    <w:rsid w:val="00766412"/>
    <w:rsid w:val="00766587"/>
    <w:rsid w:val="007665E0"/>
    <w:rsid w:val="00766657"/>
    <w:rsid w:val="00766A32"/>
    <w:rsid w:val="00766E0C"/>
    <w:rsid w:val="007670F4"/>
    <w:rsid w:val="00767A19"/>
    <w:rsid w:val="00767A30"/>
    <w:rsid w:val="00767A36"/>
    <w:rsid w:val="00767F6B"/>
    <w:rsid w:val="007700F7"/>
    <w:rsid w:val="00770121"/>
    <w:rsid w:val="00770149"/>
    <w:rsid w:val="00770193"/>
    <w:rsid w:val="00770559"/>
    <w:rsid w:val="0077059C"/>
    <w:rsid w:val="00770A5E"/>
    <w:rsid w:val="00770BB9"/>
    <w:rsid w:val="00770DA6"/>
    <w:rsid w:val="00770EE6"/>
    <w:rsid w:val="00770F0E"/>
    <w:rsid w:val="00771021"/>
    <w:rsid w:val="00771152"/>
    <w:rsid w:val="00771173"/>
    <w:rsid w:val="007711C9"/>
    <w:rsid w:val="007715C5"/>
    <w:rsid w:val="0077173D"/>
    <w:rsid w:val="007717FE"/>
    <w:rsid w:val="00771F95"/>
    <w:rsid w:val="00772041"/>
    <w:rsid w:val="007723B6"/>
    <w:rsid w:val="0077243B"/>
    <w:rsid w:val="007726C5"/>
    <w:rsid w:val="00772A73"/>
    <w:rsid w:val="00772D38"/>
    <w:rsid w:val="007731D7"/>
    <w:rsid w:val="007732D8"/>
    <w:rsid w:val="0077342B"/>
    <w:rsid w:val="007734B0"/>
    <w:rsid w:val="007734E8"/>
    <w:rsid w:val="0077358E"/>
    <w:rsid w:val="0077359C"/>
    <w:rsid w:val="007736E8"/>
    <w:rsid w:val="00773AAE"/>
    <w:rsid w:val="00773B27"/>
    <w:rsid w:val="00773B59"/>
    <w:rsid w:val="00773CB1"/>
    <w:rsid w:val="00773E49"/>
    <w:rsid w:val="0077402B"/>
    <w:rsid w:val="00774330"/>
    <w:rsid w:val="0077440B"/>
    <w:rsid w:val="0077448C"/>
    <w:rsid w:val="007745BA"/>
    <w:rsid w:val="00774C01"/>
    <w:rsid w:val="007752F1"/>
    <w:rsid w:val="00775A4E"/>
    <w:rsid w:val="00775A59"/>
    <w:rsid w:val="00775BF0"/>
    <w:rsid w:val="00775D9C"/>
    <w:rsid w:val="00775E7D"/>
    <w:rsid w:val="00775F25"/>
    <w:rsid w:val="007760A7"/>
    <w:rsid w:val="0077613C"/>
    <w:rsid w:val="007761A0"/>
    <w:rsid w:val="007762D7"/>
    <w:rsid w:val="0077632B"/>
    <w:rsid w:val="007763D0"/>
    <w:rsid w:val="0077661C"/>
    <w:rsid w:val="00776757"/>
    <w:rsid w:val="007768BC"/>
    <w:rsid w:val="00776C0A"/>
    <w:rsid w:val="00776D39"/>
    <w:rsid w:val="00776DF2"/>
    <w:rsid w:val="00776F4F"/>
    <w:rsid w:val="0077723B"/>
    <w:rsid w:val="0077725E"/>
    <w:rsid w:val="00777352"/>
    <w:rsid w:val="0077735C"/>
    <w:rsid w:val="00777541"/>
    <w:rsid w:val="0077761A"/>
    <w:rsid w:val="00777634"/>
    <w:rsid w:val="0077783F"/>
    <w:rsid w:val="007779A8"/>
    <w:rsid w:val="00777C29"/>
    <w:rsid w:val="00780078"/>
    <w:rsid w:val="00780476"/>
    <w:rsid w:val="007807E3"/>
    <w:rsid w:val="00780A71"/>
    <w:rsid w:val="00780B57"/>
    <w:rsid w:val="00780C38"/>
    <w:rsid w:val="00780C4B"/>
    <w:rsid w:val="00780C78"/>
    <w:rsid w:val="00780DEF"/>
    <w:rsid w:val="00780EA5"/>
    <w:rsid w:val="00780EB1"/>
    <w:rsid w:val="00781138"/>
    <w:rsid w:val="007811DB"/>
    <w:rsid w:val="007815A5"/>
    <w:rsid w:val="007818EF"/>
    <w:rsid w:val="0078197B"/>
    <w:rsid w:val="007819C8"/>
    <w:rsid w:val="00781EB0"/>
    <w:rsid w:val="00781EF1"/>
    <w:rsid w:val="0078203D"/>
    <w:rsid w:val="007821A5"/>
    <w:rsid w:val="007822BA"/>
    <w:rsid w:val="00782460"/>
    <w:rsid w:val="00782788"/>
    <w:rsid w:val="007827A0"/>
    <w:rsid w:val="007828EA"/>
    <w:rsid w:val="00782BA3"/>
    <w:rsid w:val="007830F4"/>
    <w:rsid w:val="007836BC"/>
    <w:rsid w:val="00783768"/>
    <w:rsid w:val="007838F4"/>
    <w:rsid w:val="00783A1F"/>
    <w:rsid w:val="00783A26"/>
    <w:rsid w:val="00783BA3"/>
    <w:rsid w:val="00783BBD"/>
    <w:rsid w:val="00783C43"/>
    <w:rsid w:val="00783C8F"/>
    <w:rsid w:val="00784126"/>
    <w:rsid w:val="00784130"/>
    <w:rsid w:val="007844DD"/>
    <w:rsid w:val="00784503"/>
    <w:rsid w:val="007849B2"/>
    <w:rsid w:val="00784ADB"/>
    <w:rsid w:val="00784BFA"/>
    <w:rsid w:val="00784EDC"/>
    <w:rsid w:val="00785308"/>
    <w:rsid w:val="00785491"/>
    <w:rsid w:val="00785AEF"/>
    <w:rsid w:val="00785CE5"/>
    <w:rsid w:val="00786138"/>
    <w:rsid w:val="00786232"/>
    <w:rsid w:val="0078625E"/>
    <w:rsid w:val="007864F1"/>
    <w:rsid w:val="00786516"/>
    <w:rsid w:val="00786B9F"/>
    <w:rsid w:val="00786C3F"/>
    <w:rsid w:val="00786CF0"/>
    <w:rsid w:val="00786DDB"/>
    <w:rsid w:val="00786EA5"/>
    <w:rsid w:val="00786EF9"/>
    <w:rsid w:val="00786FBF"/>
    <w:rsid w:val="00787385"/>
    <w:rsid w:val="0078746B"/>
    <w:rsid w:val="007876E1"/>
    <w:rsid w:val="0078794E"/>
    <w:rsid w:val="0078797E"/>
    <w:rsid w:val="00787BD3"/>
    <w:rsid w:val="00787C21"/>
    <w:rsid w:val="00787FED"/>
    <w:rsid w:val="00790067"/>
    <w:rsid w:val="007900F2"/>
    <w:rsid w:val="0079013D"/>
    <w:rsid w:val="0079085C"/>
    <w:rsid w:val="0079089D"/>
    <w:rsid w:val="00790A3A"/>
    <w:rsid w:val="00790A6E"/>
    <w:rsid w:val="0079104E"/>
    <w:rsid w:val="00791145"/>
    <w:rsid w:val="0079116D"/>
    <w:rsid w:val="007911A1"/>
    <w:rsid w:val="007911D1"/>
    <w:rsid w:val="0079133B"/>
    <w:rsid w:val="0079154A"/>
    <w:rsid w:val="007916F7"/>
    <w:rsid w:val="007919F5"/>
    <w:rsid w:val="00791B32"/>
    <w:rsid w:val="00791C16"/>
    <w:rsid w:val="00791C60"/>
    <w:rsid w:val="00791E18"/>
    <w:rsid w:val="007921C9"/>
    <w:rsid w:val="007922F2"/>
    <w:rsid w:val="0079230D"/>
    <w:rsid w:val="007925EA"/>
    <w:rsid w:val="0079267A"/>
    <w:rsid w:val="007927CE"/>
    <w:rsid w:val="0079284A"/>
    <w:rsid w:val="00792CC5"/>
    <w:rsid w:val="00792E69"/>
    <w:rsid w:val="00792FED"/>
    <w:rsid w:val="00793018"/>
    <w:rsid w:val="0079305F"/>
    <w:rsid w:val="0079340D"/>
    <w:rsid w:val="007935D7"/>
    <w:rsid w:val="00793D28"/>
    <w:rsid w:val="00793F4E"/>
    <w:rsid w:val="00793F67"/>
    <w:rsid w:val="0079430A"/>
    <w:rsid w:val="00794993"/>
    <w:rsid w:val="00794AF8"/>
    <w:rsid w:val="00794C68"/>
    <w:rsid w:val="00794CF9"/>
    <w:rsid w:val="00794D55"/>
    <w:rsid w:val="00794ED5"/>
    <w:rsid w:val="007956AC"/>
    <w:rsid w:val="007958F6"/>
    <w:rsid w:val="00795A73"/>
    <w:rsid w:val="00795F22"/>
    <w:rsid w:val="0079641A"/>
    <w:rsid w:val="0079649B"/>
    <w:rsid w:val="0079680F"/>
    <w:rsid w:val="00796AD8"/>
    <w:rsid w:val="00796F30"/>
    <w:rsid w:val="0079700B"/>
    <w:rsid w:val="0079725A"/>
    <w:rsid w:val="00797602"/>
    <w:rsid w:val="00797694"/>
    <w:rsid w:val="00797776"/>
    <w:rsid w:val="00797A6B"/>
    <w:rsid w:val="00797DE2"/>
    <w:rsid w:val="00797FAB"/>
    <w:rsid w:val="007A0079"/>
    <w:rsid w:val="007A0234"/>
    <w:rsid w:val="007A04D6"/>
    <w:rsid w:val="007A085D"/>
    <w:rsid w:val="007A0D73"/>
    <w:rsid w:val="007A0EF7"/>
    <w:rsid w:val="007A10B6"/>
    <w:rsid w:val="007A10F4"/>
    <w:rsid w:val="007A1607"/>
    <w:rsid w:val="007A167D"/>
    <w:rsid w:val="007A17AD"/>
    <w:rsid w:val="007A17E1"/>
    <w:rsid w:val="007A1984"/>
    <w:rsid w:val="007A19AD"/>
    <w:rsid w:val="007A1D1B"/>
    <w:rsid w:val="007A1F20"/>
    <w:rsid w:val="007A1F72"/>
    <w:rsid w:val="007A2196"/>
    <w:rsid w:val="007A29FE"/>
    <w:rsid w:val="007A2E19"/>
    <w:rsid w:val="007A2EA2"/>
    <w:rsid w:val="007A2F28"/>
    <w:rsid w:val="007A2FD5"/>
    <w:rsid w:val="007A3031"/>
    <w:rsid w:val="007A315A"/>
    <w:rsid w:val="007A3307"/>
    <w:rsid w:val="007A38B2"/>
    <w:rsid w:val="007A3914"/>
    <w:rsid w:val="007A3A6C"/>
    <w:rsid w:val="007A3C58"/>
    <w:rsid w:val="007A3C6E"/>
    <w:rsid w:val="007A3CCF"/>
    <w:rsid w:val="007A3F31"/>
    <w:rsid w:val="007A4033"/>
    <w:rsid w:val="007A4498"/>
    <w:rsid w:val="007A4533"/>
    <w:rsid w:val="007A4748"/>
    <w:rsid w:val="007A4981"/>
    <w:rsid w:val="007A4AE7"/>
    <w:rsid w:val="007A4FF2"/>
    <w:rsid w:val="007A5010"/>
    <w:rsid w:val="007A50FA"/>
    <w:rsid w:val="007A52D1"/>
    <w:rsid w:val="007A5750"/>
    <w:rsid w:val="007A578C"/>
    <w:rsid w:val="007A5E69"/>
    <w:rsid w:val="007A5F31"/>
    <w:rsid w:val="007A5FB4"/>
    <w:rsid w:val="007A60B7"/>
    <w:rsid w:val="007A615C"/>
    <w:rsid w:val="007A630F"/>
    <w:rsid w:val="007A6554"/>
    <w:rsid w:val="007A6792"/>
    <w:rsid w:val="007A70CC"/>
    <w:rsid w:val="007A7A78"/>
    <w:rsid w:val="007A7AE2"/>
    <w:rsid w:val="007A7B41"/>
    <w:rsid w:val="007B0386"/>
    <w:rsid w:val="007B071E"/>
    <w:rsid w:val="007B0A52"/>
    <w:rsid w:val="007B0F79"/>
    <w:rsid w:val="007B113C"/>
    <w:rsid w:val="007B12A1"/>
    <w:rsid w:val="007B14FD"/>
    <w:rsid w:val="007B1547"/>
    <w:rsid w:val="007B1651"/>
    <w:rsid w:val="007B174F"/>
    <w:rsid w:val="007B18B5"/>
    <w:rsid w:val="007B1A17"/>
    <w:rsid w:val="007B1C87"/>
    <w:rsid w:val="007B1E0A"/>
    <w:rsid w:val="007B1E92"/>
    <w:rsid w:val="007B1EA2"/>
    <w:rsid w:val="007B2188"/>
    <w:rsid w:val="007B22DA"/>
    <w:rsid w:val="007B236A"/>
    <w:rsid w:val="007B2757"/>
    <w:rsid w:val="007B28FD"/>
    <w:rsid w:val="007B29D4"/>
    <w:rsid w:val="007B2BC1"/>
    <w:rsid w:val="007B2FAE"/>
    <w:rsid w:val="007B323A"/>
    <w:rsid w:val="007B32D4"/>
    <w:rsid w:val="007B3C2F"/>
    <w:rsid w:val="007B3D43"/>
    <w:rsid w:val="007B3E82"/>
    <w:rsid w:val="007B4131"/>
    <w:rsid w:val="007B4281"/>
    <w:rsid w:val="007B4353"/>
    <w:rsid w:val="007B4499"/>
    <w:rsid w:val="007B456A"/>
    <w:rsid w:val="007B46A1"/>
    <w:rsid w:val="007B483E"/>
    <w:rsid w:val="007B48A8"/>
    <w:rsid w:val="007B4C5B"/>
    <w:rsid w:val="007B515C"/>
    <w:rsid w:val="007B5A4B"/>
    <w:rsid w:val="007B5C18"/>
    <w:rsid w:val="007B5CE6"/>
    <w:rsid w:val="007B60C7"/>
    <w:rsid w:val="007B6118"/>
    <w:rsid w:val="007B63C8"/>
    <w:rsid w:val="007B673E"/>
    <w:rsid w:val="007B69F3"/>
    <w:rsid w:val="007B6D69"/>
    <w:rsid w:val="007B6EB1"/>
    <w:rsid w:val="007B7383"/>
    <w:rsid w:val="007B73EE"/>
    <w:rsid w:val="007B742F"/>
    <w:rsid w:val="007B77A2"/>
    <w:rsid w:val="007B7A38"/>
    <w:rsid w:val="007B7B59"/>
    <w:rsid w:val="007B7C7C"/>
    <w:rsid w:val="007B7D07"/>
    <w:rsid w:val="007B7DF1"/>
    <w:rsid w:val="007B7EBB"/>
    <w:rsid w:val="007B7EEE"/>
    <w:rsid w:val="007C0724"/>
    <w:rsid w:val="007C0D51"/>
    <w:rsid w:val="007C0F1E"/>
    <w:rsid w:val="007C0F63"/>
    <w:rsid w:val="007C0F6D"/>
    <w:rsid w:val="007C1049"/>
    <w:rsid w:val="007C141E"/>
    <w:rsid w:val="007C15D2"/>
    <w:rsid w:val="007C19F8"/>
    <w:rsid w:val="007C1B58"/>
    <w:rsid w:val="007C1C44"/>
    <w:rsid w:val="007C2167"/>
    <w:rsid w:val="007C21B3"/>
    <w:rsid w:val="007C22EB"/>
    <w:rsid w:val="007C233B"/>
    <w:rsid w:val="007C2402"/>
    <w:rsid w:val="007C2888"/>
    <w:rsid w:val="007C28AC"/>
    <w:rsid w:val="007C2CB3"/>
    <w:rsid w:val="007C2CC0"/>
    <w:rsid w:val="007C3CA1"/>
    <w:rsid w:val="007C3D90"/>
    <w:rsid w:val="007C3FB0"/>
    <w:rsid w:val="007C3FCE"/>
    <w:rsid w:val="007C3FE6"/>
    <w:rsid w:val="007C4033"/>
    <w:rsid w:val="007C4086"/>
    <w:rsid w:val="007C41D4"/>
    <w:rsid w:val="007C43F3"/>
    <w:rsid w:val="007C453C"/>
    <w:rsid w:val="007C470E"/>
    <w:rsid w:val="007C4CE1"/>
    <w:rsid w:val="007C4D81"/>
    <w:rsid w:val="007C4E40"/>
    <w:rsid w:val="007C51A5"/>
    <w:rsid w:val="007C51B0"/>
    <w:rsid w:val="007C5267"/>
    <w:rsid w:val="007C57C4"/>
    <w:rsid w:val="007C590D"/>
    <w:rsid w:val="007C5974"/>
    <w:rsid w:val="007C5D30"/>
    <w:rsid w:val="007C6294"/>
    <w:rsid w:val="007C63F0"/>
    <w:rsid w:val="007C6626"/>
    <w:rsid w:val="007C674F"/>
    <w:rsid w:val="007C6A2D"/>
    <w:rsid w:val="007C6D1A"/>
    <w:rsid w:val="007C6F2C"/>
    <w:rsid w:val="007C6F45"/>
    <w:rsid w:val="007C70EF"/>
    <w:rsid w:val="007C71D6"/>
    <w:rsid w:val="007C71DC"/>
    <w:rsid w:val="007C732C"/>
    <w:rsid w:val="007C77E8"/>
    <w:rsid w:val="007C7ECF"/>
    <w:rsid w:val="007C7F4E"/>
    <w:rsid w:val="007D03B8"/>
    <w:rsid w:val="007D058B"/>
    <w:rsid w:val="007D0599"/>
    <w:rsid w:val="007D0650"/>
    <w:rsid w:val="007D0903"/>
    <w:rsid w:val="007D0E30"/>
    <w:rsid w:val="007D0F37"/>
    <w:rsid w:val="007D11F9"/>
    <w:rsid w:val="007D125F"/>
    <w:rsid w:val="007D14C4"/>
    <w:rsid w:val="007D14EC"/>
    <w:rsid w:val="007D1812"/>
    <w:rsid w:val="007D18D6"/>
    <w:rsid w:val="007D19CD"/>
    <w:rsid w:val="007D1AA9"/>
    <w:rsid w:val="007D1C94"/>
    <w:rsid w:val="007D1F79"/>
    <w:rsid w:val="007D2082"/>
    <w:rsid w:val="007D229C"/>
    <w:rsid w:val="007D24A2"/>
    <w:rsid w:val="007D2563"/>
    <w:rsid w:val="007D29F9"/>
    <w:rsid w:val="007D2D3B"/>
    <w:rsid w:val="007D2EA6"/>
    <w:rsid w:val="007D32D8"/>
    <w:rsid w:val="007D339E"/>
    <w:rsid w:val="007D34BE"/>
    <w:rsid w:val="007D363E"/>
    <w:rsid w:val="007D3740"/>
    <w:rsid w:val="007D3876"/>
    <w:rsid w:val="007D3A01"/>
    <w:rsid w:val="007D3BA2"/>
    <w:rsid w:val="007D3BBD"/>
    <w:rsid w:val="007D3BD0"/>
    <w:rsid w:val="007D3E79"/>
    <w:rsid w:val="007D3F7B"/>
    <w:rsid w:val="007D411A"/>
    <w:rsid w:val="007D411D"/>
    <w:rsid w:val="007D42A1"/>
    <w:rsid w:val="007D42EC"/>
    <w:rsid w:val="007D433D"/>
    <w:rsid w:val="007D47A4"/>
    <w:rsid w:val="007D48A2"/>
    <w:rsid w:val="007D48B0"/>
    <w:rsid w:val="007D48B3"/>
    <w:rsid w:val="007D49B3"/>
    <w:rsid w:val="007D4B83"/>
    <w:rsid w:val="007D4E52"/>
    <w:rsid w:val="007D59A5"/>
    <w:rsid w:val="007D5D60"/>
    <w:rsid w:val="007D5E00"/>
    <w:rsid w:val="007D621F"/>
    <w:rsid w:val="007D634F"/>
    <w:rsid w:val="007D6706"/>
    <w:rsid w:val="007D68E2"/>
    <w:rsid w:val="007D69E4"/>
    <w:rsid w:val="007D6BF5"/>
    <w:rsid w:val="007D6E2D"/>
    <w:rsid w:val="007D6E98"/>
    <w:rsid w:val="007D6F53"/>
    <w:rsid w:val="007D7032"/>
    <w:rsid w:val="007D71D2"/>
    <w:rsid w:val="007D7515"/>
    <w:rsid w:val="007D771E"/>
    <w:rsid w:val="007D7F99"/>
    <w:rsid w:val="007E00A1"/>
    <w:rsid w:val="007E0409"/>
    <w:rsid w:val="007E0598"/>
    <w:rsid w:val="007E0638"/>
    <w:rsid w:val="007E08EF"/>
    <w:rsid w:val="007E099C"/>
    <w:rsid w:val="007E09BD"/>
    <w:rsid w:val="007E0BA6"/>
    <w:rsid w:val="007E0C82"/>
    <w:rsid w:val="007E0D27"/>
    <w:rsid w:val="007E0E63"/>
    <w:rsid w:val="007E1102"/>
    <w:rsid w:val="007E1358"/>
    <w:rsid w:val="007E14C0"/>
    <w:rsid w:val="007E160D"/>
    <w:rsid w:val="007E1B55"/>
    <w:rsid w:val="007E1DCA"/>
    <w:rsid w:val="007E1E1C"/>
    <w:rsid w:val="007E1E40"/>
    <w:rsid w:val="007E1E5B"/>
    <w:rsid w:val="007E21C7"/>
    <w:rsid w:val="007E29CE"/>
    <w:rsid w:val="007E2AA0"/>
    <w:rsid w:val="007E2C45"/>
    <w:rsid w:val="007E3079"/>
    <w:rsid w:val="007E3245"/>
    <w:rsid w:val="007E34D6"/>
    <w:rsid w:val="007E35ED"/>
    <w:rsid w:val="007E364D"/>
    <w:rsid w:val="007E3850"/>
    <w:rsid w:val="007E3BC9"/>
    <w:rsid w:val="007E3E56"/>
    <w:rsid w:val="007E4185"/>
    <w:rsid w:val="007E4B2C"/>
    <w:rsid w:val="007E4B2D"/>
    <w:rsid w:val="007E4DBF"/>
    <w:rsid w:val="007E51BF"/>
    <w:rsid w:val="007E5324"/>
    <w:rsid w:val="007E5593"/>
    <w:rsid w:val="007E5724"/>
    <w:rsid w:val="007E58A2"/>
    <w:rsid w:val="007E5AC8"/>
    <w:rsid w:val="007E600C"/>
    <w:rsid w:val="007E6B5B"/>
    <w:rsid w:val="007E6D15"/>
    <w:rsid w:val="007E6DAC"/>
    <w:rsid w:val="007E6E41"/>
    <w:rsid w:val="007E6E8E"/>
    <w:rsid w:val="007E7346"/>
    <w:rsid w:val="007E73C1"/>
    <w:rsid w:val="007E755C"/>
    <w:rsid w:val="007E7A44"/>
    <w:rsid w:val="007F0338"/>
    <w:rsid w:val="007F05DA"/>
    <w:rsid w:val="007F0BE4"/>
    <w:rsid w:val="007F0F7F"/>
    <w:rsid w:val="007F0FF3"/>
    <w:rsid w:val="007F1665"/>
    <w:rsid w:val="007F1736"/>
    <w:rsid w:val="007F1807"/>
    <w:rsid w:val="007F1F32"/>
    <w:rsid w:val="007F1F96"/>
    <w:rsid w:val="007F1FF3"/>
    <w:rsid w:val="007F203D"/>
    <w:rsid w:val="007F26D3"/>
    <w:rsid w:val="007F2866"/>
    <w:rsid w:val="007F28CC"/>
    <w:rsid w:val="007F297A"/>
    <w:rsid w:val="007F2A77"/>
    <w:rsid w:val="007F3650"/>
    <w:rsid w:val="007F39D3"/>
    <w:rsid w:val="007F3DB3"/>
    <w:rsid w:val="007F41D7"/>
    <w:rsid w:val="007F43C1"/>
    <w:rsid w:val="007F44B2"/>
    <w:rsid w:val="007F44D9"/>
    <w:rsid w:val="007F45EA"/>
    <w:rsid w:val="007F491B"/>
    <w:rsid w:val="007F4A35"/>
    <w:rsid w:val="007F4A7F"/>
    <w:rsid w:val="007F4B7B"/>
    <w:rsid w:val="007F4D7A"/>
    <w:rsid w:val="007F4F53"/>
    <w:rsid w:val="007F5198"/>
    <w:rsid w:val="007F5292"/>
    <w:rsid w:val="007F52CF"/>
    <w:rsid w:val="007F58EA"/>
    <w:rsid w:val="007F5A6D"/>
    <w:rsid w:val="007F5C2F"/>
    <w:rsid w:val="007F5FED"/>
    <w:rsid w:val="007F60AE"/>
    <w:rsid w:val="007F635D"/>
    <w:rsid w:val="007F63A2"/>
    <w:rsid w:val="007F6496"/>
    <w:rsid w:val="007F64B6"/>
    <w:rsid w:val="007F6757"/>
    <w:rsid w:val="007F6781"/>
    <w:rsid w:val="007F699A"/>
    <w:rsid w:val="007F6A78"/>
    <w:rsid w:val="007F6B4B"/>
    <w:rsid w:val="007F6BFF"/>
    <w:rsid w:val="007F6FD0"/>
    <w:rsid w:val="007F704A"/>
    <w:rsid w:val="007F70D3"/>
    <w:rsid w:val="007F7451"/>
    <w:rsid w:val="007F74E6"/>
    <w:rsid w:val="007F78E1"/>
    <w:rsid w:val="007F7A13"/>
    <w:rsid w:val="007F7B1D"/>
    <w:rsid w:val="007F7B92"/>
    <w:rsid w:val="007F7DE2"/>
    <w:rsid w:val="007F7E16"/>
    <w:rsid w:val="007F7E57"/>
    <w:rsid w:val="008000FB"/>
    <w:rsid w:val="0080034D"/>
    <w:rsid w:val="008003EF"/>
    <w:rsid w:val="00800440"/>
    <w:rsid w:val="008005B5"/>
    <w:rsid w:val="00800666"/>
    <w:rsid w:val="00800887"/>
    <w:rsid w:val="00800BDC"/>
    <w:rsid w:val="00800C5E"/>
    <w:rsid w:val="00800C62"/>
    <w:rsid w:val="00800ECF"/>
    <w:rsid w:val="00800F47"/>
    <w:rsid w:val="00800F5F"/>
    <w:rsid w:val="0080137D"/>
    <w:rsid w:val="008015CC"/>
    <w:rsid w:val="00801812"/>
    <w:rsid w:val="00801817"/>
    <w:rsid w:val="0080197D"/>
    <w:rsid w:val="00801AA6"/>
    <w:rsid w:val="00801B96"/>
    <w:rsid w:val="00801C87"/>
    <w:rsid w:val="00801CDC"/>
    <w:rsid w:val="00801CE5"/>
    <w:rsid w:val="00801FF4"/>
    <w:rsid w:val="008021F7"/>
    <w:rsid w:val="008022D2"/>
    <w:rsid w:val="00802592"/>
    <w:rsid w:val="008025BE"/>
    <w:rsid w:val="00802871"/>
    <w:rsid w:val="00802A12"/>
    <w:rsid w:val="00802BCD"/>
    <w:rsid w:val="00802ECA"/>
    <w:rsid w:val="00802FCB"/>
    <w:rsid w:val="00803123"/>
    <w:rsid w:val="00803272"/>
    <w:rsid w:val="008034DB"/>
    <w:rsid w:val="008038F2"/>
    <w:rsid w:val="00803B63"/>
    <w:rsid w:val="00803DDE"/>
    <w:rsid w:val="00803E1D"/>
    <w:rsid w:val="00803EA3"/>
    <w:rsid w:val="00804198"/>
    <w:rsid w:val="00804382"/>
    <w:rsid w:val="00804700"/>
    <w:rsid w:val="0080480C"/>
    <w:rsid w:val="008048E4"/>
    <w:rsid w:val="00804971"/>
    <w:rsid w:val="00804C49"/>
    <w:rsid w:val="00804D2C"/>
    <w:rsid w:val="00804E48"/>
    <w:rsid w:val="008053AF"/>
    <w:rsid w:val="0080563A"/>
    <w:rsid w:val="00805797"/>
    <w:rsid w:val="008057A5"/>
    <w:rsid w:val="008057AD"/>
    <w:rsid w:val="008058DB"/>
    <w:rsid w:val="00805D6D"/>
    <w:rsid w:val="00806015"/>
    <w:rsid w:val="0080665D"/>
    <w:rsid w:val="0080686F"/>
    <w:rsid w:val="00806951"/>
    <w:rsid w:val="00806B71"/>
    <w:rsid w:val="00806BF1"/>
    <w:rsid w:val="00806C55"/>
    <w:rsid w:val="00806CB5"/>
    <w:rsid w:val="00806CC6"/>
    <w:rsid w:val="00806D90"/>
    <w:rsid w:val="00806E75"/>
    <w:rsid w:val="00807155"/>
    <w:rsid w:val="008073DB"/>
    <w:rsid w:val="00807722"/>
    <w:rsid w:val="00807812"/>
    <w:rsid w:val="00807B99"/>
    <w:rsid w:val="00807C34"/>
    <w:rsid w:val="00807D17"/>
    <w:rsid w:val="0081030F"/>
    <w:rsid w:val="00810329"/>
    <w:rsid w:val="008105D9"/>
    <w:rsid w:val="00810865"/>
    <w:rsid w:val="0081091A"/>
    <w:rsid w:val="00810BE2"/>
    <w:rsid w:val="0081135D"/>
    <w:rsid w:val="0081180F"/>
    <w:rsid w:val="00811A31"/>
    <w:rsid w:val="00811A43"/>
    <w:rsid w:val="00811CAF"/>
    <w:rsid w:val="00811D37"/>
    <w:rsid w:val="00811FD0"/>
    <w:rsid w:val="008124BE"/>
    <w:rsid w:val="008125AA"/>
    <w:rsid w:val="00812982"/>
    <w:rsid w:val="00812BD0"/>
    <w:rsid w:val="00812D47"/>
    <w:rsid w:val="00812DD5"/>
    <w:rsid w:val="00812FDC"/>
    <w:rsid w:val="00813052"/>
    <w:rsid w:val="00813235"/>
    <w:rsid w:val="0081348F"/>
    <w:rsid w:val="008134E5"/>
    <w:rsid w:val="0081393E"/>
    <w:rsid w:val="00813A1A"/>
    <w:rsid w:val="00813DF5"/>
    <w:rsid w:val="00813F28"/>
    <w:rsid w:val="00814364"/>
    <w:rsid w:val="008143D1"/>
    <w:rsid w:val="00814646"/>
    <w:rsid w:val="00814FE9"/>
    <w:rsid w:val="008150F6"/>
    <w:rsid w:val="008151F8"/>
    <w:rsid w:val="0081529F"/>
    <w:rsid w:val="008152E6"/>
    <w:rsid w:val="008153DB"/>
    <w:rsid w:val="00815603"/>
    <w:rsid w:val="00815735"/>
    <w:rsid w:val="00815AA3"/>
    <w:rsid w:val="00815CB1"/>
    <w:rsid w:val="00815E44"/>
    <w:rsid w:val="00815F10"/>
    <w:rsid w:val="00816441"/>
    <w:rsid w:val="00816446"/>
    <w:rsid w:val="008167BE"/>
    <w:rsid w:val="00816A9A"/>
    <w:rsid w:val="00816C6B"/>
    <w:rsid w:val="00816F1A"/>
    <w:rsid w:val="00817275"/>
    <w:rsid w:val="008174D1"/>
    <w:rsid w:val="00817602"/>
    <w:rsid w:val="008176E2"/>
    <w:rsid w:val="00817715"/>
    <w:rsid w:val="00817765"/>
    <w:rsid w:val="00817772"/>
    <w:rsid w:val="008177A8"/>
    <w:rsid w:val="008177DD"/>
    <w:rsid w:val="0081793D"/>
    <w:rsid w:val="00817AB9"/>
    <w:rsid w:val="00817BCA"/>
    <w:rsid w:val="00817C5B"/>
    <w:rsid w:val="00817C85"/>
    <w:rsid w:val="00817DDC"/>
    <w:rsid w:val="00820004"/>
    <w:rsid w:val="0082033B"/>
    <w:rsid w:val="0082034D"/>
    <w:rsid w:val="008203C6"/>
    <w:rsid w:val="0082049B"/>
    <w:rsid w:val="00820700"/>
    <w:rsid w:val="00820748"/>
    <w:rsid w:val="00820B35"/>
    <w:rsid w:val="00820BBF"/>
    <w:rsid w:val="00820EC2"/>
    <w:rsid w:val="00820EE3"/>
    <w:rsid w:val="00821093"/>
    <w:rsid w:val="008210AE"/>
    <w:rsid w:val="00821413"/>
    <w:rsid w:val="0082170C"/>
    <w:rsid w:val="008217DD"/>
    <w:rsid w:val="008218D9"/>
    <w:rsid w:val="00821A81"/>
    <w:rsid w:val="0082207B"/>
    <w:rsid w:val="00822178"/>
    <w:rsid w:val="00822311"/>
    <w:rsid w:val="008227D6"/>
    <w:rsid w:val="00822ACD"/>
    <w:rsid w:val="00822AD2"/>
    <w:rsid w:val="00822E0D"/>
    <w:rsid w:val="00822E1F"/>
    <w:rsid w:val="00822E98"/>
    <w:rsid w:val="00823326"/>
    <w:rsid w:val="008233B3"/>
    <w:rsid w:val="00823667"/>
    <w:rsid w:val="00823957"/>
    <w:rsid w:val="00823BC0"/>
    <w:rsid w:val="00823C12"/>
    <w:rsid w:val="00823D60"/>
    <w:rsid w:val="00823FC8"/>
    <w:rsid w:val="0082428D"/>
    <w:rsid w:val="008243CC"/>
    <w:rsid w:val="0082473B"/>
    <w:rsid w:val="008248F5"/>
    <w:rsid w:val="00824A5B"/>
    <w:rsid w:val="00824B40"/>
    <w:rsid w:val="00824D1E"/>
    <w:rsid w:val="00824F0B"/>
    <w:rsid w:val="0082500E"/>
    <w:rsid w:val="0082506D"/>
    <w:rsid w:val="008258F9"/>
    <w:rsid w:val="00825C7D"/>
    <w:rsid w:val="00826062"/>
    <w:rsid w:val="0082613C"/>
    <w:rsid w:val="008261A7"/>
    <w:rsid w:val="00826399"/>
    <w:rsid w:val="00826503"/>
    <w:rsid w:val="0082658B"/>
    <w:rsid w:val="00826B48"/>
    <w:rsid w:val="00826D9A"/>
    <w:rsid w:val="00826E5E"/>
    <w:rsid w:val="0082734F"/>
    <w:rsid w:val="00827D8D"/>
    <w:rsid w:val="00827E95"/>
    <w:rsid w:val="00830165"/>
    <w:rsid w:val="00830414"/>
    <w:rsid w:val="008307B8"/>
    <w:rsid w:val="00830817"/>
    <w:rsid w:val="00830BF6"/>
    <w:rsid w:val="00830DF0"/>
    <w:rsid w:val="00830E13"/>
    <w:rsid w:val="00830E44"/>
    <w:rsid w:val="00831303"/>
    <w:rsid w:val="008318EB"/>
    <w:rsid w:val="00831CCC"/>
    <w:rsid w:val="00831FB4"/>
    <w:rsid w:val="0083226A"/>
    <w:rsid w:val="0083246E"/>
    <w:rsid w:val="0083255C"/>
    <w:rsid w:val="00832584"/>
    <w:rsid w:val="008326FF"/>
    <w:rsid w:val="008329CE"/>
    <w:rsid w:val="00832F3B"/>
    <w:rsid w:val="008331D3"/>
    <w:rsid w:val="00833401"/>
    <w:rsid w:val="00833793"/>
    <w:rsid w:val="00833CBC"/>
    <w:rsid w:val="00833D42"/>
    <w:rsid w:val="00833DA6"/>
    <w:rsid w:val="00834343"/>
    <w:rsid w:val="00834414"/>
    <w:rsid w:val="008346FA"/>
    <w:rsid w:val="00834A52"/>
    <w:rsid w:val="00834C5D"/>
    <w:rsid w:val="00834CA1"/>
    <w:rsid w:val="00834EEB"/>
    <w:rsid w:val="0083532D"/>
    <w:rsid w:val="00835494"/>
    <w:rsid w:val="008354CB"/>
    <w:rsid w:val="00835636"/>
    <w:rsid w:val="00835669"/>
    <w:rsid w:val="00835776"/>
    <w:rsid w:val="008357B9"/>
    <w:rsid w:val="00835BC4"/>
    <w:rsid w:val="00835C30"/>
    <w:rsid w:val="00835F65"/>
    <w:rsid w:val="00836A79"/>
    <w:rsid w:val="00836AAE"/>
    <w:rsid w:val="00836D45"/>
    <w:rsid w:val="00836D7F"/>
    <w:rsid w:val="00836E95"/>
    <w:rsid w:val="00837102"/>
    <w:rsid w:val="0083710F"/>
    <w:rsid w:val="0083720F"/>
    <w:rsid w:val="0083767C"/>
    <w:rsid w:val="0083770A"/>
    <w:rsid w:val="00837949"/>
    <w:rsid w:val="00837EAA"/>
    <w:rsid w:val="008405A0"/>
    <w:rsid w:val="008406C4"/>
    <w:rsid w:val="00840978"/>
    <w:rsid w:val="00840FA5"/>
    <w:rsid w:val="00841044"/>
    <w:rsid w:val="00841193"/>
    <w:rsid w:val="0084167B"/>
    <w:rsid w:val="0084169D"/>
    <w:rsid w:val="0084174F"/>
    <w:rsid w:val="0084201F"/>
    <w:rsid w:val="00842281"/>
    <w:rsid w:val="0084232D"/>
    <w:rsid w:val="00842422"/>
    <w:rsid w:val="00842688"/>
    <w:rsid w:val="0084296A"/>
    <w:rsid w:val="00842ADC"/>
    <w:rsid w:val="00842C5D"/>
    <w:rsid w:val="00842CE2"/>
    <w:rsid w:val="00842CFD"/>
    <w:rsid w:val="00842FFA"/>
    <w:rsid w:val="00843000"/>
    <w:rsid w:val="00843460"/>
    <w:rsid w:val="0084391C"/>
    <w:rsid w:val="00843AF0"/>
    <w:rsid w:val="00843B57"/>
    <w:rsid w:val="00843D8D"/>
    <w:rsid w:val="00844329"/>
    <w:rsid w:val="00844578"/>
    <w:rsid w:val="00844688"/>
    <w:rsid w:val="00844779"/>
    <w:rsid w:val="00844C2D"/>
    <w:rsid w:val="00844C41"/>
    <w:rsid w:val="00844E1B"/>
    <w:rsid w:val="00845350"/>
    <w:rsid w:val="008454EC"/>
    <w:rsid w:val="00845508"/>
    <w:rsid w:val="00845657"/>
    <w:rsid w:val="00845684"/>
    <w:rsid w:val="008457C7"/>
    <w:rsid w:val="0084580A"/>
    <w:rsid w:val="0084585E"/>
    <w:rsid w:val="008458A0"/>
    <w:rsid w:val="00845A72"/>
    <w:rsid w:val="00845B57"/>
    <w:rsid w:val="0084603A"/>
    <w:rsid w:val="0084620F"/>
    <w:rsid w:val="0084625A"/>
    <w:rsid w:val="0084633C"/>
    <w:rsid w:val="00846977"/>
    <w:rsid w:val="00846C2C"/>
    <w:rsid w:val="0084750D"/>
    <w:rsid w:val="00847689"/>
    <w:rsid w:val="0084794A"/>
    <w:rsid w:val="00847AB9"/>
    <w:rsid w:val="00847B9F"/>
    <w:rsid w:val="00847C09"/>
    <w:rsid w:val="00847D67"/>
    <w:rsid w:val="00847D7D"/>
    <w:rsid w:val="00847FBC"/>
    <w:rsid w:val="008500DC"/>
    <w:rsid w:val="008504D0"/>
    <w:rsid w:val="00850BCC"/>
    <w:rsid w:val="008512ED"/>
    <w:rsid w:val="0085132F"/>
    <w:rsid w:val="00851426"/>
    <w:rsid w:val="0085188E"/>
    <w:rsid w:val="00851932"/>
    <w:rsid w:val="00851954"/>
    <w:rsid w:val="00851BA4"/>
    <w:rsid w:val="00851BB3"/>
    <w:rsid w:val="00851E3C"/>
    <w:rsid w:val="00851FA7"/>
    <w:rsid w:val="008520DE"/>
    <w:rsid w:val="00852336"/>
    <w:rsid w:val="008526B5"/>
    <w:rsid w:val="0085284C"/>
    <w:rsid w:val="00852880"/>
    <w:rsid w:val="00853045"/>
    <w:rsid w:val="00853068"/>
    <w:rsid w:val="008530A5"/>
    <w:rsid w:val="00853117"/>
    <w:rsid w:val="0085326D"/>
    <w:rsid w:val="0085365F"/>
    <w:rsid w:val="008538E1"/>
    <w:rsid w:val="008538E6"/>
    <w:rsid w:val="008539B0"/>
    <w:rsid w:val="00853BC1"/>
    <w:rsid w:val="00853C6E"/>
    <w:rsid w:val="00853D22"/>
    <w:rsid w:val="00854078"/>
    <w:rsid w:val="0085425A"/>
    <w:rsid w:val="00854399"/>
    <w:rsid w:val="00854665"/>
    <w:rsid w:val="00854672"/>
    <w:rsid w:val="00854BD1"/>
    <w:rsid w:val="008551E0"/>
    <w:rsid w:val="00855370"/>
    <w:rsid w:val="008555B9"/>
    <w:rsid w:val="008555E3"/>
    <w:rsid w:val="008556BD"/>
    <w:rsid w:val="0085578E"/>
    <w:rsid w:val="00855B3D"/>
    <w:rsid w:val="00855B68"/>
    <w:rsid w:val="00855F91"/>
    <w:rsid w:val="0085679E"/>
    <w:rsid w:val="0085693F"/>
    <w:rsid w:val="00856C8B"/>
    <w:rsid w:val="00856CE8"/>
    <w:rsid w:val="00856D06"/>
    <w:rsid w:val="00856DAE"/>
    <w:rsid w:val="00856DCB"/>
    <w:rsid w:val="00857514"/>
    <w:rsid w:val="0085760F"/>
    <w:rsid w:val="008578E7"/>
    <w:rsid w:val="00857A55"/>
    <w:rsid w:val="00857D02"/>
    <w:rsid w:val="00857EF3"/>
    <w:rsid w:val="008603E0"/>
    <w:rsid w:val="00860798"/>
    <w:rsid w:val="00860A33"/>
    <w:rsid w:val="00860BC3"/>
    <w:rsid w:val="00860D15"/>
    <w:rsid w:val="00860DD6"/>
    <w:rsid w:val="00860E58"/>
    <w:rsid w:val="00860F55"/>
    <w:rsid w:val="00861171"/>
    <w:rsid w:val="0086177F"/>
    <w:rsid w:val="008619A3"/>
    <w:rsid w:val="00861DC2"/>
    <w:rsid w:val="008620D5"/>
    <w:rsid w:val="00862215"/>
    <w:rsid w:val="00862248"/>
    <w:rsid w:val="00862310"/>
    <w:rsid w:val="00862496"/>
    <w:rsid w:val="00862544"/>
    <w:rsid w:val="0086259C"/>
    <w:rsid w:val="008626EC"/>
    <w:rsid w:val="00862726"/>
    <w:rsid w:val="008628BD"/>
    <w:rsid w:val="008629B0"/>
    <w:rsid w:val="00862B46"/>
    <w:rsid w:val="00862D71"/>
    <w:rsid w:val="00863062"/>
    <w:rsid w:val="008630AB"/>
    <w:rsid w:val="0086312C"/>
    <w:rsid w:val="00863252"/>
    <w:rsid w:val="0086360B"/>
    <w:rsid w:val="00863642"/>
    <w:rsid w:val="00863666"/>
    <w:rsid w:val="008636F2"/>
    <w:rsid w:val="008637D7"/>
    <w:rsid w:val="00863A99"/>
    <w:rsid w:val="00863C3C"/>
    <w:rsid w:val="008641AC"/>
    <w:rsid w:val="008642D8"/>
    <w:rsid w:val="0086487D"/>
    <w:rsid w:val="00864A30"/>
    <w:rsid w:val="00864C9C"/>
    <w:rsid w:val="00864D81"/>
    <w:rsid w:val="00864F9C"/>
    <w:rsid w:val="0086522C"/>
    <w:rsid w:val="00865514"/>
    <w:rsid w:val="008655B3"/>
    <w:rsid w:val="0086569C"/>
    <w:rsid w:val="008656B6"/>
    <w:rsid w:val="00865C2D"/>
    <w:rsid w:val="00865DFB"/>
    <w:rsid w:val="00865E1C"/>
    <w:rsid w:val="00865EB2"/>
    <w:rsid w:val="00865EE0"/>
    <w:rsid w:val="00866065"/>
    <w:rsid w:val="008660BC"/>
    <w:rsid w:val="00866105"/>
    <w:rsid w:val="008662C9"/>
    <w:rsid w:val="00866609"/>
    <w:rsid w:val="008667A5"/>
    <w:rsid w:val="008667E4"/>
    <w:rsid w:val="008667EE"/>
    <w:rsid w:val="00866A7F"/>
    <w:rsid w:val="00866E77"/>
    <w:rsid w:val="00866EE9"/>
    <w:rsid w:val="00866F82"/>
    <w:rsid w:val="00866FD9"/>
    <w:rsid w:val="0086704F"/>
    <w:rsid w:val="00867208"/>
    <w:rsid w:val="00867399"/>
    <w:rsid w:val="00867580"/>
    <w:rsid w:val="008675F8"/>
    <w:rsid w:val="0086786C"/>
    <w:rsid w:val="00867BB4"/>
    <w:rsid w:val="00867C7B"/>
    <w:rsid w:val="00867D49"/>
    <w:rsid w:val="00867D75"/>
    <w:rsid w:val="0087015E"/>
    <w:rsid w:val="00870614"/>
    <w:rsid w:val="008707D8"/>
    <w:rsid w:val="008708A5"/>
    <w:rsid w:val="00870B56"/>
    <w:rsid w:val="00870E40"/>
    <w:rsid w:val="00871008"/>
    <w:rsid w:val="00871337"/>
    <w:rsid w:val="0087138C"/>
    <w:rsid w:val="00871614"/>
    <w:rsid w:val="008719D8"/>
    <w:rsid w:val="00871BE9"/>
    <w:rsid w:val="00871E9A"/>
    <w:rsid w:val="00872025"/>
    <w:rsid w:val="00872083"/>
    <w:rsid w:val="008721C1"/>
    <w:rsid w:val="008723E1"/>
    <w:rsid w:val="00872735"/>
    <w:rsid w:val="00872758"/>
    <w:rsid w:val="00872A55"/>
    <w:rsid w:val="00872E47"/>
    <w:rsid w:val="00872E6C"/>
    <w:rsid w:val="0087340A"/>
    <w:rsid w:val="00873413"/>
    <w:rsid w:val="008739BB"/>
    <w:rsid w:val="008739CC"/>
    <w:rsid w:val="00873E99"/>
    <w:rsid w:val="008740D2"/>
    <w:rsid w:val="0087415C"/>
    <w:rsid w:val="008742D8"/>
    <w:rsid w:val="008744B4"/>
    <w:rsid w:val="0087483C"/>
    <w:rsid w:val="00874889"/>
    <w:rsid w:val="00874A06"/>
    <w:rsid w:val="00874A37"/>
    <w:rsid w:val="00874A92"/>
    <w:rsid w:val="00874C39"/>
    <w:rsid w:val="00875033"/>
    <w:rsid w:val="008750CB"/>
    <w:rsid w:val="008751D7"/>
    <w:rsid w:val="00875450"/>
    <w:rsid w:val="008756FF"/>
    <w:rsid w:val="00875712"/>
    <w:rsid w:val="00875D01"/>
    <w:rsid w:val="00875D7E"/>
    <w:rsid w:val="00875EBB"/>
    <w:rsid w:val="00875FB7"/>
    <w:rsid w:val="008760A8"/>
    <w:rsid w:val="008762A7"/>
    <w:rsid w:val="0087632D"/>
    <w:rsid w:val="0087654A"/>
    <w:rsid w:val="008766C5"/>
    <w:rsid w:val="008767B9"/>
    <w:rsid w:val="00876C28"/>
    <w:rsid w:val="0087728B"/>
    <w:rsid w:val="0087753D"/>
    <w:rsid w:val="008775D3"/>
    <w:rsid w:val="008777BB"/>
    <w:rsid w:val="008778B8"/>
    <w:rsid w:val="0087798B"/>
    <w:rsid w:val="00877CEA"/>
    <w:rsid w:val="00877CF1"/>
    <w:rsid w:val="00877D28"/>
    <w:rsid w:val="00877FD4"/>
    <w:rsid w:val="0088016F"/>
    <w:rsid w:val="0088025D"/>
    <w:rsid w:val="008803AF"/>
    <w:rsid w:val="008806D8"/>
    <w:rsid w:val="00880961"/>
    <w:rsid w:val="00880A07"/>
    <w:rsid w:val="00880AAB"/>
    <w:rsid w:val="00880C95"/>
    <w:rsid w:val="00881356"/>
    <w:rsid w:val="008814D6"/>
    <w:rsid w:val="00881555"/>
    <w:rsid w:val="00881609"/>
    <w:rsid w:val="0088166C"/>
    <w:rsid w:val="0088174F"/>
    <w:rsid w:val="00881808"/>
    <w:rsid w:val="00881A98"/>
    <w:rsid w:val="00881C97"/>
    <w:rsid w:val="00881DA4"/>
    <w:rsid w:val="00881E69"/>
    <w:rsid w:val="00881F09"/>
    <w:rsid w:val="00881FA4"/>
    <w:rsid w:val="00881FC1"/>
    <w:rsid w:val="00882FC6"/>
    <w:rsid w:val="0088312C"/>
    <w:rsid w:val="00883490"/>
    <w:rsid w:val="008835CC"/>
    <w:rsid w:val="00883C6A"/>
    <w:rsid w:val="00884261"/>
    <w:rsid w:val="0088427A"/>
    <w:rsid w:val="00884800"/>
    <w:rsid w:val="008849DF"/>
    <w:rsid w:val="00884BBB"/>
    <w:rsid w:val="00884DB2"/>
    <w:rsid w:val="00884F3F"/>
    <w:rsid w:val="00885022"/>
    <w:rsid w:val="008853B4"/>
    <w:rsid w:val="00885678"/>
    <w:rsid w:val="00885753"/>
    <w:rsid w:val="008858E1"/>
    <w:rsid w:val="00885A49"/>
    <w:rsid w:val="00885D36"/>
    <w:rsid w:val="00885E54"/>
    <w:rsid w:val="00885E7A"/>
    <w:rsid w:val="008860FB"/>
    <w:rsid w:val="0088636B"/>
    <w:rsid w:val="00886387"/>
    <w:rsid w:val="0088645B"/>
    <w:rsid w:val="00886508"/>
    <w:rsid w:val="0088668F"/>
    <w:rsid w:val="00886732"/>
    <w:rsid w:val="00886876"/>
    <w:rsid w:val="008869D4"/>
    <w:rsid w:val="00886DF8"/>
    <w:rsid w:val="00886E31"/>
    <w:rsid w:val="00886F12"/>
    <w:rsid w:val="00886F1C"/>
    <w:rsid w:val="008873D0"/>
    <w:rsid w:val="008873E8"/>
    <w:rsid w:val="008874B2"/>
    <w:rsid w:val="008874D3"/>
    <w:rsid w:val="0088765C"/>
    <w:rsid w:val="00887801"/>
    <w:rsid w:val="00887829"/>
    <w:rsid w:val="00887A1C"/>
    <w:rsid w:val="008902DC"/>
    <w:rsid w:val="00890555"/>
    <w:rsid w:val="00890731"/>
    <w:rsid w:val="00890CED"/>
    <w:rsid w:val="00890D7B"/>
    <w:rsid w:val="00890E80"/>
    <w:rsid w:val="00890F35"/>
    <w:rsid w:val="00891165"/>
    <w:rsid w:val="008911BA"/>
    <w:rsid w:val="00891646"/>
    <w:rsid w:val="00891A79"/>
    <w:rsid w:val="00891F90"/>
    <w:rsid w:val="00891F91"/>
    <w:rsid w:val="008923A1"/>
    <w:rsid w:val="008926B1"/>
    <w:rsid w:val="00892808"/>
    <w:rsid w:val="008928CD"/>
    <w:rsid w:val="00892AA8"/>
    <w:rsid w:val="0089360C"/>
    <w:rsid w:val="00893AD3"/>
    <w:rsid w:val="00893DF6"/>
    <w:rsid w:val="00893F84"/>
    <w:rsid w:val="00894078"/>
    <w:rsid w:val="008942B1"/>
    <w:rsid w:val="008945C8"/>
    <w:rsid w:val="008948B6"/>
    <w:rsid w:val="00894DEC"/>
    <w:rsid w:val="00894F48"/>
    <w:rsid w:val="0089503D"/>
    <w:rsid w:val="00895350"/>
    <w:rsid w:val="008955F6"/>
    <w:rsid w:val="0089562A"/>
    <w:rsid w:val="0089564F"/>
    <w:rsid w:val="008959A8"/>
    <w:rsid w:val="00895A16"/>
    <w:rsid w:val="00895C17"/>
    <w:rsid w:val="00895D48"/>
    <w:rsid w:val="00895E88"/>
    <w:rsid w:val="00895FA1"/>
    <w:rsid w:val="00896010"/>
    <w:rsid w:val="008960A5"/>
    <w:rsid w:val="008961BC"/>
    <w:rsid w:val="00896351"/>
    <w:rsid w:val="00896409"/>
    <w:rsid w:val="008964B7"/>
    <w:rsid w:val="00896722"/>
    <w:rsid w:val="008968D6"/>
    <w:rsid w:val="00896A40"/>
    <w:rsid w:val="00896D58"/>
    <w:rsid w:val="00896E9E"/>
    <w:rsid w:val="00896F0C"/>
    <w:rsid w:val="00896F39"/>
    <w:rsid w:val="00896FA5"/>
    <w:rsid w:val="00896FF9"/>
    <w:rsid w:val="00897085"/>
    <w:rsid w:val="00897309"/>
    <w:rsid w:val="008973DF"/>
    <w:rsid w:val="0089770A"/>
    <w:rsid w:val="0089774E"/>
    <w:rsid w:val="008977A1"/>
    <w:rsid w:val="0089795A"/>
    <w:rsid w:val="008979D3"/>
    <w:rsid w:val="008A030A"/>
    <w:rsid w:val="008A05D6"/>
    <w:rsid w:val="008A0701"/>
    <w:rsid w:val="008A09C2"/>
    <w:rsid w:val="008A0A77"/>
    <w:rsid w:val="008A0D97"/>
    <w:rsid w:val="008A0EC5"/>
    <w:rsid w:val="008A0F40"/>
    <w:rsid w:val="008A1074"/>
    <w:rsid w:val="008A1654"/>
    <w:rsid w:val="008A1668"/>
    <w:rsid w:val="008A16D1"/>
    <w:rsid w:val="008A171C"/>
    <w:rsid w:val="008A1814"/>
    <w:rsid w:val="008A18BD"/>
    <w:rsid w:val="008A190D"/>
    <w:rsid w:val="008A1A9E"/>
    <w:rsid w:val="008A1AFA"/>
    <w:rsid w:val="008A1DF6"/>
    <w:rsid w:val="008A2093"/>
    <w:rsid w:val="008A2199"/>
    <w:rsid w:val="008A251F"/>
    <w:rsid w:val="008A2847"/>
    <w:rsid w:val="008A2A02"/>
    <w:rsid w:val="008A2B0E"/>
    <w:rsid w:val="008A2D5D"/>
    <w:rsid w:val="008A32EF"/>
    <w:rsid w:val="008A3347"/>
    <w:rsid w:val="008A346C"/>
    <w:rsid w:val="008A351A"/>
    <w:rsid w:val="008A3702"/>
    <w:rsid w:val="008A3771"/>
    <w:rsid w:val="008A38D5"/>
    <w:rsid w:val="008A3A38"/>
    <w:rsid w:val="008A4409"/>
    <w:rsid w:val="008A4691"/>
    <w:rsid w:val="008A4917"/>
    <w:rsid w:val="008A4CFA"/>
    <w:rsid w:val="008A4D33"/>
    <w:rsid w:val="008A4DE8"/>
    <w:rsid w:val="008A4F18"/>
    <w:rsid w:val="008A4F2C"/>
    <w:rsid w:val="008A51E3"/>
    <w:rsid w:val="008A543B"/>
    <w:rsid w:val="008A5A17"/>
    <w:rsid w:val="008A5D27"/>
    <w:rsid w:val="008A5D46"/>
    <w:rsid w:val="008A5EBA"/>
    <w:rsid w:val="008A5F19"/>
    <w:rsid w:val="008A61E0"/>
    <w:rsid w:val="008A688F"/>
    <w:rsid w:val="008A696D"/>
    <w:rsid w:val="008A6979"/>
    <w:rsid w:val="008A6EDE"/>
    <w:rsid w:val="008A71D2"/>
    <w:rsid w:val="008A7294"/>
    <w:rsid w:val="008A72E8"/>
    <w:rsid w:val="008A7332"/>
    <w:rsid w:val="008A734A"/>
    <w:rsid w:val="008A746F"/>
    <w:rsid w:val="008A74E5"/>
    <w:rsid w:val="008A7729"/>
    <w:rsid w:val="008A7A4D"/>
    <w:rsid w:val="008A7AB7"/>
    <w:rsid w:val="008A7FC7"/>
    <w:rsid w:val="008B0079"/>
    <w:rsid w:val="008B00B4"/>
    <w:rsid w:val="008B00EE"/>
    <w:rsid w:val="008B020F"/>
    <w:rsid w:val="008B02B4"/>
    <w:rsid w:val="008B037A"/>
    <w:rsid w:val="008B0387"/>
    <w:rsid w:val="008B040E"/>
    <w:rsid w:val="008B0BAA"/>
    <w:rsid w:val="008B0BD6"/>
    <w:rsid w:val="008B0D26"/>
    <w:rsid w:val="008B0F0A"/>
    <w:rsid w:val="008B19CE"/>
    <w:rsid w:val="008B1A2B"/>
    <w:rsid w:val="008B1BD5"/>
    <w:rsid w:val="008B1D87"/>
    <w:rsid w:val="008B22FF"/>
    <w:rsid w:val="008B2C4A"/>
    <w:rsid w:val="008B2C96"/>
    <w:rsid w:val="008B2D18"/>
    <w:rsid w:val="008B3002"/>
    <w:rsid w:val="008B33EE"/>
    <w:rsid w:val="008B3425"/>
    <w:rsid w:val="008B3817"/>
    <w:rsid w:val="008B384D"/>
    <w:rsid w:val="008B397A"/>
    <w:rsid w:val="008B3BC6"/>
    <w:rsid w:val="008B3D12"/>
    <w:rsid w:val="008B3D5E"/>
    <w:rsid w:val="008B3DA1"/>
    <w:rsid w:val="008B3E42"/>
    <w:rsid w:val="008B40D6"/>
    <w:rsid w:val="008B41F1"/>
    <w:rsid w:val="008B48CA"/>
    <w:rsid w:val="008B492B"/>
    <w:rsid w:val="008B50F8"/>
    <w:rsid w:val="008B5159"/>
    <w:rsid w:val="008B5201"/>
    <w:rsid w:val="008B5213"/>
    <w:rsid w:val="008B544F"/>
    <w:rsid w:val="008B5798"/>
    <w:rsid w:val="008B5832"/>
    <w:rsid w:val="008B5883"/>
    <w:rsid w:val="008B5978"/>
    <w:rsid w:val="008B5B06"/>
    <w:rsid w:val="008B5BB5"/>
    <w:rsid w:val="008B5BD7"/>
    <w:rsid w:val="008B5D29"/>
    <w:rsid w:val="008B5E03"/>
    <w:rsid w:val="008B5F66"/>
    <w:rsid w:val="008B60C6"/>
    <w:rsid w:val="008B62DC"/>
    <w:rsid w:val="008B64BF"/>
    <w:rsid w:val="008B666D"/>
    <w:rsid w:val="008B6A3C"/>
    <w:rsid w:val="008B6BA3"/>
    <w:rsid w:val="008B6D28"/>
    <w:rsid w:val="008B6D70"/>
    <w:rsid w:val="008B7500"/>
    <w:rsid w:val="008B77A5"/>
    <w:rsid w:val="008B7880"/>
    <w:rsid w:val="008B799B"/>
    <w:rsid w:val="008B7A23"/>
    <w:rsid w:val="008B7B47"/>
    <w:rsid w:val="008B7D77"/>
    <w:rsid w:val="008B7DC7"/>
    <w:rsid w:val="008B7F14"/>
    <w:rsid w:val="008C0196"/>
    <w:rsid w:val="008C0503"/>
    <w:rsid w:val="008C06B1"/>
    <w:rsid w:val="008C0894"/>
    <w:rsid w:val="008C09A0"/>
    <w:rsid w:val="008C0B0F"/>
    <w:rsid w:val="008C0D4D"/>
    <w:rsid w:val="008C125B"/>
    <w:rsid w:val="008C12CA"/>
    <w:rsid w:val="008C1668"/>
    <w:rsid w:val="008C17A2"/>
    <w:rsid w:val="008C18B6"/>
    <w:rsid w:val="008C1BCA"/>
    <w:rsid w:val="008C1BE5"/>
    <w:rsid w:val="008C1E5A"/>
    <w:rsid w:val="008C2067"/>
    <w:rsid w:val="008C2201"/>
    <w:rsid w:val="008C233F"/>
    <w:rsid w:val="008C242D"/>
    <w:rsid w:val="008C288B"/>
    <w:rsid w:val="008C29C3"/>
    <w:rsid w:val="008C2B6B"/>
    <w:rsid w:val="008C2C0D"/>
    <w:rsid w:val="008C2C7F"/>
    <w:rsid w:val="008C2CD8"/>
    <w:rsid w:val="008C2DF8"/>
    <w:rsid w:val="008C2E25"/>
    <w:rsid w:val="008C31A6"/>
    <w:rsid w:val="008C384A"/>
    <w:rsid w:val="008C3981"/>
    <w:rsid w:val="008C39B4"/>
    <w:rsid w:val="008C3F3F"/>
    <w:rsid w:val="008C405B"/>
    <w:rsid w:val="008C47F4"/>
    <w:rsid w:val="008C4947"/>
    <w:rsid w:val="008C4B41"/>
    <w:rsid w:val="008C4DAB"/>
    <w:rsid w:val="008C51A9"/>
    <w:rsid w:val="008C52E5"/>
    <w:rsid w:val="008C558E"/>
    <w:rsid w:val="008C5843"/>
    <w:rsid w:val="008C5B52"/>
    <w:rsid w:val="008C5BAA"/>
    <w:rsid w:val="008C5BCE"/>
    <w:rsid w:val="008C667C"/>
    <w:rsid w:val="008C66F9"/>
    <w:rsid w:val="008C689A"/>
    <w:rsid w:val="008C6947"/>
    <w:rsid w:val="008C69C6"/>
    <w:rsid w:val="008C6F71"/>
    <w:rsid w:val="008C7038"/>
    <w:rsid w:val="008C713F"/>
    <w:rsid w:val="008C742A"/>
    <w:rsid w:val="008C778A"/>
    <w:rsid w:val="008D0199"/>
    <w:rsid w:val="008D042A"/>
    <w:rsid w:val="008D0578"/>
    <w:rsid w:val="008D0679"/>
    <w:rsid w:val="008D0C0A"/>
    <w:rsid w:val="008D0C27"/>
    <w:rsid w:val="008D0C86"/>
    <w:rsid w:val="008D0ED2"/>
    <w:rsid w:val="008D0FB9"/>
    <w:rsid w:val="008D12B3"/>
    <w:rsid w:val="008D1429"/>
    <w:rsid w:val="008D1474"/>
    <w:rsid w:val="008D187D"/>
    <w:rsid w:val="008D1BAC"/>
    <w:rsid w:val="008D1F10"/>
    <w:rsid w:val="008D1FA0"/>
    <w:rsid w:val="008D2008"/>
    <w:rsid w:val="008D2039"/>
    <w:rsid w:val="008D2179"/>
    <w:rsid w:val="008D230A"/>
    <w:rsid w:val="008D23FB"/>
    <w:rsid w:val="008D24E6"/>
    <w:rsid w:val="008D254E"/>
    <w:rsid w:val="008D2A4D"/>
    <w:rsid w:val="008D2A90"/>
    <w:rsid w:val="008D2B26"/>
    <w:rsid w:val="008D2D09"/>
    <w:rsid w:val="008D2F08"/>
    <w:rsid w:val="008D30F5"/>
    <w:rsid w:val="008D34B7"/>
    <w:rsid w:val="008D363F"/>
    <w:rsid w:val="008D3656"/>
    <w:rsid w:val="008D393D"/>
    <w:rsid w:val="008D398D"/>
    <w:rsid w:val="008D3D54"/>
    <w:rsid w:val="008D3D9D"/>
    <w:rsid w:val="008D40E4"/>
    <w:rsid w:val="008D418B"/>
    <w:rsid w:val="008D4495"/>
    <w:rsid w:val="008D45CF"/>
    <w:rsid w:val="008D469F"/>
    <w:rsid w:val="008D497F"/>
    <w:rsid w:val="008D4A5C"/>
    <w:rsid w:val="008D5088"/>
    <w:rsid w:val="008D55D5"/>
    <w:rsid w:val="008D5844"/>
    <w:rsid w:val="008D5C4A"/>
    <w:rsid w:val="008D5CB4"/>
    <w:rsid w:val="008D5CDB"/>
    <w:rsid w:val="008D5F0C"/>
    <w:rsid w:val="008D6491"/>
    <w:rsid w:val="008D6514"/>
    <w:rsid w:val="008D660F"/>
    <w:rsid w:val="008D67EC"/>
    <w:rsid w:val="008D6870"/>
    <w:rsid w:val="008D6937"/>
    <w:rsid w:val="008D6D46"/>
    <w:rsid w:val="008D6E69"/>
    <w:rsid w:val="008D6F11"/>
    <w:rsid w:val="008D7077"/>
    <w:rsid w:val="008D724F"/>
    <w:rsid w:val="008D7739"/>
    <w:rsid w:val="008D77B5"/>
    <w:rsid w:val="008D7929"/>
    <w:rsid w:val="008D7E8D"/>
    <w:rsid w:val="008D7F0B"/>
    <w:rsid w:val="008E0121"/>
    <w:rsid w:val="008E01B9"/>
    <w:rsid w:val="008E047A"/>
    <w:rsid w:val="008E0603"/>
    <w:rsid w:val="008E088D"/>
    <w:rsid w:val="008E0AB5"/>
    <w:rsid w:val="008E0DBB"/>
    <w:rsid w:val="008E0F5F"/>
    <w:rsid w:val="008E0FA0"/>
    <w:rsid w:val="008E1606"/>
    <w:rsid w:val="008E2060"/>
    <w:rsid w:val="008E23BF"/>
    <w:rsid w:val="008E26B7"/>
    <w:rsid w:val="008E2A40"/>
    <w:rsid w:val="008E2B70"/>
    <w:rsid w:val="008E2CAD"/>
    <w:rsid w:val="008E3217"/>
    <w:rsid w:val="008E3248"/>
    <w:rsid w:val="008E33E7"/>
    <w:rsid w:val="008E33F4"/>
    <w:rsid w:val="008E33FB"/>
    <w:rsid w:val="008E346B"/>
    <w:rsid w:val="008E376C"/>
    <w:rsid w:val="008E3892"/>
    <w:rsid w:val="008E39B6"/>
    <w:rsid w:val="008E3A99"/>
    <w:rsid w:val="008E3CD6"/>
    <w:rsid w:val="008E40AD"/>
    <w:rsid w:val="008E41D7"/>
    <w:rsid w:val="008E4337"/>
    <w:rsid w:val="008E4350"/>
    <w:rsid w:val="008E455B"/>
    <w:rsid w:val="008E467F"/>
    <w:rsid w:val="008E47DC"/>
    <w:rsid w:val="008E4AC6"/>
    <w:rsid w:val="008E4B2F"/>
    <w:rsid w:val="008E4D67"/>
    <w:rsid w:val="008E4EAC"/>
    <w:rsid w:val="008E4EFF"/>
    <w:rsid w:val="008E4FEA"/>
    <w:rsid w:val="008E5272"/>
    <w:rsid w:val="008E540E"/>
    <w:rsid w:val="008E552F"/>
    <w:rsid w:val="008E55BF"/>
    <w:rsid w:val="008E5757"/>
    <w:rsid w:val="008E579B"/>
    <w:rsid w:val="008E57E1"/>
    <w:rsid w:val="008E597A"/>
    <w:rsid w:val="008E5AAF"/>
    <w:rsid w:val="008E5CAF"/>
    <w:rsid w:val="008E5E72"/>
    <w:rsid w:val="008E613A"/>
    <w:rsid w:val="008E6A95"/>
    <w:rsid w:val="008E6B95"/>
    <w:rsid w:val="008E6CE7"/>
    <w:rsid w:val="008E723E"/>
    <w:rsid w:val="008E736E"/>
    <w:rsid w:val="008E73BB"/>
    <w:rsid w:val="008E7479"/>
    <w:rsid w:val="008E749A"/>
    <w:rsid w:val="008E762B"/>
    <w:rsid w:val="008E769F"/>
    <w:rsid w:val="008F04C7"/>
    <w:rsid w:val="008F0776"/>
    <w:rsid w:val="008F07BA"/>
    <w:rsid w:val="008F101E"/>
    <w:rsid w:val="008F1124"/>
    <w:rsid w:val="008F146F"/>
    <w:rsid w:val="008F1477"/>
    <w:rsid w:val="008F15A1"/>
    <w:rsid w:val="008F178C"/>
    <w:rsid w:val="008F17CF"/>
    <w:rsid w:val="008F17D7"/>
    <w:rsid w:val="008F193D"/>
    <w:rsid w:val="008F19B1"/>
    <w:rsid w:val="008F19C8"/>
    <w:rsid w:val="008F1A78"/>
    <w:rsid w:val="008F1A7A"/>
    <w:rsid w:val="008F1DA6"/>
    <w:rsid w:val="008F1E17"/>
    <w:rsid w:val="008F21C8"/>
    <w:rsid w:val="008F21D0"/>
    <w:rsid w:val="008F23B8"/>
    <w:rsid w:val="008F26C3"/>
    <w:rsid w:val="008F26CC"/>
    <w:rsid w:val="008F26D0"/>
    <w:rsid w:val="008F2788"/>
    <w:rsid w:val="008F2CEC"/>
    <w:rsid w:val="008F2F80"/>
    <w:rsid w:val="008F2FC9"/>
    <w:rsid w:val="008F3194"/>
    <w:rsid w:val="008F31DA"/>
    <w:rsid w:val="008F36CB"/>
    <w:rsid w:val="008F3771"/>
    <w:rsid w:val="008F37F8"/>
    <w:rsid w:val="008F3925"/>
    <w:rsid w:val="008F3AC9"/>
    <w:rsid w:val="008F3C24"/>
    <w:rsid w:val="008F3E20"/>
    <w:rsid w:val="008F3F0B"/>
    <w:rsid w:val="008F431C"/>
    <w:rsid w:val="008F43AF"/>
    <w:rsid w:val="008F46FF"/>
    <w:rsid w:val="008F4746"/>
    <w:rsid w:val="008F4C2C"/>
    <w:rsid w:val="008F4DED"/>
    <w:rsid w:val="008F52C4"/>
    <w:rsid w:val="008F546A"/>
    <w:rsid w:val="008F5825"/>
    <w:rsid w:val="008F5872"/>
    <w:rsid w:val="008F5905"/>
    <w:rsid w:val="008F5AAD"/>
    <w:rsid w:val="008F5B65"/>
    <w:rsid w:val="008F5BEC"/>
    <w:rsid w:val="008F5DB8"/>
    <w:rsid w:val="008F5FA0"/>
    <w:rsid w:val="008F60DA"/>
    <w:rsid w:val="008F64E7"/>
    <w:rsid w:val="008F67AB"/>
    <w:rsid w:val="008F6977"/>
    <w:rsid w:val="008F6B06"/>
    <w:rsid w:val="008F6FFB"/>
    <w:rsid w:val="008F72F4"/>
    <w:rsid w:val="008F73FD"/>
    <w:rsid w:val="008F7479"/>
    <w:rsid w:val="008F7B1B"/>
    <w:rsid w:val="008F7DA5"/>
    <w:rsid w:val="008F7DB7"/>
    <w:rsid w:val="0090037E"/>
    <w:rsid w:val="00900691"/>
    <w:rsid w:val="00900A63"/>
    <w:rsid w:val="00900A7B"/>
    <w:rsid w:val="00900C63"/>
    <w:rsid w:val="00900E12"/>
    <w:rsid w:val="00900E20"/>
    <w:rsid w:val="00900E86"/>
    <w:rsid w:val="00901130"/>
    <w:rsid w:val="00901437"/>
    <w:rsid w:val="009017DB"/>
    <w:rsid w:val="00901AA2"/>
    <w:rsid w:val="00901C77"/>
    <w:rsid w:val="00901E6E"/>
    <w:rsid w:val="009023ED"/>
    <w:rsid w:val="00902FE8"/>
    <w:rsid w:val="00903208"/>
    <w:rsid w:val="009032B1"/>
    <w:rsid w:val="009034D0"/>
    <w:rsid w:val="009038B7"/>
    <w:rsid w:val="009038D8"/>
    <w:rsid w:val="00903AE2"/>
    <w:rsid w:val="00903E06"/>
    <w:rsid w:val="00903EB2"/>
    <w:rsid w:val="009043AF"/>
    <w:rsid w:val="009046CB"/>
    <w:rsid w:val="009047EA"/>
    <w:rsid w:val="00904AD6"/>
    <w:rsid w:val="00904D02"/>
    <w:rsid w:val="00904F89"/>
    <w:rsid w:val="00905104"/>
    <w:rsid w:val="00905236"/>
    <w:rsid w:val="009053C8"/>
    <w:rsid w:val="009053EF"/>
    <w:rsid w:val="009054F9"/>
    <w:rsid w:val="009058D9"/>
    <w:rsid w:val="00905C34"/>
    <w:rsid w:val="00905CE9"/>
    <w:rsid w:val="009061AE"/>
    <w:rsid w:val="00906504"/>
    <w:rsid w:val="009065FE"/>
    <w:rsid w:val="009069AA"/>
    <w:rsid w:val="00906B05"/>
    <w:rsid w:val="00906DF4"/>
    <w:rsid w:val="0090729C"/>
    <w:rsid w:val="009072FA"/>
    <w:rsid w:val="00907602"/>
    <w:rsid w:val="0090799D"/>
    <w:rsid w:val="00907A1A"/>
    <w:rsid w:val="00907AB1"/>
    <w:rsid w:val="00907B7F"/>
    <w:rsid w:val="00907CB0"/>
    <w:rsid w:val="00907F90"/>
    <w:rsid w:val="0090C849"/>
    <w:rsid w:val="009100AF"/>
    <w:rsid w:val="0091036F"/>
    <w:rsid w:val="009106FE"/>
    <w:rsid w:val="0091079B"/>
    <w:rsid w:val="00910B77"/>
    <w:rsid w:val="00910EEC"/>
    <w:rsid w:val="00911597"/>
    <w:rsid w:val="00911E2F"/>
    <w:rsid w:val="00911F37"/>
    <w:rsid w:val="00912015"/>
    <w:rsid w:val="0091204A"/>
    <w:rsid w:val="00912200"/>
    <w:rsid w:val="00912221"/>
    <w:rsid w:val="009122EA"/>
    <w:rsid w:val="00912500"/>
    <w:rsid w:val="0091288C"/>
    <w:rsid w:val="00912D4A"/>
    <w:rsid w:val="00912D58"/>
    <w:rsid w:val="00912DAD"/>
    <w:rsid w:val="009130D3"/>
    <w:rsid w:val="00913500"/>
    <w:rsid w:val="00913D92"/>
    <w:rsid w:val="00913EEE"/>
    <w:rsid w:val="00914513"/>
    <w:rsid w:val="00914537"/>
    <w:rsid w:val="0091466E"/>
    <w:rsid w:val="00914789"/>
    <w:rsid w:val="009148B2"/>
    <w:rsid w:val="00914A25"/>
    <w:rsid w:val="00914CB3"/>
    <w:rsid w:val="00915158"/>
    <w:rsid w:val="0091592A"/>
    <w:rsid w:val="00915953"/>
    <w:rsid w:val="00916242"/>
    <w:rsid w:val="0091637F"/>
    <w:rsid w:val="0091652A"/>
    <w:rsid w:val="0091665D"/>
    <w:rsid w:val="00916809"/>
    <w:rsid w:val="00916837"/>
    <w:rsid w:val="00916C5B"/>
    <w:rsid w:val="00916CFA"/>
    <w:rsid w:val="00916F7D"/>
    <w:rsid w:val="00916FA4"/>
    <w:rsid w:val="0091745E"/>
    <w:rsid w:val="0091748C"/>
    <w:rsid w:val="00917514"/>
    <w:rsid w:val="009175AA"/>
    <w:rsid w:val="00917608"/>
    <w:rsid w:val="00917718"/>
    <w:rsid w:val="00917724"/>
    <w:rsid w:val="009178FC"/>
    <w:rsid w:val="00917907"/>
    <w:rsid w:val="00917976"/>
    <w:rsid w:val="00917A5C"/>
    <w:rsid w:val="00920072"/>
    <w:rsid w:val="00920244"/>
    <w:rsid w:val="0092032C"/>
    <w:rsid w:val="009209CE"/>
    <w:rsid w:val="00920C80"/>
    <w:rsid w:val="00920DE0"/>
    <w:rsid w:val="00920E06"/>
    <w:rsid w:val="00920EEF"/>
    <w:rsid w:val="00920F8A"/>
    <w:rsid w:val="00921456"/>
    <w:rsid w:val="00921458"/>
    <w:rsid w:val="009215EB"/>
    <w:rsid w:val="009216F0"/>
    <w:rsid w:val="009217BB"/>
    <w:rsid w:val="00921A18"/>
    <w:rsid w:val="00921F68"/>
    <w:rsid w:val="00922131"/>
    <w:rsid w:val="00922943"/>
    <w:rsid w:val="009229ED"/>
    <w:rsid w:val="00922B5B"/>
    <w:rsid w:val="00923076"/>
    <w:rsid w:val="009235F2"/>
    <w:rsid w:val="009237D5"/>
    <w:rsid w:val="00923B8E"/>
    <w:rsid w:val="00923CF0"/>
    <w:rsid w:val="00923E14"/>
    <w:rsid w:val="00924151"/>
    <w:rsid w:val="0092418C"/>
    <w:rsid w:val="009244A7"/>
    <w:rsid w:val="00924A48"/>
    <w:rsid w:val="00924B47"/>
    <w:rsid w:val="00924D65"/>
    <w:rsid w:val="00924DAB"/>
    <w:rsid w:val="00924E45"/>
    <w:rsid w:val="009251A9"/>
    <w:rsid w:val="0092523B"/>
    <w:rsid w:val="009252D5"/>
    <w:rsid w:val="00925395"/>
    <w:rsid w:val="009254E8"/>
    <w:rsid w:val="00925893"/>
    <w:rsid w:val="00925901"/>
    <w:rsid w:val="00925A1A"/>
    <w:rsid w:val="00925E06"/>
    <w:rsid w:val="00926089"/>
    <w:rsid w:val="009260AF"/>
    <w:rsid w:val="009268FE"/>
    <w:rsid w:val="0092695A"/>
    <w:rsid w:val="00926A24"/>
    <w:rsid w:val="00926B41"/>
    <w:rsid w:val="00926C6A"/>
    <w:rsid w:val="00926D4D"/>
    <w:rsid w:val="00926FD1"/>
    <w:rsid w:val="00926FF3"/>
    <w:rsid w:val="0092716E"/>
    <w:rsid w:val="00927172"/>
    <w:rsid w:val="009272AC"/>
    <w:rsid w:val="00927606"/>
    <w:rsid w:val="009279F9"/>
    <w:rsid w:val="00927AF0"/>
    <w:rsid w:val="00927CAC"/>
    <w:rsid w:val="00927CB2"/>
    <w:rsid w:val="00927D3C"/>
    <w:rsid w:val="00930041"/>
    <w:rsid w:val="00930100"/>
    <w:rsid w:val="00930404"/>
    <w:rsid w:val="0093063C"/>
    <w:rsid w:val="009306C5"/>
    <w:rsid w:val="00930728"/>
    <w:rsid w:val="009308BF"/>
    <w:rsid w:val="00930AAB"/>
    <w:rsid w:val="00930CB9"/>
    <w:rsid w:val="00930D29"/>
    <w:rsid w:val="00930DE2"/>
    <w:rsid w:val="0093152F"/>
    <w:rsid w:val="009316A6"/>
    <w:rsid w:val="009316C9"/>
    <w:rsid w:val="00931996"/>
    <w:rsid w:val="0093295F"/>
    <w:rsid w:val="0093298D"/>
    <w:rsid w:val="00932B04"/>
    <w:rsid w:val="00932BA5"/>
    <w:rsid w:val="00932CCA"/>
    <w:rsid w:val="00932CEA"/>
    <w:rsid w:val="00932DAE"/>
    <w:rsid w:val="00932E51"/>
    <w:rsid w:val="00932E7B"/>
    <w:rsid w:val="0093312D"/>
    <w:rsid w:val="009332B2"/>
    <w:rsid w:val="00933476"/>
    <w:rsid w:val="009334AB"/>
    <w:rsid w:val="009337BB"/>
    <w:rsid w:val="00933B2E"/>
    <w:rsid w:val="00933E37"/>
    <w:rsid w:val="00933EDF"/>
    <w:rsid w:val="00933FA4"/>
    <w:rsid w:val="00933FCA"/>
    <w:rsid w:val="00934087"/>
    <w:rsid w:val="009342E0"/>
    <w:rsid w:val="00934E3B"/>
    <w:rsid w:val="00934ED1"/>
    <w:rsid w:val="00935065"/>
    <w:rsid w:val="00935318"/>
    <w:rsid w:val="009353B8"/>
    <w:rsid w:val="0093561C"/>
    <w:rsid w:val="0093574F"/>
    <w:rsid w:val="00935819"/>
    <w:rsid w:val="00935BA9"/>
    <w:rsid w:val="00935BE6"/>
    <w:rsid w:val="00935C3C"/>
    <w:rsid w:val="00935E48"/>
    <w:rsid w:val="00935E7F"/>
    <w:rsid w:val="00935F0F"/>
    <w:rsid w:val="00936305"/>
    <w:rsid w:val="00936858"/>
    <w:rsid w:val="00936B56"/>
    <w:rsid w:val="00936D70"/>
    <w:rsid w:val="00936E3F"/>
    <w:rsid w:val="00936EEB"/>
    <w:rsid w:val="00936F53"/>
    <w:rsid w:val="00936FB3"/>
    <w:rsid w:val="0093710A"/>
    <w:rsid w:val="0093728D"/>
    <w:rsid w:val="00937425"/>
    <w:rsid w:val="00937690"/>
    <w:rsid w:val="00937A7C"/>
    <w:rsid w:val="00937AFE"/>
    <w:rsid w:val="00937EA5"/>
    <w:rsid w:val="009403F2"/>
    <w:rsid w:val="0094047E"/>
    <w:rsid w:val="00940801"/>
    <w:rsid w:val="00940859"/>
    <w:rsid w:val="009408AA"/>
    <w:rsid w:val="00940B7D"/>
    <w:rsid w:val="00940D5B"/>
    <w:rsid w:val="009410DB"/>
    <w:rsid w:val="009412FD"/>
    <w:rsid w:val="009413A9"/>
    <w:rsid w:val="00941834"/>
    <w:rsid w:val="00941B23"/>
    <w:rsid w:val="00941B6E"/>
    <w:rsid w:val="00941BC2"/>
    <w:rsid w:val="00941C23"/>
    <w:rsid w:val="00941E19"/>
    <w:rsid w:val="00941E23"/>
    <w:rsid w:val="00942781"/>
    <w:rsid w:val="0094279A"/>
    <w:rsid w:val="009429C5"/>
    <w:rsid w:val="00942AC7"/>
    <w:rsid w:val="00942DCC"/>
    <w:rsid w:val="0094328E"/>
    <w:rsid w:val="009435EB"/>
    <w:rsid w:val="0094393F"/>
    <w:rsid w:val="0094394B"/>
    <w:rsid w:val="00943AEF"/>
    <w:rsid w:val="00943B83"/>
    <w:rsid w:val="00943B95"/>
    <w:rsid w:val="00943E79"/>
    <w:rsid w:val="00943ED8"/>
    <w:rsid w:val="0094420D"/>
    <w:rsid w:val="00944231"/>
    <w:rsid w:val="00944502"/>
    <w:rsid w:val="00944511"/>
    <w:rsid w:val="00944959"/>
    <w:rsid w:val="00944D5B"/>
    <w:rsid w:val="009453FA"/>
    <w:rsid w:val="0094564C"/>
    <w:rsid w:val="0094604D"/>
    <w:rsid w:val="00946091"/>
    <w:rsid w:val="0094638E"/>
    <w:rsid w:val="00946521"/>
    <w:rsid w:val="009465DA"/>
    <w:rsid w:val="00946C56"/>
    <w:rsid w:val="00946D6C"/>
    <w:rsid w:val="00946E07"/>
    <w:rsid w:val="00946E6D"/>
    <w:rsid w:val="0094735E"/>
    <w:rsid w:val="0094744F"/>
    <w:rsid w:val="00947772"/>
    <w:rsid w:val="00947798"/>
    <w:rsid w:val="00947815"/>
    <w:rsid w:val="0094785B"/>
    <w:rsid w:val="00947A94"/>
    <w:rsid w:val="00947E66"/>
    <w:rsid w:val="00947FE3"/>
    <w:rsid w:val="00947FEB"/>
    <w:rsid w:val="00950354"/>
    <w:rsid w:val="009504A8"/>
    <w:rsid w:val="00950741"/>
    <w:rsid w:val="0095086B"/>
    <w:rsid w:val="00950BBE"/>
    <w:rsid w:val="00950C1E"/>
    <w:rsid w:val="009511AE"/>
    <w:rsid w:val="0095132E"/>
    <w:rsid w:val="009514CD"/>
    <w:rsid w:val="00951663"/>
    <w:rsid w:val="0095174B"/>
    <w:rsid w:val="00951774"/>
    <w:rsid w:val="00951CA6"/>
    <w:rsid w:val="00951CFB"/>
    <w:rsid w:val="00951F39"/>
    <w:rsid w:val="009520A7"/>
    <w:rsid w:val="0095214C"/>
    <w:rsid w:val="009526BF"/>
    <w:rsid w:val="009526C1"/>
    <w:rsid w:val="00952DF0"/>
    <w:rsid w:val="00952ED1"/>
    <w:rsid w:val="00952F38"/>
    <w:rsid w:val="00952F43"/>
    <w:rsid w:val="0095310C"/>
    <w:rsid w:val="00953314"/>
    <w:rsid w:val="00953369"/>
    <w:rsid w:val="00953729"/>
    <w:rsid w:val="00953852"/>
    <w:rsid w:val="00953B30"/>
    <w:rsid w:val="00953D2F"/>
    <w:rsid w:val="00953D58"/>
    <w:rsid w:val="00953DAA"/>
    <w:rsid w:val="00953F8D"/>
    <w:rsid w:val="009540E4"/>
    <w:rsid w:val="009544D6"/>
    <w:rsid w:val="00954A21"/>
    <w:rsid w:val="00954C48"/>
    <w:rsid w:val="00954CA0"/>
    <w:rsid w:val="00954CDD"/>
    <w:rsid w:val="00954D43"/>
    <w:rsid w:val="00955296"/>
    <w:rsid w:val="00955467"/>
    <w:rsid w:val="0095546B"/>
    <w:rsid w:val="009554F4"/>
    <w:rsid w:val="0095554F"/>
    <w:rsid w:val="00955750"/>
    <w:rsid w:val="009558CF"/>
    <w:rsid w:val="009558DA"/>
    <w:rsid w:val="00955919"/>
    <w:rsid w:val="00955A1B"/>
    <w:rsid w:val="00955C04"/>
    <w:rsid w:val="00955E36"/>
    <w:rsid w:val="00955F47"/>
    <w:rsid w:val="0095611F"/>
    <w:rsid w:val="00956187"/>
    <w:rsid w:val="009563F1"/>
    <w:rsid w:val="009565FC"/>
    <w:rsid w:val="009567A9"/>
    <w:rsid w:val="009567C0"/>
    <w:rsid w:val="00956C7B"/>
    <w:rsid w:val="0095741C"/>
    <w:rsid w:val="00957465"/>
    <w:rsid w:val="009574F4"/>
    <w:rsid w:val="00957513"/>
    <w:rsid w:val="0095759D"/>
    <w:rsid w:val="009577CA"/>
    <w:rsid w:val="00957BE7"/>
    <w:rsid w:val="009602C4"/>
    <w:rsid w:val="009607D9"/>
    <w:rsid w:val="00960863"/>
    <w:rsid w:val="00960965"/>
    <w:rsid w:val="00960D75"/>
    <w:rsid w:val="00960F85"/>
    <w:rsid w:val="0096131D"/>
    <w:rsid w:val="009614B2"/>
    <w:rsid w:val="00961771"/>
    <w:rsid w:val="009617E0"/>
    <w:rsid w:val="009618E6"/>
    <w:rsid w:val="00961909"/>
    <w:rsid w:val="00961AA6"/>
    <w:rsid w:val="00961CE2"/>
    <w:rsid w:val="00961CE9"/>
    <w:rsid w:val="00961EB7"/>
    <w:rsid w:val="0096212F"/>
    <w:rsid w:val="0096229F"/>
    <w:rsid w:val="009624C6"/>
    <w:rsid w:val="00962C17"/>
    <w:rsid w:val="00962D6E"/>
    <w:rsid w:val="00962DAE"/>
    <w:rsid w:val="00962DF1"/>
    <w:rsid w:val="00962E7F"/>
    <w:rsid w:val="0096320E"/>
    <w:rsid w:val="009632A5"/>
    <w:rsid w:val="009635A1"/>
    <w:rsid w:val="009635F6"/>
    <w:rsid w:val="009636E5"/>
    <w:rsid w:val="009639B1"/>
    <w:rsid w:val="00963D77"/>
    <w:rsid w:val="0096448A"/>
    <w:rsid w:val="00964529"/>
    <w:rsid w:val="009646D1"/>
    <w:rsid w:val="0096494F"/>
    <w:rsid w:val="00964A84"/>
    <w:rsid w:val="00964BBB"/>
    <w:rsid w:val="0096587A"/>
    <w:rsid w:val="00965F30"/>
    <w:rsid w:val="009662F8"/>
    <w:rsid w:val="0096637C"/>
    <w:rsid w:val="00966515"/>
    <w:rsid w:val="009668F8"/>
    <w:rsid w:val="00966C01"/>
    <w:rsid w:val="00966C09"/>
    <w:rsid w:val="009670DE"/>
    <w:rsid w:val="00967109"/>
    <w:rsid w:val="0096744D"/>
    <w:rsid w:val="00967874"/>
    <w:rsid w:val="00967882"/>
    <w:rsid w:val="00967DC4"/>
    <w:rsid w:val="00967E2C"/>
    <w:rsid w:val="009704EB"/>
    <w:rsid w:val="009705DE"/>
    <w:rsid w:val="0097061A"/>
    <w:rsid w:val="0097077D"/>
    <w:rsid w:val="009708A8"/>
    <w:rsid w:val="009708BF"/>
    <w:rsid w:val="00970B05"/>
    <w:rsid w:val="00970B33"/>
    <w:rsid w:val="00970BA9"/>
    <w:rsid w:val="00970F91"/>
    <w:rsid w:val="00970FFD"/>
    <w:rsid w:val="00971118"/>
    <w:rsid w:val="00971392"/>
    <w:rsid w:val="009714AC"/>
    <w:rsid w:val="009714B5"/>
    <w:rsid w:val="00971511"/>
    <w:rsid w:val="009715A4"/>
    <w:rsid w:val="009716A0"/>
    <w:rsid w:val="00971753"/>
    <w:rsid w:val="00971907"/>
    <w:rsid w:val="00971E2C"/>
    <w:rsid w:val="00971E47"/>
    <w:rsid w:val="00972603"/>
    <w:rsid w:val="00972750"/>
    <w:rsid w:val="00972AA1"/>
    <w:rsid w:val="00973280"/>
    <w:rsid w:val="0097351C"/>
    <w:rsid w:val="00973550"/>
    <w:rsid w:val="009735F3"/>
    <w:rsid w:val="0097378B"/>
    <w:rsid w:val="0097381C"/>
    <w:rsid w:val="00973968"/>
    <w:rsid w:val="00973E4E"/>
    <w:rsid w:val="00973E9D"/>
    <w:rsid w:val="009741ED"/>
    <w:rsid w:val="0097428A"/>
    <w:rsid w:val="009742CC"/>
    <w:rsid w:val="009743D4"/>
    <w:rsid w:val="009745E2"/>
    <w:rsid w:val="009749E4"/>
    <w:rsid w:val="00974B32"/>
    <w:rsid w:val="00974D2B"/>
    <w:rsid w:val="00974E44"/>
    <w:rsid w:val="00975160"/>
    <w:rsid w:val="00975332"/>
    <w:rsid w:val="0097533B"/>
    <w:rsid w:val="00975354"/>
    <w:rsid w:val="009753AE"/>
    <w:rsid w:val="009755AE"/>
    <w:rsid w:val="00975619"/>
    <w:rsid w:val="00975653"/>
    <w:rsid w:val="009756AB"/>
    <w:rsid w:val="0097586F"/>
    <w:rsid w:val="00975A08"/>
    <w:rsid w:val="00975ED7"/>
    <w:rsid w:val="00975F45"/>
    <w:rsid w:val="009760A0"/>
    <w:rsid w:val="00976537"/>
    <w:rsid w:val="009766C8"/>
    <w:rsid w:val="00976A15"/>
    <w:rsid w:val="00976A8E"/>
    <w:rsid w:val="00976C0F"/>
    <w:rsid w:val="00976D27"/>
    <w:rsid w:val="00976D94"/>
    <w:rsid w:val="00976ECC"/>
    <w:rsid w:val="00976F41"/>
    <w:rsid w:val="00977C33"/>
    <w:rsid w:val="00977DBE"/>
    <w:rsid w:val="00977E10"/>
    <w:rsid w:val="009804B2"/>
    <w:rsid w:val="0098050C"/>
    <w:rsid w:val="009806F4"/>
    <w:rsid w:val="00980710"/>
    <w:rsid w:val="009808EC"/>
    <w:rsid w:val="00980EDE"/>
    <w:rsid w:val="00980F0F"/>
    <w:rsid w:val="009813F5"/>
    <w:rsid w:val="009816A7"/>
    <w:rsid w:val="009816E2"/>
    <w:rsid w:val="00981717"/>
    <w:rsid w:val="00981A99"/>
    <w:rsid w:val="00981F80"/>
    <w:rsid w:val="00982394"/>
    <w:rsid w:val="009824F8"/>
    <w:rsid w:val="00982690"/>
    <w:rsid w:val="00982710"/>
    <w:rsid w:val="00982A49"/>
    <w:rsid w:val="00982E5E"/>
    <w:rsid w:val="00982F39"/>
    <w:rsid w:val="0098336D"/>
    <w:rsid w:val="009836D0"/>
    <w:rsid w:val="009836F8"/>
    <w:rsid w:val="00983959"/>
    <w:rsid w:val="00983B4C"/>
    <w:rsid w:val="00983E2A"/>
    <w:rsid w:val="00983E82"/>
    <w:rsid w:val="00983ED8"/>
    <w:rsid w:val="00983F98"/>
    <w:rsid w:val="009840CE"/>
    <w:rsid w:val="009842E6"/>
    <w:rsid w:val="009844C1"/>
    <w:rsid w:val="009846D9"/>
    <w:rsid w:val="00984732"/>
    <w:rsid w:val="00984F2E"/>
    <w:rsid w:val="00984F60"/>
    <w:rsid w:val="00985098"/>
    <w:rsid w:val="00985523"/>
    <w:rsid w:val="0098555C"/>
    <w:rsid w:val="00985B72"/>
    <w:rsid w:val="00985CE5"/>
    <w:rsid w:val="00985EB8"/>
    <w:rsid w:val="00985EF2"/>
    <w:rsid w:val="009861D9"/>
    <w:rsid w:val="00986328"/>
    <w:rsid w:val="0098639C"/>
    <w:rsid w:val="009863C6"/>
    <w:rsid w:val="00986827"/>
    <w:rsid w:val="00986A3A"/>
    <w:rsid w:val="00986AEB"/>
    <w:rsid w:val="00986B98"/>
    <w:rsid w:val="00986F54"/>
    <w:rsid w:val="00987285"/>
    <w:rsid w:val="009876B5"/>
    <w:rsid w:val="00987B4C"/>
    <w:rsid w:val="00987D98"/>
    <w:rsid w:val="00987E51"/>
    <w:rsid w:val="0099004A"/>
    <w:rsid w:val="00990210"/>
    <w:rsid w:val="009903E5"/>
    <w:rsid w:val="00990588"/>
    <w:rsid w:val="009907F9"/>
    <w:rsid w:val="00990B56"/>
    <w:rsid w:val="00990D52"/>
    <w:rsid w:val="009912BC"/>
    <w:rsid w:val="00991477"/>
    <w:rsid w:val="0099181C"/>
    <w:rsid w:val="009918B7"/>
    <w:rsid w:val="009918C1"/>
    <w:rsid w:val="00991A8B"/>
    <w:rsid w:val="00991B4E"/>
    <w:rsid w:val="00991CFA"/>
    <w:rsid w:val="009922AC"/>
    <w:rsid w:val="009925AE"/>
    <w:rsid w:val="0099267B"/>
    <w:rsid w:val="009929DC"/>
    <w:rsid w:val="00992CC3"/>
    <w:rsid w:val="00992CE9"/>
    <w:rsid w:val="00992D60"/>
    <w:rsid w:val="00992DD7"/>
    <w:rsid w:val="00992E89"/>
    <w:rsid w:val="009930FE"/>
    <w:rsid w:val="0099336E"/>
    <w:rsid w:val="009934CF"/>
    <w:rsid w:val="00993D59"/>
    <w:rsid w:val="0099425B"/>
    <w:rsid w:val="0099456F"/>
    <w:rsid w:val="009945E2"/>
    <w:rsid w:val="009945FE"/>
    <w:rsid w:val="00994A4B"/>
    <w:rsid w:val="0099528D"/>
    <w:rsid w:val="009957E0"/>
    <w:rsid w:val="009959D0"/>
    <w:rsid w:val="00995C25"/>
    <w:rsid w:val="00995FD4"/>
    <w:rsid w:val="00996191"/>
    <w:rsid w:val="009962B8"/>
    <w:rsid w:val="00996557"/>
    <w:rsid w:val="00996562"/>
    <w:rsid w:val="00996800"/>
    <w:rsid w:val="00996A8D"/>
    <w:rsid w:val="00997436"/>
    <w:rsid w:val="009979A9"/>
    <w:rsid w:val="009979CF"/>
    <w:rsid w:val="00997A1B"/>
    <w:rsid w:val="00997AC4"/>
    <w:rsid w:val="00997D36"/>
    <w:rsid w:val="00997D8C"/>
    <w:rsid w:val="00997D9C"/>
    <w:rsid w:val="00997F08"/>
    <w:rsid w:val="009A0179"/>
    <w:rsid w:val="009A0581"/>
    <w:rsid w:val="009A0753"/>
    <w:rsid w:val="009A07B5"/>
    <w:rsid w:val="009A08F8"/>
    <w:rsid w:val="009A0960"/>
    <w:rsid w:val="009A0B89"/>
    <w:rsid w:val="009A0C86"/>
    <w:rsid w:val="009A0CD1"/>
    <w:rsid w:val="009A0D6C"/>
    <w:rsid w:val="009A0DA6"/>
    <w:rsid w:val="009A1133"/>
    <w:rsid w:val="009A12D1"/>
    <w:rsid w:val="009A13BE"/>
    <w:rsid w:val="009A1401"/>
    <w:rsid w:val="009A144F"/>
    <w:rsid w:val="009A15FB"/>
    <w:rsid w:val="009A1617"/>
    <w:rsid w:val="009A1AA6"/>
    <w:rsid w:val="009A20F6"/>
    <w:rsid w:val="009A2317"/>
    <w:rsid w:val="009A25ED"/>
    <w:rsid w:val="009A2996"/>
    <w:rsid w:val="009A2C8F"/>
    <w:rsid w:val="009A2FB4"/>
    <w:rsid w:val="009A33EB"/>
    <w:rsid w:val="009A33EC"/>
    <w:rsid w:val="009A37CA"/>
    <w:rsid w:val="009A38A3"/>
    <w:rsid w:val="009A3C8D"/>
    <w:rsid w:val="009A3EFC"/>
    <w:rsid w:val="009A400A"/>
    <w:rsid w:val="009A40FB"/>
    <w:rsid w:val="009A4127"/>
    <w:rsid w:val="009A467B"/>
    <w:rsid w:val="009A4833"/>
    <w:rsid w:val="009A489B"/>
    <w:rsid w:val="009A4A59"/>
    <w:rsid w:val="009A4BDC"/>
    <w:rsid w:val="009A4D4A"/>
    <w:rsid w:val="009A4D62"/>
    <w:rsid w:val="009A4E66"/>
    <w:rsid w:val="009A4EC6"/>
    <w:rsid w:val="009A500D"/>
    <w:rsid w:val="009A50B3"/>
    <w:rsid w:val="009A53B0"/>
    <w:rsid w:val="009A5501"/>
    <w:rsid w:val="009A57CC"/>
    <w:rsid w:val="009A58A6"/>
    <w:rsid w:val="009A5C29"/>
    <w:rsid w:val="009A5CF7"/>
    <w:rsid w:val="009A5F5E"/>
    <w:rsid w:val="009A641A"/>
    <w:rsid w:val="009A6F25"/>
    <w:rsid w:val="009A6FAA"/>
    <w:rsid w:val="009A723D"/>
    <w:rsid w:val="009A734C"/>
    <w:rsid w:val="009A751A"/>
    <w:rsid w:val="009A75E1"/>
    <w:rsid w:val="009A75E8"/>
    <w:rsid w:val="009A769E"/>
    <w:rsid w:val="009A7736"/>
    <w:rsid w:val="009A79C2"/>
    <w:rsid w:val="009A7BE6"/>
    <w:rsid w:val="009A7F54"/>
    <w:rsid w:val="009B011B"/>
    <w:rsid w:val="009B0980"/>
    <w:rsid w:val="009B10B7"/>
    <w:rsid w:val="009B1133"/>
    <w:rsid w:val="009B1764"/>
    <w:rsid w:val="009B1C85"/>
    <w:rsid w:val="009B1CE3"/>
    <w:rsid w:val="009B1EA4"/>
    <w:rsid w:val="009B2189"/>
    <w:rsid w:val="009B2331"/>
    <w:rsid w:val="009B2514"/>
    <w:rsid w:val="009B283F"/>
    <w:rsid w:val="009B29B9"/>
    <w:rsid w:val="009B2B5E"/>
    <w:rsid w:val="009B2E29"/>
    <w:rsid w:val="009B32D7"/>
    <w:rsid w:val="009B3575"/>
    <w:rsid w:val="009B3656"/>
    <w:rsid w:val="009B36D0"/>
    <w:rsid w:val="009B3BED"/>
    <w:rsid w:val="009B41D7"/>
    <w:rsid w:val="009B4533"/>
    <w:rsid w:val="009B4A6C"/>
    <w:rsid w:val="009B4EE3"/>
    <w:rsid w:val="009B513E"/>
    <w:rsid w:val="009B517B"/>
    <w:rsid w:val="009B51EE"/>
    <w:rsid w:val="009B5282"/>
    <w:rsid w:val="009B5389"/>
    <w:rsid w:val="009B55D1"/>
    <w:rsid w:val="009B5C6D"/>
    <w:rsid w:val="009B5D44"/>
    <w:rsid w:val="009B5D9D"/>
    <w:rsid w:val="009B6653"/>
    <w:rsid w:val="009B6A25"/>
    <w:rsid w:val="009B6E5D"/>
    <w:rsid w:val="009B7234"/>
    <w:rsid w:val="009B72D1"/>
    <w:rsid w:val="009B72EF"/>
    <w:rsid w:val="009B7449"/>
    <w:rsid w:val="009B77D0"/>
    <w:rsid w:val="009B791F"/>
    <w:rsid w:val="009B7983"/>
    <w:rsid w:val="009B7BD5"/>
    <w:rsid w:val="009C08CB"/>
    <w:rsid w:val="009C1083"/>
    <w:rsid w:val="009C11CA"/>
    <w:rsid w:val="009C12F3"/>
    <w:rsid w:val="009C1347"/>
    <w:rsid w:val="009C1610"/>
    <w:rsid w:val="009C164F"/>
    <w:rsid w:val="009C17FD"/>
    <w:rsid w:val="009C1938"/>
    <w:rsid w:val="009C1A66"/>
    <w:rsid w:val="009C1CA3"/>
    <w:rsid w:val="009C1D34"/>
    <w:rsid w:val="009C1FCC"/>
    <w:rsid w:val="009C201D"/>
    <w:rsid w:val="009C207A"/>
    <w:rsid w:val="009C2186"/>
    <w:rsid w:val="009C2305"/>
    <w:rsid w:val="009C2362"/>
    <w:rsid w:val="009C2689"/>
    <w:rsid w:val="009C26F5"/>
    <w:rsid w:val="009C2A7B"/>
    <w:rsid w:val="009C2D4D"/>
    <w:rsid w:val="009C2D5A"/>
    <w:rsid w:val="009C2F56"/>
    <w:rsid w:val="009C316F"/>
    <w:rsid w:val="009C3ABD"/>
    <w:rsid w:val="009C3AE5"/>
    <w:rsid w:val="009C3C21"/>
    <w:rsid w:val="009C3D8E"/>
    <w:rsid w:val="009C3DA7"/>
    <w:rsid w:val="009C3E1C"/>
    <w:rsid w:val="009C428A"/>
    <w:rsid w:val="009C46BC"/>
    <w:rsid w:val="009C47E6"/>
    <w:rsid w:val="009C4B25"/>
    <w:rsid w:val="009C4C38"/>
    <w:rsid w:val="009C4D93"/>
    <w:rsid w:val="009C4EC3"/>
    <w:rsid w:val="009C4EED"/>
    <w:rsid w:val="009C4FB6"/>
    <w:rsid w:val="009C506D"/>
    <w:rsid w:val="009C55D6"/>
    <w:rsid w:val="009C56B0"/>
    <w:rsid w:val="009C5A18"/>
    <w:rsid w:val="009C5D1B"/>
    <w:rsid w:val="009C6122"/>
    <w:rsid w:val="009C6183"/>
    <w:rsid w:val="009C6254"/>
    <w:rsid w:val="009C629B"/>
    <w:rsid w:val="009C6637"/>
    <w:rsid w:val="009C66F1"/>
    <w:rsid w:val="009C67DB"/>
    <w:rsid w:val="009C6AF3"/>
    <w:rsid w:val="009C6D5E"/>
    <w:rsid w:val="009C6F6D"/>
    <w:rsid w:val="009C738F"/>
    <w:rsid w:val="009C7C7B"/>
    <w:rsid w:val="009C7F49"/>
    <w:rsid w:val="009D035C"/>
    <w:rsid w:val="009D0B62"/>
    <w:rsid w:val="009D0C40"/>
    <w:rsid w:val="009D0CFB"/>
    <w:rsid w:val="009D0FDA"/>
    <w:rsid w:val="009D112A"/>
    <w:rsid w:val="009D1148"/>
    <w:rsid w:val="009D11AF"/>
    <w:rsid w:val="009D12B7"/>
    <w:rsid w:val="009D13BA"/>
    <w:rsid w:val="009D1613"/>
    <w:rsid w:val="009D181E"/>
    <w:rsid w:val="009D1920"/>
    <w:rsid w:val="009D1A40"/>
    <w:rsid w:val="009D1ACF"/>
    <w:rsid w:val="009D1CBC"/>
    <w:rsid w:val="009D2284"/>
    <w:rsid w:val="009D23C3"/>
    <w:rsid w:val="009D2613"/>
    <w:rsid w:val="009D269C"/>
    <w:rsid w:val="009D26D7"/>
    <w:rsid w:val="009D2985"/>
    <w:rsid w:val="009D2AEA"/>
    <w:rsid w:val="009D2BEF"/>
    <w:rsid w:val="009D2DBE"/>
    <w:rsid w:val="009D3043"/>
    <w:rsid w:val="009D3142"/>
    <w:rsid w:val="009D330A"/>
    <w:rsid w:val="009D3374"/>
    <w:rsid w:val="009D3484"/>
    <w:rsid w:val="009D35F6"/>
    <w:rsid w:val="009D37A4"/>
    <w:rsid w:val="009D3911"/>
    <w:rsid w:val="009D3B5D"/>
    <w:rsid w:val="009D3BBA"/>
    <w:rsid w:val="009D3C9F"/>
    <w:rsid w:val="009D3FEC"/>
    <w:rsid w:val="009D410C"/>
    <w:rsid w:val="009D444D"/>
    <w:rsid w:val="009D44A3"/>
    <w:rsid w:val="009D4CE8"/>
    <w:rsid w:val="009D500E"/>
    <w:rsid w:val="009D5577"/>
    <w:rsid w:val="009D59D0"/>
    <w:rsid w:val="009D5B69"/>
    <w:rsid w:val="009D5B7B"/>
    <w:rsid w:val="009D5CE8"/>
    <w:rsid w:val="009D5FDC"/>
    <w:rsid w:val="009D6338"/>
    <w:rsid w:val="009D6631"/>
    <w:rsid w:val="009D6751"/>
    <w:rsid w:val="009D6A5F"/>
    <w:rsid w:val="009D6B47"/>
    <w:rsid w:val="009D6B93"/>
    <w:rsid w:val="009D6CF0"/>
    <w:rsid w:val="009D6E61"/>
    <w:rsid w:val="009D7331"/>
    <w:rsid w:val="009D7557"/>
    <w:rsid w:val="009D75D6"/>
    <w:rsid w:val="009D77B2"/>
    <w:rsid w:val="009D78B4"/>
    <w:rsid w:val="009D79E6"/>
    <w:rsid w:val="009D7D6F"/>
    <w:rsid w:val="009E0109"/>
    <w:rsid w:val="009E0348"/>
    <w:rsid w:val="009E052D"/>
    <w:rsid w:val="009E0A34"/>
    <w:rsid w:val="009E0AE3"/>
    <w:rsid w:val="009E11DB"/>
    <w:rsid w:val="009E126B"/>
    <w:rsid w:val="009E13DA"/>
    <w:rsid w:val="009E1424"/>
    <w:rsid w:val="009E177F"/>
    <w:rsid w:val="009E1786"/>
    <w:rsid w:val="009E1D3A"/>
    <w:rsid w:val="009E1ED9"/>
    <w:rsid w:val="009E225F"/>
    <w:rsid w:val="009E2C76"/>
    <w:rsid w:val="009E2CD3"/>
    <w:rsid w:val="009E2DF1"/>
    <w:rsid w:val="009E3128"/>
    <w:rsid w:val="009E31D3"/>
    <w:rsid w:val="009E3204"/>
    <w:rsid w:val="009E39DF"/>
    <w:rsid w:val="009E3AAE"/>
    <w:rsid w:val="009E3C4D"/>
    <w:rsid w:val="009E4171"/>
    <w:rsid w:val="009E4278"/>
    <w:rsid w:val="009E49CA"/>
    <w:rsid w:val="009E49ED"/>
    <w:rsid w:val="009E4A07"/>
    <w:rsid w:val="009E4BD8"/>
    <w:rsid w:val="009E4BDE"/>
    <w:rsid w:val="009E4CC6"/>
    <w:rsid w:val="009E4FBC"/>
    <w:rsid w:val="009E562B"/>
    <w:rsid w:val="009E5642"/>
    <w:rsid w:val="009E56AE"/>
    <w:rsid w:val="009E5AE1"/>
    <w:rsid w:val="009E5B6A"/>
    <w:rsid w:val="009E5DF7"/>
    <w:rsid w:val="009E6101"/>
    <w:rsid w:val="009E6161"/>
    <w:rsid w:val="009E6298"/>
    <w:rsid w:val="009E6356"/>
    <w:rsid w:val="009E63E6"/>
    <w:rsid w:val="009E654B"/>
    <w:rsid w:val="009E6686"/>
    <w:rsid w:val="009E6A44"/>
    <w:rsid w:val="009E6DEC"/>
    <w:rsid w:val="009E73A7"/>
    <w:rsid w:val="009E7499"/>
    <w:rsid w:val="009E76BE"/>
    <w:rsid w:val="009E76D8"/>
    <w:rsid w:val="009E7A4F"/>
    <w:rsid w:val="009E7CB4"/>
    <w:rsid w:val="009F0070"/>
    <w:rsid w:val="009F014D"/>
    <w:rsid w:val="009F0199"/>
    <w:rsid w:val="009F0224"/>
    <w:rsid w:val="009F0335"/>
    <w:rsid w:val="009F03FA"/>
    <w:rsid w:val="009F05CF"/>
    <w:rsid w:val="009F0850"/>
    <w:rsid w:val="009F088F"/>
    <w:rsid w:val="009F100D"/>
    <w:rsid w:val="009F1397"/>
    <w:rsid w:val="009F157F"/>
    <w:rsid w:val="009F15B5"/>
    <w:rsid w:val="009F1622"/>
    <w:rsid w:val="009F1900"/>
    <w:rsid w:val="009F19B2"/>
    <w:rsid w:val="009F20AE"/>
    <w:rsid w:val="009F2287"/>
    <w:rsid w:val="009F22AB"/>
    <w:rsid w:val="009F2435"/>
    <w:rsid w:val="009F25BC"/>
    <w:rsid w:val="009F26EA"/>
    <w:rsid w:val="009F2805"/>
    <w:rsid w:val="009F2A06"/>
    <w:rsid w:val="009F2C29"/>
    <w:rsid w:val="009F2EE9"/>
    <w:rsid w:val="009F3060"/>
    <w:rsid w:val="009F326C"/>
    <w:rsid w:val="009F3414"/>
    <w:rsid w:val="009F3674"/>
    <w:rsid w:val="009F3981"/>
    <w:rsid w:val="009F3CAF"/>
    <w:rsid w:val="009F49C7"/>
    <w:rsid w:val="009F4B8D"/>
    <w:rsid w:val="009F4DC6"/>
    <w:rsid w:val="009F4EE5"/>
    <w:rsid w:val="009F506A"/>
    <w:rsid w:val="009F56E9"/>
    <w:rsid w:val="009F5A3C"/>
    <w:rsid w:val="009F5AFC"/>
    <w:rsid w:val="009F5BBE"/>
    <w:rsid w:val="009F68AC"/>
    <w:rsid w:val="009F6B9D"/>
    <w:rsid w:val="009F6DEF"/>
    <w:rsid w:val="009F70AB"/>
    <w:rsid w:val="009F719A"/>
    <w:rsid w:val="009F73A5"/>
    <w:rsid w:val="009F7454"/>
    <w:rsid w:val="009F75BD"/>
    <w:rsid w:val="009F7701"/>
    <w:rsid w:val="009F7860"/>
    <w:rsid w:val="009F78AE"/>
    <w:rsid w:val="009F79D5"/>
    <w:rsid w:val="009F7A05"/>
    <w:rsid w:val="009F7AE7"/>
    <w:rsid w:val="009F7D12"/>
    <w:rsid w:val="009F7FB2"/>
    <w:rsid w:val="00A00534"/>
    <w:rsid w:val="00A0069B"/>
    <w:rsid w:val="00A006B3"/>
    <w:rsid w:val="00A007B2"/>
    <w:rsid w:val="00A00825"/>
    <w:rsid w:val="00A00B46"/>
    <w:rsid w:val="00A00CA1"/>
    <w:rsid w:val="00A00D80"/>
    <w:rsid w:val="00A013D5"/>
    <w:rsid w:val="00A0147F"/>
    <w:rsid w:val="00A01AF4"/>
    <w:rsid w:val="00A01D07"/>
    <w:rsid w:val="00A01D9C"/>
    <w:rsid w:val="00A02026"/>
    <w:rsid w:val="00A0202B"/>
    <w:rsid w:val="00A0208D"/>
    <w:rsid w:val="00A02345"/>
    <w:rsid w:val="00A02540"/>
    <w:rsid w:val="00A029F5"/>
    <w:rsid w:val="00A02BD2"/>
    <w:rsid w:val="00A0301C"/>
    <w:rsid w:val="00A03282"/>
    <w:rsid w:val="00A03493"/>
    <w:rsid w:val="00A036A4"/>
    <w:rsid w:val="00A03AB4"/>
    <w:rsid w:val="00A03B6A"/>
    <w:rsid w:val="00A03F1D"/>
    <w:rsid w:val="00A04098"/>
    <w:rsid w:val="00A043E8"/>
    <w:rsid w:val="00A043EB"/>
    <w:rsid w:val="00A046CC"/>
    <w:rsid w:val="00A04997"/>
    <w:rsid w:val="00A04A40"/>
    <w:rsid w:val="00A04B3F"/>
    <w:rsid w:val="00A04DC9"/>
    <w:rsid w:val="00A04E51"/>
    <w:rsid w:val="00A04E9F"/>
    <w:rsid w:val="00A04FA3"/>
    <w:rsid w:val="00A054BD"/>
    <w:rsid w:val="00A0563E"/>
    <w:rsid w:val="00A05812"/>
    <w:rsid w:val="00A05898"/>
    <w:rsid w:val="00A05A1C"/>
    <w:rsid w:val="00A05C96"/>
    <w:rsid w:val="00A05CE9"/>
    <w:rsid w:val="00A05D71"/>
    <w:rsid w:val="00A05ECB"/>
    <w:rsid w:val="00A05F11"/>
    <w:rsid w:val="00A05FD4"/>
    <w:rsid w:val="00A06260"/>
    <w:rsid w:val="00A06513"/>
    <w:rsid w:val="00A06515"/>
    <w:rsid w:val="00A06575"/>
    <w:rsid w:val="00A06A55"/>
    <w:rsid w:val="00A06DA5"/>
    <w:rsid w:val="00A071ED"/>
    <w:rsid w:val="00A07488"/>
    <w:rsid w:val="00A07B74"/>
    <w:rsid w:val="00A07C6B"/>
    <w:rsid w:val="00A07C7A"/>
    <w:rsid w:val="00A07CBB"/>
    <w:rsid w:val="00A07E24"/>
    <w:rsid w:val="00A102A0"/>
    <w:rsid w:val="00A10357"/>
    <w:rsid w:val="00A10762"/>
    <w:rsid w:val="00A109DC"/>
    <w:rsid w:val="00A109E6"/>
    <w:rsid w:val="00A10B2B"/>
    <w:rsid w:val="00A10E80"/>
    <w:rsid w:val="00A10ED8"/>
    <w:rsid w:val="00A10EE1"/>
    <w:rsid w:val="00A10EFD"/>
    <w:rsid w:val="00A10F72"/>
    <w:rsid w:val="00A10FC0"/>
    <w:rsid w:val="00A111E5"/>
    <w:rsid w:val="00A11254"/>
    <w:rsid w:val="00A1139A"/>
    <w:rsid w:val="00A117E4"/>
    <w:rsid w:val="00A11C40"/>
    <w:rsid w:val="00A120E2"/>
    <w:rsid w:val="00A121B3"/>
    <w:rsid w:val="00A126E5"/>
    <w:rsid w:val="00A12785"/>
    <w:rsid w:val="00A12894"/>
    <w:rsid w:val="00A128B4"/>
    <w:rsid w:val="00A128F0"/>
    <w:rsid w:val="00A12A0A"/>
    <w:rsid w:val="00A12CE2"/>
    <w:rsid w:val="00A130BD"/>
    <w:rsid w:val="00A1321F"/>
    <w:rsid w:val="00A14074"/>
    <w:rsid w:val="00A142AC"/>
    <w:rsid w:val="00A14436"/>
    <w:rsid w:val="00A147A3"/>
    <w:rsid w:val="00A14857"/>
    <w:rsid w:val="00A14903"/>
    <w:rsid w:val="00A14F63"/>
    <w:rsid w:val="00A152F8"/>
    <w:rsid w:val="00A153D5"/>
    <w:rsid w:val="00A153E4"/>
    <w:rsid w:val="00A1596E"/>
    <w:rsid w:val="00A1597A"/>
    <w:rsid w:val="00A159B4"/>
    <w:rsid w:val="00A15AC9"/>
    <w:rsid w:val="00A15CA3"/>
    <w:rsid w:val="00A15DD0"/>
    <w:rsid w:val="00A16021"/>
    <w:rsid w:val="00A165FA"/>
    <w:rsid w:val="00A16B5A"/>
    <w:rsid w:val="00A16BDB"/>
    <w:rsid w:val="00A177B4"/>
    <w:rsid w:val="00A17888"/>
    <w:rsid w:val="00A178FA"/>
    <w:rsid w:val="00A17A6E"/>
    <w:rsid w:val="00A17BD5"/>
    <w:rsid w:val="00A17F4E"/>
    <w:rsid w:val="00A20009"/>
    <w:rsid w:val="00A20020"/>
    <w:rsid w:val="00A2017E"/>
    <w:rsid w:val="00A2049C"/>
    <w:rsid w:val="00A20B90"/>
    <w:rsid w:val="00A2149E"/>
    <w:rsid w:val="00A21A20"/>
    <w:rsid w:val="00A21BD7"/>
    <w:rsid w:val="00A21C03"/>
    <w:rsid w:val="00A21CF2"/>
    <w:rsid w:val="00A227D8"/>
    <w:rsid w:val="00A22968"/>
    <w:rsid w:val="00A22BD7"/>
    <w:rsid w:val="00A22DE5"/>
    <w:rsid w:val="00A23459"/>
    <w:rsid w:val="00A236D6"/>
    <w:rsid w:val="00A23CDA"/>
    <w:rsid w:val="00A23DC6"/>
    <w:rsid w:val="00A23EE6"/>
    <w:rsid w:val="00A23F8C"/>
    <w:rsid w:val="00A24384"/>
    <w:rsid w:val="00A243BD"/>
    <w:rsid w:val="00A243EF"/>
    <w:rsid w:val="00A24639"/>
    <w:rsid w:val="00A2470E"/>
    <w:rsid w:val="00A24C0B"/>
    <w:rsid w:val="00A24C75"/>
    <w:rsid w:val="00A24DCA"/>
    <w:rsid w:val="00A24F05"/>
    <w:rsid w:val="00A2518D"/>
    <w:rsid w:val="00A25311"/>
    <w:rsid w:val="00A2533A"/>
    <w:rsid w:val="00A2533B"/>
    <w:rsid w:val="00A25440"/>
    <w:rsid w:val="00A25472"/>
    <w:rsid w:val="00A25609"/>
    <w:rsid w:val="00A25714"/>
    <w:rsid w:val="00A25753"/>
    <w:rsid w:val="00A258AA"/>
    <w:rsid w:val="00A25918"/>
    <w:rsid w:val="00A2597A"/>
    <w:rsid w:val="00A259D0"/>
    <w:rsid w:val="00A25ECE"/>
    <w:rsid w:val="00A25F5E"/>
    <w:rsid w:val="00A2684C"/>
    <w:rsid w:val="00A269AF"/>
    <w:rsid w:val="00A26BC5"/>
    <w:rsid w:val="00A26D6D"/>
    <w:rsid w:val="00A26DFC"/>
    <w:rsid w:val="00A26E9C"/>
    <w:rsid w:val="00A26EE8"/>
    <w:rsid w:val="00A27132"/>
    <w:rsid w:val="00A2716F"/>
    <w:rsid w:val="00A271B0"/>
    <w:rsid w:val="00A273B1"/>
    <w:rsid w:val="00A27433"/>
    <w:rsid w:val="00A2747C"/>
    <w:rsid w:val="00A27545"/>
    <w:rsid w:val="00A27AF0"/>
    <w:rsid w:val="00A27BC2"/>
    <w:rsid w:val="00A27EA6"/>
    <w:rsid w:val="00A30095"/>
    <w:rsid w:val="00A30175"/>
    <w:rsid w:val="00A301B4"/>
    <w:rsid w:val="00A305DA"/>
    <w:rsid w:val="00A30D3B"/>
    <w:rsid w:val="00A31021"/>
    <w:rsid w:val="00A3104B"/>
    <w:rsid w:val="00A31266"/>
    <w:rsid w:val="00A312DF"/>
    <w:rsid w:val="00A314E2"/>
    <w:rsid w:val="00A31609"/>
    <w:rsid w:val="00A317E0"/>
    <w:rsid w:val="00A319A5"/>
    <w:rsid w:val="00A31A2E"/>
    <w:rsid w:val="00A31B64"/>
    <w:rsid w:val="00A31FB5"/>
    <w:rsid w:val="00A322F1"/>
    <w:rsid w:val="00A32326"/>
    <w:rsid w:val="00A324D3"/>
    <w:rsid w:val="00A325F2"/>
    <w:rsid w:val="00A32804"/>
    <w:rsid w:val="00A32BF6"/>
    <w:rsid w:val="00A32C01"/>
    <w:rsid w:val="00A332C6"/>
    <w:rsid w:val="00A33405"/>
    <w:rsid w:val="00A3369D"/>
    <w:rsid w:val="00A336AA"/>
    <w:rsid w:val="00A3384D"/>
    <w:rsid w:val="00A33958"/>
    <w:rsid w:val="00A33A62"/>
    <w:rsid w:val="00A33ACF"/>
    <w:rsid w:val="00A33D57"/>
    <w:rsid w:val="00A33EE3"/>
    <w:rsid w:val="00A33F9D"/>
    <w:rsid w:val="00A340B9"/>
    <w:rsid w:val="00A341D2"/>
    <w:rsid w:val="00A345D1"/>
    <w:rsid w:val="00A34780"/>
    <w:rsid w:val="00A348BB"/>
    <w:rsid w:val="00A3491A"/>
    <w:rsid w:val="00A34A44"/>
    <w:rsid w:val="00A34B03"/>
    <w:rsid w:val="00A34D7F"/>
    <w:rsid w:val="00A35145"/>
    <w:rsid w:val="00A35242"/>
    <w:rsid w:val="00A352A8"/>
    <w:rsid w:val="00A3559F"/>
    <w:rsid w:val="00A35BE0"/>
    <w:rsid w:val="00A35C6A"/>
    <w:rsid w:val="00A35FA2"/>
    <w:rsid w:val="00A35FBE"/>
    <w:rsid w:val="00A35FE9"/>
    <w:rsid w:val="00A36134"/>
    <w:rsid w:val="00A361D2"/>
    <w:rsid w:val="00A36551"/>
    <w:rsid w:val="00A36575"/>
    <w:rsid w:val="00A365B0"/>
    <w:rsid w:val="00A368AF"/>
    <w:rsid w:val="00A368C2"/>
    <w:rsid w:val="00A368C8"/>
    <w:rsid w:val="00A368D7"/>
    <w:rsid w:val="00A3693C"/>
    <w:rsid w:val="00A36C73"/>
    <w:rsid w:val="00A36E53"/>
    <w:rsid w:val="00A37357"/>
    <w:rsid w:val="00A3762F"/>
    <w:rsid w:val="00A37651"/>
    <w:rsid w:val="00A37D15"/>
    <w:rsid w:val="00A40054"/>
    <w:rsid w:val="00A400BC"/>
    <w:rsid w:val="00A40309"/>
    <w:rsid w:val="00A405FD"/>
    <w:rsid w:val="00A40B61"/>
    <w:rsid w:val="00A41173"/>
    <w:rsid w:val="00A4147A"/>
    <w:rsid w:val="00A416A3"/>
    <w:rsid w:val="00A41740"/>
    <w:rsid w:val="00A41A7C"/>
    <w:rsid w:val="00A41A81"/>
    <w:rsid w:val="00A41D32"/>
    <w:rsid w:val="00A41EEB"/>
    <w:rsid w:val="00A41F03"/>
    <w:rsid w:val="00A41FB4"/>
    <w:rsid w:val="00A422B3"/>
    <w:rsid w:val="00A42312"/>
    <w:rsid w:val="00A42449"/>
    <w:rsid w:val="00A424B6"/>
    <w:rsid w:val="00A42543"/>
    <w:rsid w:val="00A42967"/>
    <w:rsid w:val="00A4297C"/>
    <w:rsid w:val="00A42C71"/>
    <w:rsid w:val="00A4307B"/>
    <w:rsid w:val="00A43161"/>
    <w:rsid w:val="00A4350C"/>
    <w:rsid w:val="00A43911"/>
    <w:rsid w:val="00A43978"/>
    <w:rsid w:val="00A43A26"/>
    <w:rsid w:val="00A43BB7"/>
    <w:rsid w:val="00A43C66"/>
    <w:rsid w:val="00A43CFE"/>
    <w:rsid w:val="00A43DD9"/>
    <w:rsid w:val="00A43E1E"/>
    <w:rsid w:val="00A43E32"/>
    <w:rsid w:val="00A43E4C"/>
    <w:rsid w:val="00A441B5"/>
    <w:rsid w:val="00A44242"/>
    <w:rsid w:val="00A44550"/>
    <w:rsid w:val="00A4458E"/>
    <w:rsid w:val="00A447A4"/>
    <w:rsid w:val="00A44A45"/>
    <w:rsid w:val="00A44B58"/>
    <w:rsid w:val="00A44BE3"/>
    <w:rsid w:val="00A44C58"/>
    <w:rsid w:val="00A44D2A"/>
    <w:rsid w:val="00A44E33"/>
    <w:rsid w:val="00A45009"/>
    <w:rsid w:val="00A450CF"/>
    <w:rsid w:val="00A45116"/>
    <w:rsid w:val="00A45230"/>
    <w:rsid w:val="00A452BA"/>
    <w:rsid w:val="00A45430"/>
    <w:rsid w:val="00A456DC"/>
    <w:rsid w:val="00A456FB"/>
    <w:rsid w:val="00A457CA"/>
    <w:rsid w:val="00A4621F"/>
    <w:rsid w:val="00A4622A"/>
    <w:rsid w:val="00A462BB"/>
    <w:rsid w:val="00A463E5"/>
    <w:rsid w:val="00A46503"/>
    <w:rsid w:val="00A465CA"/>
    <w:rsid w:val="00A46618"/>
    <w:rsid w:val="00A4667E"/>
    <w:rsid w:val="00A4680C"/>
    <w:rsid w:val="00A4696C"/>
    <w:rsid w:val="00A46D46"/>
    <w:rsid w:val="00A46ED4"/>
    <w:rsid w:val="00A470B8"/>
    <w:rsid w:val="00A470DC"/>
    <w:rsid w:val="00A47317"/>
    <w:rsid w:val="00A475DA"/>
    <w:rsid w:val="00A476BE"/>
    <w:rsid w:val="00A47E47"/>
    <w:rsid w:val="00A500B3"/>
    <w:rsid w:val="00A502B2"/>
    <w:rsid w:val="00A503CB"/>
    <w:rsid w:val="00A5043E"/>
    <w:rsid w:val="00A50C24"/>
    <w:rsid w:val="00A50C3D"/>
    <w:rsid w:val="00A50D05"/>
    <w:rsid w:val="00A50F02"/>
    <w:rsid w:val="00A50F3D"/>
    <w:rsid w:val="00A5122C"/>
    <w:rsid w:val="00A51257"/>
    <w:rsid w:val="00A515BB"/>
    <w:rsid w:val="00A51773"/>
    <w:rsid w:val="00A51AA8"/>
    <w:rsid w:val="00A51CF4"/>
    <w:rsid w:val="00A51D58"/>
    <w:rsid w:val="00A5203E"/>
    <w:rsid w:val="00A52222"/>
    <w:rsid w:val="00A5260E"/>
    <w:rsid w:val="00A52B8C"/>
    <w:rsid w:val="00A52DFC"/>
    <w:rsid w:val="00A52E27"/>
    <w:rsid w:val="00A52F51"/>
    <w:rsid w:val="00A530AF"/>
    <w:rsid w:val="00A532F7"/>
    <w:rsid w:val="00A53437"/>
    <w:rsid w:val="00A53467"/>
    <w:rsid w:val="00A538DE"/>
    <w:rsid w:val="00A53C25"/>
    <w:rsid w:val="00A53CA1"/>
    <w:rsid w:val="00A53D28"/>
    <w:rsid w:val="00A53D2F"/>
    <w:rsid w:val="00A53DF6"/>
    <w:rsid w:val="00A541D0"/>
    <w:rsid w:val="00A54402"/>
    <w:rsid w:val="00A548AC"/>
    <w:rsid w:val="00A54AE6"/>
    <w:rsid w:val="00A54D0D"/>
    <w:rsid w:val="00A54DC8"/>
    <w:rsid w:val="00A55BAD"/>
    <w:rsid w:val="00A55E03"/>
    <w:rsid w:val="00A55F9F"/>
    <w:rsid w:val="00A56078"/>
    <w:rsid w:val="00A56174"/>
    <w:rsid w:val="00A56392"/>
    <w:rsid w:val="00A56468"/>
    <w:rsid w:val="00A56520"/>
    <w:rsid w:val="00A56F35"/>
    <w:rsid w:val="00A57096"/>
    <w:rsid w:val="00A572BF"/>
    <w:rsid w:val="00A576B1"/>
    <w:rsid w:val="00A5786D"/>
    <w:rsid w:val="00A6045B"/>
    <w:rsid w:val="00A60573"/>
    <w:rsid w:val="00A60904"/>
    <w:rsid w:val="00A60DC6"/>
    <w:rsid w:val="00A60E39"/>
    <w:rsid w:val="00A60F8A"/>
    <w:rsid w:val="00A616DE"/>
    <w:rsid w:val="00A62017"/>
    <w:rsid w:val="00A6216E"/>
    <w:rsid w:val="00A621B3"/>
    <w:rsid w:val="00A6289F"/>
    <w:rsid w:val="00A62A64"/>
    <w:rsid w:val="00A62C7D"/>
    <w:rsid w:val="00A62E04"/>
    <w:rsid w:val="00A62F1F"/>
    <w:rsid w:val="00A62FF0"/>
    <w:rsid w:val="00A63247"/>
    <w:rsid w:val="00A634C0"/>
    <w:rsid w:val="00A63601"/>
    <w:rsid w:val="00A63943"/>
    <w:rsid w:val="00A63A8A"/>
    <w:rsid w:val="00A63F83"/>
    <w:rsid w:val="00A640DB"/>
    <w:rsid w:val="00A644A6"/>
    <w:rsid w:val="00A64953"/>
    <w:rsid w:val="00A64A21"/>
    <w:rsid w:val="00A64AF8"/>
    <w:rsid w:val="00A64CAA"/>
    <w:rsid w:val="00A64D4A"/>
    <w:rsid w:val="00A64EE0"/>
    <w:rsid w:val="00A65385"/>
    <w:rsid w:val="00A65553"/>
    <w:rsid w:val="00A65557"/>
    <w:rsid w:val="00A6565D"/>
    <w:rsid w:val="00A658DF"/>
    <w:rsid w:val="00A65B48"/>
    <w:rsid w:val="00A65FC2"/>
    <w:rsid w:val="00A6602D"/>
    <w:rsid w:val="00A660C9"/>
    <w:rsid w:val="00A66244"/>
    <w:rsid w:val="00A6652B"/>
    <w:rsid w:val="00A666D3"/>
    <w:rsid w:val="00A66B65"/>
    <w:rsid w:val="00A66C85"/>
    <w:rsid w:val="00A670B1"/>
    <w:rsid w:val="00A67428"/>
    <w:rsid w:val="00A67F7A"/>
    <w:rsid w:val="00A7008F"/>
    <w:rsid w:val="00A70095"/>
    <w:rsid w:val="00A7095B"/>
    <w:rsid w:val="00A70ADC"/>
    <w:rsid w:val="00A70BA8"/>
    <w:rsid w:val="00A70C68"/>
    <w:rsid w:val="00A70DE1"/>
    <w:rsid w:val="00A70E04"/>
    <w:rsid w:val="00A70E79"/>
    <w:rsid w:val="00A70F19"/>
    <w:rsid w:val="00A70F76"/>
    <w:rsid w:val="00A7139D"/>
    <w:rsid w:val="00A71424"/>
    <w:rsid w:val="00A7143C"/>
    <w:rsid w:val="00A715BF"/>
    <w:rsid w:val="00A71B07"/>
    <w:rsid w:val="00A71C9F"/>
    <w:rsid w:val="00A71CA2"/>
    <w:rsid w:val="00A71FC2"/>
    <w:rsid w:val="00A72648"/>
    <w:rsid w:val="00A728D3"/>
    <w:rsid w:val="00A72AD0"/>
    <w:rsid w:val="00A72F6D"/>
    <w:rsid w:val="00A72FE1"/>
    <w:rsid w:val="00A72FFD"/>
    <w:rsid w:val="00A731C5"/>
    <w:rsid w:val="00A731CE"/>
    <w:rsid w:val="00A73226"/>
    <w:rsid w:val="00A7359F"/>
    <w:rsid w:val="00A736EB"/>
    <w:rsid w:val="00A737AE"/>
    <w:rsid w:val="00A737B1"/>
    <w:rsid w:val="00A73BC0"/>
    <w:rsid w:val="00A73C9C"/>
    <w:rsid w:val="00A7432E"/>
    <w:rsid w:val="00A747E7"/>
    <w:rsid w:val="00A74A84"/>
    <w:rsid w:val="00A74F18"/>
    <w:rsid w:val="00A7529D"/>
    <w:rsid w:val="00A75484"/>
    <w:rsid w:val="00A754A5"/>
    <w:rsid w:val="00A756B6"/>
    <w:rsid w:val="00A7571E"/>
    <w:rsid w:val="00A75899"/>
    <w:rsid w:val="00A75A06"/>
    <w:rsid w:val="00A75A4B"/>
    <w:rsid w:val="00A75A7E"/>
    <w:rsid w:val="00A75BAB"/>
    <w:rsid w:val="00A75CD1"/>
    <w:rsid w:val="00A75DF5"/>
    <w:rsid w:val="00A75F8A"/>
    <w:rsid w:val="00A763A4"/>
    <w:rsid w:val="00A765A3"/>
    <w:rsid w:val="00A767F6"/>
    <w:rsid w:val="00A76BF3"/>
    <w:rsid w:val="00A76F92"/>
    <w:rsid w:val="00A77033"/>
    <w:rsid w:val="00A7734F"/>
    <w:rsid w:val="00A773A4"/>
    <w:rsid w:val="00A77542"/>
    <w:rsid w:val="00A77660"/>
    <w:rsid w:val="00A7784B"/>
    <w:rsid w:val="00A77A05"/>
    <w:rsid w:val="00A77A23"/>
    <w:rsid w:val="00A77F91"/>
    <w:rsid w:val="00A8056C"/>
    <w:rsid w:val="00A80626"/>
    <w:rsid w:val="00A80678"/>
    <w:rsid w:val="00A808EC"/>
    <w:rsid w:val="00A80B44"/>
    <w:rsid w:val="00A80C79"/>
    <w:rsid w:val="00A80DD6"/>
    <w:rsid w:val="00A8137E"/>
    <w:rsid w:val="00A81576"/>
    <w:rsid w:val="00A81642"/>
    <w:rsid w:val="00A81694"/>
    <w:rsid w:val="00A818D8"/>
    <w:rsid w:val="00A81939"/>
    <w:rsid w:val="00A8198E"/>
    <w:rsid w:val="00A81A8F"/>
    <w:rsid w:val="00A81AAF"/>
    <w:rsid w:val="00A81AEE"/>
    <w:rsid w:val="00A81B0D"/>
    <w:rsid w:val="00A81B5E"/>
    <w:rsid w:val="00A81CEE"/>
    <w:rsid w:val="00A82343"/>
    <w:rsid w:val="00A827D4"/>
    <w:rsid w:val="00A82914"/>
    <w:rsid w:val="00A82F0B"/>
    <w:rsid w:val="00A82FCF"/>
    <w:rsid w:val="00A83885"/>
    <w:rsid w:val="00A83A79"/>
    <w:rsid w:val="00A83B4B"/>
    <w:rsid w:val="00A83BC8"/>
    <w:rsid w:val="00A83F02"/>
    <w:rsid w:val="00A8406C"/>
    <w:rsid w:val="00A840CA"/>
    <w:rsid w:val="00A8479F"/>
    <w:rsid w:val="00A84A0D"/>
    <w:rsid w:val="00A84A99"/>
    <w:rsid w:val="00A84B29"/>
    <w:rsid w:val="00A84FCF"/>
    <w:rsid w:val="00A852CE"/>
    <w:rsid w:val="00A85304"/>
    <w:rsid w:val="00A85B97"/>
    <w:rsid w:val="00A85CEF"/>
    <w:rsid w:val="00A85E04"/>
    <w:rsid w:val="00A863F9"/>
    <w:rsid w:val="00A86669"/>
    <w:rsid w:val="00A86825"/>
    <w:rsid w:val="00A8694D"/>
    <w:rsid w:val="00A86B37"/>
    <w:rsid w:val="00A87157"/>
    <w:rsid w:val="00A87319"/>
    <w:rsid w:val="00A87536"/>
    <w:rsid w:val="00A87690"/>
    <w:rsid w:val="00A87846"/>
    <w:rsid w:val="00A90052"/>
    <w:rsid w:val="00A9027D"/>
    <w:rsid w:val="00A90399"/>
    <w:rsid w:val="00A9053F"/>
    <w:rsid w:val="00A9062B"/>
    <w:rsid w:val="00A9063A"/>
    <w:rsid w:val="00A9074E"/>
    <w:rsid w:val="00A90BF6"/>
    <w:rsid w:val="00A90C95"/>
    <w:rsid w:val="00A90F73"/>
    <w:rsid w:val="00A91002"/>
    <w:rsid w:val="00A910D9"/>
    <w:rsid w:val="00A9118B"/>
    <w:rsid w:val="00A9142F"/>
    <w:rsid w:val="00A915C4"/>
    <w:rsid w:val="00A91834"/>
    <w:rsid w:val="00A918E0"/>
    <w:rsid w:val="00A91D03"/>
    <w:rsid w:val="00A91D25"/>
    <w:rsid w:val="00A91F86"/>
    <w:rsid w:val="00A92066"/>
    <w:rsid w:val="00A92309"/>
    <w:rsid w:val="00A92488"/>
    <w:rsid w:val="00A92761"/>
    <w:rsid w:val="00A929F1"/>
    <w:rsid w:val="00A932A9"/>
    <w:rsid w:val="00A9335E"/>
    <w:rsid w:val="00A933D3"/>
    <w:rsid w:val="00A93575"/>
    <w:rsid w:val="00A935BE"/>
    <w:rsid w:val="00A935F7"/>
    <w:rsid w:val="00A93AB6"/>
    <w:rsid w:val="00A93ECD"/>
    <w:rsid w:val="00A940F8"/>
    <w:rsid w:val="00A943E2"/>
    <w:rsid w:val="00A947B4"/>
    <w:rsid w:val="00A94913"/>
    <w:rsid w:val="00A94AF9"/>
    <w:rsid w:val="00A94CC6"/>
    <w:rsid w:val="00A94F6A"/>
    <w:rsid w:val="00A9535D"/>
    <w:rsid w:val="00A95775"/>
    <w:rsid w:val="00A957D8"/>
    <w:rsid w:val="00A9581D"/>
    <w:rsid w:val="00A958B6"/>
    <w:rsid w:val="00A95B26"/>
    <w:rsid w:val="00A95BD2"/>
    <w:rsid w:val="00A95DDC"/>
    <w:rsid w:val="00A95EC6"/>
    <w:rsid w:val="00A95F90"/>
    <w:rsid w:val="00A960AE"/>
    <w:rsid w:val="00A9616C"/>
    <w:rsid w:val="00A9642E"/>
    <w:rsid w:val="00A96694"/>
    <w:rsid w:val="00A96743"/>
    <w:rsid w:val="00A968BA"/>
    <w:rsid w:val="00A96EB0"/>
    <w:rsid w:val="00A96EC4"/>
    <w:rsid w:val="00A972CD"/>
    <w:rsid w:val="00AA0039"/>
    <w:rsid w:val="00AA02C4"/>
    <w:rsid w:val="00AA02D5"/>
    <w:rsid w:val="00AA03F3"/>
    <w:rsid w:val="00AA053F"/>
    <w:rsid w:val="00AA0A8D"/>
    <w:rsid w:val="00AA102C"/>
    <w:rsid w:val="00AA117B"/>
    <w:rsid w:val="00AA1189"/>
    <w:rsid w:val="00AA1262"/>
    <w:rsid w:val="00AA1358"/>
    <w:rsid w:val="00AA13D6"/>
    <w:rsid w:val="00AA13DE"/>
    <w:rsid w:val="00AA14D3"/>
    <w:rsid w:val="00AA1655"/>
    <w:rsid w:val="00AA18C1"/>
    <w:rsid w:val="00AA19F2"/>
    <w:rsid w:val="00AA1CD8"/>
    <w:rsid w:val="00AA1E88"/>
    <w:rsid w:val="00AA232B"/>
    <w:rsid w:val="00AA2609"/>
    <w:rsid w:val="00AA26AD"/>
    <w:rsid w:val="00AA27A0"/>
    <w:rsid w:val="00AA2880"/>
    <w:rsid w:val="00AA2DA1"/>
    <w:rsid w:val="00AA2E11"/>
    <w:rsid w:val="00AA2F6F"/>
    <w:rsid w:val="00AA3D4F"/>
    <w:rsid w:val="00AA3F02"/>
    <w:rsid w:val="00AA4129"/>
    <w:rsid w:val="00AA41B4"/>
    <w:rsid w:val="00AA41D7"/>
    <w:rsid w:val="00AA4390"/>
    <w:rsid w:val="00AA47C3"/>
    <w:rsid w:val="00AA4818"/>
    <w:rsid w:val="00AA4EDA"/>
    <w:rsid w:val="00AA5412"/>
    <w:rsid w:val="00AA5711"/>
    <w:rsid w:val="00AA5805"/>
    <w:rsid w:val="00AA5C81"/>
    <w:rsid w:val="00AA5E3C"/>
    <w:rsid w:val="00AA5FDC"/>
    <w:rsid w:val="00AA66E7"/>
    <w:rsid w:val="00AA67A8"/>
    <w:rsid w:val="00AA68DF"/>
    <w:rsid w:val="00AA6A1C"/>
    <w:rsid w:val="00AA6B45"/>
    <w:rsid w:val="00AA6CB8"/>
    <w:rsid w:val="00AA6DB7"/>
    <w:rsid w:val="00AA6F37"/>
    <w:rsid w:val="00AA6FBB"/>
    <w:rsid w:val="00AA7296"/>
    <w:rsid w:val="00AA73EE"/>
    <w:rsid w:val="00AA74E7"/>
    <w:rsid w:val="00AA7BB7"/>
    <w:rsid w:val="00AA7BDD"/>
    <w:rsid w:val="00AB0063"/>
    <w:rsid w:val="00AB0138"/>
    <w:rsid w:val="00AB076A"/>
    <w:rsid w:val="00AB0817"/>
    <w:rsid w:val="00AB0A9A"/>
    <w:rsid w:val="00AB0B45"/>
    <w:rsid w:val="00AB0E1E"/>
    <w:rsid w:val="00AB14C8"/>
    <w:rsid w:val="00AB158B"/>
    <w:rsid w:val="00AB1957"/>
    <w:rsid w:val="00AB2126"/>
    <w:rsid w:val="00AB2161"/>
    <w:rsid w:val="00AB233E"/>
    <w:rsid w:val="00AB24DA"/>
    <w:rsid w:val="00AB2919"/>
    <w:rsid w:val="00AB29C9"/>
    <w:rsid w:val="00AB29D8"/>
    <w:rsid w:val="00AB2BA2"/>
    <w:rsid w:val="00AB3088"/>
    <w:rsid w:val="00AB30AD"/>
    <w:rsid w:val="00AB388F"/>
    <w:rsid w:val="00AB3CCC"/>
    <w:rsid w:val="00AB3FA8"/>
    <w:rsid w:val="00AB4100"/>
    <w:rsid w:val="00AB41D1"/>
    <w:rsid w:val="00AB46BE"/>
    <w:rsid w:val="00AB4C41"/>
    <w:rsid w:val="00AB4D51"/>
    <w:rsid w:val="00AB5087"/>
    <w:rsid w:val="00AB546A"/>
    <w:rsid w:val="00AB54B0"/>
    <w:rsid w:val="00AB5582"/>
    <w:rsid w:val="00AB5AA7"/>
    <w:rsid w:val="00AB5BC1"/>
    <w:rsid w:val="00AB5F97"/>
    <w:rsid w:val="00AB6114"/>
    <w:rsid w:val="00AB615F"/>
    <w:rsid w:val="00AB61EC"/>
    <w:rsid w:val="00AB633A"/>
    <w:rsid w:val="00AB634D"/>
    <w:rsid w:val="00AB6F72"/>
    <w:rsid w:val="00AB71A4"/>
    <w:rsid w:val="00AB71C6"/>
    <w:rsid w:val="00AB785A"/>
    <w:rsid w:val="00AB7B4A"/>
    <w:rsid w:val="00AC03C1"/>
    <w:rsid w:val="00AC048D"/>
    <w:rsid w:val="00AC0BBD"/>
    <w:rsid w:val="00AC0C0C"/>
    <w:rsid w:val="00AC0C7C"/>
    <w:rsid w:val="00AC0D7D"/>
    <w:rsid w:val="00AC0F72"/>
    <w:rsid w:val="00AC144D"/>
    <w:rsid w:val="00AC1633"/>
    <w:rsid w:val="00AC165A"/>
    <w:rsid w:val="00AC1AF2"/>
    <w:rsid w:val="00AC1FC9"/>
    <w:rsid w:val="00AC2021"/>
    <w:rsid w:val="00AC21D5"/>
    <w:rsid w:val="00AC2288"/>
    <w:rsid w:val="00AC255D"/>
    <w:rsid w:val="00AC28E4"/>
    <w:rsid w:val="00AC2ACD"/>
    <w:rsid w:val="00AC2B78"/>
    <w:rsid w:val="00AC2D4D"/>
    <w:rsid w:val="00AC2D78"/>
    <w:rsid w:val="00AC2D90"/>
    <w:rsid w:val="00AC2F40"/>
    <w:rsid w:val="00AC3274"/>
    <w:rsid w:val="00AC3418"/>
    <w:rsid w:val="00AC347C"/>
    <w:rsid w:val="00AC3533"/>
    <w:rsid w:val="00AC37AD"/>
    <w:rsid w:val="00AC3880"/>
    <w:rsid w:val="00AC389E"/>
    <w:rsid w:val="00AC38CE"/>
    <w:rsid w:val="00AC4283"/>
    <w:rsid w:val="00AC444B"/>
    <w:rsid w:val="00AC4760"/>
    <w:rsid w:val="00AC4948"/>
    <w:rsid w:val="00AC4BB7"/>
    <w:rsid w:val="00AC4D83"/>
    <w:rsid w:val="00AC4DAE"/>
    <w:rsid w:val="00AC4DF1"/>
    <w:rsid w:val="00AC519C"/>
    <w:rsid w:val="00AC52A3"/>
    <w:rsid w:val="00AC53E7"/>
    <w:rsid w:val="00AC53E9"/>
    <w:rsid w:val="00AC54D9"/>
    <w:rsid w:val="00AC5780"/>
    <w:rsid w:val="00AC5817"/>
    <w:rsid w:val="00AC5926"/>
    <w:rsid w:val="00AC5C13"/>
    <w:rsid w:val="00AC5C68"/>
    <w:rsid w:val="00AC629D"/>
    <w:rsid w:val="00AC6769"/>
    <w:rsid w:val="00AC688D"/>
    <w:rsid w:val="00AC714C"/>
    <w:rsid w:val="00AC71A3"/>
    <w:rsid w:val="00AC73BC"/>
    <w:rsid w:val="00AC7556"/>
    <w:rsid w:val="00AC76F6"/>
    <w:rsid w:val="00AC7C65"/>
    <w:rsid w:val="00AC7D0E"/>
    <w:rsid w:val="00AC7D73"/>
    <w:rsid w:val="00AC7E29"/>
    <w:rsid w:val="00AC7E7A"/>
    <w:rsid w:val="00AD01AD"/>
    <w:rsid w:val="00AD077C"/>
    <w:rsid w:val="00AD09C7"/>
    <w:rsid w:val="00AD0A6F"/>
    <w:rsid w:val="00AD0B48"/>
    <w:rsid w:val="00AD0C9D"/>
    <w:rsid w:val="00AD0CA2"/>
    <w:rsid w:val="00AD0D31"/>
    <w:rsid w:val="00AD13DC"/>
    <w:rsid w:val="00AD161B"/>
    <w:rsid w:val="00AD1809"/>
    <w:rsid w:val="00AD1859"/>
    <w:rsid w:val="00AD1A97"/>
    <w:rsid w:val="00AD1BC5"/>
    <w:rsid w:val="00AD21B3"/>
    <w:rsid w:val="00AD25D2"/>
    <w:rsid w:val="00AD25F2"/>
    <w:rsid w:val="00AD280F"/>
    <w:rsid w:val="00AD2D15"/>
    <w:rsid w:val="00AD3063"/>
    <w:rsid w:val="00AD3918"/>
    <w:rsid w:val="00AD3B03"/>
    <w:rsid w:val="00AD3FF0"/>
    <w:rsid w:val="00AD421C"/>
    <w:rsid w:val="00AD4270"/>
    <w:rsid w:val="00AD4463"/>
    <w:rsid w:val="00AD4563"/>
    <w:rsid w:val="00AD48A5"/>
    <w:rsid w:val="00AD4B4A"/>
    <w:rsid w:val="00AD4B9A"/>
    <w:rsid w:val="00AD4C9B"/>
    <w:rsid w:val="00AD4D49"/>
    <w:rsid w:val="00AD50B8"/>
    <w:rsid w:val="00AD5116"/>
    <w:rsid w:val="00AD5999"/>
    <w:rsid w:val="00AD5A91"/>
    <w:rsid w:val="00AD6006"/>
    <w:rsid w:val="00AD6133"/>
    <w:rsid w:val="00AD6219"/>
    <w:rsid w:val="00AD648E"/>
    <w:rsid w:val="00AD64A2"/>
    <w:rsid w:val="00AD68E0"/>
    <w:rsid w:val="00AD6C95"/>
    <w:rsid w:val="00AD6D9A"/>
    <w:rsid w:val="00AD6F61"/>
    <w:rsid w:val="00AD712B"/>
    <w:rsid w:val="00AD71D0"/>
    <w:rsid w:val="00AD72CE"/>
    <w:rsid w:val="00AD7399"/>
    <w:rsid w:val="00AD740C"/>
    <w:rsid w:val="00AD7532"/>
    <w:rsid w:val="00AD7582"/>
    <w:rsid w:val="00AD7700"/>
    <w:rsid w:val="00AD78FB"/>
    <w:rsid w:val="00AD7ACB"/>
    <w:rsid w:val="00AD7F60"/>
    <w:rsid w:val="00AD7FB6"/>
    <w:rsid w:val="00AE0131"/>
    <w:rsid w:val="00AE016E"/>
    <w:rsid w:val="00AE035E"/>
    <w:rsid w:val="00AE0A48"/>
    <w:rsid w:val="00AE0F29"/>
    <w:rsid w:val="00AE1115"/>
    <w:rsid w:val="00AE11A0"/>
    <w:rsid w:val="00AE14DB"/>
    <w:rsid w:val="00AE166D"/>
    <w:rsid w:val="00AE1C9E"/>
    <w:rsid w:val="00AE2065"/>
    <w:rsid w:val="00AE20AF"/>
    <w:rsid w:val="00AE22AA"/>
    <w:rsid w:val="00AE25CE"/>
    <w:rsid w:val="00AE263F"/>
    <w:rsid w:val="00AE265F"/>
    <w:rsid w:val="00AE2673"/>
    <w:rsid w:val="00AE2770"/>
    <w:rsid w:val="00AE288C"/>
    <w:rsid w:val="00AE29AA"/>
    <w:rsid w:val="00AE31A5"/>
    <w:rsid w:val="00AE31D7"/>
    <w:rsid w:val="00AE31E4"/>
    <w:rsid w:val="00AE329F"/>
    <w:rsid w:val="00AE3472"/>
    <w:rsid w:val="00AE3651"/>
    <w:rsid w:val="00AE3654"/>
    <w:rsid w:val="00AE38D5"/>
    <w:rsid w:val="00AE4198"/>
    <w:rsid w:val="00AE4476"/>
    <w:rsid w:val="00AE4677"/>
    <w:rsid w:val="00AE47F0"/>
    <w:rsid w:val="00AE488E"/>
    <w:rsid w:val="00AE48BF"/>
    <w:rsid w:val="00AE4B4B"/>
    <w:rsid w:val="00AE4FF1"/>
    <w:rsid w:val="00AE5322"/>
    <w:rsid w:val="00AE5533"/>
    <w:rsid w:val="00AE5620"/>
    <w:rsid w:val="00AE58F9"/>
    <w:rsid w:val="00AE5C0C"/>
    <w:rsid w:val="00AE62FA"/>
    <w:rsid w:val="00AE657A"/>
    <w:rsid w:val="00AE6719"/>
    <w:rsid w:val="00AE6788"/>
    <w:rsid w:val="00AE6BA0"/>
    <w:rsid w:val="00AE6E4A"/>
    <w:rsid w:val="00AE6E5A"/>
    <w:rsid w:val="00AE6F88"/>
    <w:rsid w:val="00AE77EC"/>
    <w:rsid w:val="00AE7BCE"/>
    <w:rsid w:val="00AF016E"/>
    <w:rsid w:val="00AF0250"/>
    <w:rsid w:val="00AF0492"/>
    <w:rsid w:val="00AF0542"/>
    <w:rsid w:val="00AF05F9"/>
    <w:rsid w:val="00AF0772"/>
    <w:rsid w:val="00AF07F1"/>
    <w:rsid w:val="00AF0ED9"/>
    <w:rsid w:val="00AF11DE"/>
    <w:rsid w:val="00AF1308"/>
    <w:rsid w:val="00AF13AF"/>
    <w:rsid w:val="00AF1523"/>
    <w:rsid w:val="00AF17C6"/>
    <w:rsid w:val="00AF1A5C"/>
    <w:rsid w:val="00AF1B7E"/>
    <w:rsid w:val="00AF2008"/>
    <w:rsid w:val="00AF25A5"/>
    <w:rsid w:val="00AF25CE"/>
    <w:rsid w:val="00AF29B1"/>
    <w:rsid w:val="00AF2BE1"/>
    <w:rsid w:val="00AF2F53"/>
    <w:rsid w:val="00AF2F98"/>
    <w:rsid w:val="00AF3084"/>
    <w:rsid w:val="00AF3138"/>
    <w:rsid w:val="00AF327B"/>
    <w:rsid w:val="00AF3634"/>
    <w:rsid w:val="00AF36FC"/>
    <w:rsid w:val="00AF37CA"/>
    <w:rsid w:val="00AF3866"/>
    <w:rsid w:val="00AF3977"/>
    <w:rsid w:val="00AF3C67"/>
    <w:rsid w:val="00AF3EA3"/>
    <w:rsid w:val="00AF4090"/>
    <w:rsid w:val="00AF40B8"/>
    <w:rsid w:val="00AF4191"/>
    <w:rsid w:val="00AF447C"/>
    <w:rsid w:val="00AF4483"/>
    <w:rsid w:val="00AF4609"/>
    <w:rsid w:val="00AF4772"/>
    <w:rsid w:val="00AF4B40"/>
    <w:rsid w:val="00AF4DFD"/>
    <w:rsid w:val="00AF538C"/>
    <w:rsid w:val="00AF5418"/>
    <w:rsid w:val="00AF5768"/>
    <w:rsid w:val="00AF58A8"/>
    <w:rsid w:val="00AF593E"/>
    <w:rsid w:val="00AF5B59"/>
    <w:rsid w:val="00AF5BBB"/>
    <w:rsid w:val="00AF5ED4"/>
    <w:rsid w:val="00AF626A"/>
    <w:rsid w:val="00AF6519"/>
    <w:rsid w:val="00AF654A"/>
    <w:rsid w:val="00AF667D"/>
    <w:rsid w:val="00AF6904"/>
    <w:rsid w:val="00AF6939"/>
    <w:rsid w:val="00AF6AD4"/>
    <w:rsid w:val="00AF6AE1"/>
    <w:rsid w:val="00AF6BE1"/>
    <w:rsid w:val="00AF6C5E"/>
    <w:rsid w:val="00AF7025"/>
    <w:rsid w:val="00AF7346"/>
    <w:rsid w:val="00AF797B"/>
    <w:rsid w:val="00AF7C24"/>
    <w:rsid w:val="00AF7C6F"/>
    <w:rsid w:val="00AF7EEF"/>
    <w:rsid w:val="00B00023"/>
    <w:rsid w:val="00B00310"/>
    <w:rsid w:val="00B004E7"/>
    <w:rsid w:val="00B005F4"/>
    <w:rsid w:val="00B00728"/>
    <w:rsid w:val="00B00A6C"/>
    <w:rsid w:val="00B00E24"/>
    <w:rsid w:val="00B010D8"/>
    <w:rsid w:val="00B010FF"/>
    <w:rsid w:val="00B011DE"/>
    <w:rsid w:val="00B01418"/>
    <w:rsid w:val="00B0147D"/>
    <w:rsid w:val="00B014C6"/>
    <w:rsid w:val="00B014EC"/>
    <w:rsid w:val="00B01659"/>
    <w:rsid w:val="00B01C6B"/>
    <w:rsid w:val="00B01D44"/>
    <w:rsid w:val="00B029C2"/>
    <w:rsid w:val="00B02B3B"/>
    <w:rsid w:val="00B02BCC"/>
    <w:rsid w:val="00B02ED1"/>
    <w:rsid w:val="00B02ED7"/>
    <w:rsid w:val="00B031C3"/>
    <w:rsid w:val="00B03474"/>
    <w:rsid w:val="00B03554"/>
    <w:rsid w:val="00B03591"/>
    <w:rsid w:val="00B03BB9"/>
    <w:rsid w:val="00B0410A"/>
    <w:rsid w:val="00B0489E"/>
    <w:rsid w:val="00B04E39"/>
    <w:rsid w:val="00B050A7"/>
    <w:rsid w:val="00B051BB"/>
    <w:rsid w:val="00B05868"/>
    <w:rsid w:val="00B05B71"/>
    <w:rsid w:val="00B05CDB"/>
    <w:rsid w:val="00B05EF8"/>
    <w:rsid w:val="00B061D6"/>
    <w:rsid w:val="00B0633D"/>
    <w:rsid w:val="00B06577"/>
    <w:rsid w:val="00B06655"/>
    <w:rsid w:val="00B069CB"/>
    <w:rsid w:val="00B06B9A"/>
    <w:rsid w:val="00B07017"/>
    <w:rsid w:val="00B07314"/>
    <w:rsid w:val="00B078BA"/>
    <w:rsid w:val="00B07AB7"/>
    <w:rsid w:val="00B07B0F"/>
    <w:rsid w:val="00B07BBF"/>
    <w:rsid w:val="00B10159"/>
    <w:rsid w:val="00B10783"/>
    <w:rsid w:val="00B1078B"/>
    <w:rsid w:val="00B10798"/>
    <w:rsid w:val="00B10C01"/>
    <w:rsid w:val="00B10E48"/>
    <w:rsid w:val="00B11218"/>
    <w:rsid w:val="00B112DB"/>
    <w:rsid w:val="00B11492"/>
    <w:rsid w:val="00B115AA"/>
    <w:rsid w:val="00B11687"/>
    <w:rsid w:val="00B117A6"/>
    <w:rsid w:val="00B11818"/>
    <w:rsid w:val="00B11A32"/>
    <w:rsid w:val="00B11E0E"/>
    <w:rsid w:val="00B121A6"/>
    <w:rsid w:val="00B12347"/>
    <w:rsid w:val="00B123A3"/>
    <w:rsid w:val="00B124B4"/>
    <w:rsid w:val="00B1261B"/>
    <w:rsid w:val="00B1281D"/>
    <w:rsid w:val="00B12BF8"/>
    <w:rsid w:val="00B12F91"/>
    <w:rsid w:val="00B13007"/>
    <w:rsid w:val="00B1383F"/>
    <w:rsid w:val="00B13901"/>
    <w:rsid w:val="00B13ABE"/>
    <w:rsid w:val="00B13E33"/>
    <w:rsid w:val="00B13ECC"/>
    <w:rsid w:val="00B14020"/>
    <w:rsid w:val="00B14185"/>
    <w:rsid w:val="00B14241"/>
    <w:rsid w:val="00B14741"/>
    <w:rsid w:val="00B1479A"/>
    <w:rsid w:val="00B147ED"/>
    <w:rsid w:val="00B149F6"/>
    <w:rsid w:val="00B14C07"/>
    <w:rsid w:val="00B14CBB"/>
    <w:rsid w:val="00B14D2A"/>
    <w:rsid w:val="00B15571"/>
    <w:rsid w:val="00B155C3"/>
    <w:rsid w:val="00B156D1"/>
    <w:rsid w:val="00B158F7"/>
    <w:rsid w:val="00B1590F"/>
    <w:rsid w:val="00B15A82"/>
    <w:rsid w:val="00B15B08"/>
    <w:rsid w:val="00B15C2C"/>
    <w:rsid w:val="00B15DCC"/>
    <w:rsid w:val="00B15F2E"/>
    <w:rsid w:val="00B165A1"/>
    <w:rsid w:val="00B1667A"/>
    <w:rsid w:val="00B166A5"/>
    <w:rsid w:val="00B16999"/>
    <w:rsid w:val="00B169CB"/>
    <w:rsid w:val="00B16B1A"/>
    <w:rsid w:val="00B16D3D"/>
    <w:rsid w:val="00B1702B"/>
    <w:rsid w:val="00B170B4"/>
    <w:rsid w:val="00B1724D"/>
    <w:rsid w:val="00B1737C"/>
    <w:rsid w:val="00B17493"/>
    <w:rsid w:val="00B17868"/>
    <w:rsid w:val="00B20014"/>
    <w:rsid w:val="00B200E1"/>
    <w:rsid w:val="00B20331"/>
    <w:rsid w:val="00B203A6"/>
    <w:rsid w:val="00B20408"/>
    <w:rsid w:val="00B2042E"/>
    <w:rsid w:val="00B20513"/>
    <w:rsid w:val="00B205B1"/>
    <w:rsid w:val="00B209F0"/>
    <w:rsid w:val="00B21036"/>
    <w:rsid w:val="00B21560"/>
    <w:rsid w:val="00B216E7"/>
    <w:rsid w:val="00B217A2"/>
    <w:rsid w:val="00B21A39"/>
    <w:rsid w:val="00B21B6F"/>
    <w:rsid w:val="00B21CEA"/>
    <w:rsid w:val="00B21D4C"/>
    <w:rsid w:val="00B21D68"/>
    <w:rsid w:val="00B21D8E"/>
    <w:rsid w:val="00B21EB7"/>
    <w:rsid w:val="00B21F10"/>
    <w:rsid w:val="00B22473"/>
    <w:rsid w:val="00B22592"/>
    <w:rsid w:val="00B22B66"/>
    <w:rsid w:val="00B22C0B"/>
    <w:rsid w:val="00B22CE1"/>
    <w:rsid w:val="00B22D67"/>
    <w:rsid w:val="00B22EB7"/>
    <w:rsid w:val="00B23058"/>
    <w:rsid w:val="00B231D0"/>
    <w:rsid w:val="00B233B8"/>
    <w:rsid w:val="00B234DB"/>
    <w:rsid w:val="00B23564"/>
    <w:rsid w:val="00B23610"/>
    <w:rsid w:val="00B2378B"/>
    <w:rsid w:val="00B23B3B"/>
    <w:rsid w:val="00B23B4C"/>
    <w:rsid w:val="00B23BE4"/>
    <w:rsid w:val="00B2449C"/>
    <w:rsid w:val="00B24651"/>
    <w:rsid w:val="00B24672"/>
    <w:rsid w:val="00B246C5"/>
    <w:rsid w:val="00B24AB8"/>
    <w:rsid w:val="00B24B29"/>
    <w:rsid w:val="00B24C54"/>
    <w:rsid w:val="00B24F1F"/>
    <w:rsid w:val="00B250D5"/>
    <w:rsid w:val="00B252DB"/>
    <w:rsid w:val="00B2552C"/>
    <w:rsid w:val="00B25548"/>
    <w:rsid w:val="00B2556D"/>
    <w:rsid w:val="00B257C2"/>
    <w:rsid w:val="00B259AE"/>
    <w:rsid w:val="00B259DB"/>
    <w:rsid w:val="00B26253"/>
    <w:rsid w:val="00B264F3"/>
    <w:rsid w:val="00B2654B"/>
    <w:rsid w:val="00B266DA"/>
    <w:rsid w:val="00B26961"/>
    <w:rsid w:val="00B270A0"/>
    <w:rsid w:val="00B272ED"/>
    <w:rsid w:val="00B27366"/>
    <w:rsid w:val="00B27478"/>
    <w:rsid w:val="00B277D0"/>
    <w:rsid w:val="00B279D4"/>
    <w:rsid w:val="00B27C3F"/>
    <w:rsid w:val="00B3068F"/>
    <w:rsid w:val="00B30920"/>
    <w:rsid w:val="00B30C26"/>
    <w:rsid w:val="00B30D43"/>
    <w:rsid w:val="00B30DAF"/>
    <w:rsid w:val="00B30E13"/>
    <w:rsid w:val="00B310A0"/>
    <w:rsid w:val="00B31267"/>
    <w:rsid w:val="00B317C5"/>
    <w:rsid w:val="00B31860"/>
    <w:rsid w:val="00B31C5A"/>
    <w:rsid w:val="00B31DE6"/>
    <w:rsid w:val="00B31DEC"/>
    <w:rsid w:val="00B324C1"/>
    <w:rsid w:val="00B32565"/>
    <w:rsid w:val="00B325EE"/>
    <w:rsid w:val="00B3268E"/>
    <w:rsid w:val="00B32B5B"/>
    <w:rsid w:val="00B32CB2"/>
    <w:rsid w:val="00B32DE1"/>
    <w:rsid w:val="00B32EC3"/>
    <w:rsid w:val="00B3309F"/>
    <w:rsid w:val="00B331BD"/>
    <w:rsid w:val="00B333BF"/>
    <w:rsid w:val="00B3344D"/>
    <w:rsid w:val="00B33E45"/>
    <w:rsid w:val="00B33EB1"/>
    <w:rsid w:val="00B3406B"/>
    <w:rsid w:val="00B3432B"/>
    <w:rsid w:val="00B3458B"/>
    <w:rsid w:val="00B34871"/>
    <w:rsid w:val="00B349D8"/>
    <w:rsid w:val="00B34B2F"/>
    <w:rsid w:val="00B34CF5"/>
    <w:rsid w:val="00B34D08"/>
    <w:rsid w:val="00B34D1A"/>
    <w:rsid w:val="00B3500B"/>
    <w:rsid w:val="00B35098"/>
    <w:rsid w:val="00B3517F"/>
    <w:rsid w:val="00B352BD"/>
    <w:rsid w:val="00B35459"/>
    <w:rsid w:val="00B35523"/>
    <w:rsid w:val="00B35571"/>
    <w:rsid w:val="00B35850"/>
    <w:rsid w:val="00B35B0F"/>
    <w:rsid w:val="00B35DBA"/>
    <w:rsid w:val="00B35F72"/>
    <w:rsid w:val="00B3610C"/>
    <w:rsid w:val="00B365BD"/>
    <w:rsid w:val="00B3667E"/>
    <w:rsid w:val="00B36842"/>
    <w:rsid w:val="00B36856"/>
    <w:rsid w:val="00B3697D"/>
    <w:rsid w:val="00B36A15"/>
    <w:rsid w:val="00B36BC1"/>
    <w:rsid w:val="00B36D0B"/>
    <w:rsid w:val="00B36DE0"/>
    <w:rsid w:val="00B37286"/>
    <w:rsid w:val="00B37557"/>
    <w:rsid w:val="00B37582"/>
    <w:rsid w:val="00B376E5"/>
    <w:rsid w:val="00B376EA"/>
    <w:rsid w:val="00B37743"/>
    <w:rsid w:val="00B37A9E"/>
    <w:rsid w:val="00B37C1B"/>
    <w:rsid w:val="00B37D1F"/>
    <w:rsid w:val="00B401FD"/>
    <w:rsid w:val="00B404EC"/>
    <w:rsid w:val="00B406ED"/>
    <w:rsid w:val="00B40E61"/>
    <w:rsid w:val="00B412CA"/>
    <w:rsid w:val="00B41658"/>
    <w:rsid w:val="00B41785"/>
    <w:rsid w:val="00B417FE"/>
    <w:rsid w:val="00B41C72"/>
    <w:rsid w:val="00B41D92"/>
    <w:rsid w:val="00B41E74"/>
    <w:rsid w:val="00B41EE7"/>
    <w:rsid w:val="00B41F4E"/>
    <w:rsid w:val="00B422B9"/>
    <w:rsid w:val="00B422E4"/>
    <w:rsid w:val="00B4233E"/>
    <w:rsid w:val="00B42634"/>
    <w:rsid w:val="00B428C6"/>
    <w:rsid w:val="00B42C84"/>
    <w:rsid w:val="00B42F27"/>
    <w:rsid w:val="00B43085"/>
    <w:rsid w:val="00B4323B"/>
    <w:rsid w:val="00B43477"/>
    <w:rsid w:val="00B434F9"/>
    <w:rsid w:val="00B43544"/>
    <w:rsid w:val="00B436D8"/>
    <w:rsid w:val="00B43D2F"/>
    <w:rsid w:val="00B43D67"/>
    <w:rsid w:val="00B43FB4"/>
    <w:rsid w:val="00B44171"/>
    <w:rsid w:val="00B446BA"/>
    <w:rsid w:val="00B44BC8"/>
    <w:rsid w:val="00B44C28"/>
    <w:rsid w:val="00B44CE0"/>
    <w:rsid w:val="00B44EDB"/>
    <w:rsid w:val="00B44F7F"/>
    <w:rsid w:val="00B44FA9"/>
    <w:rsid w:val="00B456A3"/>
    <w:rsid w:val="00B45703"/>
    <w:rsid w:val="00B45856"/>
    <w:rsid w:val="00B45C5C"/>
    <w:rsid w:val="00B45D1B"/>
    <w:rsid w:val="00B45E13"/>
    <w:rsid w:val="00B46021"/>
    <w:rsid w:val="00B4619E"/>
    <w:rsid w:val="00B461EA"/>
    <w:rsid w:val="00B461F6"/>
    <w:rsid w:val="00B46332"/>
    <w:rsid w:val="00B463B0"/>
    <w:rsid w:val="00B464BF"/>
    <w:rsid w:val="00B46A8F"/>
    <w:rsid w:val="00B46B5A"/>
    <w:rsid w:val="00B46EA2"/>
    <w:rsid w:val="00B46F3E"/>
    <w:rsid w:val="00B472FF"/>
    <w:rsid w:val="00B47351"/>
    <w:rsid w:val="00B4791D"/>
    <w:rsid w:val="00B47B2A"/>
    <w:rsid w:val="00B47B50"/>
    <w:rsid w:val="00B47BD1"/>
    <w:rsid w:val="00B47DE1"/>
    <w:rsid w:val="00B47E78"/>
    <w:rsid w:val="00B47ECB"/>
    <w:rsid w:val="00B47ED2"/>
    <w:rsid w:val="00B47F5D"/>
    <w:rsid w:val="00B5006F"/>
    <w:rsid w:val="00B503A7"/>
    <w:rsid w:val="00B5044B"/>
    <w:rsid w:val="00B505F3"/>
    <w:rsid w:val="00B5067E"/>
    <w:rsid w:val="00B507EC"/>
    <w:rsid w:val="00B5087C"/>
    <w:rsid w:val="00B50D34"/>
    <w:rsid w:val="00B50D82"/>
    <w:rsid w:val="00B50E5D"/>
    <w:rsid w:val="00B511A9"/>
    <w:rsid w:val="00B51298"/>
    <w:rsid w:val="00B5135E"/>
    <w:rsid w:val="00B51476"/>
    <w:rsid w:val="00B514AB"/>
    <w:rsid w:val="00B51554"/>
    <w:rsid w:val="00B5171F"/>
    <w:rsid w:val="00B51843"/>
    <w:rsid w:val="00B518DD"/>
    <w:rsid w:val="00B519D5"/>
    <w:rsid w:val="00B519D8"/>
    <w:rsid w:val="00B51D4C"/>
    <w:rsid w:val="00B51DD1"/>
    <w:rsid w:val="00B52381"/>
    <w:rsid w:val="00B523B4"/>
    <w:rsid w:val="00B52712"/>
    <w:rsid w:val="00B52821"/>
    <w:rsid w:val="00B5290C"/>
    <w:rsid w:val="00B5293E"/>
    <w:rsid w:val="00B52B2E"/>
    <w:rsid w:val="00B52BAE"/>
    <w:rsid w:val="00B52E3E"/>
    <w:rsid w:val="00B52EB6"/>
    <w:rsid w:val="00B52F10"/>
    <w:rsid w:val="00B52FCB"/>
    <w:rsid w:val="00B5305C"/>
    <w:rsid w:val="00B531BB"/>
    <w:rsid w:val="00B531F5"/>
    <w:rsid w:val="00B533AB"/>
    <w:rsid w:val="00B53555"/>
    <w:rsid w:val="00B536B8"/>
    <w:rsid w:val="00B536EB"/>
    <w:rsid w:val="00B53824"/>
    <w:rsid w:val="00B53BBD"/>
    <w:rsid w:val="00B53C27"/>
    <w:rsid w:val="00B53DA6"/>
    <w:rsid w:val="00B5424C"/>
    <w:rsid w:val="00B54269"/>
    <w:rsid w:val="00B542FF"/>
    <w:rsid w:val="00B5457F"/>
    <w:rsid w:val="00B5475C"/>
    <w:rsid w:val="00B54780"/>
    <w:rsid w:val="00B54808"/>
    <w:rsid w:val="00B5499B"/>
    <w:rsid w:val="00B54A9D"/>
    <w:rsid w:val="00B54E7C"/>
    <w:rsid w:val="00B552C5"/>
    <w:rsid w:val="00B5558A"/>
    <w:rsid w:val="00B55A3B"/>
    <w:rsid w:val="00B55A5D"/>
    <w:rsid w:val="00B55A98"/>
    <w:rsid w:val="00B55AF2"/>
    <w:rsid w:val="00B55BCF"/>
    <w:rsid w:val="00B55BEB"/>
    <w:rsid w:val="00B55C51"/>
    <w:rsid w:val="00B55E6E"/>
    <w:rsid w:val="00B55E9C"/>
    <w:rsid w:val="00B560DF"/>
    <w:rsid w:val="00B56118"/>
    <w:rsid w:val="00B56330"/>
    <w:rsid w:val="00B5636A"/>
    <w:rsid w:val="00B565B7"/>
    <w:rsid w:val="00B56670"/>
    <w:rsid w:val="00B56750"/>
    <w:rsid w:val="00B567AA"/>
    <w:rsid w:val="00B56954"/>
    <w:rsid w:val="00B56CCB"/>
    <w:rsid w:val="00B571A3"/>
    <w:rsid w:val="00B571D4"/>
    <w:rsid w:val="00B57228"/>
    <w:rsid w:val="00B57521"/>
    <w:rsid w:val="00B57BC2"/>
    <w:rsid w:val="00B57C8E"/>
    <w:rsid w:val="00B57CBB"/>
    <w:rsid w:val="00B60064"/>
    <w:rsid w:val="00B601E9"/>
    <w:rsid w:val="00B60A85"/>
    <w:rsid w:val="00B60B0F"/>
    <w:rsid w:val="00B60B15"/>
    <w:rsid w:val="00B60FE1"/>
    <w:rsid w:val="00B61084"/>
    <w:rsid w:val="00B611AE"/>
    <w:rsid w:val="00B612B5"/>
    <w:rsid w:val="00B61540"/>
    <w:rsid w:val="00B61999"/>
    <w:rsid w:val="00B61AC5"/>
    <w:rsid w:val="00B61B9E"/>
    <w:rsid w:val="00B61E95"/>
    <w:rsid w:val="00B61F36"/>
    <w:rsid w:val="00B629E7"/>
    <w:rsid w:val="00B629F9"/>
    <w:rsid w:val="00B63252"/>
    <w:rsid w:val="00B63598"/>
    <w:rsid w:val="00B638B6"/>
    <w:rsid w:val="00B639B6"/>
    <w:rsid w:val="00B63E44"/>
    <w:rsid w:val="00B63FC1"/>
    <w:rsid w:val="00B6418A"/>
    <w:rsid w:val="00B64195"/>
    <w:rsid w:val="00B64511"/>
    <w:rsid w:val="00B645D9"/>
    <w:rsid w:val="00B64745"/>
    <w:rsid w:val="00B64A6A"/>
    <w:rsid w:val="00B64C60"/>
    <w:rsid w:val="00B64E95"/>
    <w:rsid w:val="00B652BB"/>
    <w:rsid w:val="00B65876"/>
    <w:rsid w:val="00B65A6D"/>
    <w:rsid w:val="00B65BF3"/>
    <w:rsid w:val="00B65F82"/>
    <w:rsid w:val="00B661C2"/>
    <w:rsid w:val="00B66298"/>
    <w:rsid w:val="00B662B9"/>
    <w:rsid w:val="00B665A7"/>
    <w:rsid w:val="00B66619"/>
    <w:rsid w:val="00B668FC"/>
    <w:rsid w:val="00B66A34"/>
    <w:rsid w:val="00B66DB2"/>
    <w:rsid w:val="00B66E80"/>
    <w:rsid w:val="00B67056"/>
    <w:rsid w:val="00B672A3"/>
    <w:rsid w:val="00B672CA"/>
    <w:rsid w:val="00B675A8"/>
    <w:rsid w:val="00B676A9"/>
    <w:rsid w:val="00B677EF"/>
    <w:rsid w:val="00B67833"/>
    <w:rsid w:val="00B679F5"/>
    <w:rsid w:val="00B67B0E"/>
    <w:rsid w:val="00B67C5D"/>
    <w:rsid w:val="00B67D69"/>
    <w:rsid w:val="00B67FC1"/>
    <w:rsid w:val="00B70432"/>
    <w:rsid w:val="00B70706"/>
    <w:rsid w:val="00B70741"/>
    <w:rsid w:val="00B70894"/>
    <w:rsid w:val="00B7096F"/>
    <w:rsid w:val="00B709E5"/>
    <w:rsid w:val="00B70AF4"/>
    <w:rsid w:val="00B70C06"/>
    <w:rsid w:val="00B70DCF"/>
    <w:rsid w:val="00B70EFF"/>
    <w:rsid w:val="00B7101F"/>
    <w:rsid w:val="00B71190"/>
    <w:rsid w:val="00B7173D"/>
    <w:rsid w:val="00B717D9"/>
    <w:rsid w:val="00B71BE2"/>
    <w:rsid w:val="00B71D04"/>
    <w:rsid w:val="00B722FB"/>
    <w:rsid w:val="00B72374"/>
    <w:rsid w:val="00B724F8"/>
    <w:rsid w:val="00B72612"/>
    <w:rsid w:val="00B72665"/>
    <w:rsid w:val="00B726FC"/>
    <w:rsid w:val="00B72742"/>
    <w:rsid w:val="00B729DD"/>
    <w:rsid w:val="00B72B24"/>
    <w:rsid w:val="00B72BA4"/>
    <w:rsid w:val="00B72D49"/>
    <w:rsid w:val="00B72D93"/>
    <w:rsid w:val="00B72F0F"/>
    <w:rsid w:val="00B73042"/>
    <w:rsid w:val="00B731CD"/>
    <w:rsid w:val="00B731F5"/>
    <w:rsid w:val="00B73202"/>
    <w:rsid w:val="00B73211"/>
    <w:rsid w:val="00B73270"/>
    <w:rsid w:val="00B732F2"/>
    <w:rsid w:val="00B73360"/>
    <w:rsid w:val="00B733F3"/>
    <w:rsid w:val="00B73420"/>
    <w:rsid w:val="00B73859"/>
    <w:rsid w:val="00B73905"/>
    <w:rsid w:val="00B73C15"/>
    <w:rsid w:val="00B73F95"/>
    <w:rsid w:val="00B7432E"/>
    <w:rsid w:val="00B74372"/>
    <w:rsid w:val="00B74601"/>
    <w:rsid w:val="00B74A78"/>
    <w:rsid w:val="00B74D94"/>
    <w:rsid w:val="00B74EC9"/>
    <w:rsid w:val="00B74FE1"/>
    <w:rsid w:val="00B753D7"/>
    <w:rsid w:val="00B753E1"/>
    <w:rsid w:val="00B7543E"/>
    <w:rsid w:val="00B757AC"/>
    <w:rsid w:val="00B757DD"/>
    <w:rsid w:val="00B7592C"/>
    <w:rsid w:val="00B75D28"/>
    <w:rsid w:val="00B75E45"/>
    <w:rsid w:val="00B76006"/>
    <w:rsid w:val="00B76365"/>
    <w:rsid w:val="00B76C6B"/>
    <w:rsid w:val="00B76FCA"/>
    <w:rsid w:val="00B77542"/>
    <w:rsid w:val="00B800DC"/>
    <w:rsid w:val="00B8011B"/>
    <w:rsid w:val="00B8081D"/>
    <w:rsid w:val="00B809C9"/>
    <w:rsid w:val="00B809F7"/>
    <w:rsid w:val="00B80E91"/>
    <w:rsid w:val="00B80F9F"/>
    <w:rsid w:val="00B8103C"/>
    <w:rsid w:val="00B81057"/>
    <w:rsid w:val="00B8125B"/>
    <w:rsid w:val="00B8134B"/>
    <w:rsid w:val="00B81402"/>
    <w:rsid w:val="00B815F7"/>
    <w:rsid w:val="00B81758"/>
    <w:rsid w:val="00B81AD0"/>
    <w:rsid w:val="00B81B9B"/>
    <w:rsid w:val="00B81BF2"/>
    <w:rsid w:val="00B81D9E"/>
    <w:rsid w:val="00B81FA2"/>
    <w:rsid w:val="00B82011"/>
    <w:rsid w:val="00B82114"/>
    <w:rsid w:val="00B822B2"/>
    <w:rsid w:val="00B82374"/>
    <w:rsid w:val="00B82387"/>
    <w:rsid w:val="00B83241"/>
    <w:rsid w:val="00B83791"/>
    <w:rsid w:val="00B839D5"/>
    <w:rsid w:val="00B83B55"/>
    <w:rsid w:val="00B83C6D"/>
    <w:rsid w:val="00B83C7F"/>
    <w:rsid w:val="00B83DB5"/>
    <w:rsid w:val="00B83EF6"/>
    <w:rsid w:val="00B840FA"/>
    <w:rsid w:val="00B84612"/>
    <w:rsid w:val="00B8467C"/>
    <w:rsid w:val="00B84749"/>
    <w:rsid w:val="00B84E51"/>
    <w:rsid w:val="00B84EF5"/>
    <w:rsid w:val="00B84FC9"/>
    <w:rsid w:val="00B85132"/>
    <w:rsid w:val="00B85225"/>
    <w:rsid w:val="00B85376"/>
    <w:rsid w:val="00B85511"/>
    <w:rsid w:val="00B85637"/>
    <w:rsid w:val="00B857B2"/>
    <w:rsid w:val="00B8614A"/>
    <w:rsid w:val="00B86660"/>
    <w:rsid w:val="00B8669E"/>
    <w:rsid w:val="00B86853"/>
    <w:rsid w:val="00B868DE"/>
    <w:rsid w:val="00B869E1"/>
    <w:rsid w:val="00B86B1D"/>
    <w:rsid w:val="00B86BC6"/>
    <w:rsid w:val="00B86C1F"/>
    <w:rsid w:val="00B86E39"/>
    <w:rsid w:val="00B86E7A"/>
    <w:rsid w:val="00B87044"/>
    <w:rsid w:val="00B87055"/>
    <w:rsid w:val="00B870E0"/>
    <w:rsid w:val="00B8713D"/>
    <w:rsid w:val="00B87495"/>
    <w:rsid w:val="00B874A3"/>
    <w:rsid w:val="00B87755"/>
    <w:rsid w:val="00B87C0A"/>
    <w:rsid w:val="00B87D43"/>
    <w:rsid w:val="00B87DFE"/>
    <w:rsid w:val="00B900E5"/>
    <w:rsid w:val="00B90274"/>
    <w:rsid w:val="00B9053F"/>
    <w:rsid w:val="00B9062B"/>
    <w:rsid w:val="00B907AA"/>
    <w:rsid w:val="00B9092F"/>
    <w:rsid w:val="00B90ADF"/>
    <w:rsid w:val="00B90EE9"/>
    <w:rsid w:val="00B91243"/>
    <w:rsid w:val="00B913C6"/>
    <w:rsid w:val="00B9151B"/>
    <w:rsid w:val="00B9159C"/>
    <w:rsid w:val="00B91903"/>
    <w:rsid w:val="00B919F0"/>
    <w:rsid w:val="00B91CC4"/>
    <w:rsid w:val="00B91F86"/>
    <w:rsid w:val="00B920BC"/>
    <w:rsid w:val="00B9213E"/>
    <w:rsid w:val="00B9261A"/>
    <w:rsid w:val="00B92A53"/>
    <w:rsid w:val="00B92BF9"/>
    <w:rsid w:val="00B92D3E"/>
    <w:rsid w:val="00B92EC3"/>
    <w:rsid w:val="00B931DC"/>
    <w:rsid w:val="00B931DE"/>
    <w:rsid w:val="00B93607"/>
    <w:rsid w:val="00B93637"/>
    <w:rsid w:val="00B93653"/>
    <w:rsid w:val="00B93ADD"/>
    <w:rsid w:val="00B93BE9"/>
    <w:rsid w:val="00B93EC5"/>
    <w:rsid w:val="00B93FB3"/>
    <w:rsid w:val="00B9481F"/>
    <w:rsid w:val="00B94E61"/>
    <w:rsid w:val="00B94E6E"/>
    <w:rsid w:val="00B95250"/>
    <w:rsid w:val="00B95495"/>
    <w:rsid w:val="00B95577"/>
    <w:rsid w:val="00B95745"/>
    <w:rsid w:val="00B95BB9"/>
    <w:rsid w:val="00B95C72"/>
    <w:rsid w:val="00B95E63"/>
    <w:rsid w:val="00B95FB2"/>
    <w:rsid w:val="00B95FBD"/>
    <w:rsid w:val="00B9621F"/>
    <w:rsid w:val="00B9690F"/>
    <w:rsid w:val="00B9701C"/>
    <w:rsid w:val="00B970CD"/>
    <w:rsid w:val="00B97287"/>
    <w:rsid w:val="00B975DD"/>
    <w:rsid w:val="00B97626"/>
    <w:rsid w:val="00B976AB"/>
    <w:rsid w:val="00B976BD"/>
    <w:rsid w:val="00B97946"/>
    <w:rsid w:val="00B979FE"/>
    <w:rsid w:val="00BA0117"/>
    <w:rsid w:val="00BA0121"/>
    <w:rsid w:val="00BA044C"/>
    <w:rsid w:val="00BA0477"/>
    <w:rsid w:val="00BA053B"/>
    <w:rsid w:val="00BA086B"/>
    <w:rsid w:val="00BA0AFA"/>
    <w:rsid w:val="00BA0F35"/>
    <w:rsid w:val="00BA18C4"/>
    <w:rsid w:val="00BA18EE"/>
    <w:rsid w:val="00BA1912"/>
    <w:rsid w:val="00BA1996"/>
    <w:rsid w:val="00BA19C5"/>
    <w:rsid w:val="00BA1CD5"/>
    <w:rsid w:val="00BA1E15"/>
    <w:rsid w:val="00BA1EF4"/>
    <w:rsid w:val="00BA1F5D"/>
    <w:rsid w:val="00BA1F6B"/>
    <w:rsid w:val="00BA2129"/>
    <w:rsid w:val="00BA21EA"/>
    <w:rsid w:val="00BA220A"/>
    <w:rsid w:val="00BA227C"/>
    <w:rsid w:val="00BA23E1"/>
    <w:rsid w:val="00BA2739"/>
    <w:rsid w:val="00BA2DE8"/>
    <w:rsid w:val="00BA2DF5"/>
    <w:rsid w:val="00BA2E51"/>
    <w:rsid w:val="00BA2EB3"/>
    <w:rsid w:val="00BA3105"/>
    <w:rsid w:val="00BA311D"/>
    <w:rsid w:val="00BA32CE"/>
    <w:rsid w:val="00BA3487"/>
    <w:rsid w:val="00BA370C"/>
    <w:rsid w:val="00BA37A4"/>
    <w:rsid w:val="00BA37E3"/>
    <w:rsid w:val="00BA3AEF"/>
    <w:rsid w:val="00BA3C17"/>
    <w:rsid w:val="00BA3E26"/>
    <w:rsid w:val="00BA3E7A"/>
    <w:rsid w:val="00BA3FFD"/>
    <w:rsid w:val="00BA4340"/>
    <w:rsid w:val="00BA4478"/>
    <w:rsid w:val="00BA4957"/>
    <w:rsid w:val="00BA4993"/>
    <w:rsid w:val="00BA4CCB"/>
    <w:rsid w:val="00BA4E93"/>
    <w:rsid w:val="00BA5003"/>
    <w:rsid w:val="00BA5104"/>
    <w:rsid w:val="00BA547D"/>
    <w:rsid w:val="00BA5541"/>
    <w:rsid w:val="00BA5D8B"/>
    <w:rsid w:val="00BA5F63"/>
    <w:rsid w:val="00BA60E8"/>
    <w:rsid w:val="00BA6295"/>
    <w:rsid w:val="00BA630E"/>
    <w:rsid w:val="00BA6640"/>
    <w:rsid w:val="00BA6707"/>
    <w:rsid w:val="00BA6876"/>
    <w:rsid w:val="00BA6DDA"/>
    <w:rsid w:val="00BA6F01"/>
    <w:rsid w:val="00BA6FD5"/>
    <w:rsid w:val="00BA7140"/>
    <w:rsid w:val="00BA7926"/>
    <w:rsid w:val="00BB0514"/>
    <w:rsid w:val="00BB088D"/>
    <w:rsid w:val="00BB0897"/>
    <w:rsid w:val="00BB0971"/>
    <w:rsid w:val="00BB0986"/>
    <w:rsid w:val="00BB0BDE"/>
    <w:rsid w:val="00BB0C50"/>
    <w:rsid w:val="00BB1224"/>
    <w:rsid w:val="00BB129B"/>
    <w:rsid w:val="00BB12AB"/>
    <w:rsid w:val="00BB138B"/>
    <w:rsid w:val="00BB16FE"/>
    <w:rsid w:val="00BB1721"/>
    <w:rsid w:val="00BB1864"/>
    <w:rsid w:val="00BB1A2E"/>
    <w:rsid w:val="00BB1BB1"/>
    <w:rsid w:val="00BB1D66"/>
    <w:rsid w:val="00BB1E1E"/>
    <w:rsid w:val="00BB2232"/>
    <w:rsid w:val="00BB22BD"/>
    <w:rsid w:val="00BB23F6"/>
    <w:rsid w:val="00BB273E"/>
    <w:rsid w:val="00BB2AC0"/>
    <w:rsid w:val="00BB2ADC"/>
    <w:rsid w:val="00BB2B2D"/>
    <w:rsid w:val="00BB2B9D"/>
    <w:rsid w:val="00BB2D66"/>
    <w:rsid w:val="00BB2DA6"/>
    <w:rsid w:val="00BB2DE2"/>
    <w:rsid w:val="00BB3428"/>
    <w:rsid w:val="00BB34E6"/>
    <w:rsid w:val="00BB3717"/>
    <w:rsid w:val="00BB3980"/>
    <w:rsid w:val="00BB4338"/>
    <w:rsid w:val="00BB4845"/>
    <w:rsid w:val="00BB4C5D"/>
    <w:rsid w:val="00BB4E5C"/>
    <w:rsid w:val="00BB4E8D"/>
    <w:rsid w:val="00BB522D"/>
    <w:rsid w:val="00BB56EE"/>
    <w:rsid w:val="00BB56F1"/>
    <w:rsid w:val="00BB58B6"/>
    <w:rsid w:val="00BB5AC3"/>
    <w:rsid w:val="00BB5ACA"/>
    <w:rsid w:val="00BB5B41"/>
    <w:rsid w:val="00BB5CEE"/>
    <w:rsid w:val="00BB6196"/>
    <w:rsid w:val="00BB6363"/>
    <w:rsid w:val="00BB65AF"/>
    <w:rsid w:val="00BB6775"/>
    <w:rsid w:val="00BB68B9"/>
    <w:rsid w:val="00BB6E66"/>
    <w:rsid w:val="00BB6F40"/>
    <w:rsid w:val="00BB6F78"/>
    <w:rsid w:val="00BB6FF2"/>
    <w:rsid w:val="00BB76A0"/>
    <w:rsid w:val="00BB7958"/>
    <w:rsid w:val="00BC06E4"/>
    <w:rsid w:val="00BC0803"/>
    <w:rsid w:val="00BC0A1E"/>
    <w:rsid w:val="00BC0B41"/>
    <w:rsid w:val="00BC145D"/>
    <w:rsid w:val="00BC14CC"/>
    <w:rsid w:val="00BC17FA"/>
    <w:rsid w:val="00BC181A"/>
    <w:rsid w:val="00BC1859"/>
    <w:rsid w:val="00BC18D1"/>
    <w:rsid w:val="00BC2228"/>
    <w:rsid w:val="00BC22AF"/>
    <w:rsid w:val="00BC24CB"/>
    <w:rsid w:val="00BC24EC"/>
    <w:rsid w:val="00BC25AF"/>
    <w:rsid w:val="00BC2A52"/>
    <w:rsid w:val="00BC2DC2"/>
    <w:rsid w:val="00BC2FDC"/>
    <w:rsid w:val="00BC3453"/>
    <w:rsid w:val="00BC37DE"/>
    <w:rsid w:val="00BC38FF"/>
    <w:rsid w:val="00BC39A3"/>
    <w:rsid w:val="00BC3A23"/>
    <w:rsid w:val="00BC3AE8"/>
    <w:rsid w:val="00BC3E4A"/>
    <w:rsid w:val="00BC3F80"/>
    <w:rsid w:val="00BC419C"/>
    <w:rsid w:val="00BC43BC"/>
    <w:rsid w:val="00BC4567"/>
    <w:rsid w:val="00BC4733"/>
    <w:rsid w:val="00BC4818"/>
    <w:rsid w:val="00BC49D1"/>
    <w:rsid w:val="00BC4A1E"/>
    <w:rsid w:val="00BC4C6C"/>
    <w:rsid w:val="00BC51A5"/>
    <w:rsid w:val="00BC52C3"/>
    <w:rsid w:val="00BC5969"/>
    <w:rsid w:val="00BC59C2"/>
    <w:rsid w:val="00BC5BB5"/>
    <w:rsid w:val="00BC5D5F"/>
    <w:rsid w:val="00BC5DC5"/>
    <w:rsid w:val="00BC6130"/>
    <w:rsid w:val="00BC619B"/>
    <w:rsid w:val="00BC633D"/>
    <w:rsid w:val="00BC654E"/>
    <w:rsid w:val="00BC669C"/>
    <w:rsid w:val="00BC66D0"/>
    <w:rsid w:val="00BC6954"/>
    <w:rsid w:val="00BC6A7A"/>
    <w:rsid w:val="00BC6A9A"/>
    <w:rsid w:val="00BC6F6A"/>
    <w:rsid w:val="00BC708A"/>
    <w:rsid w:val="00BC7620"/>
    <w:rsid w:val="00BC7908"/>
    <w:rsid w:val="00BC7968"/>
    <w:rsid w:val="00BC7B76"/>
    <w:rsid w:val="00BC7CE5"/>
    <w:rsid w:val="00BC7D13"/>
    <w:rsid w:val="00BC7DB9"/>
    <w:rsid w:val="00BC7E83"/>
    <w:rsid w:val="00BD0317"/>
    <w:rsid w:val="00BD0616"/>
    <w:rsid w:val="00BD068B"/>
    <w:rsid w:val="00BD095A"/>
    <w:rsid w:val="00BD0AD2"/>
    <w:rsid w:val="00BD0D9A"/>
    <w:rsid w:val="00BD0FF1"/>
    <w:rsid w:val="00BD12FB"/>
    <w:rsid w:val="00BD1513"/>
    <w:rsid w:val="00BD19A2"/>
    <w:rsid w:val="00BD19D5"/>
    <w:rsid w:val="00BD1CA9"/>
    <w:rsid w:val="00BD1DC3"/>
    <w:rsid w:val="00BD23B2"/>
    <w:rsid w:val="00BD2599"/>
    <w:rsid w:val="00BD27CC"/>
    <w:rsid w:val="00BD2BD3"/>
    <w:rsid w:val="00BD2D05"/>
    <w:rsid w:val="00BD2D19"/>
    <w:rsid w:val="00BD33B3"/>
    <w:rsid w:val="00BD3551"/>
    <w:rsid w:val="00BD35C6"/>
    <w:rsid w:val="00BD3A0D"/>
    <w:rsid w:val="00BD3A76"/>
    <w:rsid w:val="00BD3B2D"/>
    <w:rsid w:val="00BD3CDB"/>
    <w:rsid w:val="00BD3EA9"/>
    <w:rsid w:val="00BD3F42"/>
    <w:rsid w:val="00BD40AF"/>
    <w:rsid w:val="00BD40CF"/>
    <w:rsid w:val="00BD4113"/>
    <w:rsid w:val="00BD43FC"/>
    <w:rsid w:val="00BD44D9"/>
    <w:rsid w:val="00BD46E5"/>
    <w:rsid w:val="00BD4840"/>
    <w:rsid w:val="00BD4867"/>
    <w:rsid w:val="00BD4E2A"/>
    <w:rsid w:val="00BD5083"/>
    <w:rsid w:val="00BD5784"/>
    <w:rsid w:val="00BD5CE8"/>
    <w:rsid w:val="00BD5E37"/>
    <w:rsid w:val="00BD619F"/>
    <w:rsid w:val="00BD61D6"/>
    <w:rsid w:val="00BD63CC"/>
    <w:rsid w:val="00BD64FC"/>
    <w:rsid w:val="00BD663A"/>
    <w:rsid w:val="00BD6763"/>
    <w:rsid w:val="00BD67A7"/>
    <w:rsid w:val="00BD68C2"/>
    <w:rsid w:val="00BD6DA2"/>
    <w:rsid w:val="00BD6FCD"/>
    <w:rsid w:val="00BD6FE1"/>
    <w:rsid w:val="00BD72AF"/>
    <w:rsid w:val="00BD744D"/>
    <w:rsid w:val="00BD75D2"/>
    <w:rsid w:val="00BD776F"/>
    <w:rsid w:val="00BD7919"/>
    <w:rsid w:val="00BD7B58"/>
    <w:rsid w:val="00BD7BB2"/>
    <w:rsid w:val="00BD7D6A"/>
    <w:rsid w:val="00BD7ED5"/>
    <w:rsid w:val="00BD7FE5"/>
    <w:rsid w:val="00BE02E4"/>
    <w:rsid w:val="00BE0817"/>
    <w:rsid w:val="00BE0908"/>
    <w:rsid w:val="00BE0A56"/>
    <w:rsid w:val="00BE0DCA"/>
    <w:rsid w:val="00BE0EEF"/>
    <w:rsid w:val="00BE0F76"/>
    <w:rsid w:val="00BE1271"/>
    <w:rsid w:val="00BE136F"/>
    <w:rsid w:val="00BE146B"/>
    <w:rsid w:val="00BE14CF"/>
    <w:rsid w:val="00BE165B"/>
    <w:rsid w:val="00BE167F"/>
    <w:rsid w:val="00BE16B1"/>
    <w:rsid w:val="00BE1736"/>
    <w:rsid w:val="00BE1789"/>
    <w:rsid w:val="00BE1998"/>
    <w:rsid w:val="00BE1AA1"/>
    <w:rsid w:val="00BE1B24"/>
    <w:rsid w:val="00BE2856"/>
    <w:rsid w:val="00BE29CB"/>
    <w:rsid w:val="00BE2A7E"/>
    <w:rsid w:val="00BE2AC9"/>
    <w:rsid w:val="00BE2BF2"/>
    <w:rsid w:val="00BE3799"/>
    <w:rsid w:val="00BE3900"/>
    <w:rsid w:val="00BE3993"/>
    <w:rsid w:val="00BE3CF1"/>
    <w:rsid w:val="00BE3D0B"/>
    <w:rsid w:val="00BE41C8"/>
    <w:rsid w:val="00BE41F8"/>
    <w:rsid w:val="00BE42C5"/>
    <w:rsid w:val="00BE453E"/>
    <w:rsid w:val="00BE4787"/>
    <w:rsid w:val="00BE4A06"/>
    <w:rsid w:val="00BE4A35"/>
    <w:rsid w:val="00BE4B68"/>
    <w:rsid w:val="00BE4E52"/>
    <w:rsid w:val="00BE541A"/>
    <w:rsid w:val="00BE5888"/>
    <w:rsid w:val="00BE5D60"/>
    <w:rsid w:val="00BE608E"/>
    <w:rsid w:val="00BE63ED"/>
    <w:rsid w:val="00BE64EE"/>
    <w:rsid w:val="00BE6523"/>
    <w:rsid w:val="00BE6A98"/>
    <w:rsid w:val="00BE6B01"/>
    <w:rsid w:val="00BE6B5A"/>
    <w:rsid w:val="00BE6C85"/>
    <w:rsid w:val="00BE6E26"/>
    <w:rsid w:val="00BE7321"/>
    <w:rsid w:val="00BE73B7"/>
    <w:rsid w:val="00BE73EB"/>
    <w:rsid w:val="00BE7904"/>
    <w:rsid w:val="00BE792E"/>
    <w:rsid w:val="00BE7956"/>
    <w:rsid w:val="00BE7A23"/>
    <w:rsid w:val="00BE7A5E"/>
    <w:rsid w:val="00BE7CEE"/>
    <w:rsid w:val="00BE7E37"/>
    <w:rsid w:val="00BF00EF"/>
    <w:rsid w:val="00BF0398"/>
    <w:rsid w:val="00BF049A"/>
    <w:rsid w:val="00BF0A8D"/>
    <w:rsid w:val="00BF0A9B"/>
    <w:rsid w:val="00BF0B2F"/>
    <w:rsid w:val="00BF0DA7"/>
    <w:rsid w:val="00BF1282"/>
    <w:rsid w:val="00BF1598"/>
    <w:rsid w:val="00BF184B"/>
    <w:rsid w:val="00BF18D8"/>
    <w:rsid w:val="00BF1984"/>
    <w:rsid w:val="00BF1BF2"/>
    <w:rsid w:val="00BF1E39"/>
    <w:rsid w:val="00BF1EDE"/>
    <w:rsid w:val="00BF20EC"/>
    <w:rsid w:val="00BF24E7"/>
    <w:rsid w:val="00BF2C37"/>
    <w:rsid w:val="00BF2CAB"/>
    <w:rsid w:val="00BF2D4B"/>
    <w:rsid w:val="00BF2E58"/>
    <w:rsid w:val="00BF3093"/>
    <w:rsid w:val="00BF320A"/>
    <w:rsid w:val="00BF323C"/>
    <w:rsid w:val="00BF3505"/>
    <w:rsid w:val="00BF39AA"/>
    <w:rsid w:val="00BF4139"/>
    <w:rsid w:val="00BF413B"/>
    <w:rsid w:val="00BF4278"/>
    <w:rsid w:val="00BF45D1"/>
    <w:rsid w:val="00BF4633"/>
    <w:rsid w:val="00BF4E22"/>
    <w:rsid w:val="00BF50EC"/>
    <w:rsid w:val="00BF525B"/>
    <w:rsid w:val="00BF528C"/>
    <w:rsid w:val="00BF550F"/>
    <w:rsid w:val="00BF5700"/>
    <w:rsid w:val="00BF5AD1"/>
    <w:rsid w:val="00BF5B35"/>
    <w:rsid w:val="00BF5BC6"/>
    <w:rsid w:val="00BF5BD5"/>
    <w:rsid w:val="00BF5EFB"/>
    <w:rsid w:val="00BF60CC"/>
    <w:rsid w:val="00BF6117"/>
    <w:rsid w:val="00BF6255"/>
    <w:rsid w:val="00BF6268"/>
    <w:rsid w:val="00BF62ED"/>
    <w:rsid w:val="00BF62F8"/>
    <w:rsid w:val="00BF6423"/>
    <w:rsid w:val="00BF67B2"/>
    <w:rsid w:val="00BF67CF"/>
    <w:rsid w:val="00BF6907"/>
    <w:rsid w:val="00BF6DB2"/>
    <w:rsid w:val="00BF6DE1"/>
    <w:rsid w:val="00BF6ED2"/>
    <w:rsid w:val="00BF6EEC"/>
    <w:rsid w:val="00BF72BF"/>
    <w:rsid w:val="00BF7ADA"/>
    <w:rsid w:val="00BF7BFB"/>
    <w:rsid w:val="00BF7DFF"/>
    <w:rsid w:val="00C002C7"/>
    <w:rsid w:val="00C005FA"/>
    <w:rsid w:val="00C006AC"/>
    <w:rsid w:val="00C00756"/>
    <w:rsid w:val="00C00843"/>
    <w:rsid w:val="00C008A1"/>
    <w:rsid w:val="00C009D3"/>
    <w:rsid w:val="00C00C78"/>
    <w:rsid w:val="00C00F32"/>
    <w:rsid w:val="00C0104A"/>
    <w:rsid w:val="00C0119E"/>
    <w:rsid w:val="00C01876"/>
    <w:rsid w:val="00C01FDB"/>
    <w:rsid w:val="00C021DF"/>
    <w:rsid w:val="00C0231E"/>
    <w:rsid w:val="00C0272A"/>
    <w:rsid w:val="00C02883"/>
    <w:rsid w:val="00C0295B"/>
    <w:rsid w:val="00C02B6E"/>
    <w:rsid w:val="00C02DAA"/>
    <w:rsid w:val="00C031C9"/>
    <w:rsid w:val="00C03235"/>
    <w:rsid w:val="00C0346F"/>
    <w:rsid w:val="00C03548"/>
    <w:rsid w:val="00C03711"/>
    <w:rsid w:val="00C03815"/>
    <w:rsid w:val="00C03A20"/>
    <w:rsid w:val="00C03D7E"/>
    <w:rsid w:val="00C03D81"/>
    <w:rsid w:val="00C0419B"/>
    <w:rsid w:val="00C041D2"/>
    <w:rsid w:val="00C044E9"/>
    <w:rsid w:val="00C04530"/>
    <w:rsid w:val="00C04622"/>
    <w:rsid w:val="00C04790"/>
    <w:rsid w:val="00C04B6E"/>
    <w:rsid w:val="00C04CF3"/>
    <w:rsid w:val="00C04DE0"/>
    <w:rsid w:val="00C05001"/>
    <w:rsid w:val="00C0501E"/>
    <w:rsid w:val="00C0518F"/>
    <w:rsid w:val="00C054D5"/>
    <w:rsid w:val="00C0557B"/>
    <w:rsid w:val="00C0586C"/>
    <w:rsid w:val="00C05C20"/>
    <w:rsid w:val="00C05DBD"/>
    <w:rsid w:val="00C05FC2"/>
    <w:rsid w:val="00C0612C"/>
    <w:rsid w:val="00C061C6"/>
    <w:rsid w:val="00C06420"/>
    <w:rsid w:val="00C06C6D"/>
    <w:rsid w:val="00C06E9A"/>
    <w:rsid w:val="00C06F83"/>
    <w:rsid w:val="00C06FFA"/>
    <w:rsid w:val="00C07002"/>
    <w:rsid w:val="00C07194"/>
    <w:rsid w:val="00C0720A"/>
    <w:rsid w:val="00C07369"/>
    <w:rsid w:val="00C073E3"/>
    <w:rsid w:val="00C07488"/>
    <w:rsid w:val="00C07533"/>
    <w:rsid w:val="00C07648"/>
    <w:rsid w:val="00C07B9E"/>
    <w:rsid w:val="00C07E04"/>
    <w:rsid w:val="00C102C9"/>
    <w:rsid w:val="00C102F2"/>
    <w:rsid w:val="00C10505"/>
    <w:rsid w:val="00C10967"/>
    <w:rsid w:val="00C10BBF"/>
    <w:rsid w:val="00C10BE3"/>
    <w:rsid w:val="00C10C5F"/>
    <w:rsid w:val="00C10CB7"/>
    <w:rsid w:val="00C10E4E"/>
    <w:rsid w:val="00C11006"/>
    <w:rsid w:val="00C11152"/>
    <w:rsid w:val="00C1119F"/>
    <w:rsid w:val="00C11444"/>
    <w:rsid w:val="00C117AF"/>
    <w:rsid w:val="00C11A06"/>
    <w:rsid w:val="00C11A49"/>
    <w:rsid w:val="00C11AFA"/>
    <w:rsid w:val="00C11BC3"/>
    <w:rsid w:val="00C11D77"/>
    <w:rsid w:val="00C11E18"/>
    <w:rsid w:val="00C11F6F"/>
    <w:rsid w:val="00C121C2"/>
    <w:rsid w:val="00C12291"/>
    <w:rsid w:val="00C1240E"/>
    <w:rsid w:val="00C12561"/>
    <w:rsid w:val="00C12589"/>
    <w:rsid w:val="00C12949"/>
    <w:rsid w:val="00C12BB2"/>
    <w:rsid w:val="00C12E3C"/>
    <w:rsid w:val="00C12E5F"/>
    <w:rsid w:val="00C12E96"/>
    <w:rsid w:val="00C130AE"/>
    <w:rsid w:val="00C130EC"/>
    <w:rsid w:val="00C13191"/>
    <w:rsid w:val="00C132A2"/>
    <w:rsid w:val="00C133C3"/>
    <w:rsid w:val="00C13460"/>
    <w:rsid w:val="00C13960"/>
    <w:rsid w:val="00C13BAD"/>
    <w:rsid w:val="00C13D4A"/>
    <w:rsid w:val="00C141D4"/>
    <w:rsid w:val="00C144DB"/>
    <w:rsid w:val="00C14698"/>
    <w:rsid w:val="00C147EC"/>
    <w:rsid w:val="00C148F5"/>
    <w:rsid w:val="00C14F0A"/>
    <w:rsid w:val="00C14F43"/>
    <w:rsid w:val="00C14FCA"/>
    <w:rsid w:val="00C152C3"/>
    <w:rsid w:val="00C1542E"/>
    <w:rsid w:val="00C15431"/>
    <w:rsid w:val="00C154B4"/>
    <w:rsid w:val="00C15528"/>
    <w:rsid w:val="00C157A2"/>
    <w:rsid w:val="00C15B17"/>
    <w:rsid w:val="00C15C0E"/>
    <w:rsid w:val="00C15C1C"/>
    <w:rsid w:val="00C15E0C"/>
    <w:rsid w:val="00C15F05"/>
    <w:rsid w:val="00C1623D"/>
    <w:rsid w:val="00C1624B"/>
    <w:rsid w:val="00C16368"/>
    <w:rsid w:val="00C167EB"/>
    <w:rsid w:val="00C16CCA"/>
    <w:rsid w:val="00C16E1D"/>
    <w:rsid w:val="00C17069"/>
    <w:rsid w:val="00C170C2"/>
    <w:rsid w:val="00C17452"/>
    <w:rsid w:val="00C17530"/>
    <w:rsid w:val="00C17752"/>
    <w:rsid w:val="00C177D1"/>
    <w:rsid w:val="00C17B19"/>
    <w:rsid w:val="00C17B82"/>
    <w:rsid w:val="00C17CDF"/>
    <w:rsid w:val="00C17ED1"/>
    <w:rsid w:val="00C202A2"/>
    <w:rsid w:val="00C20367"/>
    <w:rsid w:val="00C205FF"/>
    <w:rsid w:val="00C208E2"/>
    <w:rsid w:val="00C20DE3"/>
    <w:rsid w:val="00C20E2E"/>
    <w:rsid w:val="00C20E73"/>
    <w:rsid w:val="00C213BF"/>
    <w:rsid w:val="00C2141D"/>
    <w:rsid w:val="00C21E09"/>
    <w:rsid w:val="00C21F40"/>
    <w:rsid w:val="00C21FCD"/>
    <w:rsid w:val="00C22195"/>
    <w:rsid w:val="00C22224"/>
    <w:rsid w:val="00C223D1"/>
    <w:rsid w:val="00C22411"/>
    <w:rsid w:val="00C22469"/>
    <w:rsid w:val="00C22837"/>
    <w:rsid w:val="00C229A5"/>
    <w:rsid w:val="00C22BF5"/>
    <w:rsid w:val="00C22DC9"/>
    <w:rsid w:val="00C230D9"/>
    <w:rsid w:val="00C230F8"/>
    <w:rsid w:val="00C232ED"/>
    <w:rsid w:val="00C23401"/>
    <w:rsid w:val="00C237A0"/>
    <w:rsid w:val="00C237B8"/>
    <w:rsid w:val="00C23AA7"/>
    <w:rsid w:val="00C23FBC"/>
    <w:rsid w:val="00C2428D"/>
    <w:rsid w:val="00C24469"/>
    <w:rsid w:val="00C24655"/>
    <w:rsid w:val="00C247A2"/>
    <w:rsid w:val="00C249A6"/>
    <w:rsid w:val="00C24B62"/>
    <w:rsid w:val="00C24BCB"/>
    <w:rsid w:val="00C24D5B"/>
    <w:rsid w:val="00C24D67"/>
    <w:rsid w:val="00C25359"/>
    <w:rsid w:val="00C255C0"/>
    <w:rsid w:val="00C25BDF"/>
    <w:rsid w:val="00C25EC4"/>
    <w:rsid w:val="00C25F60"/>
    <w:rsid w:val="00C2600C"/>
    <w:rsid w:val="00C26162"/>
    <w:rsid w:val="00C2640B"/>
    <w:rsid w:val="00C26539"/>
    <w:rsid w:val="00C2668D"/>
    <w:rsid w:val="00C268AD"/>
    <w:rsid w:val="00C26AE4"/>
    <w:rsid w:val="00C26E92"/>
    <w:rsid w:val="00C270C1"/>
    <w:rsid w:val="00C27222"/>
    <w:rsid w:val="00C272DE"/>
    <w:rsid w:val="00C27349"/>
    <w:rsid w:val="00C27395"/>
    <w:rsid w:val="00C2768B"/>
    <w:rsid w:val="00C276A7"/>
    <w:rsid w:val="00C2770D"/>
    <w:rsid w:val="00C27826"/>
    <w:rsid w:val="00C279F5"/>
    <w:rsid w:val="00C27C7A"/>
    <w:rsid w:val="00C27CD4"/>
    <w:rsid w:val="00C30133"/>
    <w:rsid w:val="00C30376"/>
    <w:rsid w:val="00C30426"/>
    <w:rsid w:val="00C30436"/>
    <w:rsid w:val="00C304D2"/>
    <w:rsid w:val="00C306EE"/>
    <w:rsid w:val="00C309DA"/>
    <w:rsid w:val="00C30B4A"/>
    <w:rsid w:val="00C30CB9"/>
    <w:rsid w:val="00C31037"/>
    <w:rsid w:val="00C31435"/>
    <w:rsid w:val="00C31572"/>
    <w:rsid w:val="00C31A06"/>
    <w:rsid w:val="00C31B30"/>
    <w:rsid w:val="00C31D2F"/>
    <w:rsid w:val="00C31D52"/>
    <w:rsid w:val="00C32022"/>
    <w:rsid w:val="00C32156"/>
    <w:rsid w:val="00C3229A"/>
    <w:rsid w:val="00C322B1"/>
    <w:rsid w:val="00C323E0"/>
    <w:rsid w:val="00C324A4"/>
    <w:rsid w:val="00C32536"/>
    <w:rsid w:val="00C32608"/>
    <w:rsid w:val="00C3289A"/>
    <w:rsid w:val="00C32D5F"/>
    <w:rsid w:val="00C32D69"/>
    <w:rsid w:val="00C3344F"/>
    <w:rsid w:val="00C33502"/>
    <w:rsid w:val="00C3354B"/>
    <w:rsid w:val="00C336CB"/>
    <w:rsid w:val="00C33BD4"/>
    <w:rsid w:val="00C34090"/>
    <w:rsid w:val="00C34164"/>
    <w:rsid w:val="00C3423B"/>
    <w:rsid w:val="00C342B8"/>
    <w:rsid w:val="00C3432B"/>
    <w:rsid w:val="00C348C3"/>
    <w:rsid w:val="00C34B71"/>
    <w:rsid w:val="00C34DA2"/>
    <w:rsid w:val="00C34E45"/>
    <w:rsid w:val="00C34FEA"/>
    <w:rsid w:val="00C351AB"/>
    <w:rsid w:val="00C351CC"/>
    <w:rsid w:val="00C352FE"/>
    <w:rsid w:val="00C353B0"/>
    <w:rsid w:val="00C354A6"/>
    <w:rsid w:val="00C35506"/>
    <w:rsid w:val="00C3557F"/>
    <w:rsid w:val="00C35760"/>
    <w:rsid w:val="00C35869"/>
    <w:rsid w:val="00C35A32"/>
    <w:rsid w:val="00C35BBF"/>
    <w:rsid w:val="00C35BEF"/>
    <w:rsid w:val="00C35C5C"/>
    <w:rsid w:val="00C35D8E"/>
    <w:rsid w:val="00C35F65"/>
    <w:rsid w:val="00C36091"/>
    <w:rsid w:val="00C361CE"/>
    <w:rsid w:val="00C3633A"/>
    <w:rsid w:val="00C36421"/>
    <w:rsid w:val="00C3675D"/>
    <w:rsid w:val="00C36A06"/>
    <w:rsid w:val="00C36A92"/>
    <w:rsid w:val="00C37192"/>
    <w:rsid w:val="00C37570"/>
    <w:rsid w:val="00C37751"/>
    <w:rsid w:val="00C37836"/>
    <w:rsid w:val="00C3795A"/>
    <w:rsid w:val="00C379F8"/>
    <w:rsid w:val="00C37A15"/>
    <w:rsid w:val="00C37A2B"/>
    <w:rsid w:val="00C37A8A"/>
    <w:rsid w:val="00C37AFD"/>
    <w:rsid w:val="00C37DAF"/>
    <w:rsid w:val="00C37E61"/>
    <w:rsid w:val="00C37F3D"/>
    <w:rsid w:val="00C40196"/>
    <w:rsid w:val="00C40809"/>
    <w:rsid w:val="00C4083A"/>
    <w:rsid w:val="00C40CA2"/>
    <w:rsid w:val="00C40CEF"/>
    <w:rsid w:val="00C40FD1"/>
    <w:rsid w:val="00C41392"/>
    <w:rsid w:val="00C4142F"/>
    <w:rsid w:val="00C414D2"/>
    <w:rsid w:val="00C415C2"/>
    <w:rsid w:val="00C41D26"/>
    <w:rsid w:val="00C41DC7"/>
    <w:rsid w:val="00C41E7D"/>
    <w:rsid w:val="00C41F20"/>
    <w:rsid w:val="00C42356"/>
    <w:rsid w:val="00C42A5D"/>
    <w:rsid w:val="00C43002"/>
    <w:rsid w:val="00C431A8"/>
    <w:rsid w:val="00C43518"/>
    <w:rsid w:val="00C435F1"/>
    <w:rsid w:val="00C438BD"/>
    <w:rsid w:val="00C43A36"/>
    <w:rsid w:val="00C43A4C"/>
    <w:rsid w:val="00C43A58"/>
    <w:rsid w:val="00C43C33"/>
    <w:rsid w:val="00C4400D"/>
    <w:rsid w:val="00C44127"/>
    <w:rsid w:val="00C44480"/>
    <w:rsid w:val="00C44535"/>
    <w:rsid w:val="00C445E7"/>
    <w:rsid w:val="00C449D8"/>
    <w:rsid w:val="00C44C22"/>
    <w:rsid w:val="00C44CF0"/>
    <w:rsid w:val="00C44D77"/>
    <w:rsid w:val="00C450F0"/>
    <w:rsid w:val="00C451FD"/>
    <w:rsid w:val="00C4526D"/>
    <w:rsid w:val="00C453B7"/>
    <w:rsid w:val="00C4569E"/>
    <w:rsid w:val="00C45743"/>
    <w:rsid w:val="00C4584A"/>
    <w:rsid w:val="00C45903"/>
    <w:rsid w:val="00C45AAE"/>
    <w:rsid w:val="00C45BAF"/>
    <w:rsid w:val="00C45DC4"/>
    <w:rsid w:val="00C45F03"/>
    <w:rsid w:val="00C45F49"/>
    <w:rsid w:val="00C4627E"/>
    <w:rsid w:val="00C464A6"/>
    <w:rsid w:val="00C46532"/>
    <w:rsid w:val="00C46834"/>
    <w:rsid w:val="00C46883"/>
    <w:rsid w:val="00C46BB7"/>
    <w:rsid w:val="00C46D69"/>
    <w:rsid w:val="00C47163"/>
    <w:rsid w:val="00C4722F"/>
    <w:rsid w:val="00C4733B"/>
    <w:rsid w:val="00C473C8"/>
    <w:rsid w:val="00C4749C"/>
    <w:rsid w:val="00C4787B"/>
    <w:rsid w:val="00C47913"/>
    <w:rsid w:val="00C47A52"/>
    <w:rsid w:val="00C47F46"/>
    <w:rsid w:val="00C50015"/>
    <w:rsid w:val="00C50302"/>
    <w:rsid w:val="00C509F7"/>
    <w:rsid w:val="00C50A80"/>
    <w:rsid w:val="00C50AC6"/>
    <w:rsid w:val="00C50B21"/>
    <w:rsid w:val="00C50BB6"/>
    <w:rsid w:val="00C50C18"/>
    <w:rsid w:val="00C50C2E"/>
    <w:rsid w:val="00C50C54"/>
    <w:rsid w:val="00C50D51"/>
    <w:rsid w:val="00C50DD5"/>
    <w:rsid w:val="00C50F2D"/>
    <w:rsid w:val="00C50F5B"/>
    <w:rsid w:val="00C511F5"/>
    <w:rsid w:val="00C5191E"/>
    <w:rsid w:val="00C519AE"/>
    <w:rsid w:val="00C51B3F"/>
    <w:rsid w:val="00C523AD"/>
    <w:rsid w:val="00C52419"/>
    <w:rsid w:val="00C5243B"/>
    <w:rsid w:val="00C52601"/>
    <w:rsid w:val="00C52B43"/>
    <w:rsid w:val="00C52D05"/>
    <w:rsid w:val="00C52E0B"/>
    <w:rsid w:val="00C531CE"/>
    <w:rsid w:val="00C532F7"/>
    <w:rsid w:val="00C536AE"/>
    <w:rsid w:val="00C53B40"/>
    <w:rsid w:val="00C53E63"/>
    <w:rsid w:val="00C53E6F"/>
    <w:rsid w:val="00C53FE9"/>
    <w:rsid w:val="00C544F4"/>
    <w:rsid w:val="00C54F6E"/>
    <w:rsid w:val="00C54FE5"/>
    <w:rsid w:val="00C55237"/>
    <w:rsid w:val="00C5539C"/>
    <w:rsid w:val="00C553DD"/>
    <w:rsid w:val="00C55502"/>
    <w:rsid w:val="00C55C8C"/>
    <w:rsid w:val="00C55D33"/>
    <w:rsid w:val="00C55DA8"/>
    <w:rsid w:val="00C563F1"/>
    <w:rsid w:val="00C56432"/>
    <w:rsid w:val="00C56565"/>
    <w:rsid w:val="00C56827"/>
    <w:rsid w:val="00C56F77"/>
    <w:rsid w:val="00C5702D"/>
    <w:rsid w:val="00C57284"/>
    <w:rsid w:val="00C57A48"/>
    <w:rsid w:val="00C57ADB"/>
    <w:rsid w:val="00C57B9A"/>
    <w:rsid w:val="00C57C27"/>
    <w:rsid w:val="00C60151"/>
    <w:rsid w:val="00C6020C"/>
    <w:rsid w:val="00C60740"/>
    <w:rsid w:val="00C60749"/>
    <w:rsid w:val="00C60895"/>
    <w:rsid w:val="00C609A9"/>
    <w:rsid w:val="00C60CE4"/>
    <w:rsid w:val="00C60CFB"/>
    <w:rsid w:val="00C6128D"/>
    <w:rsid w:val="00C61D9E"/>
    <w:rsid w:val="00C6208A"/>
    <w:rsid w:val="00C620C6"/>
    <w:rsid w:val="00C62255"/>
    <w:rsid w:val="00C624B4"/>
    <w:rsid w:val="00C62573"/>
    <w:rsid w:val="00C62918"/>
    <w:rsid w:val="00C62C9A"/>
    <w:rsid w:val="00C62DBF"/>
    <w:rsid w:val="00C63130"/>
    <w:rsid w:val="00C638B4"/>
    <w:rsid w:val="00C63C86"/>
    <w:rsid w:val="00C63F6B"/>
    <w:rsid w:val="00C64012"/>
    <w:rsid w:val="00C645EC"/>
    <w:rsid w:val="00C64BAD"/>
    <w:rsid w:val="00C64BB9"/>
    <w:rsid w:val="00C64CF2"/>
    <w:rsid w:val="00C64F7F"/>
    <w:rsid w:val="00C652CA"/>
    <w:rsid w:val="00C6554B"/>
    <w:rsid w:val="00C655E0"/>
    <w:rsid w:val="00C65956"/>
    <w:rsid w:val="00C659E2"/>
    <w:rsid w:val="00C65A57"/>
    <w:rsid w:val="00C66048"/>
    <w:rsid w:val="00C661F0"/>
    <w:rsid w:val="00C66901"/>
    <w:rsid w:val="00C66B3E"/>
    <w:rsid w:val="00C66F06"/>
    <w:rsid w:val="00C671DF"/>
    <w:rsid w:val="00C6722B"/>
    <w:rsid w:val="00C67462"/>
    <w:rsid w:val="00C6782C"/>
    <w:rsid w:val="00C67C16"/>
    <w:rsid w:val="00C67E3B"/>
    <w:rsid w:val="00C67EA8"/>
    <w:rsid w:val="00C70113"/>
    <w:rsid w:val="00C7033E"/>
    <w:rsid w:val="00C7047A"/>
    <w:rsid w:val="00C7070D"/>
    <w:rsid w:val="00C70819"/>
    <w:rsid w:val="00C708C7"/>
    <w:rsid w:val="00C70A15"/>
    <w:rsid w:val="00C70F57"/>
    <w:rsid w:val="00C71131"/>
    <w:rsid w:val="00C71790"/>
    <w:rsid w:val="00C717DE"/>
    <w:rsid w:val="00C718AA"/>
    <w:rsid w:val="00C71EA3"/>
    <w:rsid w:val="00C722E9"/>
    <w:rsid w:val="00C72410"/>
    <w:rsid w:val="00C7299D"/>
    <w:rsid w:val="00C72ACD"/>
    <w:rsid w:val="00C7319B"/>
    <w:rsid w:val="00C7347E"/>
    <w:rsid w:val="00C736EA"/>
    <w:rsid w:val="00C73728"/>
    <w:rsid w:val="00C73D46"/>
    <w:rsid w:val="00C73ECB"/>
    <w:rsid w:val="00C74321"/>
    <w:rsid w:val="00C7434E"/>
    <w:rsid w:val="00C7455A"/>
    <w:rsid w:val="00C74696"/>
    <w:rsid w:val="00C7495E"/>
    <w:rsid w:val="00C74EB6"/>
    <w:rsid w:val="00C75080"/>
    <w:rsid w:val="00C750B3"/>
    <w:rsid w:val="00C751E5"/>
    <w:rsid w:val="00C75807"/>
    <w:rsid w:val="00C759F9"/>
    <w:rsid w:val="00C75A9E"/>
    <w:rsid w:val="00C75B3C"/>
    <w:rsid w:val="00C75C95"/>
    <w:rsid w:val="00C75D84"/>
    <w:rsid w:val="00C75E6F"/>
    <w:rsid w:val="00C761DD"/>
    <w:rsid w:val="00C7648A"/>
    <w:rsid w:val="00C765AC"/>
    <w:rsid w:val="00C76F07"/>
    <w:rsid w:val="00C7725F"/>
    <w:rsid w:val="00C7746A"/>
    <w:rsid w:val="00C7750E"/>
    <w:rsid w:val="00C77510"/>
    <w:rsid w:val="00C779C7"/>
    <w:rsid w:val="00C77B65"/>
    <w:rsid w:val="00C77DB5"/>
    <w:rsid w:val="00C77F84"/>
    <w:rsid w:val="00C804A9"/>
    <w:rsid w:val="00C808D2"/>
    <w:rsid w:val="00C81052"/>
    <w:rsid w:val="00C812B2"/>
    <w:rsid w:val="00C8140F"/>
    <w:rsid w:val="00C81551"/>
    <w:rsid w:val="00C816F2"/>
    <w:rsid w:val="00C81769"/>
    <w:rsid w:val="00C818F1"/>
    <w:rsid w:val="00C81A8A"/>
    <w:rsid w:val="00C81C03"/>
    <w:rsid w:val="00C8230A"/>
    <w:rsid w:val="00C827AC"/>
    <w:rsid w:val="00C82A50"/>
    <w:rsid w:val="00C82B01"/>
    <w:rsid w:val="00C82F2D"/>
    <w:rsid w:val="00C82FE9"/>
    <w:rsid w:val="00C8307D"/>
    <w:rsid w:val="00C83118"/>
    <w:rsid w:val="00C8343E"/>
    <w:rsid w:val="00C837AB"/>
    <w:rsid w:val="00C837CC"/>
    <w:rsid w:val="00C83A8A"/>
    <w:rsid w:val="00C83DE8"/>
    <w:rsid w:val="00C83EE2"/>
    <w:rsid w:val="00C84064"/>
    <w:rsid w:val="00C843C9"/>
    <w:rsid w:val="00C8471B"/>
    <w:rsid w:val="00C847DA"/>
    <w:rsid w:val="00C84B04"/>
    <w:rsid w:val="00C84D0A"/>
    <w:rsid w:val="00C84F0B"/>
    <w:rsid w:val="00C8506B"/>
    <w:rsid w:val="00C85196"/>
    <w:rsid w:val="00C8559F"/>
    <w:rsid w:val="00C85C13"/>
    <w:rsid w:val="00C85C69"/>
    <w:rsid w:val="00C85ED8"/>
    <w:rsid w:val="00C860CD"/>
    <w:rsid w:val="00C86145"/>
    <w:rsid w:val="00C861D0"/>
    <w:rsid w:val="00C86413"/>
    <w:rsid w:val="00C8693F"/>
    <w:rsid w:val="00C86E83"/>
    <w:rsid w:val="00C86E9E"/>
    <w:rsid w:val="00C870C9"/>
    <w:rsid w:val="00C87480"/>
    <w:rsid w:val="00C874B1"/>
    <w:rsid w:val="00C90438"/>
    <w:rsid w:val="00C90535"/>
    <w:rsid w:val="00C90572"/>
    <w:rsid w:val="00C906D2"/>
    <w:rsid w:val="00C909E3"/>
    <w:rsid w:val="00C90B4E"/>
    <w:rsid w:val="00C90B68"/>
    <w:rsid w:val="00C90B99"/>
    <w:rsid w:val="00C90C01"/>
    <w:rsid w:val="00C90C89"/>
    <w:rsid w:val="00C90E0C"/>
    <w:rsid w:val="00C90F14"/>
    <w:rsid w:val="00C91103"/>
    <w:rsid w:val="00C9115E"/>
    <w:rsid w:val="00C91228"/>
    <w:rsid w:val="00C91524"/>
    <w:rsid w:val="00C91A34"/>
    <w:rsid w:val="00C91A8E"/>
    <w:rsid w:val="00C91B2C"/>
    <w:rsid w:val="00C91E5D"/>
    <w:rsid w:val="00C91EB4"/>
    <w:rsid w:val="00C9224B"/>
    <w:rsid w:val="00C92316"/>
    <w:rsid w:val="00C924D0"/>
    <w:rsid w:val="00C92BEE"/>
    <w:rsid w:val="00C92D0E"/>
    <w:rsid w:val="00C92D14"/>
    <w:rsid w:val="00C93116"/>
    <w:rsid w:val="00C9318F"/>
    <w:rsid w:val="00C93313"/>
    <w:rsid w:val="00C934BF"/>
    <w:rsid w:val="00C93759"/>
    <w:rsid w:val="00C93ADF"/>
    <w:rsid w:val="00C93CA5"/>
    <w:rsid w:val="00C93CAA"/>
    <w:rsid w:val="00C93D26"/>
    <w:rsid w:val="00C93E29"/>
    <w:rsid w:val="00C941CE"/>
    <w:rsid w:val="00C94346"/>
    <w:rsid w:val="00C94F58"/>
    <w:rsid w:val="00C95068"/>
    <w:rsid w:val="00C95240"/>
    <w:rsid w:val="00C9532E"/>
    <w:rsid w:val="00C955C1"/>
    <w:rsid w:val="00C95601"/>
    <w:rsid w:val="00C95606"/>
    <w:rsid w:val="00C959A8"/>
    <w:rsid w:val="00C95BC1"/>
    <w:rsid w:val="00C95E13"/>
    <w:rsid w:val="00C9632E"/>
    <w:rsid w:val="00C966A2"/>
    <w:rsid w:val="00C96C3F"/>
    <w:rsid w:val="00C96CE9"/>
    <w:rsid w:val="00C96EB1"/>
    <w:rsid w:val="00C96EB4"/>
    <w:rsid w:val="00C96F2B"/>
    <w:rsid w:val="00C971B1"/>
    <w:rsid w:val="00C971D0"/>
    <w:rsid w:val="00C9786E"/>
    <w:rsid w:val="00C978B3"/>
    <w:rsid w:val="00C97C60"/>
    <w:rsid w:val="00C97CAC"/>
    <w:rsid w:val="00C97D77"/>
    <w:rsid w:val="00C97EE8"/>
    <w:rsid w:val="00CA00AB"/>
    <w:rsid w:val="00CA00D9"/>
    <w:rsid w:val="00CA03F5"/>
    <w:rsid w:val="00CA045A"/>
    <w:rsid w:val="00CA0F8F"/>
    <w:rsid w:val="00CA1031"/>
    <w:rsid w:val="00CA1121"/>
    <w:rsid w:val="00CA13F2"/>
    <w:rsid w:val="00CA16CF"/>
    <w:rsid w:val="00CA18E0"/>
    <w:rsid w:val="00CA1CDA"/>
    <w:rsid w:val="00CA1F0B"/>
    <w:rsid w:val="00CA20AA"/>
    <w:rsid w:val="00CA2219"/>
    <w:rsid w:val="00CA2536"/>
    <w:rsid w:val="00CA27A6"/>
    <w:rsid w:val="00CA292F"/>
    <w:rsid w:val="00CA2A2F"/>
    <w:rsid w:val="00CA2DD1"/>
    <w:rsid w:val="00CA30FA"/>
    <w:rsid w:val="00CA3297"/>
    <w:rsid w:val="00CA32A3"/>
    <w:rsid w:val="00CA35E9"/>
    <w:rsid w:val="00CA3929"/>
    <w:rsid w:val="00CA3CEB"/>
    <w:rsid w:val="00CA443F"/>
    <w:rsid w:val="00CA49A2"/>
    <w:rsid w:val="00CA4C76"/>
    <w:rsid w:val="00CA4E67"/>
    <w:rsid w:val="00CA4EA8"/>
    <w:rsid w:val="00CA51F4"/>
    <w:rsid w:val="00CA559B"/>
    <w:rsid w:val="00CA56AE"/>
    <w:rsid w:val="00CA5787"/>
    <w:rsid w:val="00CA5999"/>
    <w:rsid w:val="00CA5C0C"/>
    <w:rsid w:val="00CA5F96"/>
    <w:rsid w:val="00CA6305"/>
    <w:rsid w:val="00CA6376"/>
    <w:rsid w:val="00CA683A"/>
    <w:rsid w:val="00CA6C2F"/>
    <w:rsid w:val="00CA6D97"/>
    <w:rsid w:val="00CA6EA6"/>
    <w:rsid w:val="00CA6EAD"/>
    <w:rsid w:val="00CA6F0E"/>
    <w:rsid w:val="00CA6F9D"/>
    <w:rsid w:val="00CA70D5"/>
    <w:rsid w:val="00CA7144"/>
    <w:rsid w:val="00CA7487"/>
    <w:rsid w:val="00CA7816"/>
    <w:rsid w:val="00CA784C"/>
    <w:rsid w:val="00CA78C6"/>
    <w:rsid w:val="00CA7AB9"/>
    <w:rsid w:val="00CA7EDD"/>
    <w:rsid w:val="00CB0920"/>
    <w:rsid w:val="00CB094F"/>
    <w:rsid w:val="00CB09DE"/>
    <w:rsid w:val="00CB0D8C"/>
    <w:rsid w:val="00CB0F03"/>
    <w:rsid w:val="00CB0FD2"/>
    <w:rsid w:val="00CB10EF"/>
    <w:rsid w:val="00CB1609"/>
    <w:rsid w:val="00CB1751"/>
    <w:rsid w:val="00CB17A7"/>
    <w:rsid w:val="00CB1834"/>
    <w:rsid w:val="00CB1E5C"/>
    <w:rsid w:val="00CB2281"/>
    <w:rsid w:val="00CB22E5"/>
    <w:rsid w:val="00CB2487"/>
    <w:rsid w:val="00CB2520"/>
    <w:rsid w:val="00CB2585"/>
    <w:rsid w:val="00CB2607"/>
    <w:rsid w:val="00CB2608"/>
    <w:rsid w:val="00CB2707"/>
    <w:rsid w:val="00CB2899"/>
    <w:rsid w:val="00CB2E48"/>
    <w:rsid w:val="00CB30D7"/>
    <w:rsid w:val="00CB3392"/>
    <w:rsid w:val="00CB3783"/>
    <w:rsid w:val="00CB37BB"/>
    <w:rsid w:val="00CB3981"/>
    <w:rsid w:val="00CB3CE6"/>
    <w:rsid w:val="00CB3D45"/>
    <w:rsid w:val="00CB454D"/>
    <w:rsid w:val="00CB45AD"/>
    <w:rsid w:val="00CB4786"/>
    <w:rsid w:val="00CB484E"/>
    <w:rsid w:val="00CB48D8"/>
    <w:rsid w:val="00CB496D"/>
    <w:rsid w:val="00CB4DBC"/>
    <w:rsid w:val="00CB4EEC"/>
    <w:rsid w:val="00CB4F40"/>
    <w:rsid w:val="00CB501A"/>
    <w:rsid w:val="00CB52CD"/>
    <w:rsid w:val="00CB5442"/>
    <w:rsid w:val="00CB5766"/>
    <w:rsid w:val="00CB578C"/>
    <w:rsid w:val="00CB587B"/>
    <w:rsid w:val="00CB5A4B"/>
    <w:rsid w:val="00CB5B05"/>
    <w:rsid w:val="00CB5C97"/>
    <w:rsid w:val="00CB5DE9"/>
    <w:rsid w:val="00CB61C0"/>
    <w:rsid w:val="00CB6284"/>
    <w:rsid w:val="00CB6563"/>
    <w:rsid w:val="00CB6D0B"/>
    <w:rsid w:val="00CB6F13"/>
    <w:rsid w:val="00CB70F1"/>
    <w:rsid w:val="00CB766E"/>
    <w:rsid w:val="00CB7732"/>
    <w:rsid w:val="00CB793A"/>
    <w:rsid w:val="00CB7D3A"/>
    <w:rsid w:val="00CB7D8D"/>
    <w:rsid w:val="00CC00DE"/>
    <w:rsid w:val="00CC03D0"/>
    <w:rsid w:val="00CC043A"/>
    <w:rsid w:val="00CC070C"/>
    <w:rsid w:val="00CC09EC"/>
    <w:rsid w:val="00CC0C68"/>
    <w:rsid w:val="00CC0F5A"/>
    <w:rsid w:val="00CC1141"/>
    <w:rsid w:val="00CC139A"/>
    <w:rsid w:val="00CC146C"/>
    <w:rsid w:val="00CC157D"/>
    <w:rsid w:val="00CC170F"/>
    <w:rsid w:val="00CC1812"/>
    <w:rsid w:val="00CC1BCE"/>
    <w:rsid w:val="00CC1D6B"/>
    <w:rsid w:val="00CC1FF1"/>
    <w:rsid w:val="00CC217D"/>
    <w:rsid w:val="00CC2206"/>
    <w:rsid w:val="00CC2C81"/>
    <w:rsid w:val="00CC2DA5"/>
    <w:rsid w:val="00CC30E0"/>
    <w:rsid w:val="00CC31D4"/>
    <w:rsid w:val="00CC33D5"/>
    <w:rsid w:val="00CC3475"/>
    <w:rsid w:val="00CC34AE"/>
    <w:rsid w:val="00CC3514"/>
    <w:rsid w:val="00CC351A"/>
    <w:rsid w:val="00CC3C4E"/>
    <w:rsid w:val="00CC3E66"/>
    <w:rsid w:val="00CC4B14"/>
    <w:rsid w:val="00CC4D58"/>
    <w:rsid w:val="00CC4DFE"/>
    <w:rsid w:val="00CC50A2"/>
    <w:rsid w:val="00CC50DB"/>
    <w:rsid w:val="00CC51EE"/>
    <w:rsid w:val="00CC5231"/>
    <w:rsid w:val="00CC5385"/>
    <w:rsid w:val="00CC552F"/>
    <w:rsid w:val="00CC5798"/>
    <w:rsid w:val="00CC5952"/>
    <w:rsid w:val="00CC5C9F"/>
    <w:rsid w:val="00CC5E23"/>
    <w:rsid w:val="00CC6468"/>
    <w:rsid w:val="00CC661E"/>
    <w:rsid w:val="00CC6EF4"/>
    <w:rsid w:val="00CC7035"/>
    <w:rsid w:val="00CC7080"/>
    <w:rsid w:val="00CC70CD"/>
    <w:rsid w:val="00CC72E4"/>
    <w:rsid w:val="00CC7528"/>
    <w:rsid w:val="00CC75FC"/>
    <w:rsid w:val="00CC77EE"/>
    <w:rsid w:val="00CC792C"/>
    <w:rsid w:val="00CC7B39"/>
    <w:rsid w:val="00CC7BA8"/>
    <w:rsid w:val="00CC7E9F"/>
    <w:rsid w:val="00CD02B1"/>
    <w:rsid w:val="00CD0780"/>
    <w:rsid w:val="00CD0912"/>
    <w:rsid w:val="00CD099D"/>
    <w:rsid w:val="00CD0BFB"/>
    <w:rsid w:val="00CD0C87"/>
    <w:rsid w:val="00CD1391"/>
    <w:rsid w:val="00CD13FB"/>
    <w:rsid w:val="00CD151B"/>
    <w:rsid w:val="00CD17B7"/>
    <w:rsid w:val="00CD192D"/>
    <w:rsid w:val="00CD19C4"/>
    <w:rsid w:val="00CD1E1A"/>
    <w:rsid w:val="00CD1F13"/>
    <w:rsid w:val="00CD205E"/>
    <w:rsid w:val="00CD20EC"/>
    <w:rsid w:val="00CD25A5"/>
    <w:rsid w:val="00CD25CE"/>
    <w:rsid w:val="00CD25D1"/>
    <w:rsid w:val="00CD28F5"/>
    <w:rsid w:val="00CD2B00"/>
    <w:rsid w:val="00CD2B16"/>
    <w:rsid w:val="00CD2C4D"/>
    <w:rsid w:val="00CD316E"/>
    <w:rsid w:val="00CD31E6"/>
    <w:rsid w:val="00CD33C9"/>
    <w:rsid w:val="00CD3516"/>
    <w:rsid w:val="00CD351B"/>
    <w:rsid w:val="00CD3950"/>
    <w:rsid w:val="00CD39F7"/>
    <w:rsid w:val="00CD3EF4"/>
    <w:rsid w:val="00CD3FA9"/>
    <w:rsid w:val="00CD422B"/>
    <w:rsid w:val="00CD45AF"/>
    <w:rsid w:val="00CD4DCA"/>
    <w:rsid w:val="00CD4EC2"/>
    <w:rsid w:val="00CD4F79"/>
    <w:rsid w:val="00CD506A"/>
    <w:rsid w:val="00CD512D"/>
    <w:rsid w:val="00CD51DD"/>
    <w:rsid w:val="00CD55CB"/>
    <w:rsid w:val="00CD56A7"/>
    <w:rsid w:val="00CD5735"/>
    <w:rsid w:val="00CD575A"/>
    <w:rsid w:val="00CD5830"/>
    <w:rsid w:val="00CD5A8D"/>
    <w:rsid w:val="00CD5E14"/>
    <w:rsid w:val="00CD5F28"/>
    <w:rsid w:val="00CD61DF"/>
    <w:rsid w:val="00CD6339"/>
    <w:rsid w:val="00CD6449"/>
    <w:rsid w:val="00CD64D3"/>
    <w:rsid w:val="00CD64E1"/>
    <w:rsid w:val="00CD6603"/>
    <w:rsid w:val="00CD6C2C"/>
    <w:rsid w:val="00CD732A"/>
    <w:rsid w:val="00CD7485"/>
    <w:rsid w:val="00CD761C"/>
    <w:rsid w:val="00CD7769"/>
    <w:rsid w:val="00CD794F"/>
    <w:rsid w:val="00CD79CC"/>
    <w:rsid w:val="00CD7D55"/>
    <w:rsid w:val="00CD7D94"/>
    <w:rsid w:val="00CD7E6D"/>
    <w:rsid w:val="00CE0460"/>
    <w:rsid w:val="00CE06D8"/>
    <w:rsid w:val="00CE07C7"/>
    <w:rsid w:val="00CE0AE7"/>
    <w:rsid w:val="00CE0B2E"/>
    <w:rsid w:val="00CE10C1"/>
    <w:rsid w:val="00CE1138"/>
    <w:rsid w:val="00CE1283"/>
    <w:rsid w:val="00CE14AA"/>
    <w:rsid w:val="00CE166A"/>
    <w:rsid w:val="00CE182D"/>
    <w:rsid w:val="00CE190F"/>
    <w:rsid w:val="00CE1A31"/>
    <w:rsid w:val="00CE1AD8"/>
    <w:rsid w:val="00CE1B4C"/>
    <w:rsid w:val="00CE1C3A"/>
    <w:rsid w:val="00CE1DB1"/>
    <w:rsid w:val="00CE1E66"/>
    <w:rsid w:val="00CE22CB"/>
    <w:rsid w:val="00CE23F5"/>
    <w:rsid w:val="00CE24AA"/>
    <w:rsid w:val="00CE24AF"/>
    <w:rsid w:val="00CE25D1"/>
    <w:rsid w:val="00CE274A"/>
    <w:rsid w:val="00CE2942"/>
    <w:rsid w:val="00CE2AA3"/>
    <w:rsid w:val="00CE2BFB"/>
    <w:rsid w:val="00CE2C11"/>
    <w:rsid w:val="00CE2C91"/>
    <w:rsid w:val="00CE2D59"/>
    <w:rsid w:val="00CE2DCD"/>
    <w:rsid w:val="00CE2EF9"/>
    <w:rsid w:val="00CE2F9C"/>
    <w:rsid w:val="00CE3115"/>
    <w:rsid w:val="00CE343C"/>
    <w:rsid w:val="00CE36AD"/>
    <w:rsid w:val="00CE375E"/>
    <w:rsid w:val="00CE37E6"/>
    <w:rsid w:val="00CE37F6"/>
    <w:rsid w:val="00CE3B2C"/>
    <w:rsid w:val="00CE3DCC"/>
    <w:rsid w:val="00CE3E1A"/>
    <w:rsid w:val="00CE3E58"/>
    <w:rsid w:val="00CE431E"/>
    <w:rsid w:val="00CE4403"/>
    <w:rsid w:val="00CE4582"/>
    <w:rsid w:val="00CE4602"/>
    <w:rsid w:val="00CE47EB"/>
    <w:rsid w:val="00CE4986"/>
    <w:rsid w:val="00CE4B3D"/>
    <w:rsid w:val="00CE4E4D"/>
    <w:rsid w:val="00CE5499"/>
    <w:rsid w:val="00CE56AA"/>
    <w:rsid w:val="00CE581C"/>
    <w:rsid w:val="00CE5B8C"/>
    <w:rsid w:val="00CE5BC7"/>
    <w:rsid w:val="00CE5D16"/>
    <w:rsid w:val="00CE5DE0"/>
    <w:rsid w:val="00CE5F70"/>
    <w:rsid w:val="00CE6059"/>
    <w:rsid w:val="00CE6281"/>
    <w:rsid w:val="00CE68A4"/>
    <w:rsid w:val="00CE6DF0"/>
    <w:rsid w:val="00CE72AA"/>
    <w:rsid w:val="00CE75A8"/>
    <w:rsid w:val="00CE7634"/>
    <w:rsid w:val="00CE7665"/>
    <w:rsid w:val="00CE7733"/>
    <w:rsid w:val="00CE795F"/>
    <w:rsid w:val="00CE7AFB"/>
    <w:rsid w:val="00CE7B9B"/>
    <w:rsid w:val="00CF0049"/>
    <w:rsid w:val="00CF032A"/>
    <w:rsid w:val="00CF0442"/>
    <w:rsid w:val="00CF0571"/>
    <w:rsid w:val="00CF0713"/>
    <w:rsid w:val="00CF073E"/>
    <w:rsid w:val="00CF089C"/>
    <w:rsid w:val="00CF0C8C"/>
    <w:rsid w:val="00CF0C8E"/>
    <w:rsid w:val="00CF10A4"/>
    <w:rsid w:val="00CF137D"/>
    <w:rsid w:val="00CF1458"/>
    <w:rsid w:val="00CF1CCB"/>
    <w:rsid w:val="00CF1D03"/>
    <w:rsid w:val="00CF2011"/>
    <w:rsid w:val="00CF207B"/>
    <w:rsid w:val="00CF2102"/>
    <w:rsid w:val="00CF2367"/>
    <w:rsid w:val="00CF238D"/>
    <w:rsid w:val="00CF25AB"/>
    <w:rsid w:val="00CF25F6"/>
    <w:rsid w:val="00CF28E4"/>
    <w:rsid w:val="00CF297B"/>
    <w:rsid w:val="00CF29DA"/>
    <w:rsid w:val="00CF2F24"/>
    <w:rsid w:val="00CF3453"/>
    <w:rsid w:val="00CF35BF"/>
    <w:rsid w:val="00CF3666"/>
    <w:rsid w:val="00CF373F"/>
    <w:rsid w:val="00CF38E2"/>
    <w:rsid w:val="00CF39A6"/>
    <w:rsid w:val="00CF3F11"/>
    <w:rsid w:val="00CF41B2"/>
    <w:rsid w:val="00CF43DE"/>
    <w:rsid w:val="00CF468C"/>
    <w:rsid w:val="00CF4897"/>
    <w:rsid w:val="00CF4BC5"/>
    <w:rsid w:val="00CF5625"/>
    <w:rsid w:val="00CF56FE"/>
    <w:rsid w:val="00CF57D5"/>
    <w:rsid w:val="00CF58D6"/>
    <w:rsid w:val="00CF5DCB"/>
    <w:rsid w:val="00CF5EBB"/>
    <w:rsid w:val="00CF5FA9"/>
    <w:rsid w:val="00CF64B9"/>
    <w:rsid w:val="00CF66AF"/>
    <w:rsid w:val="00CF66C0"/>
    <w:rsid w:val="00CF66EE"/>
    <w:rsid w:val="00CF68B4"/>
    <w:rsid w:val="00CF6B15"/>
    <w:rsid w:val="00CF6BA2"/>
    <w:rsid w:val="00CF6CD0"/>
    <w:rsid w:val="00CF6FBD"/>
    <w:rsid w:val="00CF7017"/>
    <w:rsid w:val="00CF715C"/>
    <w:rsid w:val="00CF722C"/>
    <w:rsid w:val="00CF7267"/>
    <w:rsid w:val="00CF7551"/>
    <w:rsid w:val="00CF7569"/>
    <w:rsid w:val="00CF765F"/>
    <w:rsid w:val="00D004C5"/>
    <w:rsid w:val="00D00707"/>
    <w:rsid w:val="00D00729"/>
    <w:rsid w:val="00D00ADE"/>
    <w:rsid w:val="00D00B10"/>
    <w:rsid w:val="00D010EC"/>
    <w:rsid w:val="00D01801"/>
    <w:rsid w:val="00D01E5C"/>
    <w:rsid w:val="00D02337"/>
    <w:rsid w:val="00D023F0"/>
    <w:rsid w:val="00D0268E"/>
    <w:rsid w:val="00D026EF"/>
    <w:rsid w:val="00D027BD"/>
    <w:rsid w:val="00D02A89"/>
    <w:rsid w:val="00D0339B"/>
    <w:rsid w:val="00D034CE"/>
    <w:rsid w:val="00D03590"/>
    <w:rsid w:val="00D03605"/>
    <w:rsid w:val="00D036CD"/>
    <w:rsid w:val="00D03792"/>
    <w:rsid w:val="00D03A28"/>
    <w:rsid w:val="00D03AA4"/>
    <w:rsid w:val="00D03BA8"/>
    <w:rsid w:val="00D03C70"/>
    <w:rsid w:val="00D03C79"/>
    <w:rsid w:val="00D03CDB"/>
    <w:rsid w:val="00D03E3B"/>
    <w:rsid w:val="00D03E72"/>
    <w:rsid w:val="00D03F9B"/>
    <w:rsid w:val="00D03FBF"/>
    <w:rsid w:val="00D04066"/>
    <w:rsid w:val="00D041F1"/>
    <w:rsid w:val="00D04399"/>
    <w:rsid w:val="00D0452C"/>
    <w:rsid w:val="00D04757"/>
    <w:rsid w:val="00D04927"/>
    <w:rsid w:val="00D04C57"/>
    <w:rsid w:val="00D0529E"/>
    <w:rsid w:val="00D05359"/>
    <w:rsid w:val="00D0536E"/>
    <w:rsid w:val="00D0542A"/>
    <w:rsid w:val="00D0556C"/>
    <w:rsid w:val="00D055C5"/>
    <w:rsid w:val="00D05BE1"/>
    <w:rsid w:val="00D05F3F"/>
    <w:rsid w:val="00D06253"/>
    <w:rsid w:val="00D06634"/>
    <w:rsid w:val="00D06774"/>
    <w:rsid w:val="00D067C5"/>
    <w:rsid w:val="00D06B6A"/>
    <w:rsid w:val="00D06C27"/>
    <w:rsid w:val="00D06CBA"/>
    <w:rsid w:val="00D072F0"/>
    <w:rsid w:val="00D07321"/>
    <w:rsid w:val="00D07567"/>
    <w:rsid w:val="00D07655"/>
    <w:rsid w:val="00D077B8"/>
    <w:rsid w:val="00D07802"/>
    <w:rsid w:val="00D078EB"/>
    <w:rsid w:val="00D079B3"/>
    <w:rsid w:val="00D07C02"/>
    <w:rsid w:val="00D07D77"/>
    <w:rsid w:val="00D07DFA"/>
    <w:rsid w:val="00D1053A"/>
    <w:rsid w:val="00D10687"/>
    <w:rsid w:val="00D107B9"/>
    <w:rsid w:val="00D10F12"/>
    <w:rsid w:val="00D10F54"/>
    <w:rsid w:val="00D10F59"/>
    <w:rsid w:val="00D10F7B"/>
    <w:rsid w:val="00D10F98"/>
    <w:rsid w:val="00D1125D"/>
    <w:rsid w:val="00D11477"/>
    <w:rsid w:val="00D114BB"/>
    <w:rsid w:val="00D114CC"/>
    <w:rsid w:val="00D11506"/>
    <w:rsid w:val="00D1163B"/>
    <w:rsid w:val="00D1180B"/>
    <w:rsid w:val="00D11906"/>
    <w:rsid w:val="00D11D5B"/>
    <w:rsid w:val="00D11D76"/>
    <w:rsid w:val="00D1202D"/>
    <w:rsid w:val="00D1237B"/>
    <w:rsid w:val="00D1255F"/>
    <w:rsid w:val="00D125B0"/>
    <w:rsid w:val="00D126F5"/>
    <w:rsid w:val="00D12B03"/>
    <w:rsid w:val="00D12C23"/>
    <w:rsid w:val="00D12F37"/>
    <w:rsid w:val="00D12F3E"/>
    <w:rsid w:val="00D13587"/>
    <w:rsid w:val="00D1383D"/>
    <w:rsid w:val="00D13D6D"/>
    <w:rsid w:val="00D1410C"/>
    <w:rsid w:val="00D141FE"/>
    <w:rsid w:val="00D1423C"/>
    <w:rsid w:val="00D142B6"/>
    <w:rsid w:val="00D142CE"/>
    <w:rsid w:val="00D1431E"/>
    <w:rsid w:val="00D143DD"/>
    <w:rsid w:val="00D1443B"/>
    <w:rsid w:val="00D144E7"/>
    <w:rsid w:val="00D145A1"/>
    <w:rsid w:val="00D14685"/>
    <w:rsid w:val="00D14694"/>
    <w:rsid w:val="00D146BF"/>
    <w:rsid w:val="00D14920"/>
    <w:rsid w:val="00D14AAA"/>
    <w:rsid w:val="00D14D4C"/>
    <w:rsid w:val="00D15057"/>
    <w:rsid w:val="00D1510A"/>
    <w:rsid w:val="00D15147"/>
    <w:rsid w:val="00D151FC"/>
    <w:rsid w:val="00D15678"/>
    <w:rsid w:val="00D156B3"/>
    <w:rsid w:val="00D15AA0"/>
    <w:rsid w:val="00D15C59"/>
    <w:rsid w:val="00D15CDB"/>
    <w:rsid w:val="00D15DE3"/>
    <w:rsid w:val="00D15E3F"/>
    <w:rsid w:val="00D16272"/>
    <w:rsid w:val="00D162EE"/>
    <w:rsid w:val="00D16365"/>
    <w:rsid w:val="00D16538"/>
    <w:rsid w:val="00D16561"/>
    <w:rsid w:val="00D16777"/>
    <w:rsid w:val="00D1691C"/>
    <w:rsid w:val="00D16A41"/>
    <w:rsid w:val="00D16BCE"/>
    <w:rsid w:val="00D17046"/>
    <w:rsid w:val="00D170A9"/>
    <w:rsid w:val="00D170BB"/>
    <w:rsid w:val="00D17252"/>
    <w:rsid w:val="00D17536"/>
    <w:rsid w:val="00D176EE"/>
    <w:rsid w:val="00D17772"/>
    <w:rsid w:val="00D17A12"/>
    <w:rsid w:val="00D17E6C"/>
    <w:rsid w:val="00D17E8A"/>
    <w:rsid w:val="00D17F2E"/>
    <w:rsid w:val="00D207F7"/>
    <w:rsid w:val="00D20834"/>
    <w:rsid w:val="00D20935"/>
    <w:rsid w:val="00D20DAC"/>
    <w:rsid w:val="00D20E78"/>
    <w:rsid w:val="00D20F16"/>
    <w:rsid w:val="00D20F1B"/>
    <w:rsid w:val="00D21056"/>
    <w:rsid w:val="00D2109B"/>
    <w:rsid w:val="00D2132A"/>
    <w:rsid w:val="00D2144F"/>
    <w:rsid w:val="00D216AF"/>
    <w:rsid w:val="00D21802"/>
    <w:rsid w:val="00D21B41"/>
    <w:rsid w:val="00D21BE7"/>
    <w:rsid w:val="00D21C0B"/>
    <w:rsid w:val="00D21EB6"/>
    <w:rsid w:val="00D21F45"/>
    <w:rsid w:val="00D21F5B"/>
    <w:rsid w:val="00D22093"/>
    <w:rsid w:val="00D220F0"/>
    <w:rsid w:val="00D222DA"/>
    <w:rsid w:val="00D22381"/>
    <w:rsid w:val="00D2254A"/>
    <w:rsid w:val="00D2276D"/>
    <w:rsid w:val="00D2278E"/>
    <w:rsid w:val="00D22ADC"/>
    <w:rsid w:val="00D22B99"/>
    <w:rsid w:val="00D22CA8"/>
    <w:rsid w:val="00D22DE3"/>
    <w:rsid w:val="00D22E22"/>
    <w:rsid w:val="00D23079"/>
    <w:rsid w:val="00D23517"/>
    <w:rsid w:val="00D23559"/>
    <w:rsid w:val="00D23594"/>
    <w:rsid w:val="00D2363C"/>
    <w:rsid w:val="00D23A46"/>
    <w:rsid w:val="00D23A76"/>
    <w:rsid w:val="00D23AC4"/>
    <w:rsid w:val="00D23BF9"/>
    <w:rsid w:val="00D23C52"/>
    <w:rsid w:val="00D23C71"/>
    <w:rsid w:val="00D23E0E"/>
    <w:rsid w:val="00D23E4A"/>
    <w:rsid w:val="00D23F23"/>
    <w:rsid w:val="00D2411B"/>
    <w:rsid w:val="00D2435B"/>
    <w:rsid w:val="00D24540"/>
    <w:rsid w:val="00D245D2"/>
    <w:rsid w:val="00D248FE"/>
    <w:rsid w:val="00D249B7"/>
    <w:rsid w:val="00D249C1"/>
    <w:rsid w:val="00D24C0E"/>
    <w:rsid w:val="00D251AE"/>
    <w:rsid w:val="00D25349"/>
    <w:rsid w:val="00D25814"/>
    <w:rsid w:val="00D25891"/>
    <w:rsid w:val="00D25907"/>
    <w:rsid w:val="00D25938"/>
    <w:rsid w:val="00D26096"/>
    <w:rsid w:val="00D2612A"/>
    <w:rsid w:val="00D261A2"/>
    <w:rsid w:val="00D261B4"/>
    <w:rsid w:val="00D262FA"/>
    <w:rsid w:val="00D266A4"/>
    <w:rsid w:val="00D269C3"/>
    <w:rsid w:val="00D26F2F"/>
    <w:rsid w:val="00D271DD"/>
    <w:rsid w:val="00D27202"/>
    <w:rsid w:val="00D273D1"/>
    <w:rsid w:val="00D27960"/>
    <w:rsid w:val="00D27A0E"/>
    <w:rsid w:val="00D27A7B"/>
    <w:rsid w:val="00D27A89"/>
    <w:rsid w:val="00D27C23"/>
    <w:rsid w:val="00D27D68"/>
    <w:rsid w:val="00D27E13"/>
    <w:rsid w:val="00D3052F"/>
    <w:rsid w:val="00D306FD"/>
    <w:rsid w:val="00D30719"/>
    <w:rsid w:val="00D309C8"/>
    <w:rsid w:val="00D30A53"/>
    <w:rsid w:val="00D30B7D"/>
    <w:rsid w:val="00D30DFE"/>
    <w:rsid w:val="00D3134F"/>
    <w:rsid w:val="00D315FE"/>
    <w:rsid w:val="00D31989"/>
    <w:rsid w:val="00D31A49"/>
    <w:rsid w:val="00D31C21"/>
    <w:rsid w:val="00D31D1B"/>
    <w:rsid w:val="00D31D23"/>
    <w:rsid w:val="00D31DAF"/>
    <w:rsid w:val="00D31EC0"/>
    <w:rsid w:val="00D31F84"/>
    <w:rsid w:val="00D3218C"/>
    <w:rsid w:val="00D325C8"/>
    <w:rsid w:val="00D32665"/>
    <w:rsid w:val="00D327A1"/>
    <w:rsid w:val="00D327CD"/>
    <w:rsid w:val="00D3282F"/>
    <w:rsid w:val="00D32830"/>
    <w:rsid w:val="00D328E2"/>
    <w:rsid w:val="00D3293C"/>
    <w:rsid w:val="00D329BE"/>
    <w:rsid w:val="00D32C5A"/>
    <w:rsid w:val="00D32C70"/>
    <w:rsid w:val="00D32D27"/>
    <w:rsid w:val="00D3326C"/>
    <w:rsid w:val="00D33315"/>
    <w:rsid w:val="00D33327"/>
    <w:rsid w:val="00D335A5"/>
    <w:rsid w:val="00D33653"/>
    <w:rsid w:val="00D33876"/>
    <w:rsid w:val="00D33963"/>
    <w:rsid w:val="00D339E9"/>
    <w:rsid w:val="00D33AE1"/>
    <w:rsid w:val="00D33B15"/>
    <w:rsid w:val="00D33B99"/>
    <w:rsid w:val="00D33BA3"/>
    <w:rsid w:val="00D33C16"/>
    <w:rsid w:val="00D33CD9"/>
    <w:rsid w:val="00D346F0"/>
    <w:rsid w:val="00D34F1E"/>
    <w:rsid w:val="00D34F9C"/>
    <w:rsid w:val="00D35555"/>
    <w:rsid w:val="00D358DC"/>
    <w:rsid w:val="00D35BC1"/>
    <w:rsid w:val="00D35D07"/>
    <w:rsid w:val="00D360B8"/>
    <w:rsid w:val="00D361EC"/>
    <w:rsid w:val="00D36254"/>
    <w:rsid w:val="00D3644F"/>
    <w:rsid w:val="00D36627"/>
    <w:rsid w:val="00D36ADA"/>
    <w:rsid w:val="00D36AF4"/>
    <w:rsid w:val="00D36C02"/>
    <w:rsid w:val="00D36C1D"/>
    <w:rsid w:val="00D36EBA"/>
    <w:rsid w:val="00D36F78"/>
    <w:rsid w:val="00D36FE7"/>
    <w:rsid w:val="00D370B7"/>
    <w:rsid w:val="00D37322"/>
    <w:rsid w:val="00D374D7"/>
    <w:rsid w:val="00D37537"/>
    <w:rsid w:val="00D37BB9"/>
    <w:rsid w:val="00D37CB3"/>
    <w:rsid w:val="00D37D50"/>
    <w:rsid w:val="00D37F7E"/>
    <w:rsid w:val="00D4029E"/>
    <w:rsid w:val="00D40450"/>
    <w:rsid w:val="00D40472"/>
    <w:rsid w:val="00D40589"/>
    <w:rsid w:val="00D40673"/>
    <w:rsid w:val="00D4068F"/>
    <w:rsid w:val="00D40897"/>
    <w:rsid w:val="00D408A6"/>
    <w:rsid w:val="00D408FB"/>
    <w:rsid w:val="00D40949"/>
    <w:rsid w:val="00D40C06"/>
    <w:rsid w:val="00D40C09"/>
    <w:rsid w:val="00D40C2F"/>
    <w:rsid w:val="00D4105C"/>
    <w:rsid w:val="00D4108D"/>
    <w:rsid w:val="00D4128F"/>
    <w:rsid w:val="00D4170E"/>
    <w:rsid w:val="00D418A1"/>
    <w:rsid w:val="00D41B19"/>
    <w:rsid w:val="00D41B7A"/>
    <w:rsid w:val="00D41BF0"/>
    <w:rsid w:val="00D41C99"/>
    <w:rsid w:val="00D41D7A"/>
    <w:rsid w:val="00D41F42"/>
    <w:rsid w:val="00D41F74"/>
    <w:rsid w:val="00D42B63"/>
    <w:rsid w:val="00D42EDD"/>
    <w:rsid w:val="00D43333"/>
    <w:rsid w:val="00D433A5"/>
    <w:rsid w:val="00D43417"/>
    <w:rsid w:val="00D43537"/>
    <w:rsid w:val="00D43EF5"/>
    <w:rsid w:val="00D444E2"/>
    <w:rsid w:val="00D44525"/>
    <w:rsid w:val="00D44816"/>
    <w:rsid w:val="00D448AD"/>
    <w:rsid w:val="00D44ADF"/>
    <w:rsid w:val="00D44DE3"/>
    <w:rsid w:val="00D44EF7"/>
    <w:rsid w:val="00D44F67"/>
    <w:rsid w:val="00D4529E"/>
    <w:rsid w:val="00D4538A"/>
    <w:rsid w:val="00D454F0"/>
    <w:rsid w:val="00D455B1"/>
    <w:rsid w:val="00D455D5"/>
    <w:rsid w:val="00D4593D"/>
    <w:rsid w:val="00D45BC7"/>
    <w:rsid w:val="00D4626A"/>
    <w:rsid w:val="00D462EA"/>
    <w:rsid w:val="00D46532"/>
    <w:rsid w:val="00D465E0"/>
    <w:rsid w:val="00D46764"/>
    <w:rsid w:val="00D46BC8"/>
    <w:rsid w:val="00D46DB7"/>
    <w:rsid w:val="00D4707D"/>
    <w:rsid w:val="00D4730B"/>
    <w:rsid w:val="00D47483"/>
    <w:rsid w:val="00D47662"/>
    <w:rsid w:val="00D4783F"/>
    <w:rsid w:val="00D4785C"/>
    <w:rsid w:val="00D47A31"/>
    <w:rsid w:val="00D47AD9"/>
    <w:rsid w:val="00D47BE7"/>
    <w:rsid w:val="00D47D9E"/>
    <w:rsid w:val="00D47F68"/>
    <w:rsid w:val="00D47FDB"/>
    <w:rsid w:val="00D501EB"/>
    <w:rsid w:val="00D5020D"/>
    <w:rsid w:val="00D5025C"/>
    <w:rsid w:val="00D50267"/>
    <w:rsid w:val="00D5026C"/>
    <w:rsid w:val="00D5041C"/>
    <w:rsid w:val="00D507DB"/>
    <w:rsid w:val="00D50C3B"/>
    <w:rsid w:val="00D50C8F"/>
    <w:rsid w:val="00D50CD5"/>
    <w:rsid w:val="00D50E11"/>
    <w:rsid w:val="00D50F12"/>
    <w:rsid w:val="00D50F7D"/>
    <w:rsid w:val="00D512A2"/>
    <w:rsid w:val="00D51524"/>
    <w:rsid w:val="00D51654"/>
    <w:rsid w:val="00D51BD1"/>
    <w:rsid w:val="00D51E69"/>
    <w:rsid w:val="00D51F0B"/>
    <w:rsid w:val="00D521F2"/>
    <w:rsid w:val="00D524E4"/>
    <w:rsid w:val="00D525D0"/>
    <w:rsid w:val="00D526CD"/>
    <w:rsid w:val="00D52ED4"/>
    <w:rsid w:val="00D52F10"/>
    <w:rsid w:val="00D5322F"/>
    <w:rsid w:val="00D5371B"/>
    <w:rsid w:val="00D537C9"/>
    <w:rsid w:val="00D53804"/>
    <w:rsid w:val="00D53C80"/>
    <w:rsid w:val="00D53E33"/>
    <w:rsid w:val="00D53EFF"/>
    <w:rsid w:val="00D53FB0"/>
    <w:rsid w:val="00D5412E"/>
    <w:rsid w:val="00D541F3"/>
    <w:rsid w:val="00D542E8"/>
    <w:rsid w:val="00D54984"/>
    <w:rsid w:val="00D54B0B"/>
    <w:rsid w:val="00D54B99"/>
    <w:rsid w:val="00D54C12"/>
    <w:rsid w:val="00D54E36"/>
    <w:rsid w:val="00D550F8"/>
    <w:rsid w:val="00D55422"/>
    <w:rsid w:val="00D55440"/>
    <w:rsid w:val="00D55584"/>
    <w:rsid w:val="00D55677"/>
    <w:rsid w:val="00D559CB"/>
    <w:rsid w:val="00D55A82"/>
    <w:rsid w:val="00D55AA9"/>
    <w:rsid w:val="00D55C66"/>
    <w:rsid w:val="00D561FA"/>
    <w:rsid w:val="00D5630E"/>
    <w:rsid w:val="00D563C0"/>
    <w:rsid w:val="00D563EF"/>
    <w:rsid w:val="00D564EA"/>
    <w:rsid w:val="00D5683D"/>
    <w:rsid w:val="00D56866"/>
    <w:rsid w:val="00D5699A"/>
    <w:rsid w:val="00D56C6B"/>
    <w:rsid w:val="00D56CBF"/>
    <w:rsid w:val="00D57252"/>
    <w:rsid w:val="00D57292"/>
    <w:rsid w:val="00D5748E"/>
    <w:rsid w:val="00D57527"/>
    <w:rsid w:val="00D575AC"/>
    <w:rsid w:val="00D57640"/>
    <w:rsid w:val="00D576CF"/>
    <w:rsid w:val="00D576D5"/>
    <w:rsid w:val="00D57BF2"/>
    <w:rsid w:val="00D57F3A"/>
    <w:rsid w:val="00D57FFD"/>
    <w:rsid w:val="00D60000"/>
    <w:rsid w:val="00D60418"/>
    <w:rsid w:val="00D60485"/>
    <w:rsid w:val="00D60598"/>
    <w:rsid w:val="00D61002"/>
    <w:rsid w:val="00D611C0"/>
    <w:rsid w:val="00D61D89"/>
    <w:rsid w:val="00D62942"/>
    <w:rsid w:val="00D62A63"/>
    <w:rsid w:val="00D6358C"/>
    <w:rsid w:val="00D635BC"/>
    <w:rsid w:val="00D635FE"/>
    <w:rsid w:val="00D63885"/>
    <w:rsid w:val="00D63A14"/>
    <w:rsid w:val="00D63AB2"/>
    <w:rsid w:val="00D63CA8"/>
    <w:rsid w:val="00D63F81"/>
    <w:rsid w:val="00D63FDC"/>
    <w:rsid w:val="00D642BA"/>
    <w:rsid w:val="00D64B11"/>
    <w:rsid w:val="00D64F2E"/>
    <w:rsid w:val="00D6522F"/>
    <w:rsid w:val="00D6535C"/>
    <w:rsid w:val="00D65367"/>
    <w:rsid w:val="00D65587"/>
    <w:rsid w:val="00D65679"/>
    <w:rsid w:val="00D65AC1"/>
    <w:rsid w:val="00D65BFF"/>
    <w:rsid w:val="00D65C7B"/>
    <w:rsid w:val="00D661DE"/>
    <w:rsid w:val="00D662AA"/>
    <w:rsid w:val="00D662C7"/>
    <w:rsid w:val="00D6643A"/>
    <w:rsid w:val="00D66834"/>
    <w:rsid w:val="00D66A53"/>
    <w:rsid w:val="00D66B74"/>
    <w:rsid w:val="00D66D66"/>
    <w:rsid w:val="00D66EE1"/>
    <w:rsid w:val="00D66FCD"/>
    <w:rsid w:val="00D670D4"/>
    <w:rsid w:val="00D671A3"/>
    <w:rsid w:val="00D67285"/>
    <w:rsid w:val="00D67317"/>
    <w:rsid w:val="00D675C7"/>
    <w:rsid w:val="00D67739"/>
    <w:rsid w:val="00D67DB2"/>
    <w:rsid w:val="00D67F32"/>
    <w:rsid w:val="00D7022F"/>
    <w:rsid w:val="00D703A3"/>
    <w:rsid w:val="00D703EB"/>
    <w:rsid w:val="00D70713"/>
    <w:rsid w:val="00D708FD"/>
    <w:rsid w:val="00D7097C"/>
    <w:rsid w:val="00D70AA7"/>
    <w:rsid w:val="00D70DF7"/>
    <w:rsid w:val="00D71183"/>
    <w:rsid w:val="00D714D6"/>
    <w:rsid w:val="00D718B9"/>
    <w:rsid w:val="00D71971"/>
    <w:rsid w:val="00D71C59"/>
    <w:rsid w:val="00D7289F"/>
    <w:rsid w:val="00D72923"/>
    <w:rsid w:val="00D72E01"/>
    <w:rsid w:val="00D72EE5"/>
    <w:rsid w:val="00D731D5"/>
    <w:rsid w:val="00D732C7"/>
    <w:rsid w:val="00D73463"/>
    <w:rsid w:val="00D736DA"/>
    <w:rsid w:val="00D73A8F"/>
    <w:rsid w:val="00D73B7A"/>
    <w:rsid w:val="00D73D99"/>
    <w:rsid w:val="00D73DED"/>
    <w:rsid w:val="00D741E0"/>
    <w:rsid w:val="00D74408"/>
    <w:rsid w:val="00D746C2"/>
    <w:rsid w:val="00D747B9"/>
    <w:rsid w:val="00D74827"/>
    <w:rsid w:val="00D7491A"/>
    <w:rsid w:val="00D74DB5"/>
    <w:rsid w:val="00D74EC2"/>
    <w:rsid w:val="00D7501E"/>
    <w:rsid w:val="00D75626"/>
    <w:rsid w:val="00D75684"/>
    <w:rsid w:val="00D75C05"/>
    <w:rsid w:val="00D75CC8"/>
    <w:rsid w:val="00D75CF8"/>
    <w:rsid w:val="00D75E44"/>
    <w:rsid w:val="00D76643"/>
    <w:rsid w:val="00D76907"/>
    <w:rsid w:val="00D76C75"/>
    <w:rsid w:val="00D77061"/>
    <w:rsid w:val="00D77090"/>
    <w:rsid w:val="00D7725F"/>
    <w:rsid w:val="00D77809"/>
    <w:rsid w:val="00D77876"/>
    <w:rsid w:val="00D77A61"/>
    <w:rsid w:val="00D77B3E"/>
    <w:rsid w:val="00D8000B"/>
    <w:rsid w:val="00D80102"/>
    <w:rsid w:val="00D80157"/>
    <w:rsid w:val="00D80250"/>
    <w:rsid w:val="00D80255"/>
    <w:rsid w:val="00D80624"/>
    <w:rsid w:val="00D8069E"/>
    <w:rsid w:val="00D80991"/>
    <w:rsid w:val="00D809A0"/>
    <w:rsid w:val="00D809C9"/>
    <w:rsid w:val="00D80E7B"/>
    <w:rsid w:val="00D80FD1"/>
    <w:rsid w:val="00D811EF"/>
    <w:rsid w:val="00D81237"/>
    <w:rsid w:val="00D812F1"/>
    <w:rsid w:val="00D81352"/>
    <w:rsid w:val="00D8160B"/>
    <w:rsid w:val="00D81B6B"/>
    <w:rsid w:val="00D81D54"/>
    <w:rsid w:val="00D81F3E"/>
    <w:rsid w:val="00D81FC3"/>
    <w:rsid w:val="00D81FD9"/>
    <w:rsid w:val="00D82097"/>
    <w:rsid w:val="00D8214C"/>
    <w:rsid w:val="00D8215E"/>
    <w:rsid w:val="00D82207"/>
    <w:rsid w:val="00D822DD"/>
    <w:rsid w:val="00D82606"/>
    <w:rsid w:val="00D82656"/>
    <w:rsid w:val="00D826EF"/>
    <w:rsid w:val="00D827C4"/>
    <w:rsid w:val="00D82ED9"/>
    <w:rsid w:val="00D82FD5"/>
    <w:rsid w:val="00D830C8"/>
    <w:rsid w:val="00D830D3"/>
    <w:rsid w:val="00D831A7"/>
    <w:rsid w:val="00D833AC"/>
    <w:rsid w:val="00D8352A"/>
    <w:rsid w:val="00D83805"/>
    <w:rsid w:val="00D83959"/>
    <w:rsid w:val="00D839EF"/>
    <w:rsid w:val="00D83E76"/>
    <w:rsid w:val="00D83F24"/>
    <w:rsid w:val="00D84088"/>
    <w:rsid w:val="00D84481"/>
    <w:rsid w:val="00D844ED"/>
    <w:rsid w:val="00D84586"/>
    <w:rsid w:val="00D845D1"/>
    <w:rsid w:val="00D84642"/>
    <w:rsid w:val="00D8483A"/>
    <w:rsid w:val="00D84C0B"/>
    <w:rsid w:val="00D84D4E"/>
    <w:rsid w:val="00D852B8"/>
    <w:rsid w:val="00D85332"/>
    <w:rsid w:val="00D8536D"/>
    <w:rsid w:val="00D85527"/>
    <w:rsid w:val="00D855F1"/>
    <w:rsid w:val="00D8578E"/>
    <w:rsid w:val="00D85854"/>
    <w:rsid w:val="00D85894"/>
    <w:rsid w:val="00D85A4A"/>
    <w:rsid w:val="00D85D9A"/>
    <w:rsid w:val="00D860EA"/>
    <w:rsid w:val="00D86269"/>
    <w:rsid w:val="00D86343"/>
    <w:rsid w:val="00D865B0"/>
    <w:rsid w:val="00D865DA"/>
    <w:rsid w:val="00D86A63"/>
    <w:rsid w:val="00D86FA9"/>
    <w:rsid w:val="00D8704F"/>
    <w:rsid w:val="00D87287"/>
    <w:rsid w:val="00D872EF"/>
    <w:rsid w:val="00D87349"/>
    <w:rsid w:val="00D87612"/>
    <w:rsid w:val="00D87A54"/>
    <w:rsid w:val="00D87A95"/>
    <w:rsid w:val="00D87D55"/>
    <w:rsid w:val="00D87EAA"/>
    <w:rsid w:val="00D87EB7"/>
    <w:rsid w:val="00D87FA4"/>
    <w:rsid w:val="00D9044C"/>
    <w:rsid w:val="00D90669"/>
    <w:rsid w:val="00D906F4"/>
    <w:rsid w:val="00D907AC"/>
    <w:rsid w:val="00D907AF"/>
    <w:rsid w:val="00D9090F"/>
    <w:rsid w:val="00D90D57"/>
    <w:rsid w:val="00D90EA8"/>
    <w:rsid w:val="00D90FC2"/>
    <w:rsid w:val="00D91397"/>
    <w:rsid w:val="00D914CA"/>
    <w:rsid w:val="00D9162D"/>
    <w:rsid w:val="00D91F39"/>
    <w:rsid w:val="00D91FAC"/>
    <w:rsid w:val="00D92071"/>
    <w:rsid w:val="00D921D1"/>
    <w:rsid w:val="00D9222F"/>
    <w:rsid w:val="00D92518"/>
    <w:rsid w:val="00D9267C"/>
    <w:rsid w:val="00D92950"/>
    <w:rsid w:val="00D92B8E"/>
    <w:rsid w:val="00D92E90"/>
    <w:rsid w:val="00D92EB3"/>
    <w:rsid w:val="00D92FC7"/>
    <w:rsid w:val="00D9321C"/>
    <w:rsid w:val="00D937C2"/>
    <w:rsid w:val="00D93BF7"/>
    <w:rsid w:val="00D93D50"/>
    <w:rsid w:val="00D940DB"/>
    <w:rsid w:val="00D94476"/>
    <w:rsid w:val="00D944C3"/>
    <w:rsid w:val="00D944D8"/>
    <w:rsid w:val="00D94589"/>
    <w:rsid w:val="00D94949"/>
    <w:rsid w:val="00D94975"/>
    <w:rsid w:val="00D94B09"/>
    <w:rsid w:val="00D94DA3"/>
    <w:rsid w:val="00D951AF"/>
    <w:rsid w:val="00D9525E"/>
    <w:rsid w:val="00D954D7"/>
    <w:rsid w:val="00D954E2"/>
    <w:rsid w:val="00D957E2"/>
    <w:rsid w:val="00D957EC"/>
    <w:rsid w:val="00D95913"/>
    <w:rsid w:val="00D95E96"/>
    <w:rsid w:val="00D95F03"/>
    <w:rsid w:val="00D95F61"/>
    <w:rsid w:val="00D96362"/>
    <w:rsid w:val="00D963AE"/>
    <w:rsid w:val="00D965B7"/>
    <w:rsid w:val="00D96676"/>
    <w:rsid w:val="00D96CC1"/>
    <w:rsid w:val="00D96D0C"/>
    <w:rsid w:val="00D96DD4"/>
    <w:rsid w:val="00D96E9D"/>
    <w:rsid w:val="00D96EC1"/>
    <w:rsid w:val="00D97377"/>
    <w:rsid w:val="00D974D7"/>
    <w:rsid w:val="00D97611"/>
    <w:rsid w:val="00D977DE"/>
    <w:rsid w:val="00D97B13"/>
    <w:rsid w:val="00D97C12"/>
    <w:rsid w:val="00D97EC9"/>
    <w:rsid w:val="00D97F0A"/>
    <w:rsid w:val="00DA0492"/>
    <w:rsid w:val="00DA0532"/>
    <w:rsid w:val="00DA059E"/>
    <w:rsid w:val="00DA06A3"/>
    <w:rsid w:val="00DA06F9"/>
    <w:rsid w:val="00DA08CF"/>
    <w:rsid w:val="00DA095A"/>
    <w:rsid w:val="00DA131A"/>
    <w:rsid w:val="00DA19F9"/>
    <w:rsid w:val="00DA2112"/>
    <w:rsid w:val="00DA229F"/>
    <w:rsid w:val="00DA2342"/>
    <w:rsid w:val="00DA2495"/>
    <w:rsid w:val="00DA2CC5"/>
    <w:rsid w:val="00DA2E0B"/>
    <w:rsid w:val="00DA301E"/>
    <w:rsid w:val="00DA314B"/>
    <w:rsid w:val="00DA3347"/>
    <w:rsid w:val="00DA348C"/>
    <w:rsid w:val="00DA383D"/>
    <w:rsid w:val="00DA3CF0"/>
    <w:rsid w:val="00DA3DAD"/>
    <w:rsid w:val="00DA42EB"/>
    <w:rsid w:val="00DA50FE"/>
    <w:rsid w:val="00DA5337"/>
    <w:rsid w:val="00DA598A"/>
    <w:rsid w:val="00DA5B72"/>
    <w:rsid w:val="00DA5EE2"/>
    <w:rsid w:val="00DA5FF4"/>
    <w:rsid w:val="00DA61D6"/>
    <w:rsid w:val="00DA6284"/>
    <w:rsid w:val="00DA6300"/>
    <w:rsid w:val="00DA670E"/>
    <w:rsid w:val="00DA6767"/>
    <w:rsid w:val="00DA70F2"/>
    <w:rsid w:val="00DA7184"/>
    <w:rsid w:val="00DA7355"/>
    <w:rsid w:val="00DA73E3"/>
    <w:rsid w:val="00DA7606"/>
    <w:rsid w:val="00DA7BCB"/>
    <w:rsid w:val="00DB0357"/>
    <w:rsid w:val="00DB0448"/>
    <w:rsid w:val="00DB0960"/>
    <w:rsid w:val="00DB0ABA"/>
    <w:rsid w:val="00DB0CC3"/>
    <w:rsid w:val="00DB108A"/>
    <w:rsid w:val="00DB11F0"/>
    <w:rsid w:val="00DB11F5"/>
    <w:rsid w:val="00DB1440"/>
    <w:rsid w:val="00DB157C"/>
    <w:rsid w:val="00DB1621"/>
    <w:rsid w:val="00DB1790"/>
    <w:rsid w:val="00DB17F6"/>
    <w:rsid w:val="00DB1DA0"/>
    <w:rsid w:val="00DB1E17"/>
    <w:rsid w:val="00DB1E29"/>
    <w:rsid w:val="00DB1F81"/>
    <w:rsid w:val="00DB213B"/>
    <w:rsid w:val="00DB22B3"/>
    <w:rsid w:val="00DB24B8"/>
    <w:rsid w:val="00DB27AA"/>
    <w:rsid w:val="00DB2BD8"/>
    <w:rsid w:val="00DB2C87"/>
    <w:rsid w:val="00DB2C8F"/>
    <w:rsid w:val="00DB2FEA"/>
    <w:rsid w:val="00DB30A7"/>
    <w:rsid w:val="00DB3200"/>
    <w:rsid w:val="00DB3295"/>
    <w:rsid w:val="00DB33C4"/>
    <w:rsid w:val="00DB3861"/>
    <w:rsid w:val="00DB3C1A"/>
    <w:rsid w:val="00DB40DB"/>
    <w:rsid w:val="00DB46AD"/>
    <w:rsid w:val="00DB4A9D"/>
    <w:rsid w:val="00DB4BBC"/>
    <w:rsid w:val="00DB50C8"/>
    <w:rsid w:val="00DB51C5"/>
    <w:rsid w:val="00DB53B4"/>
    <w:rsid w:val="00DB55C1"/>
    <w:rsid w:val="00DB55F1"/>
    <w:rsid w:val="00DB587E"/>
    <w:rsid w:val="00DB58D3"/>
    <w:rsid w:val="00DB5936"/>
    <w:rsid w:val="00DB5AC0"/>
    <w:rsid w:val="00DB5CBC"/>
    <w:rsid w:val="00DB5DAD"/>
    <w:rsid w:val="00DB62C7"/>
    <w:rsid w:val="00DB6AD3"/>
    <w:rsid w:val="00DB6B1F"/>
    <w:rsid w:val="00DB6D0E"/>
    <w:rsid w:val="00DB747B"/>
    <w:rsid w:val="00DB74FB"/>
    <w:rsid w:val="00DB7652"/>
    <w:rsid w:val="00DB7681"/>
    <w:rsid w:val="00DB78C2"/>
    <w:rsid w:val="00DB7956"/>
    <w:rsid w:val="00DB7C01"/>
    <w:rsid w:val="00DB7C73"/>
    <w:rsid w:val="00DB7D67"/>
    <w:rsid w:val="00DC02ED"/>
    <w:rsid w:val="00DC040C"/>
    <w:rsid w:val="00DC0743"/>
    <w:rsid w:val="00DC0944"/>
    <w:rsid w:val="00DC0986"/>
    <w:rsid w:val="00DC09E5"/>
    <w:rsid w:val="00DC0AA4"/>
    <w:rsid w:val="00DC0AB8"/>
    <w:rsid w:val="00DC0D5C"/>
    <w:rsid w:val="00DC0F0E"/>
    <w:rsid w:val="00DC13A0"/>
    <w:rsid w:val="00DC15E3"/>
    <w:rsid w:val="00DC1601"/>
    <w:rsid w:val="00DC179C"/>
    <w:rsid w:val="00DC1B31"/>
    <w:rsid w:val="00DC1C77"/>
    <w:rsid w:val="00DC1D53"/>
    <w:rsid w:val="00DC1F96"/>
    <w:rsid w:val="00DC20B0"/>
    <w:rsid w:val="00DC2309"/>
    <w:rsid w:val="00DC2417"/>
    <w:rsid w:val="00DC25EB"/>
    <w:rsid w:val="00DC2888"/>
    <w:rsid w:val="00DC294F"/>
    <w:rsid w:val="00DC2BBC"/>
    <w:rsid w:val="00DC2C09"/>
    <w:rsid w:val="00DC2D40"/>
    <w:rsid w:val="00DC2DC3"/>
    <w:rsid w:val="00DC30A9"/>
    <w:rsid w:val="00DC3210"/>
    <w:rsid w:val="00DC3419"/>
    <w:rsid w:val="00DC3443"/>
    <w:rsid w:val="00DC3500"/>
    <w:rsid w:val="00DC354C"/>
    <w:rsid w:val="00DC372C"/>
    <w:rsid w:val="00DC3B79"/>
    <w:rsid w:val="00DC3D46"/>
    <w:rsid w:val="00DC405B"/>
    <w:rsid w:val="00DC413A"/>
    <w:rsid w:val="00DC41E7"/>
    <w:rsid w:val="00DC42E5"/>
    <w:rsid w:val="00DC46FA"/>
    <w:rsid w:val="00DC4704"/>
    <w:rsid w:val="00DC4C15"/>
    <w:rsid w:val="00DC4C5D"/>
    <w:rsid w:val="00DC53E3"/>
    <w:rsid w:val="00DC582A"/>
    <w:rsid w:val="00DC58CF"/>
    <w:rsid w:val="00DC5A43"/>
    <w:rsid w:val="00DC5B30"/>
    <w:rsid w:val="00DC5C70"/>
    <w:rsid w:val="00DC5D04"/>
    <w:rsid w:val="00DC5EB3"/>
    <w:rsid w:val="00DC60F5"/>
    <w:rsid w:val="00DC61AF"/>
    <w:rsid w:val="00DC6279"/>
    <w:rsid w:val="00DC62C3"/>
    <w:rsid w:val="00DC62EC"/>
    <w:rsid w:val="00DC6482"/>
    <w:rsid w:val="00DC6565"/>
    <w:rsid w:val="00DC671D"/>
    <w:rsid w:val="00DC6733"/>
    <w:rsid w:val="00DC6942"/>
    <w:rsid w:val="00DC6DC6"/>
    <w:rsid w:val="00DC7645"/>
    <w:rsid w:val="00DC76AB"/>
    <w:rsid w:val="00DC783A"/>
    <w:rsid w:val="00DC7B64"/>
    <w:rsid w:val="00DC7E1A"/>
    <w:rsid w:val="00DC7EA2"/>
    <w:rsid w:val="00DC7EA9"/>
    <w:rsid w:val="00DC7ED1"/>
    <w:rsid w:val="00DD010A"/>
    <w:rsid w:val="00DD011A"/>
    <w:rsid w:val="00DD095D"/>
    <w:rsid w:val="00DD0B00"/>
    <w:rsid w:val="00DD0D63"/>
    <w:rsid w:val="00DD0E88"/>
    <w:rsid w:val="00DD1020"/>
    <w:rsid w:val="00DD11B6"/>
    <w:rsid w:val="00DD12CF"/>
    <w:rsid w:val="00DD1752"/>
    <w:rsid w:val="00DD17EF"/>
    <w:rsid w:val="00DD1C1C"/>
    <w:rsid w:val="00DD1E3A"/>
    <w:rsid w:val="00DD1E96"/>
    <w:rsid w:val="00DD1FC3"/>
    <w:rsid w:val="00DD2008"/>
    <w:rsid w:val="00DD21E3"/>
    <w:rsid w:val="00DD2A9F"/>
    <w:rsid w:val="00DD2B9A"/>
    <w:rsid w:val="00DD2F5E"/>
    <w:rsid w:val="00DD341A"/>
    <w:rsid w:val="00DD3618"/>
    <w:rsid w:val="00DD3706"/>
    <w:rsid w:val="00DD375F"/>
    <w:rsid w:val="00DD3823"/>
    <w:rsid w:val="00DD3965"/>
    <w:rsid w:val="00DD3C72"/>
    <w:rsid w:val="00DD3EA7"/>
    <w:rsid w:val="00DD40A0"/>
    <w:rsid w:val="00DD4126"/>
    <w:rsid w:val="00DD47FE"/>
    <w:rsid w:val="00DD48A6"/>
    <w:rsid w:val="00DD4970"/>
    <w:rsid w:val="00DD49F2"/>
    <w:rsid w:val="00DD4CE1"/>
    <w:rsid w:val="00DD4D1E"/>
    <w:rsid w:val="00DD515E"/>
    <w:rsid w:val="00DD51C2"/>
    <w:rsid w:val="00DD5950"/>
    <w:rsid w:val="00DD5977"/>
    <w:rsid w:val="00DD5AC2"/>
    <w:rsid w:val="00DD5CB1"/>
    <w:rsid w:val="00DD5DB4"/>
    <w:rsid w:val="00DD60F2"/>
    <w:rsid w:val="00DD62E4"/>
    <w:rsid w:val="00DD64B5"/>
    <w:rsid w:val="00DD65B5"/>
    <w:rsid w:val="00DD66D1"/>
    <w:rsid w:val="00DD682C"/>
    <w:rsid w:val="00DD6A50"/>
    <w:rsid w:val="00DD6C1D"/>
    <w:rsid w:val="00DD6CA7"/>
    <w:rsid w:val="00DD6CEE"/>
    <w:rsid w:val="00DD6F7E"/>
    <w:rsid w:val="00DD6FE1"/>
    <w:rsid w:val="00DD74E8"/>
    <w:rsid w:val="00DD754F"/>
    <w:rsid w:val="00DD757C"/>
    <w:rsid w:val="00DD76B9"/>
    <w:rsid w:val="00DD76C3"/>
    <w:rsid w:val="00DD7721"/>
    <w:rsid w:val="00DD77FD"/>
    <w:rsid w:val="00DD788A"/>
    <w:rsid w:val="00DD79CB"/>
    <w:rsid w:val="00DD7A03"/>
    <w:rsid w:val="00DD7A99"/>
    <w:rsid w:val="00DD7AC8"/>
    <w:rsid w:val="00DD7AD2"/>
    <w:rsid w:val="00DD7B44"/>
    <w:rsid w:val="00DD7BA9"/>
    <w:rsid w:val="00DD7E65"/>
    <w:rsid w:val="00DD7E8E"/>
    <w:rsid w:val="00DE011E"/>
    <w:rsid w:val="00DE021C"/>
    <w:rsid w:val="00DE03CE"/>
    <w:rsid w:val="00DE08CD"/>
    <w:rsid w:val="00DE09D2"/>
    <w:rsid w:val="00DE0AC5"/>
    <w:rsid w:val="00DE1072"/>
    <w:rsid w:val="00DE1525"/>
    <w:rsid w:val="00DE1840"/>
    <w:rsid w:val="00DE1AA7"/>
    <w:rsid w:val="00DE1AE6"/>
    <w:rsid w:val="00DE1B0A"/>
    <w:rsid w:val="00DE1BFB"/>
    <w:rsid w:val="00DE1FA3"/>
    <w:rsid w:val="00DE20F0"/>
    <w:rsid w:val="00DE2F01"/>
    <w:rsid w:val="00DE2F4C"/>
    <w:rsid w:val="00DE3A2A"/>
    <w:rsid w:val="00DE3B9E"/>
    <w:rsid w:val="00DE3BC7"/>
    <w:rsid w:val="00DE3BEA"/>
    <w:rsid w:val="00DE3C26"/>
    <w:rsid w:val="00DE3C5A"/>
    <w:rsid w:val="00DE3CA4"/>
    <w:rsid w:val="00DE3DE3"/>
    <w:rsid w:val="00DE3F76"/>
    <w:rsid w:val="00DE3FBA"/>
    <w:rsid w:val="00DE4219"/>
    <w:rsid w:val="00DE421E"/>
    <w:rsid w:val="00DE4305"/>
    <w:rsid w:val="00DE4681"/>
    <w:rsid w:val="00DE49DB"/>
    <w:rsid w:val="00DE4C89"/>
    <w:rsid w:val="00DE4D9F"/>
    <w:rsid w:val="00DE4E0E"/>
    <w:rsid w:val="00DE4F43"/>
    <w:rsid w:val="00DE561C"/>
    <w:rsid w:val="00DE57A2"/>
    <w:rsid w:val="00DE58B6"/>
    <w:rsid w:val="00DE5A0B"/>
    <w:rsid w:val="00DE5CAD"/>
    <w:rsid w:val="00DE5F1C"/>
    <w:rsid w:val="00DE5FFF"/>
    <w:rsid w:val="00DE6345"/>
    <w:rsid w:val="00DE662D"/>
    <w:rsid w:val="00DE6C6C"/>
    <w:rsid w:val="00DE72F2"/>
    <w:rsid w:val="00DE7729"/>
    <w:rsid w:val="00DE78A5"/>
    <w:rsid w:val="00DE798F"/>
    <w:rsid w:val="00DE7B1B"/>
    <w:rsid w:val="00DE7FA6"/>
    <w:rsid w:val="00DF01EE"/>
    <w:rsid w:val="00DF0281"/>
    <w:rsid w:val="00DF0284"/>
    <w:rsid w:val="00DF0540"/>
    <w:rsid w:val="00DF08AE"/>
    <w:rsid w:val="00DF092F"/>
    <w:rsid w:val="00DF0986"/>
    <w:rsid w:val="00DF0A15"/>
    <w:rsid w:val="00DF0AE3"/>
    <w:rsid w:val="00DF1144"/>
    <w:rsid w:val="00DF1C17"/>
    <w:rsid w:val="00DF1E77"/>
    <w:rsid w:val="00DF2179"/>
    <w:rsid w:val="00DF23A0"/>
    <w:rsid w:val="00DF245D"/>
    <w:rsid w:val="00DF278B"/>
    <w:rsid w:val="00DF282E"/>
    <w:rsid w:val="00DF2A4F"/>
    <w:rsid w:val="00DF2C4A"/>
    <w:rsid w:val="00DF2E1F"/>
    <w:rsid w:val="00DF31F8"/>
    <w:rsid w:val="00DF332F"/>
    <w:rsid w:val="00DF38D0"/>
    <w:rsid w:val="00DF3F5A"/>
    <w:rsid w:val="00DF40DF"/>
    <w:rsid w:val="00DF4182"/>
    <w:rsid w:val="00DF41D9"/>
    <w:rsid w:val="00DF4634"/>
    <w:rsid w:val="00DF468D"/>
    <w:rsid w:val="00DF4713"/>
    <w:rsid w:val="00DF4748"/>
    <w:rsid w:val="00DF4ABF"/>
    <w:rsid w:val="00DF4B13"/>
    <w:rsid w:val="00DF4E66"/>
    <w:rsid w:val="00DF523B"/>
    <w:rsid w:val="00DF55C3"/>
    <w:rsid w:val="00DF58C1"/>
    <w:rsid w:val="00DF598D"/>
    <w:rsid w:val="00DF5BA0"/>
    <w:rsid w:val="00DF5CE8"/>
    <w:rsid w:val="00DF5CFF"/>
    <w:rsid w:val="00DF5D21"/>
    <w:rsid w:val="00DF5D98"/>
    <w:rsid w:val="00DF62D8"/>
    <w:rsid w:val="00DF6409"/>
    <w:rsid w:val="00DF651D"/>
    <w:rsid w:val="00DF661A"/>
    <w:rsid w:val="00DF671A"/>
    <w:rsid w:val="00DF699D"/>
    <w:rsid w:val="00DF6A72"/>
    <w:rsid w:val="00DF6BFA"/>
    <w:rsid w:val="00DF74EB"/>
    <w:rsid w:val="00DF7CD2"/>
    <w:rsid w:val="00DF7D36"/>
    <w:rsid w:val="00E00016"/>
    <w:rsid w:val="00E00262"/>
    <w:rsid w:val="00E00375"/>
    <w:rsid w:val="00E004FC"/>
    <w:rsid w:val="00E00841"/>
    <w:rsid w:val="00E008F6"/>
    <w:rsid w:val="00E00AC9"/>
    <w:rsid w:val="00E00F4D"/>
    <w:rsid w:val="00E00F9E"/>
    <w:rsid w:val="00E013F6"/>
    <w:rsid w:val="00E01501"/>
    <w:rsid w:val="00E01673"/>
    <w:rsid w:val="00E0180A"/>
    <w:rsid w:val="00E01922"/>
    <w:rsid w:val="00E01A73"/>
    <w:rsid w:val="00E01DFC"/>
    <w:rsid w:val="00E02362"/>
    <w:rsid w:val="00E026FD"/>
    <w:rsid w:val="00E02895"/>
    <w:rsid w:val="00E02988"/>
    <w:rsid w:val="00E03033"/>
    <w:rsid w:val="00E03062"/>
    <w:rsid w:val="00E03551"/>
    <w:rsid w:val="00E035D5"/>
    <w:rsid w:val="00E03A95"/>
    <w:rsid w:val="00E03AAD"/>
    <w:rsid w:val="00E03B48"/>
    <w:rsid w:val="00E03C86"/>
    <w:rsid w:val="00E03CB9"/>
    <w:rsid w:val="00E03D54"/>
    <w:rsid w:val="00E040D0"/>
    <w:rsid w:val="00E04352"/>
    <w:rsid w:val="00E0437E"/>
    <w:rsid w:val="00E04421"/>
    <w:rsid w:val="00E04B03"/>
    <w:rsid w:val="00E04C3A"/>
    <w:rsid w:val="00E04C8E"/>
    <w:rsid w:val="00E04CA6"/>
    <w:rsid w:val="00E052EB"/>
    <w:rsid w:val="00E05383"/>
    <w:rsid w:val="00E053F0"/>
    <w:rsid w:val="00E05682"/>
    <w:rsid w:val="00E056A4"/>
    <w:rsid w:val="00E057DC"/>
    <w:rsid w:val="00E05B70"/>
    <w:rsid w:val="00E05CA0"/>
    <w:rsid w:val="00E05E01"/>
    <w:rsid w:val="00E0671E"/>
    <w:rsid w:val="00E06E05"/>
    <w:rsid w:val="00E06E3A"/>
    <w:rsid w:val="00E074CC"/>
    <w:rsid w:val="00E0750C"/>
    <w:rsid w:val="00E07538"/>
    <w:rsid w:val="00E07566"/>
    <w:rsid w:val="00E0785D"/>
    <w:rsid w:val="00E07879"/>
    <w:rsid w:val="00E07D30"/>
    <w:rsid w:val="00E07E46"/>
    <w:rsid w:val="00E07F84"/>
    <w:rsid w:val="00E101C6"/>
    <w:rsid w:val="00E102D9"/>
    <w:rsid w:val="00E1085D"/>
    <w:rsid w:val="00E10DF6"/>
    <w:rsid w:val="00E10E6C"/>
    <w:rsid w:val="00E11269"/>
    <w:rsid w:val="00E112C9"/>
    <w:rsid w:val="00E1189F"/>
    <w:rsid w:val="00E119D9"/>
    <w:rsid w:val="00E12070"/>
    <w:rsid w:val="00E12293"/>
    <w:rsid w:val="00E122B3"/>
    <w:rsid w:val="00E123C6"/>
    <w:rsid w:val="00E12502"/>
    <w:rsid w:val="00E125F6"/>
    <w:rsid w:val="00E1265B"/>
    <w:rsid w:val="00E12862"/>
    <w:rsid w:val="00E128AF"/>
    <w:rsid w:val="00E12A16"/>
    <w:rsid w:val="00E12C28"/>
    <w:rsid w:val="00E12CF6"/>
    <w:rsid w:val="00E12E92"/>
    <w:rsid w:val="00E12F90"/>
    <w:rsid w:val="00E131E1"/>
    <w:rsid w:val="00E132DD"/>
    <w:rsid w:val="00E1336A"/>
    <w:rsid w:val="00E13537"/>
    <w:rsid w:val="00E1365D"/>
    <w:rsid w:val="00E13712"/>
    <w:rsid w:val="00E138A7"/>
    <w:rsid w:val="00E139D8"/>
    <w:rsid w:val="00E13B14"/>
    <w:rsid w:val="00E13D0A"/>
    <w:rsid w:val="00E13EAB"/>
    <w:rsid w:val="00E140F6"/>
    <w:rsid w:val="00E1417F"/>
    <w:rsid w:val="00E14239"/>
    <w:rsid w:val="00E14760"/>
    <w:rsid w:val="00E1478F"/>
    <w:rsid w:val="00E14793"/>
    <w:rsid w:val="00E14931"/>
    <w:rsid w:val="00E14947"/>
    <w:rsid w:val="00E14A8A"/>
    <w:rsid w:val="00E14CA3"/>
    <w:rsid w:val="00E14FF1"/>
    <w:rsid w:val="00E150B5"/>
    <w:rsid w:val="00E151AB"/>
    <w:rsid w:val="00E1531A"/>
    <w:rsid w:val="00E15423"/>
    <w:rsid w:val="00E15694"/>
    <w:rsid w:val="00E1593F"/>
    <w:rsid w:val="00E15A4E"/>
    <w:rsid w:val="00E15A6E"/>
    <w:rsid w:val="00E15AAB"/>
    <w:rsid w:val="00E15AE9"/>
    <w:rsid w:val="00E15B3E"/>
    <w:rsid w:val="00E1653C"/>
    <w:rsid w:val="00E1673E"/>
    <w:rsid w:val="00E16820"/>
    <w:rsid w:val="00E16B95"/>
    <w:rsid w:val="00E170FD"/>
    <w:rsid w:val="00E172CE"/>
    <w:rsid w:val="00E17C35"/>
    <w:rsid w:val="00E17F0E"/>
    <w:rsid w:val="00E17F59"/>
    <w:rsid w:val="00E2036B"/>
    <w:rsid w:val="00E2087E"/>
    <w:rsid w:val="00E20A1E"/>
    <w:rsid w:val="00E20B46"/>
    <w:rsid w:val="00E20DDB"/>
    <w:rsid w:val="00E20E69"/>
    <w:rsid w:val="00E2107D"/>
    <w:rsid w:val="00E211C8"/>
    <w:rsid w:val="00E2128A"/>
    <w:rsid w:val="00E212A1"/>
    <w:rsid w:val="00E216EF"/>
    <w:rsid w:val="00E221C4"/>
    <w:rsid w:val="00E22634"/>
    <w:rsid w:val="00E22962"/>
    <w:rsid w:val="00E2312A"/>
    <w:rsid w:val="00E23226"/>
    <w:rsid w:val="00E235BC"/>
    <w:rsid w:val="00E2375F"/>
    <w:rsid w:val="00E2394C"/>
    <w:rsid w:val="00E239C4"/>
    <w:rsid w:val="00E23A2A"/>
    <w:rsid w:val="00E241E8"/>
    <w:rsid w:val="00E2424D"/>
    <w:rsid w:val="00E2431D"/>
    <w:rsid w:val="00E24859"/>
    <w:rsid w:val="00E24A70"/>
    <w:rsid w:val="00E24B5E"/>
    <w:rsid w:val="00E24B6D"/>
    <w:rsid w:val="00E25421"/>
    <w:rsid w:val="00E25E2A"/>
    <w:rsid w:val="00E260BB"/>
    <w:rsid w:val="00E2631D"/>
    <w:rsid w:val="00E26354"/>
    <w:rsid w:val="00E26366"/>
    <w:rsid w:val="00E2639A"/>
    <w:rsid w:val="00E26699"/>
    <w:rsid w:val="00E268A9"/>
    <w:rsid w:val="00E26924"/>
    <w:rsid w:val="00E26AF3"/>
    <w:rsid w:val="00E26BA9"/>
    <w:rsid w:val="00E26C38"/>
    <w:rsid w:val="00E26FB0"/>
    <w:rsid w:val="00E2710B"/>
    <w:rsid w:val="00E274FA"/>
    <w:rsid w:val="00E276A6"/>
    <w:rsid w:val="00E27742"/>
    <w:rsid w:val="00E27837"/>
    <w:rsid w:val="00E2796D"/>
    <w:rsid w:val="00E27A4B"/>
    <w:rsid w:val="00E27EF3"/>
    <w:rsid w:val="00E3060B"/>
    <w:rsid w:val="00E308B6"/>
    <w:rsid w:val="00E30AD6"/>
    <w:rsid w:val="00E31135"/>
    <w:rsid w:val="00E31179"/>
    <w:rsid w:val="00E31390"/>
    <w:rsid w:val="00E31492"/>
    <w:rsid w:val="00E31673"/>
    <w:rsid w:val="00E31AC2"/>
    <w:rsid w:val="00E31AEB"/>
    <w:rsid w:val="00E31B1F"/>
    <w:rsid w:val="00E31CC6"/>
    <w:rsid w:val="00E31F62"/>
    <w:rsid w:val="00E321C6"/>
    <w:rsid w:val="00E3228A"/>
    <w:rsid w:val="00E322C9"/>
    <w:rsid w:val="00E32499"/>
    <w:rsid w:val="00E32A8E"/>
    <w:rsid w:val="00E32C70"/>
    <w:rsid w:val="00E33158"/>
    <w:rsid w:val="00E33222"/>
    <w:rsid w:val="00E332D7"/>
    <w:rsid w:val="00E335DB"/>
    <w:rsid w:val="00E3372C"/>
    <w:rsid w:val="00E33738"/>
    <w:rsid w:val="00E33868"/>
    <w:rsid w:val="00E33940"/>
    <w:rsid w:val="00E33B92"/>
    <w:rsid w:val="00E33D42"/>
    <w:rsid w:val="00E33E73"/>
    <w:rsid w:val="00E33EB2"/>
    <w:rsid w:val="00E33EB5"/>
    <w:rsid w:val="00E33F5A"/>
    <w:rsid w:val="00E34275"/>
    <w:rsid w:val="00E346A0"/>
    <w:rsid w:val="00E346F8"/>
    <w:rsid w:val="00E347EF"/>
    <w:rsid w:val="00E34959"/>
    <w:rsid w:val="00E34A30"/>
    <w:rsid w:val="00E34ABA"/>
    <w:rsid w:val="00E34F48"/>
    <w:rsid w:val="00E35295"/>
    <w:rsid w:val="00E353B4"/>
    <w:rsid w:val="00E35DBD"/>
    <w:rsid w:val="00E36003"/>
    <w:rsid w:val="00E362A6"/>
    <w:rsid w:val="00E3686A"/>
    <w:rsid w:val="00E36D2E"/>
    <w:rsid w:val="00E36F71"/>
    <w:rsid w:val="00E371E6"/>
    <w:rsid w:val="00E37697"/>
    <w:rsid w:val="00E376D9"/>
    <w:rsid w:val="00E3775A"/>
    <w:rsid w:val="00E3775B"/>
    <w:rsid w:val="00E37AE1"/>
    <w:rsid w:val="00E37BAB"/>
    <w:rsid w:val="00E37CEB"/>
    <w:rsid w:val="00E37E03"/>
    <w:rsid w:val="00E4074E"/>
    <w:rsid w:val="00E40752"/>
    <w:rsid w:val="00E407A7"/>
    <w:rsid w:val="00E4084E"/>
    <w:rsid w:val="00E40AB8"/>
    <w:rsid w:val="00E41019"/>
    <w:rsid w:val="00E41275"/>
    <w:rsid w:val="00E412E3"/>
    <w:rsid w:val="00E41513"/>
    <w:rsid w:val="00E4161F"/>
    <w:rsid w:val="00E4170D"/>
    <w:rsid w:val="00E4172B"/>
    <w:rsid w:val="00E41758"/>
    <w:rsid w:val="00E41AF8"/>
    <w:rsid w:val="00E41BDC"/>
    <w:rsid w:val="00E420C9"/>
    <w:rsid w:val="00E4249D"/>
    <w:rsid w:val="00E424FF"/>
    <w:rsid w:val="00E42ACC"/>
    <w:rsid w:val="00E42B14"/>
    <w:rsid w:val="00E42D80"/>
    <w:rsid w:val="00E42DFB"/>
    <w:rsid w:val="00E4334F"/>
    <w:rsid w:val="00E436F3"/>
    <w:rsid w:val="00E4377A"/>
    <w:rsid w:val="00E439C9"/>
    <w:rsid w:val="00E43A5C"/>
    <w:rsid w:val="00E43C50"/>
    <w:rsid w:val="00E43E8B"/>
    <w:rsid w:val="00E43FBA"/>
    <w:rsid w:val="00E4405D"/>
    <w:rsid w:val="00E44153"/>
    <w:rsid w:val="00E441CE"/>
    <w:rsid w:val="00E441F7"/>
    <w:rsid w:val="00E44224"/>
    <w:rsid w:val="00E44238"/>
    <w:rsid w:val="00E44991"/>
    <w:rsid w:val="00E449E5"/>
    <w:rsid w:val="00E44D3F"/>
    <w:rsid w:val="00E44DDB"/>
    <w:rsid w:val="00E44E77"/>
    <w:rsid w:val="00E45009"/>
    <w:rsid w:val="00E453A8"/>
    <w:rsid w:val="00E457E0"/>
    <w:rsid w:val="00E4586C"/>
    <w:rsid w:val="00E45C40"/>
    <w:rsid w:val="00E45C77"/>
    <w:rsid w:val="00E45E27"/>
    <w:rsid w:val="00E45F51"/>
    <w:rsid w:val="00E460D6"/>
    <w:rsid w:val="00E46196"/>
    <w:rsid w:val="00E46472"/>
    <w:rsid w:val="00E46650"/>
    <w:rsid w:val="00E46AF9"/>
    <w:rsid w:val="00E46E05"/>
    <w:rsid w:val="00E46EB9"/>
    <w:rsid w:val="00E472F3"/>
    <w:rsid w:val="00E47BEF"/>
    <w:rsid w:val="00E47D2F"/>
    <w:rsid w:val="00E50308"/>
    <w:rsid w:val="00E50413"/>
    <w:rsid w:val="00E504E8"/>
    <w:rsid w:val="00E50855"/>
    <w:rsid w:val="00E50A71"/>
    <w:rsid w:val="00E50AC5"/>
    <w:rsid w:val="00E50C2D"/>
    <w:rsid w:val="00E50CE6"/>
    <w:rsid w:val="00E510E5"/>
    <w:rsid w:val="00E513C8"/>
    <w:rsid w:val="00E513D9"/>
    <w:rsid w:val="00E51554"/>
    <w:rsid w:val="00E5158A"/>
    <w:rsid w:val="00E517AF"/>
    <w:rsid w:val="00E51B49"/>
    <w:rsid w:val="00E51B8B"/>
    <w:rsid w:val="00E51C9B"/>
    <w:rsid w:val="00E52040"/>
    <w:rsid w:val="00E520D0"/>
    <w:rsid w:val="00E522B7"/>
    <w:rsid w:val="00E527CB"/>
    <w:rsid w:val="00E5281A"/>
    <w:rsid w:val="00E52ED0"/>
    <w:rsid w:val="00E52FD7"/>
    <w:rsid w:val="00E5321D"/>
    <w:rsid w:val="00E53536"/>
    <w:rsid w:val="00E53601"/>
    <w:rsid w:val="00E53666"/>
    <w:rsid w:val="00E5382F"/>
    <w:rsid w:val="00E53970"/>
    <w:rsid w:val="00E5397E"/>
    <w:rsid w:val="00E53A24"/>
    <w:rsid w:val="00E53A89"/>
    <w:rsid w:val="00E54265"/>
    <w:rsid w:val="00E54694"/>
    <w:rsid w:val="00E54972"/>
    <w:rsid w:val="00E554E1"/>
    <w:rsid w:val="00E555FC"/>
    <w:rsid w:val="00E5564E"/>
    <w:rsid w:val="00E556AA"/>
    <w:rsid w:val="00E55885"/>
    <w:rsid w:val="00E558A8"/>
    <w:rsid w:val="00E55EB5"/>
    <w:rsid w:val="00E5600D"/>
    <w:rsid w:val="00E561C0"/>
    <w:rsid w:val="00E561E8"/>
    <w:rsid w:val="00E56216"/>
    <w:rsid w:val="00E5622C"/>
    <w:rsid w:val="00E5637E"/>
    <w:rsid w:val="00E564B9"/>
    <w:rsid w:val="00E564FE"/>
    <w:rsid w:val="00E566CF"/>
    <w:rsid w:val="00E567C2"/>
    <w:rsid w:val="00E5696F"/>
    <w:rsid w:val="00E56A82"/>
    <w:rsid w:val="00E56B87"/>
    <w:rsid w:val="00E56CB6"/>
    <w:rsid w:val="00E56FA1"/>
    <w:rsid w:val="00E5715C"/>
    <w:rsid w:val="00E57246"/>
    <w:rsid w:val="00E573B1"/>
    <w:rsid w:val="00E57505"/>
    <w:rsid w:val="00E57EA3"/>
    <w:rsid w:val="00E604A6"/>
    <w:rsid w:val="00E60595"/>
    <w:rsid w:val="00E608A7"/>
    <w:rsid w:val="00E609B3"/>
    <w:rsid w:val="00E60F52"/>
    <w:rsid w:val="00E610A2"/>
    <w:rsid w:val="00E611FE"/>
    <w:rsid w:val="00E61761"/>
    <w:rsid w:val="00E6183A"/>
    <w:rsid w:val="00E618BB"/>
    <w:rsid w:val="00E61B0D"/>
    <w:rsid w:val="00E61E43"/>
    <w:rsid w:val="00E61F23"/>
    <w:rsid w:val="00E61FE8"/>
    <w:rsid w:val="00E624B8"/>
    <w:rsid w:val="00E627E7"/>
    <w:rsid w:val="00E62BFA"/>
    <w:rsid w:val="00E62D4C"/>
    <w:rsid w:val="00E62D9E"/>
    <w:rsid w:val="00E6305F"/>
    <w:rsid w:val="00E6349B"/>
    <w:rsid w:val="00E63845"/>
    <w:rsid w:val="00E639ED"/>
    <w:rsid w:val="00E63A82"/>
    <w:rsid w:val="00E63B11"/>
    <w:rsid w:val="00E63F9D"/>
    <w:rsid w:val="00E63FFB"/>
    <w:rsid w:val="00E64061"/>
    <w:rsid w:val="00E641B0"/>
    <w:rsid w:val="00E642F7"/>
    <w:rsid w:val="00E6437F"/>
    <w:rsid w:val="00E643F3"/>
    <w:rsid w:val="00E649F5"/>
    <w:rsid w:val="00E64A79"/>
    <w:rsid w:val="00E64CC1"/>
    <w:rsid w:val="00E6503F"/>
    <w:rsid w:val="00E65261"/>
    <w:rsid w:val="00E655B7"/>
    <w:rsid w:val="00E65733"/>
    <w:rsid w:val="00E65B84"/>
    <w:rsid w:val="00E65C6C"/>
    <w:rsid w:val="00E65F00"/>
    <w:rsid w:val="00E65F36"/>
    <w:rsid w:val="00E663E3"/>
    <w:rsid w:val="00E6643B"/>
    <w:rsid w:val="00E66527"/>
    <w:rsid w:val="00E6670B"/>
    <w:rsid w:val="00E66710"/>
    <w:rsid w:val="00E6674E"/>
    <w:rsid w:val="00E6694B"/>
    <w:rsid w:val="00E669B1"/>
    <w:rsid w:val="00E66B5D"/>
    <w:rsid w:val="00E6717C"/>
    <w:rsid w:val="00E672D1"/>
    <w:rsid w:val="00E6785F"/>
    <w:rsid w:val="00E67A85"/>
    <w:rsid w:val="00E67D92"/>
    <w:rsid w:val="00E700E1"/>
    <w:rsid w:val="00E703F5"/>
    <w:rsid w:val="00E705D0"/>
    <w:rsid w:val="00E7073C"/>
    <w:rsid w:val="00E70A11"/>
    <w:rsid w:val="00E70AB1"/>
    <w:rsid w:val="00E70BAD"/>
    <w:rsid w:val="00E70D6B"/>
    <w:rsid w:val="00E70E26"/>
    <w:rsid w:val="00E70F2D"/>
    <w:rsid w:val="00E7138E"/>
    <w:rsid w:val="00E713AE"/>
    <w:rsid w:val="00E71775"/>
    <w:rsid w:val="00E71A39"/>
    <w:rsid w:val="00E71D8C"/>
    <w:rsid w:val="00E71DFD"/>
    <w:rsid w:val="00E71F28"/>
    <w:rsid w:val="00E71F3A"/>
    <w:rsid w:val="00E7213F"/>
    <w:rsid w:val="00E725EE"/>
    <w:rsid w:val="00E7274F"/>
    <w:rsid w:val="00E72914"/>
    <w:rsid w:val="00E72CAA"/>
    <w:rsid w:val="00E72D45"/>
    <w:rsid w:val="00E72D60"/>
    <w:rsid w:val="00E73088"/>
    <w:rsid w:val="00E730AA"/>
    <w:rsid w:val="00E7310E"/>
    <w:rsid w:val="00E731BD"/>
    <w:rsid w:val="00E731FE"/>
    <w:rsid w:val="00E734EB"/>
    <w:rsid w:val="00E73A6B"/>
    <w:rsid w:val="00E73EB9"/>
    <w:rsid w:val="00E742A9"/>
    <w:rsid w:val="00E742FA"/>
    <w:rsid w:val="00E7430A"/>
    <w:rsid w:val="00E745FB"/>
    <w:rsid w:val="00E74B71"/>
    <w:rsid w:val="00E74D85"/>
    <w:rsid w:val="00E7536A"/>
    <w:rsid w:val="00E754C3"/>
    <w:rsid w:val="00E755E1"/>
    <w:rsid w:val="00E756BF"/>
    <w:rsid w:val="00E7576C"/>
    <w:rsid w:val="00E75B89"/>
    <w:rsid w:val="00E75D53"/>
    <w:rsid w:val="00E76098"/>
    <w:rsid w:val="00E763BD"/>
    <w:rsid w:val="00E765BB"/>
    <w:rsid w:val="00E766DF"/>
    <w:rsid w:val="00E7676A"/>
    <w:rsid w:val="00E76BD3"/>
    <w:rsid w:val="00E76E11"/>
    <w:rsid w:val="00E770B7"/>
    <w:rsid w:val="00E770F7"/>
    <w:rsid w:val="00E773EE"/>
    <w:rsid w:val="00E7742C"/>
    <w:rsid w:val="00E77595"/>
    <w:rsid w:val="00E7767D"/>
    <w:rsid w:val="00E778B9"/>
    <w:rsid w:val="00E77A2D"/>
    <w:rsid w:val="00E801AE"/>
    <w:rsid w:val="00E8051E"/>
    <w:rsid w:val="00E806CE"/>
    <w:rsid w:val="00E80751"/>
    <w:rsid w:val="00E807C7"/>
    <w:rsid w:val="00E81033"/>
    <w:rsid w:val="00E811A5"/>
    <w:rsid w:val="00E81331"/>
    <w:rsid w:val="00E813F8"/>
    <w:rsid w:val="00E8165C"/>
    <w:rsid w:val="00E81685"/>
    <w:rsid w:val="00E8175D"/>
    <w:rsid w:val="00E81ACB"/>
    <w:rsid w:val="00E81B56"/>
    <w:rsid w:val="00E81C87"/>
    <w:rsid w:val="00E81D97"/>
    <w:rsid w:val="00E81F2E"/>
    <w:rsid w:val="00E822EB"/>
    <w:rsid w:val="00E8293A"/>
    <w:rsid w:val="00E829B3"/>
    <w:rsid w:val="00E82A91"/>
    <w:rsid w:val="00E82F6B"/>
    <w:rsid w:val="00E82FA9"/>
    <w:rsid w:val="00E8307C"/>
    <w:rsid w:val="00E831C3"/>
    <w:rsid w:val="00E831FC"/>
    <w:rsid w:val="00E83378"/>
    <w:rsid w:val="00E834CB"/>
    <w:rsid w:val="00E83614"/>
    <w:rsid w:val="00E839EE"/>
    <w:rsid w:val="00E83A92"/>
    <w:rsid w:val="00E83ACD"/>
    <w:rsid w:val="00E83B66"/>
    <w:rsid w:val="00E83C27"/>
    <w:rsid w:val="00E83CE6"/>
    <w:rsid w:val="00E83D9C"/>
    <w:rsid w:val="00E8440A"/>
    <w:rsid w:val="00E84900"/>
    <w:rsid w:val="00E84B21"/>
    <w:rsid w:val="00E84C33"/>
    <w:rsid w:val="00E84D91"/>
    <w:rsid w:val="00E84E6E"/>
    <w:rsid w:val="00E84E9E"/>
    <w:rsid w:val="00E85056"/>
    <w:rsid w:val="00E85527"/>
    <w:rsid w:val="00E85584"/>
    <w:rsid w:val="00E8568E"/>
    <w:rsid w:val="00E85743"/>
    <w:rsid w:val="00E8580C"/>
    <w:rsid w:val="00E85AF0"/>
    <w:rsid w:val="00E85D87"/>
    <w:rsid w:val="00E86271"/>
    <w:rsid w:val="00E863AD"/>
    <w:rsid w:val="00E864E8"/>
    <w:rsid w:val="00E8666D"/>
    <w:rsid w:val="00E8668E"/>
    <w:rsid w:val="00E86848"/>
    <w:rsid w:val="00E86856"/>
    <w:rsid w:val="00E868D3"/>
    <w:rsid w:val="00E86994"/>
    <w:rsid w:val="00E86DFE"/>
    <w:rsid w:val="00E86FE6"/>
    <w:rsid w:val="00E86FEA"/>
    <w:rsid w:val="00E8766F"/>
    <w:rsid w:val="00E877CB"/>
    <w:rsid w:val="00E8780E"/>
    <w:rsid w:val="00E87D1D"/>
    <w:rsid w:val="00E87D6E"/>
    <w:rsid w:val="00E9075E"/>
    <w:rsid w:val="00E9091B"/>
    <w:rsid w:val="00E90C46"/>
    <w:rsid w:val="00E90C90"/>
    <w:rsid w:val="00E90E15"/>
    <w:rsid w:val="00E90E17"/>
    <w:rsid w:val="00E90E97"/>
    <w:rsid w:val="00E90EE0"/>
    <w:rsid w:val="00E911EC"/>
    <w:rsid w:val="00E9123E"/>
    <w:rsid w:val="00E913E5"/>
    <w:rsid w:val="00E914B5"/>
    <w:rsid w:val="00E916C1"/>
    <w:rsid w:val="00E91D32"/>
    <w:rsid w:val="00E91E82"/>
    <w:rsid w:val="00E91F09"/>
    <w:rsid w:val="00E921BB"/>
    <w:rsid w:val="00E922D5"/>
    <w:rsid w:val="00E923D3"/>
    <w:rsid w:val="00E926A5"/>
    <w:rsid w:val="00E926AA"/>
    <w:rsid w:val="00E929A2"/>
    <w:rsid w:val="00E92DC5"/>
    <w:rsid w:val="00E92E01"/>
    <w:rsid w:val="00E92FBF"/>
    <w:rsid w:val="00E93532"/>
    <w:rsid w:val="00E936F0"/>
    <w:rsid w:val="00E9398B"/>
    <w:rsid w:val="00E93ABD"/>
    <w:rsid w:val="00E93D88"/>
    <w:rsid w:val="00E93E97"/>
    <w:rsid w:val="00E93F44"/>
    <w:rsid w:val="00E940B6"/>
    <w:rsid w:val="00E9420D"/>
    <w:rsid w:val="00E942CA"/>
    <w:rsid w:val="00E94354"/>
    <w:rsid w:val="00E94570"/>
    <w:rsid w:val="00E94D02"/>
    <w:rsid w:val="00E94F7B"/>
    <w:rsid w:val="00E950A8"/>
    <w:rsid w:val="00E95195"/>
    <w:rsid w:val="00E95282"/>
    <w:rsid w:val="00E955C8"/>
    <w:rsid w:val="00E95AC9"/>
    <w:rsid w:val="00E95B7A"/>
    <w:rsid w:val="00E95CD7"/>
    <w:rsid w:val="00E95EE3"/>
    <w:rsid w:val="00E963A0"/>
    <w:rsid w:val="00E965C9"/>
    <w:rsid w:val="00E967DF"/>
    <w:rsid w:val="00E97006"/>
    <w:rsid w:val="00E97231"/>
    <w:rsid w:val="00E972EF"/>
    <w:rsid w:val="00E974BF"/>
    <w:rsid w:val="00E974D0"/>
    <w:rsid w:val="00E9779A"/>
    <w:rsid w:val="00E97C45"/>
    <w:rsid w:val="00E97CC9"/>
    <w:rsid w:val="00EA02ED"/>
    <w:rsid w:val="00EA03B1"/>
    <w:rsid w:val="00EA05F8"/>
    <w:rsid w:val="00EA07A8"/>
    <w:rsid w:val="00EA0864"/>
    <w:rsid w:val="00EA08C1"/>
    <w:rsid w:val="00EA08E7"/>
    <w:rsid w:val="00EA104F"/>
    <w:rsid w:val="00EA10C6"/>
    <w:rsid w:val="00EA1479"/>
    <w:rsid w:val="00EA15B8"/>
    <w:rsid w:val="00EA1AED"/>
    <w:rsid w:val="00EA1D2A"/>
    <w:rsid w:val="00EA1F04"/>
    <w:rsid w:val="00EA205F"/>
    <w:rsid w:val="00EA2621"/>
    <w:rsid w:val="00EA28F7"/>
    <w:rsid w:val="00EA29D2"/>
    <w:rsid w:val="00EA2B5B"/>
    <w:rsid w:val="00EA2F4A"/>
    <w:rsid w:val="00EA346E"/>
    <w:rsid w:val="00EA37B7"/>
    <w:rsid w:val="00EA37F7"/>
    <w:rsid w:val="00EA3A02"/>
    <w:rsid w:val="00EA3B46"/>
    <w:rsid w:val="00EA3FEE"/>
    <w:rsid w:val="00EA40DC"/>
    <w:rsid w:val="00EA42CB"/>
    <w:rsid w:val="00EA43E6"/>
    <w:rsid w:val="00EA47EB"/>
    <w:rsid w:val="00EA493F"/>
    <w:rsid w:val="00EA4BF5"/>
    <w:rsid w:val="00EA4C04"/>
    <w:rsid w:val="00EA4F8B"/>
    <w:rsid w:val="00EA4F8E"/>
    <w:rsid w:val="00EA503A"/>
    <w:rsid w:val="00EA518D"/>
    <w:rsid w:val="00EA5348"/>
    <w:rsid w:val="00EA55B5"/>
    <w:rsid w:val="00EA5639"/>
    <w:rsid w:val="00EA57F3"/>
    <w:rsid w:val="00EA6031"/>
    <w:rsid w:val="00EA6086"/>
    <w:rsid w:val="00EA628A"/>
    <w:rsid w:val="00EA634E"/>
    <w:rsid w:val="00EA6358"/>
    <w:rsid w:val="00EA65C9"/>
    <w:rsid w:val="00EA66C4"/>
    <w:rsid w:val="00EA67CB"/>
    <w:rsid w:val="00EA68F1"/>
    <w:rsid w:val="00EA6B0E"/>
    <w:rsid w:val="00EA717A"/>
    <w:rsid w:val="00EA7257"/>
    <w:rsid w:val="00EA734F"/>
    <w:rsid w:val="00EA736D"/>
    <w:rsid w:val="00EA74BA"/>
    <w:rsid w:val="00EA7B85"/>
    <w:rsid w:val="00EB0145"/>
    <w:rsid w:val="00EB0225"/>
    <w:rsid w:val="00EB02DB"/>
    <w:rsid w:val="00EB0385"/>
    <w:rsid w:val="00EB03B4"/>
    <w:rsid w:val="00EB03DA"/>
    <w:rsid w:val="00EB0437"/>
    <w:rsid w:val="00EB043B"/>
    <w:rsid w:val="00EB0549"/>
    <w:rsid w:val="00EB0659"/>
    <w:rsid w:val="00EB081A"/>
    <w:rsid w:val="00EB0891"/>
    <w:rsid w:val="00EB089C"/>
    <w:rsid w:val="00EB08AE"/>
    <w:rsid w:val="00EB0900"/>
    <w:rsid w:val="00EB0B6B"/>
    <w:rsid w:val="00EB0D93"/>
    <w:rsid w:val="00EB0DAE"/>
    <w:rsid w:val="00EB0F0A"/>
    <w:rsid w:val="00EB10D8"/>
    <w:rsid w:val="00EB1128"/>
    <w:rsid w:val="00EB1368"/>
    <w:rsid w:val="00EB1C2A"/>
    <w:rsid w:val="00EB1E19"/>
    <w:rsid w:val="00EB1EFB"/>
    <w:rsid w:val="00EB2071"/>
    <w:rsid w:val="00EB209F"/>
    <w:rsid w:val="00EB20E4"/>
    <w:rsid w:val="00EB2244"/>
    <w:rsid w:val="00EB2375"/>
    <w:rsid w:val="00EB2739"/>
    <w:rsid w:val="00EB279C"/>
    <w:rsid w:val="00EB2E5E"/>
    <w:rsid w:val="00EB2E7C"/>
    <w:rsid w:val="00EB30E9"/>
    <w:rsid w:val="00EB327A"/>
    <w:rsid w:val="00EB32E7"/>
    <w:rsid w:val="00EB34AD"/>
    <w:rsid w:val="00EB3874"/>
    <w:rsid w:val="00EB4306"/>
    <w:rsid w:val="00EB449D"/>
    <w:rsid w:val="00EB44FE"/>
    <w:rsid w:val="00EB47DF"/>
    <w:rsid w:val="00EB49DE"/>
    <w:rsid w:val="00EB4BB5"/>
    <w:rsid w:val="00EB4CA5"/>
    <w:rsid w:val="00EB4F02"/>
    <w:rsid w:val="00EB4F9F"/>
    <w:rsid w:val="00EB53BE"/>
    <w:rsid w:val="00EB58CE"/>
    <w:rsid w:val="00EB5B22"/>
    <w:rsid w:val="00EB5C1F"/>
    <w:rsid w:val="00EB5D0E"/>
    <w:rsid w:val="00EB5E2F"/>
    <w:rsid w:val="00EB5FEE"/>
    <w:rsid w:val="00EB623A"/>
    <w:rsid w:val="00EB6547"/>
    <w:rsid w:val="00EB68A1"/>
    <w:rsid w:val="00EB6903"/>
    <w:rsid w:val="00EB6995"/>
    <w:rsid w:val="00EB6B08"/>
    <w:rsid w:val="00EB6D72"/>
    <w:rsid w:val="00EB6DC8"/>
    <w:rsid w:val="00EB6FA1"/>
    <w:rsid w:val="00EB6FB1"/>
    <w:rsid w:val="00EB75C3"/>
    <w:rsid w:val="00EB75F0"/>
    <w:rsid w:val="00EB76DB"/>
    <w:rsid w:val="00EB7811"/>
    <w:rsid w:val="00EB7DCF"/>
    <w:rsid w:val="00EC00F0"/>
    <w:rsid w:val="00EC0628"/>
    <w:rsid w:val="00EC0AE3"/>
    <w:rsid w:val="00EC0C60"/>
    <w:rsid w:val="00EC0DB7"/>
    <w:rsid w:val="00EC1757"/>
    <w:rsid w:val="00EC188D"/>
    <w:rsid w:val="00EC1AC3"/>
    <w:rsid w:val="00EC1E8B"/>
    <w:rsid w:val="00EC1F2C"/>
    <w:rsid w:val="00EC21DD"/>
    <w:rsid w:val="00EC22B7"/>
    <w:rsid w:val="00EC239F"/>
    <w:rsid w:val="00EC2785"/>
    <w:rsid w:val="00EC2BAA"/>
    <w:rsid w:val="00EC2DC9"/>
    <w:rsid w:val="00EC2F3F"/>
    <w:rsid w:val="00EC2F6F"/>
    <w:rsid w:val="00EC302C"/>
    <w:rsid w:val="00EC3196"/>
    <w:rsid w:val="00EC3876"/>
    <w:rsid w:val="00EC3964"/>
    <w:rsid w:val="00EC398D"/>
    <w:rsid w:val="00EC3F74"/>
    <w:rsid w:val="00EC4447"/>
    <w:rsid w:val="00EC4836"/>
    <w:rsid w:val="00EC49B1"/>
    <w:rsid w:val="00EC4A32"/>
    <w:rsid w:val="00EC4DE7"/>
    <w:rsid w:val="00EC4EC0"/>
    <w:rsid w:val="00EC4FD3"/>
    <w:rsid w:val="00EC50B8"/>
    <w:rsid w:val="00EC531E"/>
    <w:rsid w:val="00EC5386"/>
    <w:rsid w:val="00EC5437"/>
    <w:rsid w:val="00EC5463"/>
    <w:rsid w:val="00EC5466"/>
    <w:rsid w:val="00EC5649"/>
    <w:rsid w:val="00EC5874"/>
    <w:rsid w:val="00EC5927"/>
    <w:rsid w:val="00EC59D6"/>
    <w:rsid w:val="00EC5E76"/>
    <w:rsid w:val="00EC60D4"/>
    <w:rsid w:val="00EC62B4"/>
    <w:rsid w:val="00EC63F0"/>
    <w:rsid w:val="00EC652D"/>
    <w:rsid w:val="00EC6678"/>
    <w:rsid w:val="00EC668C"/>
    <w:rsid w:val="00EC6A19"/>
    <w:rsid w:val="00EC6BDE"/>
    <w:rsid w:val="00EC7055"/>
    <w:rsid w:val="00EC70A0"/>
    <w:rsid w:val="00EC7258"/>
    <w:rsid w:val="00EC72A6"/>
    <w:rsid w:val="00EC72B1"/>
    <w:rsid w:val="00EC78FB"/>
    <w:rsid w:val="00EC7A0F"/>
    <w:rsid w:val="00EC7A76"/>
    <w:rsid w:val="00EC7B28"/>
    <w:rsid w:val="00EC7BBB"/>
    <w:rsid w:val="00EC7FA5"/>
    <w:rsid w:val="00ED0221"/>
    <w:rsid w:val="00ED0249"/>
    <w:rsid w:val="00ED0290"/>
    <w:rsid w:val="00ED0B13"/>
    <w:rsid w:val="00ED0E4B"/>
    <w:rsid w:val="00ED0EEC"/>
    <w:rsid w:val="00ED0F2A"/>
    <w:rsid w:val="00ED0F94"/>
    <w:rsid w:val="00ED105F"/>
    <w:rsid w:val="00ED1180"/>
    <w:rsid w:val="00ED12D6"/>
    <w:rsid w:val="00ED1558"/>
    <w:rsid w:val="00ED162F"/>
    <w:rsid w:val="00ED163C"/>
    <w:rsid w:val="00ED198C"/>
    <w:rsid w:val="00ED1B2F"/>
    <w:rsid w:val="00ED1DAD"/>
    <w:rsid w:val="00ED1DEA"/>
    <w:rsid w:val="00ED1E05"/>
    <w:rsid w:val="00ED254C"/>
    <w:rsid w:val="00ED2620"/>
    <w:rsid w:val="00ED2729"/>
    <w:rsid w:val="00ED2748"/>
    <w:rsid w:val="00ED2A50"/>
    <w:rsid w:val="00ED2C9A"/>
    <w:rsid w:val="00ED2D11"/>
    <w:rsid w:val="00ED3382"/>
    <w:rsid w:val="00ED35C6"/>
    <w:rsid w:val="00ED38A3"/>
    <w:rsid w:val="00ED3D6B"/>
    <w:rsid w:val="00ED3F7E"/>
    <w:rsid w:val="00ED4283"/>
    <w:rsid w:val="00ED430C"/>
    <w:rsid w:val="00ED448A"/>
    <w:rsid w:val="00ED4547"/>
    <w:rsid w:val="00ED4A77"/>
    <w:rsid w:val="00ED4BAB"/>
    <w:rsid w:val="00ED4CE3"/>
    <w:rsid w:val="00ED4E87"/>
    <w:rsid w:val="00ED4EE3"/>
    <w:rsid w:val="00ED5047"/>
    <w:rsid w:val="00ED545D"/>
    <w:rsid w:val="00ED54A5"/>
    <w:rsid w:val="00ED558A"/>
    <w:rsid w:val="00ED5939"/>
    <w:rsid w:val="00ED5980"/>
    <w:rsid w:val="00ED5ADA"/>
    <w:rsid w:val="00ED5BDA"/>
    <w:rsid w:val="00ED5EB9"/>
    <w:rsid w:val="00ED5FDF"/>
    <w:rsid w:val="00ED61A4"/>
    <w:rsid w:val="00ED6706"/>
    <w:rsid w:val="00ED68EB"/>
    <w:rsid w:val="00ED6C1B"/>
    <w:rsid w:val="00ED6F0E"/>
    <w:rsid w:val="00ED7764"/>
    <w:rsid w:val="00ED77A2"/>
    <w:rsid w:val="00ED7B06"/>
    <w:rsid w:val="00ED7F8C"/>
    <w:rsid w:val="00EE0025"/>
    <w:rsid w:val="00EE0450"/>
    <w:rsid w:val="00EE0530"/>
    <w:rsid w:val="00EE0816"/>
    <w:rsid w:val="00EE14C0"/>
    <w:rsid w:val="00EE1AF1"/>
    <w:rsid w:val="00EE1E02"/>
    <w:rsid w:val="00EE2370"/>
    <w:rsid w:val="00EE23F5"/>
    <w:rsid w:val="00EE2970"/>
    <w:rsid w:val="00EE2A6B"/>
    <w:rsid w:val="00EE2B41"/>
    <w:rsid w:val="00EE2C26"/>
    <w:rsid w:val="00EE2D3E"/>
    <w:rsid w:val="00EE2EB2"/>
    <w:rsid w:val="00EE3113"/>
    <w:rsid w:val="00EE358A"/>
    <w:rsid w:val="00EE38EF"/>
    <w:rsid w:val="00EE3972"/>
    <w:rsid w:val="00EE4159"/>
    <w:rsid w:val="00EE41B1"/>
    <w:rsid w:val="00EE4210"/>
    <w:rsid w:val="00EE4251"/>
    <w:rsid w:val="00EE4278"/>
    <w:rsid w:val="00EE446E"/>
    <w:rsid w:val="00EE4585"/>
    <w:rsid w:val="00EE472E"/>
    <w:rsid w:val="00EE49B3"/>
    <w:rsid w:val="00EE4C78"/>
    <w:rsid w:val="00EE4DA5"/>
    <w:rsid w:val="00EE4F28"/>
    <w:rsid w:val="00EE50F5"/>
    <w:rsid w:val="00EE516D"/>
    <w:rsid w:val="00EE5755"/>
    <w:rsid w:val="00EE5776"/>
    <w:rsid w:val="00EE57BE"/>
    <w:rsid w:val="00EE5F8D"/>
    <w:rsid w:val="00EE60CB"/>
    <w:rsid w:val="00EE60CC"/>
    <w:rsid w:val="00EE6175"/>
    <w:rsid w:val="00EE61AE"/>
    <w:rsid w:val="00EE61CA"/>
    <w:rsid w:val="00EE624C"/>
    <w:rsid w:val="00EE6349"/>
    <w:rsid w:val="00EE65A2"/>
    <w:rsid w:val="00EE6876"/>
    <w:rsid w:val="00EE6A58"/>
    <w:rsid w:val="00EE6C69"/>
    <w:rsid w:val="00EE6CF3"/>
    <w:rsid w:val="00EE6E10"/>
    <w:rsid w:val="00EE6F1C"/>
    <w:rsid w:val="00EE7249"/>
    <w:rsid w:val="00EE7316"/>
    <w:rsid w:val="00EE738A"/>
    <w:rsid w:val="00EE7510"/>
    <w:rsid w:val="00EE7598"/>
    <w:rsid w:val="00EE77F0"/>
    <w:rsid w:val="00EE7973"/>
    <w:rsid w:val="00EE7977"/>
    <w:rsid w:val="00EE799B"/>
    <w:rsid w:val="00EE7B71"/>
    <w:rsid w:val="00EE7B7E"/>
    <w:rsid w:val="00EE7CBD"/>
    <w:rsid w:val="00EE7ECC"/>
    <w:rsid w:val="00EE7F6D"/>
    <w:rsid w:val="00EE7FE3"/>
    <w:rsid w:val="00EF0359"/>
    <w:rsid w:val="00EF03B7"/>
    <w:rsid w:val="00EF0A31"/>
    <w:rsid w:val="00EF0CEE"/>
    <w:rsid w:val="00EF11D0"/>
    <w:rsid w:val="00EF1635"/>
    <w:rsid w:val="00EF1B18"/>
    <w:rsid w:val="00EF1C15"/>
    <w:rsid w:val="00EF1CBF"/>
    <w:rsid w:val="00EF1D04"/>
    <w:rsid w:val="00EF1D74"/>
    <w:rsid w:val="00EF1F5A"/>
    <w:rsid w:val="00EF2179"/>
    <w:rsid w:val="00EF248C"/>
    <w:rsid w:val="00EF25F3"/>
    <w:rsid w:val="00EF273D"/>
    <w:rsid w:val="00EF28FF"/>
    <w:rsid w:val="00EF2A46"/>
    <w:rsid w:val="00EF3237"/>
    <w:rsid w:val="00EF3B97"/>
    <w:rsid w:val="00EF3F2C"/>
    <w:rsid w:val="00EF3F63"/>
    <w:rsid w:val="00EF40AA"/>
    <w:rsid w:val="00EF4404"/>
    <w:rsid w:val="00EF45A3"/>
    <w:rsid w:val="00EF4766"/>
    <w:rsid w:val="00EF48A0"/>
    <w:rsid w:val="00EF55D8"/>
    <w:rsid w:val="00EF597D"/>
    <w:rsid w:val="00EF5B5B"/>
    <w:rsid w:val="00EF5C6E"/>
    <w:rsid w:val="00EF5D55"/>
    <w:rsid w:val="00EF602B"/>
    <w:rsid w:val="00EF64C8"/>
    <w:rsid w:val="00EF6921"/>
    <w:rsid w:val="00EF6A8C"/>
    <w:rsid w:val="00EF6FCE"/>
    <w:rsid w:val="00EF745A"/>
    <w:rsid w:val="00EF74BD"/>
    <w:rsid w:val="00EF74F8"/>
    <w:rsid w:val="00EF7989"/>
    <w:rsid w:val="00EF7A9B"/>
    <w:rsid w:val="00EF7BB0"/>
    <w:rsid w:val="00EF7D7A"/>
    <w:rsid w:val="00F0057C"/>
    <w:rsid w:val="00F005E9"/>
    <w:rsid w:val="00F005EF"/>
    <w:rsid w:val="00F006B0"/>
    <w:rsid w:val="00F006D8"/>
    <w:rsid w:val="00F0078A"/>
    <w:rsid w:val="00F008EB"/>
    <w:rsid w:val="00F0159B"/>
    <w:rsid w:val="00F0170F"/>
    <w:rsid w:val="00F021B7"/>
    <w:rsid w:val="00F02C07"/>
    <w:rsid w:val="00F030B9"/>
    <w:rsid w:val="00F030CC"/>
    <w:rsid w:val="00F0317D"/>
    <w:rsid w:val="00F039C0"/>
    <w:rsid w:val="00F03F0D"/>
    <w:rsid w:val="00F0423B"/>
    <w:rsid w:val="00F044BE"/>
    <w:rsid w:val="00F048C7"/>
    <w:rsid w:val="00F04ABA"/>
    <w:rsid w:val="00F04B7C"/>
    <w:rsid w:val="00F04BE8"/>
    <w:rsid w:val="00F04F29"/>
    <w:rsid w:val="00F0520E"/>
    <w:rsid w:val="00F057F7"/>
    <w:rsid w:val="00F05862"/>
    <w:rsid w:val="00F05AD9"/>
    <w:rsid w:val="00F05F94"/>
    <w:rsid w:val="00F06108"/>
    <w:rsid w:val="00F06449"/>
    <w:rsid w:val="00F068FB"/>
    <w:rsid w:val="00F06C7F"/>
    <w:rsid w:val="00F06F63"/>
    <w:rsid w:val="00F06FA0"/>
    <w:rsid w:val="00F070D6"/>
    <w:rsid w:val="00F070D9"/>
    <w:rsid w:val="00F072F7"/>
    <w:rsid w:val="00F077B2"/>
    <w:rsid w:val="00F07B25"/>
    <w:rsid w:val="00F07C69"/>
    <w:rsid w:val="00F07CA1"/>
    <w:rsid w:val="00F07E40"/>
    <w:rsid w:val="00F0E63E"/>
    <w:rsid w:val="00F102DF"/>
    <w:rsid w:val="00F103B0"/>
    <w:rsid w:val="00F105A8"/>
    <w:rsid w:val="00F1063F"/>
    <w:rsid w:val="00F10940"/>
    <w:rsid w:val="00F10AFA"/>
    <w:rsid w:val="00F10E04"/>
    <w:rsid w:val="00F10E7D"/>
    <w:rsid w:val="00F11492"/>
    <w:rsid w:val="00F11494"/>
    <w:rsid w:val="00F11708"/>
    <w:rsid w:val="00F1179D"/>
    <w:rsid w:val="00F117B3"/>
    <w:rsid w:val="00F119D3"/>
    <w:rsid w:val="00F11A0D"/>
    <w:rsid w:val="00F11AEA"/>
    <w:rsid w:val="00F11DAA"/>
    <w:rsid w:val="00F1201F"/>
    <w:rsid w:val="00F12536"/>
    <w:rsid w:val="00F12D17"/>
    <w:rsid w:val="00F12EDD"/>
    <w:rsid w:val="00F133F4"/>
    <w:rsid w:val="00F135F7"/>
    <w:rsid w:val="00F13961"/>
    <w:rsid w:val="00F13F46"/>
    <w:rsid w:val="00F140F5"/>
    <w:rsid w:val="00F14125"/>
    <w:rsid w:val="00F143AD"/>
    <w:rsid w:val="00F143C8"/>
    <w:rsid w:val="00F14745"/>
    <w:rsid w:val="00F147ED"/>
    <w:rsid w:val="00F148E1"/>
    <w:rsid w:val="00F14C82"/>
    <w:rsid w:val="00F14F37"/>
    <w:rsid w:val="00F1517C"/>
    <w:rsid w:val="00F15199"/>
    <w:rsid w:val="00F1521A"/>
    <w:rsid w:val="00F15827"/>
    <w:rsid w:val="00F1593F"/>
    <w:rsid w:val="00F15BFF"/>
    <w:rsid w:val="00F15C1B"/>
    <w:rsid w:val="00F15C2D"/>
    <w:rsid w:val="00F15E59"/>
    <w:rsid w:val="00F15F39"/>
    <w:rsid w:val="00F160D3"/>
    <w:rsid w:val="00F1610B"/>
    <w:rsid w:val="00F1614E"/>
    <w:rsid w:val="00F1620E"/>
    <w:rsid w:val="00F162CB"/>
    <w:rsid w:val="00F162D5"/>
    <w:rsid w:val="00F1634F"/>
    <w:rsid w:val="00F1689A"/>
    <w:rsid w:val="00F169B9"/>
    <w:rsid w:val="00F16A85"/>
    <w:rsid w:val="00F16B12"/>
    <w:rsid w:val="00F16B8A"/>
    <w:rsid w:val="00F16F63"/>
    <w:rsid w:val="00F16F67"/>
    <w:rsid w:val="00F16FD0"/>
    <w:rsid w:val="00F1727A"/>
    <w:rsid w:val="00F175C3"/>
    <w:rsid w:val="00F1772F"/>
    <w:rsid w:val="00F1789E"/>
    <w:rsid w:val="00F17AD4"/>
    <w:rsid w:val="00F17BBB"/>
    <w:rsid w:val="00F17CBE"/>
    <w:rsid w:val="00F17E26"/>
    <w:rsid w:val="00F17FF4"/>
    <w:rsid w:val="00F202E4"/>
    <w:rsid w:val="00F20730"/>
    <w:rsid w:val="00F207DC"/>
    <w:rsid w:val="00F20B99"/>
    <w:rsid w:val="00F211B7"/>
    <w:rsid w:val="00F214C5"/>
    <w:rsid w:val="00F21772"/>
    <w:rsid w:val="00F21C7B"/>
    <w:rsid w:val="00F21FED"/>
    <w:rsid w:val="00F2238C"/>
    <w:rsid w:val="00F22726"/>
    <w:rsid w:val="00F2297E"/>
    <w:rsid w:val="00F22D06"/>
    <w:rsid w:val="00F23354"/>
    <w:rsid w:val="00F233C3"/>
    <w:rsid w:val="00F23496"/>
    <w:rsid w:val="00F23775"/>
    <w:rsid w:val="00F23825"/>
    <w:rsid w:val="00F23A83"/>
    <w:rsid w:val="00F23B45"/>
    <w:rsid w:val="00F23BEB"/>
    <w:rsid w:val="00F23BF5"/>
    <w:rsid w:val="00F23E32"/>
    <w:rsid w:val="00F23EC7"/>
    <w:rsid w:val="00F23F80"/>
    <w:rsid w:val="00F2437E"/>
    <w:rsid w:val="00F244F6"/>
    <w:rsid w:val="00F245FB"/>
    <w:rsid w:val="00F24611"/>
    <w:rsid w:val="00F247D2"/>
    <w:rsid w:val="00F24903"/>
    <w:rsid w:val="00F24ADB"/>
    <w:rsid w:val="00F24ECC"/>
    <w:rsid w:val="00F25013"/>
    <w:rsid w:val="00F2553C"/>
    <w:rsid w:val="00F25F67"/>
    <w:rsid w:val="00F26009"/>
    <w:rsid w:val="00F26289"/>
    <w:rsid w:val="00F26564"/>
    <w:rsid w:val="00F267F8"/>
    <w:rsid w:val="00F26D7C"/>
    <w:rsid w:val="00F26DAB"/>
    <w:rsid w:val="00F26E2E"/>
    <w:rsid w:val="00F26E8C"/>
    <w:rsid w:val="00F270E8"/>
    <w:rsid w:val="00F2744E"/>
    <w:rsid w:val="00F27486"/>
    <w:rsid w:val="00F27493"/>
    <w:rsid w:val="00F27631"/>
    <w:rsid w:val="00F27915"/>
    <w:rsid w:val="00F27B98"/>
    <w:rsid w:val="00F301A7"/>
    <w:rsid w:val="00F30503"/>
    <w:rsid w:val="00F3075C"/>
    <w:rsid w:val="00F3103C"/>
    <w:rsid w:val="00F3129B"/>
    <w:rsid w:val="00F3137C"/>
    <w:rsid w:val="00F313A3"/>
    <w:rsid w:val="00F31432"/>
    <w:rsid w:val="00F315B0"/>
    <w:rsid w:val="00F31806"/>
    <w:rsid w:val="00F31C7B"/>
    <w:rsid w:val="00F31CCC"/>
    <w:rsid w:val="00F31E00"/>
    <w:rsid w:val="00F31EAC"/>
    <w:rsid w:val="00F31ED6"/>
    <w:rsid w:val="00F32127"/>
    <w:rsid w:val="00F32135"/>
    <w:rsid w:val="00F32312"/>
    <w:rsid w:val="00F32707"/>
    <w:rsid w:val="00F327A9"/>
    <w:rsid w:val="00F32AD4"/>
    <w:rsid w:val="00F32B71"/>
    <w:rsid w:val="00F3309C"/>
    <w:rsid w:val="00F33114"/>
    <w:rsid w:val="00F332E0"/>
    <w:rsid w:val="00F33403"/>
    <w:rsid w:val="00F33493"/>
    <w:rsid w:val="00F33500"/>
    <w:rsid w:val="00F337D4"/>
    <w:rsid w:val="00F33BD3"/>
    <w:rsid w:val="00F33BEF"/>
    <w:rsid w:val="00F33C14"/>
    <w:rsid w:val="00F33E0D"/>
    <w:rsid w:val="00F33EC9"/>
    <w:rsid w:val="00F33F5A"/>
    <w:rsid w:val="00F3467F"/>
    <w:rsid w:val="00F34864"/>
    <w:rsid w:val="00F35048"/>
    <w:rsid w:val="00F353FB"/>
    <w:rsid w:val="00F35514"/>
    <w:rsid w:val="00F35A91"/>
    <w:rsid w:val="00F35B69"/>
    <w:rsid w:val="00F3602E"/>
    <w:rsid w:val="00F361B0"/>
    <w:rsid w:val="00F3656A"/>
    <w:rsid w:val="00F36943"/>
    <w:rsid w:val="00F369D0"/>
    <w:rsid w:val="00F36C3F"/>
    <w:rsid w:val="00F36F0C"/>
    <w:rsid w:val="00F37127"/>
    <w:rsid w:val="00F37234"/>
    <w:rsid w:val="00F372EC"/>
    <w:rsid w:val="00F3740D"/>
    <w:rsid w:val="00F37567"/>
    <w:rsid w:val="00F37569"/>
    <w:rsid w:val="00F37958"/>
    <w:rsid w:val="00F37A90"/>
    <w:rsid w:val="00F37E84"/>
    <w:rsid w:val="00F402D7"/>
    <w:rsid w:val="00F4071A"/>
    <w:rsid w:val="00F40728"/>
    <w:rsid w:val="00F40BFB"/>
    <w:rsid w:val="00F40CA2"/>
    <w:rsid w:val="00F40D89"/>
    <w:rsid w:val="00F41339"/>
    <w:rsid w:val="00F413AC"/>
    <w:rsid w:val="00F414CF"/>
    <w:rsid w:val="00F417D8"/>
    <w:rsid w:val="00F41BA6"/>
    <w:rsid w:val="00F420E1"/>
    <w:rsid w:val="00F4218A"/>
    <w:rsid w:val="00F425C2"/>
    <w:rsid w:val="00F42794"/>
    <w:rsid w:val="00F4281C"/>
    <w:rsid w:val="00F42942"/>
    <w:rsid w:val="00F42FF1"/>
    <w:rsid w:val="00F43068"/>
    <w:rsid w:val="00F43486"/>
    <w:rsid w:val="00F43631"/>
    <w:rsid w:val="00F4369D"/>
    <w:rsid w:val="00F4396A"/>
    <w:rsid w:val="00F4397F"/>
    <w:rsid w:val="00F43A09"/>
    <w:rsid w:val="00F43A0D"/>
    <w:rsid w:val="00F43C3D"/>
    <w:rsid w:val="00F43DB1"/>
    <w:rsid w:val="00F44058"/>
    <w:rsid w:val="00F442A2"/>
    <w:rsid w:val="00F442A4"/>
    <w:rsid w:val="00F44337"/>
    <w:rsid w:val="00F44449"/>
    <w:rsid w:val="00F44590"/>
    <w:rsid w:val="00F4462C"/>
    <w:rsid w:val="00F446A9"/>
    <w:rsid w:val="00F4483C"/>
    <w:rsid w:val="00F44881"/>
    <w:rsid w:val="00F44950"/>
    <w:rsid w:val="00F44BC3"/>
    <w:rsid w:val="00F450D1"/>
    <w:rsid w:val="00F45111"/>
    <w:rsid w:val="00F4518E"/>
    <w:rsid w:val="00F45316"/>
    <w:rsid w:val="00F45407"/>
    <w:rsid w:val="00F45436"/>
    <w:rsid w:val="00F454DB"/>
    <w:rsid w:val="00F45684"/>
    <w:rsid w:val="00F45AC8"/>
    <w:rsid w:val="00F45B11"/>
    <w:rsid w:val="00F45B54"/>
    <w:rsid w:val="00F46086"/>
    <w:rsid w:val="00F4609D"/>
    <w:rsid w:val="00F46583"/>
    <w:rsid w:val="00F46865"/>
    <w:rsid w:val="00F46A8B"/>
    <w:rsid w:val="00F46B96"/>
    <w:rsid w:val="00F46C0E"/>
    <w:rsid w:val="00F46D6C"/>
    <w:rsid w:val="00F4737E"/>
    <w:rsid w:val="00F47B86"/>
    <w:rsid w:val="00F50508"/>
    <w:rsid w:val="00F50ACD"/>
    <w:rsid w:val="00F50B2F"/>
    <w:rsid w:val="00F51212"/>
    <w:rsid w:val="00F51474"/>
    <w:rsid w:val="00F515C8"/>
    <w:rsid w:val="00F516C8"/>
    <w:rsid w:val="00F51CCA"/>
    <w:rsid w:val="00F51DB2"/>
    <w:rsid w:val="00F52092"/>
    <w:rsid w:val="00F52094"/>
    <w:rsid w:val="00F52245"/>
    <w:rsid w:val="00F52351"/>
    <w:rsid w:val="00F52798"/>
    <w:rsid w:val="00F528FD"/>
    <w:rsid w:val="00F52C7E"/>
    <w:rsid w:val="00F53219"/>
    <w:rsid w:val="00F53224"/>
    <w:rsid w:val="00F53619"/>
    <w:rsid w:val="00F536CB"/>
    <w:rsid w:val="00F53FE5"/>
    <w:rsid w:val="00F54086"/>
    <w:rsid w:val="00F545D1"/>
    <w:rsid w:val="00F545F0"/>
    <w:rsid w:val="00F54ABF"/>
    <w:rsid w:val="00F54B3D"/>
    <w:rsid w:val="00F54B52"/>
    <w:rsid w:val="00F54B62"/>
    <w:rsid w:val="00F5579F"/>
    <w:rsid w:val="00F559AC"/>
    <w:rsid w:val="00F55DBB"/>
    <w:rsid w:val="00F55E42"/>
    <w:rsid w:val="00F56294"/>
    <w:rsid w:val="00F563F1"/>
    <w:rsid w:val="00F565DE"/>
    <w:rsid w:val="00F56776"/>
    <w:rsid w:val="00F569A9"/>
    <w:rsid w:val="00F56D0D"/>
    <w:rsid w:val="00F56E13"/>
    <w:rsid w:val="00F573E4"/>
    <w:rsid w:val="00F5743B"/>
    <w:rsid w:val="00F575F3"/>
    <w:rsid w:val="00F57620"/>
    <w:rsid w:val="00F57AEE"/>
    <w:rsid w:val="00F57FF9"/>
    <w:rsid w:val="00F60114"/>
    <w:rsid w:val="00F6030B"/>
    <w:rsid w:val="00F60388"/>
    <w:rsid w:val="00F6051A"/>
    <w:rsid w:val="00F60969"/>
    <w:rsid w:val="00F60ADC"/>
    <w:rsid w:val="00F60B38"/>
    <w:rsid w:val="00F60B42"/>
    <w:rsid w:val="00F60E2F"/>
    <w:rsid w:val="00F6114D"/>
    <w:rsid w:val="00F61342"/>
    <w:rsid w:val="00F617DF"/>
    <w:rsid w:val="00F61D33"/>
    <w:rsid w:val="00F620F0"/>
    <w:rsid w:val="00F62F70"/>
    <w:rsid w:val="00F63032"/>
    <w:rsid w:val="00F6305D"/>
    <w:rsid w:val="00F6311F"/>
    <w:rsid w:val="00F63292"/>
    <w:rsid w:val="00F632E5"/>
    <w:rsid w:val="00F6354C"/>
    <w:rsid w:val="00F6360B"/>
    <w:rsid w:val="00F637A7"/>
    <w:rsid w:val="00F637F3"/>
    <w:rsid w:val="00F639F0"/>
    <w:rsid w:val="00F63BCC"/>
    <w:rsid w:val="00F63BFF"/>
    <w:rsid w:val="00F63C1E"/>
    <w:rsid w:val="00F63EA6"/>
    <w:rsid w:val="00F64603"/>
    <w:rsid w:val="00F6465D"/>
    <w:rsid w:val="00F646C7"/>
    <w:rsid w:val="00F64769"/>
    <w:rsid w:val="00F648A6"/>
    <w:rsid w:val="00F64916"/>
    <w:rsid w:val="00F64C6F"/>
    <w:rsid w:val="00F64E41"/>
    <w:rsid w:val="00F65007"/>
    <w:rsid w:val="00F65175"/>
    <w:rsid w:val="00F6522B"/>
    <w:rsid w:val="00F65234"/>
    <w:rsid w:val="00F65298"/>
    <w:rsid w:val="00F65432"/>
    <w:rsid w:val="00F654C0"/>
    <w:rsid w:val="00F6580D"/>
    <w:rsid w:val="00F659AD"/>
    <w:rsid w:val="00F65E9C"/>
    <w:rsid w:val="00F65FDE"/>
    <w:rsid w:val="00F66765"/>
    <w:rsid w:val="00F66909"/>
    <w:rsid w:val="00F6692C"/>
    <w:rsid w:val="00F66A1A"/>
    <w:rsid w:val="00F66A6A"/>
    <w:rsid w:val="00F66DD7"/>
    <w:rsid w:val="00F67167"/>
    <w:rsid w:val="00F67470"/>
    <w:rsid w:val="00F677CF"/>
    <w:rsid w:val="00F678DB"/>
    <w:rsid w:val="00F67A5B"/>
    <w:rsid w:val="00F67F62"/>
    <w:rsid w:val="00F70142"/>
    <w:rsid w:val="00F7046C"/>
    <w:rsid w:val="00F706DE"/>
    <w:rsid w:val="00F707F8"/>
    <w:rsid w:val="00F70E74"/>
    <w:rsid w:val="00F712B2"/>
    <w:rsid w:val="00F713C4"/>
    <w:rsid w:val="00F7174B"/>
    <w:rsid w:val="00F7175D"/>
    <w:rsid w:val="00F71C35"/>
    <w:rsid w:val="00F71D5E"/>
    <w:rsid w:val="00F71DEE"/>
    <w:rsid w:val="00F72620"/>
    <w:rsid w:val="00F7295D"/>
    <w:rsid w:val="00F72C18"/>
    <w:rsid w:val="00F72EE6"/>
    <w:rsid w:val="00F730B8"/>
    <w:rsid w:val="00F73221"/>
    <w:rsid w:val="00F73342"/>
    <w:rsid w:val="00F736FF"/>
    <w:rsid w:val="00F73975"/>
    <w:rsid w:val="00F73A64"/>
    <w:rsid w:val="00F73A89"/>
    <w:rsid w:val="00F74062"/>
    <w:rsid w:val="00F74314"/>
    <w:rsid w:val="00F7437E"/>
    <w:rsid w:val="00F74526"/>
    <w:rsid w:val="00F74539"/>
    <w:rsid w:val="00F745AB"/>
    <w:rsid w:val="00F74AC0"/>
    <w:rsid w:val="00F75055"/>
    <w:rsid w:val="00F75265"/>
    <w:rsid w:val="00F756B6"/>
    <w:rsid w:val="00F759C9"/>
    <w:rsid w:val="00F75EF9"/>
    <w:rsid w:val="00F76422"/>
    <w:rsid w:val="00F7649D"/>
    <w:rsid w:val="00F764C8"/>
    <w:rsid w:val="00F768B3"/>
    <w:rsid w:val="00F76B1C"/>
    <w:rsid w:val="00F76B68"/>
    <w:rsid w:val="00F76BA2"/>
    <w:rsid w:val="00F76C10"/>
    <w:rsid w:val="00F76CA3"/>
    <w:rsid w:val="00F76E07"/>
    <w:rsid w:val="00F7732C"/>
    <w:rsid w:val="00F775BD"/>
    <w:rsid w:val="00F775DC"/>
    <w:rsid w:val="00F776A9"/>
    <w:rsid w:val="00F77907"/>
    <w:rsid w:val="00F7791D"/>
    <w:rsid w:val="00F77B3A"/>
    <w:rsid w:val="00F77B78"/>
    <w:rsid w:val="00F77C27"/>
    <w:rsid w:val="00F77C68"/>
    <w:rsid w:val="00F77D6E"/>
    <w:rsid w:val="00F77F4D"/>
    <w:rsid w:val="00F801F3"/>
    <w:rsid w:val="00F80216"/>
    <w:rsid w:val="00F802CB"/>
    <w:rsid w:val="00F808AD"/>
    <w:rsid w:val="00F80B33"/>
    <w:rsid w:val="00F80BF5"/>
    <w:rsid w:val="00F80E14"/>
    <w:rsid w:val="00F81042"/>
    <w:rsid w:val="00F812F9"/>
    <w:rsid w:val="00F813B3"/>
    <w:rsid w:val="00F81751"/>
    <w:rsid w:val="00F8197C"/>
    <w:rsid w:val="00F819CC"/>
    <w:rsid w:val="00F81BD8"/>
    <w:rsid w:val="00F81C4B"/>
    <w:rsid w:val="00F81D7E"/>
    <w:rsid w:val="00F81FAB"/>
    <w:rsid w:val="00F82320"/>
    <w:rsid w:val="00F82840"/>
    <w:rsid w:val="00F8288D"/>
    <w:rsid w:val="00F8289A"/>
    <w:rsid w:val="00F831F9"/>
    <w:rsid w:val="00F8328F"/>
    <w:rsid w:val="00F8334D"/>
    <w:rsid w:val="00F83358"/>
    <w:rsid w:val="00F83472"/>
    <w:rsid w:val="00F834B7"/>
    <w:rsid w:val="00F836DC"/>
    <w:rsid w:val="00F838DD"/>
    <w:rsid w:val="00F83969"/>
    <w:rsid w:val="00F83B9B"/>
    <w:rsid w:val="00F83BBC"/>
    <w:rsid w:val="00F83C9D"/>
    <w:rsid w:val="00F83CF7"/>
    <w:rsid w:val="00F83DFF"/>
    <w:rsid w:val="00F841B9"/>
    <w:rsid w:val="00F84399"/>
    <w:rsid w:val="00F843BA"/>
    <w:rsid w:val="00F8456A"/>
    <w:rsid w:val="00F847CE"/>
    <w:rsid w:val="00F84B49"/>
    <w:rsid w:val="00F84D33"/>
    <w:rsid w:val="00F850FA"/>
    <w:rsid w:val="00F851D8"/>
    <w:rsid w:val="00F85618"/>
    <w:rsid w:val="00F8566C"/>
    <w:rsid w:val="00F859E9"/>
    <w:rsid w:val="00F85BF0"/>
    <w:rsid w:val="00F85E2A"/>
    <w:rsid w:val="00F85E39"/>
    <w:rsid w:val="00F86756"/>
    <w:rsid w:val="00F868A2"/>
    <w:rsid w:val="00F86AE6"/>
    <w:rsid w:val="00F87450"/>
    <w:rsid w:val="00F8745E"/>
    <w:rsid w:val="00F8752A"/>
    <w:rsid w:val="00F87651"/>
    <w:rsid w:val="00F87771"/>
    <w:rsid w:val="00F8798F"/>
    <w:rsid w:val="00F87F11"/>
    <w:rsid w:val="00F901EB"/>
    <w:rsid w:val="00F90205"/>
    <w:rsid w:val="00F906FD"/>
    <w:rsid w:val="00F90758"/>
    <w:rsid w:val="00F908D3"/>
    <w:rsid w:val="00F909DA"/>
    <w:rsid w:val="00F90A10"/>
    <w:rsid w:val="00F90AE2"/>
    <w:rsid w:val="00F90C44"/>
    <w:rsid w:val="00F90D0E"/>
    <w:rsid w:val="00F90DCF"/>
    <w:rsid w:val="00F90E99"/>
    <w:rsid w:val="00F91073"/>
    <w:rsid w:val="00F9119C"/>
    <w:rsid w:val="00F91330"/>
    <w:rsid w:val="00F91437"/>
    <w:rsid w:val="00F9147D"/>
    <w:rsid w:val="00F914BE"/>
    <w:rsid w:val="00F914C7"/>
    <w:rsid w:val="00F916EB"/>
    <w:rsid w:val="00F918A0"/>
    <w:rsid w:val="00F92107"/>
    <w:rsid w:val="00F92181"/>
    <w:rsid w:val="00F922FE"/>
    <w:rsid w:val="00F923F6"/>
    <w:rsid w:val="00F92505"/>
    <w:rsid w:val="00F92F64"/>
    <w:rsid w:val="00F93441"/>
    <w:rsid w:val="00F935A8"/>
    <w:rsid w:val="00F935F4"/>
    <w:rsid w:val="00F938A0"/>
    <w:rsid w:val="00F93A79"/>
    <w:rsid w:val="00F93C6C"/>
    <w:rsid w:val="00F93D4D"/>
    <w:rsid w:val="00F93DBD"/>
    <w:rsid w:val="00F93E90"/>
    <w:rsid w:val="00F943B1"/>
    <w:rsid w:val="00F944EF"/>
    <w:rsid w:val="00F94E65"/>
    <w:rsid w:val="00F94F6D"/>
    <w:rsid w:val="00F95001"/>
    <w:rsid w:val="00F950FD"/>
    <w:rsid w:val="00F9531C"/>
    <w:rsid w:val="00F9535B"/>
    <w:rsid w:val="00F957AF"/>
    <w:rsid w:val="00F958FC"/>
    <w:rsid w:val="00F959D7"/>
    <w:rsid w:val="00F95A14"/>
    <w:rsid w:val="00F95E09"/>
    <w:rsid w:val="00F95F7B"/>
    <w:rsid w:val="00F95FD3"/>
    <w:rsid w:val="00F96015"/>
    <w:rsid w:val="00F963EE"/>
    <w:rsid w:val="00F96679"/>
    <w:rsid w:val="00F9669E"/>
    <w:rsid w:val="00F966E3"/>
    <w:rsid w:val="00F968B4"/>
    <w:rsid w:val="00F96963"/>
    <w:rsid w:val="00F96C1B"/>
    <w:rsid w:val="00F97124"/>
    <w:rsid w:val="00F97184"/>
    <w:rsid w:val="00F974C1"/>
    <w:rsid w:val="00F9780E"/>
    <w:rsid w:val="00F979B6"/>
    <w:rsid w:val="00F97B87"/>
    <w:rsid w:val="00FA001F"/>
    <w:rsid w:val="00FA069A"/>
    <w:rsid w:val="00FA0957"/>
    <w:rsid w:val="00FA0959"/>
    <w:rsid w:val="00FA0D90"/>
    <w:rsid w:val="00FA0F87"/>
    <w:rsid w:val="00FA0F88"/>
    <w:rsid w:val="00FA1301"/>
    <w:rsid w:val="00FA1400"/>
    <w:rsid w:val="00FA1521"/>
    <w:rsid w:val="00FA15EF"/>
    <w:rsid w:val="00FA16BE"/>
    <w:rsid w:val="00FA183A"/>
    <w:rsid w:val="00FA1A66"/>
    <w:rsid w:val="00FA1AC6"/>
    <w:rsid w:val="00FA1E1E"/>
    <w:rsid w:val="00FA219D"/>
    <w:rsid w:val="00FA2941"/>
    <w:rsid w:val="00FA2FEE"/>
    <w:rsid w:val="00FA34AE"/>
    <w:rsid w:val="00FA352F"/>
    <w:rsid w:val="00FA357C"/>
    <w:rsid w:val="00FA3582"/>
    <w:rsid w:val="00FA3A01"/>
    <w:rsid w:val="00FA3A30"/>
    <w:rsid w:val="00FA3B84"/>
    <w:rsid w:val="00FA3E6C"/>
    <w:rsid w:val="00FA40A7"/>
    <w:rsid w:val="00FA41E8"/>
    <w:rsid w:val="00FA4255"/>
    <w:rsid w:val="00FA45FC"/>
    <w:rsid w:val="00FA490D"/>
    <w:rsid w:val="00FA4A8E"/>
    <w:rsid w:val="00FA4AF9"/>
    <w:rsid w:val="00FA5034"/>
    <w:rsid w:val="00FA526E"/>
    <w:rsid w:val="00FA5290"/>
    <w:rsid w:val="00FA52A0"/>
    <w:rsid w:val="00FA5598"/>
    <w:rsid w:val="00FA569D"/>
    <w:rsid w:val="00FA5722"/>
    <w:rsid w:val="00FA5FEC"/>
    <w:rsid w:val="00FA637D"/>
    <w:rsid w:val="00FA63BB"/>
    <w:rsid w:val="00FA63CC"/>
    <w:rsid w:val="00FA6940"/>
    <w:rsid w:val="00FA6A22"/>
    <w:rsid w:val="00FA6B70"/>
    <w:rsid w:val="00FA6FAA"/>
    <w:rsid w:val="00FA700A"/>
    <w:rsid w:val="00FA7051"/>
    <w:rsid w:val="00FA70A7"/>
    <w:rsid w:val="00FA7427"/>
    <w:rsid w:val="00FA74C7"/>
    <w:rsid w:val="00FA75E4"/>
    <w:rsid w:val="00FA7674"/>
    <w:rsid w:val="00FA77E1"/>
    <w:rsid w:val="00FA7A14"/>
    <w:rsid w:val="00FA7C61"/>
    <w:rsid w:val="00FA7C8C"/>
    <w:rsid w:val="00FB017E"/>
    <w:rsid w:val="00FB021B"/>
    <w:rsid w:val="00FB042D"/>
    <w:rsid w:val="00FB05D3"/>
    <w:rsid w:val="00FB0BE4"/>
    <w:rsid w:val="00FB0CC2"/>
    <w:rsid w:val="00FB0F78"/>
    <w:rsid w:val="00FB12D0"/>
    <w:rsid w:val="00FB1495"/>
    <w:rsid w:val="00FB1A45"/>
    <w:rsid w:val="00FB1CDF"/>
    <w:rsid w:val="00FB1D14"/>
    <w:rsid w:val="00FB1F02"/>
    <w:rsid w:val="00FB1FFD"/>
    <w:rsid w:val="00FB227D"/>
    <w:rsid w:val="00FB22F1"/>
    <w:rsid w:val="00FB255C"/>
    <w:rsid w:val="00FB25E3"/>
    <w:rsid w:val="00FB26D2"/>
    <w:rsid w:val="00FB29EB"/>
    <w:rsid w:val="00FB2A46"/>
    <w:rsid w:val="00FB2B52"/>
    <w:rsid w:val="00FB2BBE"/>
    <w:rsid w:val="00FB2EF8"/>
    <w:rsid w:val="00FB31D1"/>
    <w:rsid w:val="00FB3343"/>
    <w:rsid w:val="00FB347B"/>
    <w:rsid w:val="00FB3550"/>
    <w:rsid w:val="00FB39E7"/>
    <w:rsid w:val="00FB3A09"/>
    <w:rsid w:val="00FB3C4F"/>
    <w:rsid w:val="00FB3DE3"/>
    <w:rsid w:val="00FB3E47"/>
    <w:rsid w:val="00FB432A"/>
    <w:rsid w:val="00FB4546"/>
    <w:rsid w:val="00FB4711"/>
    <w:rsid w:val="00FB5122"/>
    <w:rsid w:val="00FB5404"/>
    <w:rsid w:val="00FB56AE"/>
    <w:rsid w:val="00FB5711"/>
    <w:rsid w:val="00FB5858"/>
    <w:rsid w:val="00FB5BB9"/>
    <w:rsid w:val="00FB5C1F"/>
    <w:rsid w:val="00FB610F"/>
    <w:rsid w:val="00FB6363"/>
    <w:rsid w:val="00FB6559"/>
    <w:rsid w:val="00FB68E3"/>
    <w:rsid w:val="00FB6D48"/>
    <w:rsid w:val="00FB6D67"/>
    <w:rsid w:val="00FB6E70"/>
    <w:rsid w:val="00FB6E71"/>
    <w:rsid w:val="00FB7262"/>
    <w:rsid w:val="00FB7421"/>
    <w:rsid w:val="00FB7444"/>
    <w:rsid w:val="00FB75BE"/>
    <w:rsid w:val="00FB75FD"/>
    <w:rsid w:val="00FB7669"/>
    <w:rsid w:val="00FB7770"/>
    <w:rsid w:val="00FB7836"/>
    <w:rsid w:val="00FB7A21"/>
    <w:rsid w:val="00FB7B50"/>
    <w:rsid w:val="00FB7DE8"/>
    <w:rsid w:val="00FB7F1D"/>
    <w:rsid w:val="00FC000A"/>
    <w:rsid w:val="00FC0174"/>
    <w:rsid w:val="00FC0404"/>
    <w:rsid w:val="00FC04FA"/>
    <w:rsid w:val="00FC0534"/>
    <w:rsid w:val="00FC078E"/>
    <w:rsid w:val="00FC0BBD"/>
    <w:rsid w:val="00FC0BE4"/>
    <w:rsid w:val="00FC0D32"/>
    <w:rsid w:val="00FC0D79"/>
    <w:rsid w:val="00FC1304"/>
    <w:rsid w:val="00FC1507"/>
    <w:rsid w:val="00FC1A04"/>
    <w:rsid w:val="00FC1B32"/>
    <w:rsid w:val="00FC1CFA"/>
    <w:rsid w:val="00FC1D5B"/>
    <w:rsid w:val="00FC228F"/>
    <w:rsid w:val="00FC238A"/>
    <w:rsid w:val="00FC241E"/>
    <w:rsid w:val="00FC260F"/>
    <w:rsid w:val="00FC268D"/>
    <w:rsid w:val="00FC27E7"/>
    <w:rsid w:val="00FC2BA4"/>
    <w:rsid w:val="00FC2F26"/>
    <w:rsid w:val="00FC2FA4"/>
    <w:rsid w:val="00FC2FF5"/>
    <w:rsid w:val="00FC3115"/>
    <w:rsid w:val="00FC31AD"/>
    <w:rsid w:val="00FC31BA"/>
    <w:rsid w:val="00FC34ED"/>
    <w:rsid w:val="00FC37C9"/>
    <w:rsid w:val="00FC3AE9"/>
    <w:rsid w:val="00FC3B95"/>
    <w:rsid w:val="00FC3F48"/>
    <w:rsid w:val="00FC4022"/>
    <w:rsid w:val="00FC4232"/>
    <w:rsid w:val="00FC423A"/>
    <w:rsid w:val="00FC452A"/>
    <w:rsid w:val="00FC45E8"/>
    <w:rsid w:val="00FC483B"/>
    <w:rsid w:val="00FC493F"/>
    <w:rsid w:val="00FC495C"/>
    <w:rsid w:val="00FC4A79"/>
    <w:rsid w:val="00FC5134"/>
    <w:rsid w:val="00FC54D0"/>
    <w:rsid w:val="00FC5508"/>
    <w:rsid w:val="00FC553D"/>
    <w:rsid w:val="00FC5BB2"/>
    <w:rsid w:val="00FC5C16"/>
    <w:rsid w:val="00FC5C8B"/>
    <w:rsid w:val="00FC5D9B"/>
    <w:rsid w:val="00FC612C"/>
    <w:rsid w:val="00FC61BF"/>
    <w:rsid w:val="00FC633D"/>
    <w:rsid w:val="00FC65CA"/>
    <w:rsid w:val="00FC696D"/>
    <w:rsid w:val="00FC69D9"/>
    <w:rsid w:val="00FC69EB"/>
    <w:rsid w:val="00FC6A79"/>
    <w:rsid w:val="00FC6B45"/>
    <w:rsid w:val="00FC6E6E"/>
    <w:rsid w:val="00FC6F3C"/>
    <w:rsid w:val="00FC708F"/>
    <w:rsid w:val="00FC7120"/>
    <w:rsid w:val="00FC7165"/>
    <w:rsid w:val="00FC73CF"/>
    <w:rsid w:val="00FC75E8"/>
    <w:rsid w:val="00FC773A"/>
    <w:rsid w:val="00FC78B7"/>
    <w:rsid w:val="00FC7BFF"/>
    <w:rsid w:val="00FC7D4B"/>
    <w:rsid w:val="00FC7D84"/>
    <w:rsid w:val="00FC7F0D"/>
    <w:rsid w:val="00FC7FE8"/>
    <w:rsid w:val="00FD0209"/>
    <w:rsid w:val="00FD02BF"/>
    <w:rsid w:val="00FD044F"/>
    <w:rsid w:val="00FD06C9"/>
    <w:rsid w:val="00FD0703"/>
    <w:rsid w:val="00FD09F6"/>
    <w:rsid w:val="00FD116B"/>
    <w:rsid w:val="00FD1513"/>
    <w:rsid w:val="00FD15CA"/>
    <w:rsid w:val="00FD17F9"/>
    <w:rsid w:val="00FD18CF"/>
    <w:rsid w:val="00FD19DA"/>
    <w:rsid w:val="00FD1B90"/>
    <w:rsid w:val="00FD1BB5"/>
    <w:rsid w:val="00FD1D50"/>
    <w:rsid w:val="00FD1EC8"/>
    <w:rsid w:val="00FD1ED4"/>
    <w:rsid w:val="00FD2023"/>
    <w:rsid w:val="00FD2264"/>
    <w:rsid w:val="00FD2334"/>
    <w:rsid w:val="00FD2510"/>
    <w:rsid w:val="00FD2665"/>
    <w:rsid w:val="00FD289A"/>
    <w:rsid w:val="00FD2B7B"/>
    <w:rsid w:val="00FD2F9C"/>
    <w:rsid w:val="00FD33BF"/>
    <w:rsid w:val="00FD33D9"/>
    <w:rsid w:val="00FD387D"/>
    <w:rsid w:val="00FD38E9"/>
    <w:rsid w:val="00FD3DF9"/>
    <w:rsid w:val="00FD4479"/>
    <w:rsid w:val="00FD46F9"/>
    <w:rsid w:val="00FD4C37"/>
    <w:rsid w:val="00FD4D88"/>
    <w:rsid w:val="00FD4DC3"/>
    <w:rsid w:val="00FD4EAC"/>
    <w:rsid w:val="00FD52F6"/>
    <w:rsid w:val="00FD5B52"/>
    <w:rsid w:val="00FD5BED"/>
    <w:rsid w:val="00FD5D87"/>
    <w:rsid w:val="00FD5FA6"/>
    <w:rsid w:val="00FD6064"/>
    <w:rsid w:val="00FD6323"/>
    <w:rsid w:val="00FD6402"/>
    <w:rsid w:val="00FD657F"/>
    <w:rsid w:val="00FD65DB"/>
    <w:rsid w:val="00FD6603"/>
    <w:rsid w:val="00FD6A11"/>
    <w:rsid w:val="00FD6D69"/>
    <w:rsid w:val="00FD6E64"/>
    <w:rsid w:val="00FD6EBD"/>
    <w:rsid w:val="00FD6F1F"/>
    <w:rsid w:val="00FD6F27"/>
    <w:rsid w:val="00FD6F7B"/>
    <w:rsid w:val="00FD7130"/>
    <w:rsid w:val="00FD73A9"/>
    <w:rsid w:val="00FD74A0"/>
    <w:rsid w:val="00FD79CA"/>
    <w:rsid w:val="00FD7D4A"/>
    <w:rsid w:val="00FD7FC2"/>
    <w:rsid w:val="00FD7FC6"/>
    <w:rsid w:val="00FD7FCE"/>
    <w:rsid w:val="00FD7FDB"/>
    <w:rsid w:val="00FE01EF"/>
    <w:rsid w:val="00FE0243"/>
    <w:rsid w:val="00FE02AB"/>
    <w:rsid w:val="00FE06C8"/>
    <w:rsid w:val="00FE07D6"/>
    <w:rsid w:val="00FE07E2"/>
    <w:rsid w:val="00FE0AA4"/>
    <w:rsid w:val="00FE0D6E"/>
    <w:rsid w:val="00FE10F2"/>
    <w:rsid w:val="00FE1642"/>
    <w:rsid w:val="00FE1735"/>
    <w:rsid w:val="00FE19C5"/>
    <w:rsid w:val="00FE1AFD"/>
    <w:rsid w:val="00FE1CBD"/>
    <w:rsid w:val="00FE1CF9"/>
    <w:rsid w:val="00FE1ECB"/>
    <w:rsid w:val="00FE1FA4"/>
    <w:rsid w:val="00FE2067"/>
    <w:rsid w:val="00FE21C0"/>
    <w:rsid w:val="00FE24DC"/>
    <w:rsid w:val="00FE2552"/>
    <w:rsid w:val="00FE268A"/>
    <w:rsid w:val="00FE29C5"/>
    <w:rsid w:val="00FE2A91"/>
    <w:rsid w:val="00FE2B7B"/>
    <w:rsid w:val="00FE2C46"/>
    <w:rsid w:val="00FE3917"/>
    <w:rsid w:val="00FE3A1B"/>
    <w:rsid w:val="00FE3CCB"/>
    <w:rsid w:val="00FE3D58"/>
    <w:rsid w:val="00FE3E5B"/>
    <w:rsid w:val="00FE4032"/>
    <w:rsid w:val="00FE4321"/>
    <w:rsid w:val="00FE4337"/>
    <w:rsid w:val="00FE457E"/>
    <w:rsid w:val="00FE4611"/>
    <w:rsid w:val="00FE4630"/>
    <w:rsid w:val="00FE4763"/>
    <w:rsid w:val="00FE47AA"/>
    <w:rsid w:val="00FE48F0"/>
    <w:rsid w:val="00FE4968"/>
    <w:rsid w:val="00FE4978"/>
    <w:rsid w:val="00FE4F4A"/>
    <w:rsid w:val="00FE50C2"/>
    <w:rsid w:val="00FE5214"/>
    <w:rsid w:val="00FE5219"/>
    <w:rsid w:val="00FE5326"/>
    <w:rsid w:val="00FE5399"/>
    <w:rsid w:val="00FE53B0"/>
    <w:rsid w:val="00FE53D9"/>
    <w:rsid w:val="00FE5424"/>
    <w:rsid w:val="00FE54BC"/>
    <w:rsid w:val="00FE59CE"/>
    <w:rsid w:val="00FE5BF9"/>
    <w:rsid w:val="00FE5DFC"/>
    <w:rsid w:val="00FE5E65"/>
    <w:rsid w:val="00FE5EDF"/>
    <w:rsid w:val="00FE612E"/>
    <w:rsid w:val="00FE61AA"/>
    <w:rsid w:val="00FE6529"/>
    <w:rsid w:val="00FE659F"/>
    <w:rsid w:val="00FE65B1"/>
    <w:rsid w:val="00FE65DE"/>
    <w:rsid w:val="00FE66AA"/>
    <w:rsid w:val="00FE6773"/>
    <w:rsid w:val="00FE692A"/>
    <w:rsid w:val="00FE697C"/>
    <w:rsid w:val="00FE6B2F"/>
    <w:rsid w:val="00FE6B6E"/>
    <w:rsid w:val="00FE6B75"/>
    <w:rsid w:val="00FE7274"/>
    <w:rsid w:val="00FE72F9"/>
    <w:rsid w:val="00FE73FB"/>
    <w:rsid w:val="00FE7724"/>
    <w:rsid w:val="00FE781B"/>
    <w:rsid w:val="00FE7CD9"/>
    <w:rsid w:val="00FE7F81"/>
    <w:rsid w:val="00FF012E"/>
    <w:rsid w:val="00FF06BC"/>
    <w:rsid w:val="00FF0A05"/>
    <w:rsid w:val="00FF0A45"/>
    <w:rsid w:val="00FF0B07"/>
    <w:rsid w:val="00FF0C77"/>
    <w:rsid w:val="00FF0CBC"/>
    <w:rsid w:val="00FF0CD7"/>
    <w:rsid w:val="00FF0D5C"/>
    <w:rsid w:val="00FF1328"/>
    <w:rsid w:val="00FF13E6"/>
    <w:rsid w:val="00FF1418"/>
    <w:rsid w:val="00FF1A82"/>
    <w:rsid w:val="00FF214A"/>
    <w:rsid w:val="00FF21B7"/>
    <w:rsid w:val="00FF28C5"/>
    <w:rsid w:val="00FF2B45"/>
    <w:rsid w:val="00FF2C15"/>
    <w:rsid w:val="00FF2D8B"/>
    <w:rsid w:val="00FF2EB0"/>
    <w:rsid w:val="00FF3130"/>
    <w:rsid w:val="00FF32A9"/>
    <w:rsid w:val="00FF36A5"/>
    <w:rsid w:val="00FF382B"/>
    <w:rsid w:val="00FF388C"/>
    <w:rsid w:val="00FF3B6F"/>
    <w:rsid w:val="00FF3DC1"/>
    <w:rsid w:val="00FF40A6"/>
    <w:rsid w:val="00FF428D"/>
    <w:rsid w:val="00FF42E7"/>
    <w:rsid w:val="00FF43EF"/>
    <w:rsid w:val="00FF461B"/>
    <w:rsid w:val="00FF48D3"/>
    <w:rsid w:val="00FF48ED"/>
    <w:rsid w:val="00FF4979"/>
    <w:rsid w:val="00FF4B88"/>
    <w:rsid w:val="00FF5037"/>
    <w:rsid w:val="00FF512B"/>
    <w:rsid w:val="00FF52FE"/>
    <w:rsid w:val="00FF57D3"/>
    <w:rsid w:val="00FF597D"/>
    <w:rsid w:val="00FF59C3"/>
    <w:rsid w:val="00FF5C77"/>
    <w:rsid w:val="00FF5E44"/>
    <w:rsid w:val="00FF613B"/>
    <w:rsid w:val="00FF63BE"/>
    <w:rsid w:val="00FF63D4"/>
    <w:rsid w:val="00FF6816"/>
    <w:rsid w:val="00FF6B2D"/>
    <w:rsid w:val="00FF70BC"/>
    <w:rsid w:val="00FF71A0"/>
    <w:rsid w:val="00FF7250"/>
    <w:rsid w:val="00FF77C0"/>
    <w:rsid w:val="00FF79D5"/>
    <w:rsid w:val="00FF79E6"/>
    <w:rsid w:val="00FF7D2A"/>
    <w:rsid w:val="00FF7EBF"/>
    <w:rsid w:val="00FF7F08"/>
    <w:rsid w:val="0100D8BA"/>
    <w:rsid w:val="013B3405"/>
    <w:rsid w:val="01571FA1"/>
    <w:rsid w:val="01B065E9"/>
    <w:rsid w:val="01F3041A"/>
    <w:rsid w:val="025B83A3"/>
    <w:rsid w:val="02D7CEAF"/>
    <w:rsid w:val="02EBDA30"/>
    <w:rsid w:val="02FB03DC"/>
    <w:rsid w:val="03096B5C"/>
    <w:rsid w:val="0332C5D2"/>
    <w:rsid w:val="03447228"/>
    <w:rsid w:val="034654BA"/>
    <w:rsid w:val="03514194"/>
    <w:rsid w:val="035F1D4D"/>
    <w:rsid w:val="039A585B"/>
    <w:rsid w:val="03ADE01D"/>
    <w:rsid w:val="03D56204"/>
    <w:rsid w:val="041190B0"/>
    <w:rsid w:val="04138A78"/>
    <w:rsid w:val="043C0678"/>
    <w:rsid w:val="047FF6D2"/>
    <w:rsid w:val="048FD0E3"/>
    <w:rsid w:val="049A520C"/>
    <w:rsid w:val="04F0F711"/>
    <w:rsid w:val="0555AFD2"/>
    <w:rsid w:val="05754DEE"/>
    <w:rsid w:val="057E4142"/>
    <w:rsid w:val="0616EFBC"/>
    <w:rsid w:val="0642D3B7"/>
    <w:rsid w:val="06663D58"/>
    <w:rsid w:val="0668E14B"/>
    <w:rsid w:val="067D9B6D"/>
    <w:rsid w:val="069C5529"/>
    <w:rsid w:val="06BBD8D0"/>
    <w:rsid w:val="06C1C229"/>
    <w:rsid w:val="06CD3FCC"/>
    <w:rsid w:val="06DD176C"/>
    <w:rsid w:val="07620BFD"/>
    <w:rsid w:val="07C6DA2D"/>
    <w:rsid w:val="07C8FABB"/>
    <w:rsid w:val="07CE74FF"/>
    <w:rsid w:val="07E3F498"/>
    <w:rsid w:val="07FDE24F"/>
    <w:rsid w:val="08488F9A"/>
    <w:rsid w:val="08C7DCE0"/>
    <w:rsid w:val="0908DF97"/>
    <w:rsid w:val="0913BBF5"/>
    <w:rsid w:val="098D2A9B"/>
    <w:rsid w:val="0A3BB5BA"/>
    <w:rsid w:val="0A521BC2"/>
    <w:rsid w:val="0A6EB8BA"/>
    <w:rsid w:val="0AB14D8A"/>
    <w:rsid w:val="0B06D5B0"/>
    <w:rsid w:val="0B2A267B"/>
    <w:rsid w:val="0B2B8565"/>
    <w:rsid w:val="0B5DE699"/>
    <w:rsid w:val="0B6AB155"/>
    <w:rsid w:val="0B6F1450"/>
    <w:rsid w:val="0BBE36DD"/>
    <w:rsid w:val="0BBF1A05"/>
    <w:rsid w:val="0BC74B8C"/>
    <w:rsid w:val="0C0AED91"/>
    <w:rsid w:val="0C66A778"/>
    <w:rsid w:val="0C6C5B6E"/>
    <w:rsid w:val="0C6CEBFC"/>
    <w:rsid w:val="0C888FE1"/>
    <w:rsid w:val="0CB5171C"/>
    <w:rsid w:val="0CC6DB95"/>
    <w:rsid w:val="0CD40EA3"/>
    <w:rsid w:val="0CF9D9CA"/>
    <w:rsid w:val="0D9440D6"/>
    <w:rsid w:val="0DB0CF05"/>
    <w:rsid w:val="0DD79309"/>
    <w:rsid w:val="0E11FD5C"/>
    <w:rsid w:val="0E2086FE"/>
    <w:rsid w:val="0E421028"/>
    <w:rsid w:val="0E5AFDCC"/>
    <w:rsid w:val="0EA314EA"/>
    <w:rsid w:val="0FCC4C34"/>
    <w:rsid w:val="0FCEA185"/>
    <w:rsid w:val="0FDC832B"/>
    <w:rsid w:val="102858A0"/>
    <w:rsid w:val="1053BA94"/>
    <w:rsid w:val="118F4F21"/>
    <w:rsid w:val="11A637FE"/>
    <w:rsid w:val="11D82900"/>
    <w:rsid w:val="11EBB822"/>
    <w:rsid w:val="11F53C35"/>
    <w:rsid w:val="128080CD"/>
    <w:rsid w:val="12C59D44"/>
    <w:rsid w:val="12DB0015"/>
    <w:rsid w:val="1319152C"/>
    <w:rsid w:val="1326C02A"/>
    <w:rsid w:val="13389C91"/>
    <w:rsid w:val="137149C8"/>
    <w:rsid w:val="1396F2CC"/>
    <w:rsid w:val="13AB3092"/>
    <w:rsid w:val="13DB12D8"/>
    <w:rsid w:val="13DC3617"/>
    <w:rsid w:val="13E6C806"/>
    <w:rsid w:val="1404D7AB"/>
    <w:rsid w:val="1408E34B"/>
    <w:rsid w:val="144BB0C5"/>
    <w:rsid w:val="145395FA"/>
    <w:rsid w:val="14DEC679"/>
    <w:rsid w:val="14F62300"/>
    <w:rsid w:val="155CF2FB"/>
    <w:rsid w:val="15BC5A9B"/>
    <w:rsid w:val="15E34FA8"/>
    <w:rsid w:val="164D63AB"/>
    <w:rsid w:val="1650B5EE"/>
    <w:rsid w:val="16970AC2"/>
    <w:rsid w:val="16D6F862"/>
    <w:rsid w:val="171FAF22"/>
    <w:rsid w:val="17B0CE87"/>
    <w:rsid w:val="17B3EABA"/>
    <w:rsid w:val="17FD5B15"/>
    <w:rsid w:val="18076C81"/>
    <w:rsid w:val="186EE337"/>
    <w:rsid w:val="18B736B6"/>
    <w:rsid w:val="18B7906F"/>
    <w:rsid w:val="18FA1584"/>
    <w:rsid w:val="192CCB84"/>
    <w:rsid w:val="19391F51"/>
    <w:rsid w:val="194BFA88"/>
    <w:rsid w:val="19B54F50"/>
    <w:rsid w:val="1A5B58FC"/>
    <w:rsid w:val="1A980EE7"/>
    <w:rsid w:val="1A9DF840"/>
    <w:rsid w:val="1A9E695A"/>
    <w:rsid w:val="1AA9D49A"/>
    <w:rsid w:val="1AFB431C"/>
    <w:rsid w:val="1B5BD515"/>
    <w:rsid w:val="1B6550AD"/>
    <w:rsid w:val="1BA9CF56"/>
    <w:rsid w:val="1BBC9C3E"/>
    <w:rsid w:val="1BC894C1"/>
    <w:rsid w:val="1BE773B8"/>
    <w:rsid w:val="1C0551CD"/>
    <w:rsid w:val="1C19A331"/>
    <w:rsid w:val="1C533D01"/>
    <w:rsid w:val="1C799C88"/>
    <w:rsid w:val="1C8DC66A"/>
    <w:rsid w:val="1C9746AA"/>
    <w:rsid w:val="1CE77AB0"/>
    <w:rsid w:val="1D1DBD73"/>
    <w:rsid w:val="1D48DB43"/>
    <w:rsid w:val="1DC2057F"/>
    <w:rsid w:val="1DC44055"/>
    <w:rsid w:val="1DD12F8F"/>
    <w:rsid w:val="1DE5578D"/>
    <w:rsid w:val="1E2F1189"/>
    <w:rsid w:val="1E45B16A"/>
    <w:rsid w:val="1E6FA96F"/>
    <w:rsid w:val="1EB6FB28"/>
    <w:rsid w:val="1EEAF57F"/>
    <w:rsid w:val="1EF1ECB4"/>
    <w:rsid w:val="1F151018"/>
    <w:rsid w:val="1F6B0597"/>
    <w:rsid w:val="1F75E568"/>
    <w:rsid w:val="1FCB25C9"/>
    <w:rsid w:val="1FEDB2C7"/>
    <w:rsid w:val="1FF2B610"/>
    <w:rsid w:val="1FF57E4E"/>
    <w:rsid w:val="2000F8BC"/>
    <w:rsid w:val="201942B3"/>
    <w:rsid w:val="201EEA83"/>
    <w:rsid w:val="2032D567"/>
    <w:rsid w:val="2038BC94"/>
    <w:rsid w:val="2052F436"/>
    <w:rsid w:val="2093E688"/>
    <w:rsid w:val="20D97353"/>
    <w:rsid w:val="21567517"/>
    <w:rsid w:val="218B7B0F"/>
    <w:rsid w:val="21FDAFD5"/>
    <w:rsid w:val="22178DB3"/>
    <w:rsid w:val="221F7429"/>
    <w:rsid w:val="2285B6D9"/>
    <w:rsid w:val="229CAFFE"/>
    <w:rsid w:val="229FCCD1"/>
    <w:rsid w:val="22B4D4E9"/>
    <w:rsid w:val="22C39A90"/>
    <w:rsid w:val="231EE95F"/>
    <w:rsid w:val="237375F7"/>
    <w:rsid w:val="2393C510"/>
    <w:rsid w:val="23A98001"/>
    <w:rsid w:val="23BCFA6D"/>
    <w:rsid w:val="23F2EF23"/>
    <w:rsid w:val="245BFCA8"/>
    <w:rsid w:val="247B656C"/>
    <w:rsid w:val="24B5D83C"/>
    <w:rsid w:val="24B92A03"/>
    <w:rsid w:val="24DC746E"/>
    <w:rsid w:val="24DEB9E2"/>
    <w:rsid w:val="24FD1DEF"/>
    <w:rsid w:val="254042BA"/>
    <w:rsid w:val="25BC16FD"/>
    <w:rsid w:val="25D19D4E"/>
    <w:rsid w:val="25E61CB7"/>
    <w:rsid w:val="25EBFEAD"/>
    <w:rsid w:val="26003A95"/>
    <w:rsid w:val="263E3749"/>
    <w:rsid w:val="2648339A"/>
    <w:rsid w:val="26C6FBDA"/>
    <w:rsid w:val="26EC63FF"/>
    <w:rsid w:val="271D1E31"/>
    <w:rsid w:val="276A8B23"/>
    <w:rsid w:val="277BB643"/>
    <w:rsid w:val="279F6037"/>
    <w:rsid w:val="28070EDF"/>
    <w:rsid w:val="280BEF6E"/>
    <w:rsid w:val="2835BF5B"/>
    <w:rsid w:val="294068EB"/>
    <w:rsid w:val="2942DD86"/>
    <w:rsid w:val="29735B0B"/>
    <w:rsid w:val="2996A256"/>
    <w:rsid w:val="29E7542E"/>
    <w:rsid w:val="2A23CF5C"/>
    <w:rsid w:val="2A791510"/>
    <w:rsid w:val="2A99041A"/>
    <w:rsid w:val="2AAFBE03"/>
    <w:rsid w:val="2B444D6B"/>
    <w:rsid w:val="2B66FCB6"/>
    <w:rsid w:val="2B8F4DB1"/>
    <w:rsid w:val="2BA92405"/>
    <w:rsid w:val="2BF6A859"/>
    <w:rsid w:val="2CB60FD8"/>
    <w:rsid w:val="2CD008AF"/>
    <w:rsid w:val="2CDE4740"/>
    <w:rsid w:val="2D119414"/>
    <w:rsid w:val="2D2BD127"/>
    <w:rsid w:val="2DA32610"/>
    <w:rsid w:val="2DDAF0CD"/>
    <w:rsid w:val="2DDBECA8"/>
    <w:rsid w:val="2E248326"/>
    <w:rsid w:val="2E443934"/>
    <w:rsid w:val="2EE7DC1D"/>
    <w:rsid w:val="2F789018"/>
    <w:rsid w:val="2F83C049"/>
    <w:rsid w:val="2F8E7CCF"/>
    <w:rsid w:val="2FCA6A7C"/>
    <w:rsid w:val="2FF4569B"/>
    <w:rsid w:val="2FF8A74B"/>
    <w:rsid w:val="301A3385"/>
    <w:rsid w:val="3024F625"/>
    <w:rsid w:val="302C96F5"/>
    <w:rsid w:val="30591BAA"/>
    <w:rsid w:val="30C3282E"/>
    <w:rsid w:val="30D7955A"/>
    <w:rsid w:val="31057074"/>
    <w:rsid w:val="31296F06"/>
    <w:rsid w:val="31906402"/>
    <w:rsid w:val="31A98C5F"/>
    <w:rsid w:val="31D0B6EB"/>
    <w:rsid w:val="31E00A03"/>
    <w:rsid w:val="320AA711"/>
    <w:rsid w:val="3234FF4B"/>
    <w:rsid w:val="33303B0A"/>
    <w:rsid w:val="333D6F3A"/>
    <w:rsid w:val="33A71D9B"/>
    <w:rsid w:val="33CC8A04"/>
    <w:rsid w:val="3436412A"/>
    <w:rsid w:val="3475299D"/>
    <w:rsid w:val="3478403F"/>
    <w:rsid w:val="34D65EB5"/>
    <w:rsid w:val="34D93F9B"/>
    <w:rsid w:val="35162C90"/>
    <w:rsid w:val="3528F867"/>
    <w:rsid w:val="35360727"/>
    <w:rsid w:val="35B17332"/>
    <w:rsid w:val="35B221FA"/>
    <w:rsid w:val="3602C1A0"/>
    <w:rsid w:val="3628D95C"/>
    <w:rsid w:val="3663D525"/>
    <w:rsid w:val="367ADFA9"/>
    <w:rsid w:val="3682AC6C"/>
    <w:rsid w:val="36A3AF1D"/>
    <w:rsid w:val="36AFE0A1"/>
    <w:rsid w:val="36C72AFC"/>
    <w:rsid w:val="36F52D78"/>
    <w:rsid w:val="372A4A56"/>
    <w:rsid w:val="376850D9"/>
    <w:rsid w:val="3796711E"/>
    <w:rsid w:val="379BE4A1"/>
    <w:rsid w:val="37D3E8B2"/>
    <w:rsid w:val="37F13D30"/>
    <w:rsid w:val="3818CDE3"/>
    <w:rsid w:val="38282645"/>
    <w:rsid w:val="38C0DB51"/>
    <w:rsid w:val="38DE300F"/>
    <w:rsid w:val="38F51C70"/>
    <w:rsid w:val="3910977D"/>
    <w:rsid w:val="391ED4D0"/>
    <w:rsid w:val="3937585B"/>
    <w:rsid w:val="3949A584"/>
    <w:rsid w:val="39538A9B"/>
    <w:rsid w:val="39557D02"/>
    <w:rsid w:val="3955FF27"/>
    <w:rsid w:val="39949C6C"/>
    <w:rsid w:val="39B445D2"/>
    <w:rsid w:val="39C1CE14"/>
    <w:rsid w:val="39DA2B3D"/>
    <w:rsid w:val="3A005F0E"/>
    <w:rsid w:val="3A622AD5"/>
    <w:rsid w:val="3A863DEE"/>
    <w:rsid w:val="3A933F81"/>
    <w:rsid w:val="3B7013C6"/>
    <w:rsid w:val="3B70E527"/>
    <w:rsid w:val="3BDD2761"/>
    <w:rsid w:val="3BE1BE8F"/>
    <w:rsid w:val="3C6BD830"/>
    <w:rsid w:val="3CE1BC29"/>
    <w:rsid w:val="3D2F7314"/>
    <w:rsid w:val="3D9816FD"/>
    <w:rsid w:val="3DADB13F"/>
    <w:rsid w:val="3DCAE043"/>
    <w:rsid w:val="3E3CC9FD"/>
    <w:rsid w:val="3EBD0DD7"/>
    <w:rsid w:val="3ECE94B1"/>
    <w:rsid w:val="3F0F0EC0"/>
    <w:rsid w:val="3F149474"/>
    <w:rsid w:val="3F5B6951"/>
    <w:rsid w:val="3F62F438"/>
    <w:rsid w:val="3F94D27E"/>
    <w:rsid w:val="3FAFDB30"/>
    <w:rsid w:val="3FF062B1"/>
    <w:rsid w:val="404136D1"/>
    <w:rsid w:val="40B6E857"/>
    <w:rsid w:val="41308EF6"/>
    <w:rsid w:val="41886698"/>
    <w:rsid w:val="418ADB5B"/>
    <w:rsid w:val="4194F484"/>
    <w:rsid w:val="41A4D7EB"/>
    <w:rsid w:val="41FAE8F0"/>
    <w:rsid w:val="423A8D44"/>
    <w:rsid w:val="42CA1257"/>
    <w:rsid w:val="42D86CAA"/>
    <w:rsid w:val="42E6AF80"/>
    <w:rsid w:val="42EC1425"/>
    <w:rsid w:val="432CF1B6"/>
    <w:rsid w:val="435B808A"/>
    <w:rsid w:val="436418DD"/>
    <w:rsid w:val="43AAE49B"/>
    <w:rsid w:val="43B2C1E0"/>
    <w:rsid w:val="43C2CFC6"/>
    <w:rsid w:val="43DD4B89"/>
    <w:rsid w:val="441D3EFF"/>
    <w:rsid w:val="44263F8B"/>
    <w:rsid w:val="443BACE4"/>
    <w:rsid w:val="444883DE"/>
    <w:rsid w:val="449B66A7"/>
    <w:rsid w:val="45292867"/>
    <w:rsid w:val="45463836"/>
    <w:rsid w:val="4550786B"/>
    <w:rsid w:val="4566BFF0"/>
    <w:rsid w:val="4569CEDC"/>
    <w:rsid w:val="459F216F"/>
    <w:rsid w:val="45BC4950"/>
    <w:rsid w:val="45D7CCE0"/>
    <w:rsid w:val="46188B69"/>
    <w:rsid w:val="462232B1"/>
    <w:rsid w:val="4679F8EF"/>
    <w:rsid w:val="468AA10A"/>
    <w:rsid w:val="4698F82A"/>
    <w:rsid w:val="46CB4EFD"/>
    <w:rsid w:val="46DAD1D3"/>
    <w:rsid w:val="46E5C6DD"/>
    <w:rsid w:val="4702F8FA"/>
    <w:rsid w:val="47163AB1"/>
    <w:rsid w:val="476DBBE2"/>
    <w:rsid w:val="47A6EE7F"/>
    <w:rsid w:val="47ABA4C3"/>
    <w:rsid w:val="47B40693"/>
    <w:rsid w:val="47B4B5A7"/>
    <w:rsid w:val="47D64F19"/>
    <w:rsid w:val="47D98A5C"/>
    <w:rsid w:val="47EEF86A"/>
    <w:rsid w:val="4819CF9D"/>
    <w:rsid w:val="487E32C4"/>
    <w:rsid w:val="48B5726B"/>
    <w:rsid w:val="48D9892E"/>
    <w:rsid w:val="490110C4"/>
    <w:rsid w:val="49098C43"/>
    <w:rsid w:val="490AE80C"/>
    <w:rsid w:val="4934E340"/>
    <w:rsid w:val="494009E7"/>
    <w:rsid w:val="494865FE"/>
    <w:rsid w:val="4952933E"/>
    <w:rsid w:val="4987A1C6"/>
    <w:rsid w:val="49A2D9A4"/>
    <w:rsid w:val="49B77566"/>
    <w:rsid w:val="4A1601FB"/>
    <w:rsid w:val="4A24D128"/>
    <w:rsid w:val="4A54BF24"/>
    <w:rsid w:val="4A8C0ABF"/>
    <w:rsid w:val="4AC40EFE"/>
    <w:rsid w:val="4AE6EA40"/>
    <w:rsid w:val="4B036854"/>
    <w:rsid w:val="4B10E64E"/>
    <w:rsid w:val="4B48C314"/>
    <w:rsid w:val="4B5C5AA4"/>
    <w:rsid w:val="4C2DE10B"/>
    <w:rsid w:val="4C363016"/>
    <w:rsid w:val="4C59D31A"/>
    <w:rsid w:val="4CA3C29F"/>
    <w:rsid w:val="4CCA0BB2"/>
    <w:rsid w:val="4CDADD82"/>
    <w:rsid w:val="4CEF727D"/>
    <w:rsid w:val="4D029BFC"/>
    <w:rsid w:val="4D0F8940"/>
    <w:rsid w:val="4DCBC28F"/>
    <w:rsid w:val="4E0754E9"/>
    <w:rsid w:val="4E210531"/>
    <w:rsid w:val="4E222683"/>
    <w:rsid w:val="4E4EA27C"/>
    <w:rsid w:val="4E651047"/>
    <w:rsid w:val="4E9E3331"/>
    <w:rsid w:val="4EBA7AF0"/>
    <w:rsid w:val="4EE17C5D"/>
    <w:rsid w:val="4FBFC78C"/>
    <w:rsid w:val="50029E36"/>
    <w:rsid w:val="5064CDC1"/>
    <w:rsid w:val="50A3E395"/>
    <w:rsid w:val="50EB56F6"/>
    <w:rsid w:val="50F57133"/>
    <w:rsid w:val="51209255"/>
    <w:rsid w:val="51450355"/>
    <w:rsid w:val="515F1638"/>
    <w:rsid w:val="51899266"/>
    <w:rsid w:val="519556F8"/>
    <w:rsid w:val="51B4C785"/>
    <w:rsid w:val="51EF4C73"/>
    <w:rsid w:val="5272F24B"/>
    <w:rsid w:val="52C5FF9E"/>
    <w:rsid w:val="52C74E68"/>
    <w:rsid w:val="53460824"/>
    <w:rsid w:val="537CD600"/>
    <w:rsid w:val="5386F1E0"/>
    <w:rsid w:val="53B25FA2"/>
    <w:rsid w:val="53E12CF5"/>
    <w:rsid w:val="5402AC1E"/>
    <w:rsid w:val="540D4700"/>
    <w:rsid w:val="5437F4ED"/>
    <w:rsid w:val="54513999"/>
    <w:rsid w:val="54834EB1"/>
    <w:rsid w:val="54DB7E0F"/>
    <w:rsid w:val="552BB9E8"/>
    <w:rsid w:val="552F1AC3"/>
    <w:rsid w:val="5547E2EA"/>
    <w:rsid w:val="55A2D97B"/>
    <w:rsid w:val="55C8C45B"/>
    <w:rsid w:val="55E3736E"/>
    <w:rsid w:val="55F8ED5E"/>
    <w:rsid w:val="5605E374"/>
    <w:rsid w:val="56216ED2"/>
    <w:rsid w:val="56450400"/>
    <w:rsid w:val="5653C7C5"/>
    <w:rsid w:val="56736443"/>
    <w:rsid w:val="5674B132"/>
    <w:rsid w:val="56901CB9"/>
    <w:rsid w:val="569E91DC"/>
    <w:rsid w:val="56CA9767"/>
    <w:rsid w:val="56EADF6C"/>
    <w:rsid w:val="56F4D262"/>
    <w:rsid w:val="570C23F4"/>
    <w:rsid w:val="573AE704"/>
    <w:rsid w:val="576AB74F"/>
    <w:rsid w:val="583C93E4"/>
    <w:rsid w:val="58899E6E"/>
    <w:rsid w:val="5891F3B2"/>
    <w:rsid w:val="589A98BA"/>
    <w:rsid w:val="58ADA95A"/>
    <w:rsid w:val="58BDE3D9"/>
    <w:rsid w:val="59316A42"/>
    <w:rsid w:val="596A67BC"/>
    <w:rsid w:val="5973AA17"/>
    <w:rsid w:val="59937E05"/>
    <w:rsid w:val="59C37663"/>
    <w:rsid w:val="59EEE548"/>
    <w:rsid w:val="5A1F2588"/>
    <w:rsid w:val="5A705636"/>
    <w:rsid w:val="5A87E652"/>
    <w:rsid w:val="5ADF560C"/>
    <w:rsid w:val="5B0ABDAC"/>
    <w:rsid w:val="5B2A00E6"/>
    <w:rsid w:val="5BD200A4"/>
    <w:rsid w:val="5BD45B1C"/>
    <w:rsid w:val="5BF946E5"/>
    <w:rsid w:val="5C0EFF4B"/>
    <w:rsid w:val="5C3895B8"/>
    <w:rsid w:val="5CA807C9"/>
    <w:rsid w:val="5CEBE131"/>
    <w:rsid w:val="5D1062D4"/>
    <w:rsid w:val="5D352F84"/>
    <w:rsid w:val="5D599174"/>
    <w:rsid w:val="5D668A4C"/>
    <w:rsid w:val="5D9EE55E"/>
    <w:rsid w:val="5DD5A327"/>
    <w:rsid w:val="5E437656"/>
    <w:rsid w:val="5E702E9F"/>
    <w:rsid w:val="5E718D89"/>
    <w:rsid w:val="5EA4D93B"/>
    <w:rsid w:val="5EE7C38F"/>
    <w:rsid w:val="5EF0C7FF"/>
    <w:rsid w:val="5EFF8A38"/>
    <w:rsid w:val="5F2F5E91"/>
    <w:rsid w:val="5F336F06"/>
    <w:rsid w:val="5F34AE96"/>
    <w:rsid w:val="5F3C8E12"/>
    <w:rsid w:val="5F460BE5"/>
    <w:rsid w:val="5F90B327"/>
    <w:rsid w:val="5F9FDC11"/>
    <w:rsid w:val="5FC1DE2B"/>
    <w:rsid w:val="5FC50134"/>
    <w:rsid w:val="5FD5B023"/>
    <w:rsid w:val="5FDC3DF4"/>
    <w:rsid w:val="5FF8DC08"/>
    <w:rsid w:val="6004151E"/>
    <w:rsid w:val="600FFF40"/>
    <w:rsid w:val="6026408C"/>
    <w:rsid w:val="60318797"/>
    <w:rsid w:val="603921B8"/>
    <w:rsid w:val="60668C22"/>
    <w:rsid w:val="60A0C789"/>
    <w:rsid w:val="60FB2AEB"/>
    <w:rsid w:val="6119871B"/>
    <w:rsid w:val="612DE0CA"/>
    <w:rsid w:val="619DB206"/>
    <w:rsid w:val="61A0F13A"/>
    <w:rsid w:val="620EBE7F"/>
    <w:rsid w:val="6278EDED"/>
    <w:rsid w:val="62B2E1B2"/>
    <w:rsid w:val="62B95E23"/>
    <w:rsid w:val="6337F01C"/>
    <w:rsid w:val="63794C5E"/>
    <w:rsid w:val="63AA7965"/>
    <w:rsid w:val="63B7D8EA"/>
    <w:rsid w:val="6416C35A"/>
    <w:rsid w:val="64493A57"/>
    <w:rsid w:val="645EAA6D"/>
    <w:rsid w:val="6490E4F5"/>
    <w:rsid w:val="64E371B9"/>
    <w:rsid w:val="64EBAE22"/>
    <w:rsid w:val="64FCD24D"/>
    <w:rsid w:val="650D79CA"/>
    <w:rsid w:val="65835F7E"/>
    <w:rsid w:val="6586CBE2"/>
    <w:rsid w:val="65CCB647"/>
    <w:rsid w:val="65D0B5FB"/>
    <w:rsid w:val="65D6692A"/>
    <w:rsid w:val="661B9EB9"/>
    <w:rsid w:val="6626291A"/>
    <w:rsid w:val="6678DE62"/>
    <w:rsid w:val="668BF308"/>
    <w:rsid w:val="66A9108B"/>
    <w:rsid w:val="66ACA6B1"/>
    <w:rsid w:val="66D8CDAB"/>
    <w:rsid w:val="66EF81B5"/>
    <w:rsid w:val="6743A38E"/>
    <w:rsid w:val="674B5A1F"/>
    <w:rsid w:val="679F05BB"/>
    <w:rsid w:val="67E3257F"/>
    <w:rsid w:val="6811C2C6"/>
    <w:rsid w:val="681DFB1F"/>
    <w:rsid w:val="6862B7DB"/>
    <w:rsid w:val="689CEA5E"/>
    <w:rsid w:val="68B42620"/>
    <w:rsid w:val="69160341"/>
    <w:rsid w:val="693D1A27"/>
    <w:rsid w:val="693D3F15"/>
    <w:rsid w:val="69486819"/>
    <w:rsid w:val="695C502C"/>
    <w:rsid w:val="697A9EA4"/>
    <w:rsid w:val="698F2649"/>
    <w:rsid w:val="699B859F"/>
    <w:rsid w:val="69E5EE02"/>
    <w:rsid w:val="69F3948B"/>
    <w:rsid w:val="6A2E59B6"/>
    <w:rsid w:val="6A7FA5F2"/>
    <w:rsid w:val="6AB562A8"/>
    <w:rsid w:val="6AC3743A"/>
    <w:rsid w:val="6AEC8E41"/>
    <w:rsid w:val="6AF60048"/>
    <w:rsid w:val="6B02D09A"/>
    <w:rsid w:val="6B1FB04C"/>
    <w:rsid w:val="6B29A372"/>
    <w:rsid w:val="6B553AAA"/>
    <w:rsid w:val="6B95B9EE"/>
    <w:rsid w:val="6BA0964C"/>
    <w:rsid w:val="6BA46A5C"/>
    <w:rsid w:val="6BB42C54"/>
    <w:rsid w:val="6BC7532A"/>
    <w:rsid w:val="6C0C6A57"/>
    <w:rsid w:val="6C607FD3"/>
    <w:rsid w:val="6C7FE3DF"/>
    <w:rsid w:val="6CA68B25"/>
    <w:rsid w:val="6CA7F111"/>
    <w:rsid w:val="6CBBDBF5"/>
    <w:rsid w:val="6CD07990"/>
    <w:rsid w:val="6CEDC221"/>
    <w:rsid w:val="6CEF57E4"/>
    <w:rsid w:val="6CFC133F"/>
    <w:rsid w:val="6D06B24E"/>
    <w:rsid w:val="6D098646"/>
    <w:rsid w:val="6D36D458"/>
    <w:rsid w:val="6D37775C"/>
    <w:rsid w:val="6D54035C"/>
    <w:rsid w:val="6D79209F"/>
    <w:rsid w:val="6D944066"/>
    <w:rsid w:val="6DA5BC6F"/>
    <w:rsid w:val="6E061636"/>
    <w:rsid w:val="6E21D611"/>
    <w:rsid w:val="6E3388AF"/>
    <w:rsid w:val="6E3F4D83"/>
    <w:rsid w:val="6E78D8BD"/>
    <w:rsid w:val="6EBA69FC"/>
    <w:rsid w:val="6F1B8638"/>
    <w:rsid w:val="6F2F9515"/>
    <w:rsid w:val="6F68723D"/>
    <w:rsid w:val="6F82D599"/>
    <w:rsid w:val="6FBF1538"/>
    <w:rsid w:val="6FE070D4"/>
    <w:rsid w:val="7035EBDF"/>
    <w:rsid w:val="7036D944"/>
    <w:rsid w:val="70440065"/>
    <w:rsid w:val="706E751A"/>
    <w:rsid w:val="70AF8C42"/>
    <w:rsid w:val="70B54BA4"/>
    <w:rsid w:val="70C835C2"/>
    <w:rsid w:val="70D86CDD"/>
    <w:rsid w:val="70EC7C76"/>
    <w:rsid w:val="7123A524"/>
    <w:rsid w:val="7164EDDD"/>
    <w:rsid w:val="71A0AA3F"/>
    <w:rsid w:val="71BF0B70"/>
    <w:rsid w:val="720A457B"/>
    <w:rsid w:val="721FB074"/>
    <w:rsid w:val="72716F35"/>
    <w:rsid w:val="728C34FE"/>
    <w:rsid w:val="729BA2CB"/>
    <w:rsid w:val="72F395F5"/>
    <w:rsid w:val="72FD62CF"/>
    <w:rsid w:val="734A7453"/>
    <w:rsid w:val="73823506"/>
    <w:rsid w:val="73BF3E39"/>
    <w:rsid w:val="73CFD39C"/>
    <w:rsid w:val="73F7445F"/>
    <w:rsid w:val="740637FE"/>
    <w:rsid w:val="74101E86"/>
    <w:rsid w:val="743D6CFD"/>
    <w:rsid w:val="745F5E21"/>
    <w:rsid w:val="74908A83"/>
    <w:rsid w:val="74924DD3"/>
    <w:rsid w:val="74EAC432"/>
    <w:rsid w:val="7502D0AD"/>
    <w:rsid w:val="750ACB32"/>
    <w:rsid w:val="753C121F"/>
    <w:rsid w:val="75579959"/>
    <w:rsid w:val="756AE802"/>
    <w:rsid w:val="7574BAD1"/>
    <w:rsid w:val="75A317E7"/>
    <w:rsid w:val="75A7566C"/>
    <w:rsid w:val="75FDE8B3"/>
    <w:rsid w:val="7622E6BD"/>
    <w:rsid w:val="7623448B"/>
    <w:rsid w:val="763E52C3"/>
    <w:rsid w:val="7649E0AD"/>
    <w:rsid w:val="76D4AD1E"/>
    <w:rsid w:val="770D01F6"/>
    <w:rsid w:val="774A30CB"/>
    <w:rsid w:val="778A00B6"/>
    <w:rsid w:val="779EEC69"/>
    <w:rsid w:val="77B85134"/>
    <w:rsid w:val="77D37676"/>
    <w:rsid w:val="77FE0F5F"/>
    <w:rsid w:val="7861AD75"/>
    <w:rsid w:val="787642E8"/>
    <w:rsid w:val="789C92E9"/>
    <w:rsid w:val="78BD8A9D"/>
    <w:rsid w:val="78EC3F4D"/>
    <w:rsid w:val="78F53724"/>
    <w:rsid w:val="791473D7"/>
    <w:rsid w:val="794FA370"/>
    <w:rsid w:val="79542195"/>
    <w:rsid w:val="7972FF7F"/>
    <w:rsid w:val="79858772"/>
    <w:rsid w:val="79DAF4F4"/>
    <w:rsid w:val="79FBF54E"/>
    <w:rsid w:val="7A0D047E"/>
    <w:rsid w:val="7A12A753"/>
    <w:rsid w:val="7A435EEE"/>
    <w:rsid w:val="7A457425"/>
    <w:rsid w:val="7A4811DD"/>
    <w:rsid w:val="7A86E850"/>
    <w:rsid w:val="7A87554D"/>
    <w:rsid w:val="7ABE4F73"/>
    <w:rsid w:val="7ACDA871"/>
    <w:rsid w:val="7AD68D2B"/>
    <w:rsid w:val="7AE9973B"/>
    <w:rsid w:val="7AEB31C0"/>
    <w:rsid w:val="7AFAB6E2"/>
    <w:rsid w:val="7AFC3377"/>
    <w:rsid w:val="7B0D9054"/>
    <w:rsid w:val="7B20D649"/>
    <w:rsid w:val="7B6656C6"/>
    <w:rsid w:val="7B8B9139"/>
    <w:rsid w:val="7BBE7F9A"/>
    <w:rsid w:val="7C20AB64"/>
    <w:rsid w:val="7C2F9EE3"/>
    <w:rsid w:val="7CC3104A"/>
    <w:rsid w:val="7D2B9D7B"/>
    <w:rsid w:val="7D37D69E"/>
    <w:rsid w:val="7D7CB90A"/>
    <w:rsid w:val="7D9F4EFA"/>
    <w:rsid w:val="7DB2DFBC"/>
    <w:rsid w:val="7DB7E41B"/>
    <w:rsid w:val="7DC707D7"/>
    <w:rsid w:val="7DDDD5AB"/>
    <w:rsid w:val="7E6B7657"/>
    <w:rsid w:val="7E7A3041"/>
    <w:rsid w:val="7EDBC56E"/>
    <w:rsid w:val="7F64518C"/>
    <w:rsid w:val="7F7E1764"/>
    <w:rsid w:val="7FA0D5EC"/>
    <w:rsid w:val="7FBE0644"/>
    <w:rsid w:val="7FC26E71"/>
    <w:rsid w:val="7FE74AD1"/>
    <w:rsid w:val="7FEC151B"/>
    <w:rsid w:val="7FECBA0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center;mso-position-horizontal-relative:margin;mso-position-vertical:center;mso-position-vertical-relative:margin" o:allowincell="f" fillcolor="silver" stroke="f">
      <v:fill color="silver" opacity=".5"/>
      <v:stroke on="f"/>
    </o:shapedefaults>
    <o:shapelayout v:ext="edit">
      <o:idmap v:ext="edit" data="2"/>
    </o:shapelayout>
  </w:shapeDefaults>
  <w:decimalSymbol w:val="."/>
  <w:listSeparator w:val=","/>
  <w14:docId w14:val="0B7335A3"/>
  <w15:docId w15:val="{E0C4F828-B7E0-48DC-A4B9-5D572A6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lsdException w:name="annotation text" w:semiHidden="1" w:unhideWhenUsed="1"/>
    <w:lsdException w:name="header" w:semiHidden="1" w:uiPriority="0" w:unhideWhenUsed="1"/>
    <w:lsdException w:name="footer" w:semiHidden="1" w:uiPriority="10" w:unhideWhenUsed="1"/>
    <w:lsdException w:name="index heading" w:semiHidden="1" w:unhideWhenUsed="1"/>
    <w:lsdException w:name="caption" w:semiHidden="1" w:uiPriority="7"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1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55"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E03CB9"/>
    <w:pPr>
      <w:spacing w:after="120" w:line="280" w:lineRule="atLeast"/>
    </w:pPr>
    <w:rPr>
      <w:rFonts w:ascii="Calibri" w:hAnsi="Calibri"/>
    </w:rPr>
  </w:style>
  <w:style w:type="paragraph" w:styleId="Heading1">
    <w:name w:val="heading 1"/>
    <w:basedOn w:val="Normal"/>
    <w:next w:val="USBodyText"/>
    <w:link w:val="Heading1Char"/>
    <w:uiPriority w:val="9"/>
    <w:qFormat/>
    <w:rsid w:val="00087449"/>
    <w:pPr>
      <w:keepNext/>
      <w:keepLines/>
      <w:numPr>
        <w:numId w:val="9"/>
      </w:numPr>
      <w:pBdr>
        <w:bottom w:val="single" w:sz="12" w:space="4" w:color="0094C5"/>
      </w:pBdr>
      <w:spacing w:before="480" w:after="360" w:line="380" w:lineRule="atLeast"/>
      <w:outlineLvl w:val="0"/>
    </w:pPr>
    <w:rPr>
      <w:rFonts w:eastAsiaTheme="majorEastAsia" w:cstheme="majorBidi"/>
      <w:b/>
      <w:color w:val="0094C5"/>
      <w:sz w:val="32"/>
      <w:szCs w:val="32"/>
    </w:rPr>
  </w:style>
  <w:style w:type="paragraph" w:styleId="Heading2">
    <w:name w:val="heading 2"/>
    <w:basedOn w:val="Normal"/>
    <w:next w:val="USBodyText"/>
    <w:link w:val="Heading2Char"/>
    <w:uiPriority w:val="12"/>
    <w:qFormat/>
    <w:rsid w:val="00087449"/>
    <w:pPr>
      <w:keepNext/>
      <w:keepLines/>
      <w:numPr>
        <w:ilvl w:val="1"/>
        <w:numId w:val="9"/>
      </w:numPr>
      <w:spacing w:before="360" w:after="80" w:line="320" w:lineRule="atLeast"/>
      <w:outlineLvl w:val="1"/>
    </w:pPr>
    <w:rPr>
      <w:rFonts w:eastAsiaTheme="majorEastAsia" w:cstheme="majorBidi"/>
      <w:b/>
      <w:color w:val="0094C5" w:themeColor="accent1"/>
      <w:sz w:val="26"/>
      <w:szCs w:val="26"/>
    </w:rPr>
  </w:style>
  <w:style w:type="paragraph" w:styleId="Heading3">
    <w:name w:val="heading 3"/>
    <w:basedOn w:val="Normal"/>
    <w:next w:val="USBodyText"/>
    <w:link w:val="Heading3Char"/>
    <w:uiPriority w:val="12"/>
    <w:qFormat/>
    <w:rsid w:val="00087449"/>
    <w:pPr>
      <w:keepNext/>
      <w:keepLines/>
      <w:numPr>
        <w:ilvl w:val="2"/>
        <w:numId w:val="9"/>
      </w:numPr>
      <w:spacing w:before="260" w:line="300" w:lineRule="atLeast"/>
      <w:outlineLvl w:val="2"/>
    </w:pPr>
    <w:rPr>
      <w:rFonts w:eastAsiaTheme="majorEastAsia" w:cstheme="majorBidi"/>
      <w:b/>
      <w:color w:val="0094C5" w:themeColor="accent1"/>
      <w:sz w:val="24"/>
      <w:szCs w:val="24"/>
    </w:rPr>
  </w:style>
  <w:style w:type="paragraph" w:styleId="Heading4">
    <w:name w:val="heading 4"/>
    <w:basedOn w:val="Normal"/>
    <w:next w:val="USBodyText"/>
    <w:link w:val="Heading4Char"/>
    <w:uiPriority w:val="12"/>
    <w:qFormat/>
    <w:rsid w:val="007B14FD"/>
    <w:pPr>
      <w:keepNext/>
      <w:keepLines/>
      <w:spacing w:before="200" w:after="40" w:line="300" w:lineRule="atLeast"/>
      <w:ind w:left="851"/>
      <w:outlineLvl w:val="3"/>
    </w:pPr>
    <w:rPr>
      <w:rFonts w:eastAsiaTheme="majorEastAsia" w:cstheme="majorBidi"/>
      <w:b/>
      <w:iCs/>
      <w:color w:val="0094C5" w:themeColor="accent1"/>
      <w:sz w:val="24"/>
    </w:rPr>
  </w:style>
  <w:style w:type="paragraph" w:styleId="Heading5">
    <w:name w:val="heading 5"/>
    <w:basedOn w:val="Normal"/>
    <w:next w:val="USBodyText"/>
    <w:link w:val="Heading5Char"/>
    <w:uiPriority w:val="12"/>
    <w:qFormat/>
    <w:rsid w:val="007B14FD"/>
    <w:pPr>
      <w:keepNext/>
      <w:keepLines/>
      <w:spacing w:before="160" w:after="0" w:line="300" w:lineRule="atLeast"/>
      <w:ind w:left="851"/>
      <w:outlineLvl w:val="4"/>
    </w:pPr>
    <w:rPr>
      <w:rFonts w:eastAsiaTheme="majorEastAsia" w:cstheme="majorBidi"/>
      <w:b/>
      <w:color w:val="30353F"/>
    </w:rPr>
  </w:style>
  <w:style w:type="paragraph" w:styleId="Heading6">
    <w:name w:val="heading 6"/>
    <w:basedOn w:val="Normal"/>
    <w:next w:val="Normal"/>
    <w:link w:val="Heading6Char"/>
    <w:uiPriority w:val="12"/>
    <w:semiHidden/>
    <w:qFormat/>
    <w:rsid w:val="000A425B"/>
    <w:pPr>
      <w:keepNext/>
      <w:keepLines/>
      <w:spacing w:before="40" w:after="0"/>
      <w:outlineLvl w:val="5"/>
    </w:pPr>
    <w:rPr>
      <w:rFonts w:asciiTheme="majorHAnsi" w:eastAsiaTheme="majorEastAsia" w:hAnsiTheme="majorHAnsi" w:cstheme="majorBidi"/>
      <w:color w:val="004962" w:themeColor="accent1" w:themeShade="7F"/>
    </w:rPr>
  </w:style>
  <w:style w:type="paragraph" w:styleId="Heading7">
    <w:name w:val="heading 7"/>
    <w:basedOn w:val="Normal"/>
    <w:next w:val="Normal"/>
    <w:link w:val="Heading7Char"/>
    <w:uiPriority w:val="12"/>
    <w:semiHidden/>
    <w:qFormat/>
    <w:rsid w:val="000A425B"/>
    <w:pPr>
      <w:keepNext/>
      <w:keepLines/>
      <w:spacing w:before="40" w:after="0"/>
      <w:outlineLvl w:val="6"/>
    </w:pPr>
    <w:rPr>
      <w:rFonts w:asciiTheme="majorHAnsi" w:eastAsiaTheme="majorEastAsia" w:hAnsiTheme="majorHAnsi" w:cstheme="majorBidi"/>
      <w:i/>
      <w:iCs/>
      <w:color w:val="004962" w:themeColor="accent1" w:themeShade="7F"/>
    </w:rPr>
  </w:style>
  <w:style w:type="paragraph" w:styleId="Heading8">
    <w:name w:val="heading 8"/>
    <w:basedOn w:val="Normal"/>
    <w:next w:val="Normal"/>
    <w:link w:val="Heading8Char"/>
    <w:uiPriority w:val="12"/>
    <w:semiHidden/>
    <w:unhideWhenUsed/>
    <w:qFormat/>
    <w:rsid w:val="000A425B"/>
    <w:pPr>
      <w:keepNext/>
      <w:keepLines/>
      <w:spacing w:before="40" w:after="0"/>
      <w:outlineLvl w:val="7"/>
    </w:pPr>
    <w:rPr>
      <w:rFonts w:asciiTheme="majorHAnsi" w:eastAsiaTheme="majorEastAsia" w:hAnsiTheme="majorHAnsi" w:cstheme="majorBidi"/>
      <w:color w:val="4A5261" w:themeColor="text1" w:themeTint="D8"/>
      <w:sz w:val="21"/>
      <w:szCs w:val="21"/>
    </w:rPr>
  </w:style>
  <w:style w:type="paragraph" w:styleId="Heading9">
    <w:name w:val="heading 9"/>
    <w:basedOn w:val="Normal"/>
    <w:next w:val="Normal"/>
    <w:link w:val="Heading9Char"/>
    <w:uiPriority w:val="12"/>
    <w:semiHidden/>
    <w:unhideWhenUsed/>
    <w:qFormat/>
    <w:rsid w:val="000A425B"/>
    <w:pPr>
      <w:keepNext/>
      <w:keepLines/>
      <w:spacing w:before="40" w:after="0"/>
      <w:outlineLvl w:val="8"/>
    </w:pPr>
    <w:rPr>
      <w:rFonts w:asciiTheme="majorHAnsi" w:eastAsiaTheme="majorEastAsia" w:hAnsiTheme="majorHAnsi" w:cstheme="majorBidi"/>
      <w:i/>
      <w:iCs/>
      <w:color w:val="4A52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USBodyText"/>
    <w:link w:val="HeaderChar"/>
    <w:semiHidden/>
    <w:rsid w:val="00423754"/>
    <w:pPr>
      <w:spacing w:after="0" w:line="240" w:lineRule="auto"/>
      <w:ind w:left="0"/>
      <w:jc w:val="right"/>
    </w:pPr>
  </w:style>
  <w:style w:type="character" w:customStyle="1" w:styleId="HeaderChar">
    <w:name w:val="Header Char"/>
    <w:basedOn w:val="DefaultParagraphFont"/>
    <w:link w:val="Header"/>
    <w:semiHidden/>
    <w:rsid w:val="00767A30"/>
    <w:rPr>
      <w:rFonts w:ascii="Calibri" w:hAnsi="Calibri"/>
    </w:rPr>
  </w:style>
  <w:style w:type="paragraph" w:styleId="Footer">
    <w:name w:val="footer"/>
    <w:basedOn w:val="Normal"/>
    <w:link w:val="FooterChar"/>
    <w:uiPriority w:val="47"/>
    <w:rsid w:val="00C84B04"/>
    <w:pPr>
      <w:spacing w:after="0" w:line="240" w:lineRule="auto"/>
      <w:jc w:val="right"/>
    </w:pPr>
    <w:rPr>
      <w:color w:val="595959"/>
      <w:sz w:val="20"/>
    </w:rPr>
  </w:style>
  <w:style w:type="character" w:customStyle="1" w:styleId="FooterChar">
    <w:name w:val="Footer Char"/>
    <w:basedOn w:val="DefaultParagraphFont"/>
    <w:link w:val="Footer"/>
    <w:uiPriority w:val="47"/>
    <w:rsid w:val="005B31F9"/>
    <w:rPr>
      <w:rFonts w:ascii="Calibri" w:hAnsi="Calibri"/>
      <w:color w:val="595959"/>
      <w:sz w:val="20"/>
    </w:rPr>
  </w:style>
  <w:style w:type="table" w:styleId="TableGrid">
    <w:name w:val="Table Grid"/>
    <w:basedOn w:val="TableNormal"/>
    <w:rsid w:val="00916CFA"/>
    <w:pPr>
      <w:spacing w:after="0" w:line="240" w:lineRule="auto"/>
    </w:p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BB4E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C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C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C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C5" w:themeFill="accent1"/>
      </w:tcPr>
    </w:tblStylePr>
    <w:tblStylePr w:type="band1Vert">
      <w:tblPr/>
      <w:tcPr>
        <w:shd w:val="clear" w:color="auto" w:fill="81DFFF" w:themeFill="accent1" w:themeFillTint="66"/>
      </w:tcPr>
    </w:tblStylePr>
    <w:tblStylePr w:type="band1Horz">
      <w:tblPr/>
      <w:tcPr>
        <w:shd w:val="clear" w:color="auto" w:fill="81DFFF" w:themeFill="accent1" w:themeFillTint="66"/>
      </w:tcPr>
    </w:tblStylePr>
  </w:style>
  <w:style w:type="character" w:customStyle="1" w:styleId="Heading1Char">
    <w:name w:val="Heading 1 Char"/>
    <w:basedOn w:val="DefaultParagraphFont"/>
    <w:link w:val="Heading1"/>
    <w:uiPriority w:val="9"/>
    <w:rsid w:val="006D0BF3"/>
    <w:rPr>
      <w:rFonts w:ascii="Calibri" w:eastAsiaTheme="majorEastAsia" w:hAnsi="Calibri" w:cstheme="majorBidi"/>
      <w:b/>
      <w:color w:val="0094C5"/>
      <w:sz w:val="32"/>
      <w:szCs w:val="32"/>
    </w:rPr>
  </w:style>
  <w:style w:type="paragraph" w:customStyle="1" w:styleId="Heading1Letter">
    <w:name w:val="Heading 1 Letter"/>
    <w:basedOn w:val="Normal"/>
    <w:next w:val="USBodyText"/>
    <w:uiPriority w:val="14"/>
    <w:semiHidden/>
    <w:rsid w:val="00DC582A"/>
    <w:pPr>
      <w:keepNext/>
      <w:keepLines/>
      <w:spacing w:before="200" w:after="40" w:line="300" w:lineRule="atLeast"/>
    </w:pPr>
    <w:rPr>
      <w:b/>
      <w:color w:val="0094C5" w:themeColor="accent1"/>
      <w:sz w:val="24"/>
    </w:rPr>
  </w:style>
  <w:style w:type="paragraph" w:customStyle="1" w:styleId="Heading2Letter">
    <w:name w:val="Heading 2 Letter"/>
    <w:basedOn w:val="Normal"/>
    <w:next w:val="USBodyText"/>
    <w:uiPriority w:val="14"/>
    <w:semiHidden/>
    <w:rsid w:val="00DC582A"/>
    <w:pPr>
      <w:keepNext/>
      <w:keepLines/>
      <w:spacing w:before="160" w:after="20" w:line="300" w:lineRule="atLeast"/>
    </w:pPr>
    <w:rPr>
      <w:b/>
      <w:color w:val="30353F"/>
      <w:sz w:val="24"/>
    </w:rPr>
  </w:style>
  <w:style w:type="paragraph" w:customStyle="1" w:styleId="HeadingSubjectLetter">
    <w:name w:val="Heading Subject Letter"/>
    <w:basedOn w:val="Normal"/>
    <w:next w:val="USBodyText"/>
    <w:uiPriority w:val="14"/>
    <w:semiHidden/>
    <w:rsid w:val="00DC582A"/>
    <w:pPr>
      <w:keepNext/>
      <w:keepLines/>
      <w:spacing w:before="160" w:after="80" w:line="320" w:lineRule="atLeast"/>
    </w:pPr>
    <w:rPr>
      <w:b/>
      <w:color w:val="0094C5" w:themeColor="accent1"/>
      <w:sz w:val="26"/>
    </w:rPr>
  </w:style>
  <w:style w:type="character" w:styleId="PlaceholderText">
    <w:name w:val="Placeholder Text"/>
    <w:basedOn w:val="DefaultParagraphFont"/>
    <w:uiPriority w:val="99"/>
    <w:semiHidden/>
    <w:rsid w:val="006D158B"/>
    <w:rPr>
      <w:color w:val="808080"/>
    </w:rPr>
  </w:style>
  <w:style w:type="paragraph" w:customStyle="1" w:styleId="USBodyText">
    <w:name w:val="US Body Text"/>
    <w:basedOn w:val="Normal"/>
    <w:uiPriority w:val="15"/>
    <w:qFormat/>
    <w:rsid w:val="00C351CC"/>
    <w:pPr>
      <w:ind w:left="851"/>
    </w:pPr>
  </w:style>
  <w:style w:type="paragraph" w:customStyle="1" w:styleId="USBullet1">
    <w:name w:val="US Bullet 1"/>
    <w:basedOn w:val="Normal"/>
    <w:uiPriority w:val="16"/>
    <w:qFormat/>
    <w:rsid w:val="006D158B"/>
    <w:pPr>
      <w:numPr>
        <w:numId w:val="1"/>
      </w:numPr>
    </w:pPr>
  </w:style>
  <w:style w:type="paragraph" w:customStyle="1" w:styleId="USBullet2">
    <w:name w:val="US Bullet 2"/>
    <w:basedOn w:val="Normal"/>
    <w:uiPriority w:val="16"/>
    <w:rsid w:val="00D97611"/>
    <w:pPr>
      <w:numPr>
        <w:ilvl w:val="1"/>
        <w:numId w:val="1"/>
      </w:numPr>
    </w:pPr>
  </w:style>
  <w:style w:type="paragraph" w:customStyle="1" w:styleId="USBullet3">
    <w:name w:val="US Bullet 3"/>
    <w:basedOn w:val="Normal"/>
    <w:uiPriority w:val="16"/>
    <w:rsid w:val="006D158B"/>
    <w:pPr>
      <w:numPr>
        <w:ilvl w:val="2"/>
        <w:numId w:val="1"/>
      </w:numPr>
    </w:pPr>
  </w:style>
  <w:style w:type="paragraph" w:customStyle="1" w:styleId="USMixedB2">
    <w:name w:val="US Mixed B2"/>
    <w:basedOn w:val="Normal"/>
    <w:uiPriority w:val="16"/>
    <w:semiHidden/>
    <w:rsid w:val="006D158B"/>
    <w:pPr>
      <w:numPr>
        <w:numId w:val="2"/>
      </w:numPr>
    </w:pPr>
  </w:style>
  <w:style w:type="paragraph" w:customStyle="1" w:styleId="USMixedB3">
    <w:name w:val="US Mixed B3"/>
    <w:basedOn w:val="Normal"/>
    <w:uiPriority w:val="16"/>
    <w:semiHidden/>
    <w:rsid w:val="006D158B"/>
    <w:pPr>
      <w:numPr>
        <w:ilvl w:val="1"/>
        <w:numId w:val="2"/>
      </w:numPr>
    </w:pPr>
  </w:style>
  <w:style w:type="paragraph" w:customStyle="1" w:styleId="USNumber1">
    <w:name w:val="US Number 1"/>
    <w:basedOn w:val="Normal"/>
    <w:uiPriority w:val="16"/>
    <w:qFormat/>
    <w:rsid w:val="006D158B"/>
    <w:pPr>
      <w:numPr>
        <w:numId w:val="3"/>
      </w:numPr>
    </w:pPr>
  </w:style>
  <w:style w:type="paragraph" w:customStyle="1" w:styleId="USNumbera">
    <w:name w:val="US Number a"/>
    <w:basedOn w:val="Normal"/>
    <w:uiPriority w:val="16"/>
    <w:rsid w:val="006D158B"/>
    <w:pPr>
      <w:numPr>
        <w:ilvl w:val="1"/>
        <w:numId w:val="3"/>
      </w:numPr>
    </w:pPr>
  </w:style>
  <w:style w:type="paragraph" w:customStyle="1" w:styleId="USNumberi">
    <w:name w:val="US Number i"/>
    <w:basedOn w:val="Normal"/>
    <w:uiPriority w:val="16"/>
    <w:rsid w:val="006D158B"/>
    <w:pPr>
      <w:numPr>
        <w:ilvl w:val="2"/>
        <w:numId w:val="3"/>
      </w:numPr>
    </w:pPr>
  </w:style>
  <w:style w:type="paragraph" w:customStyle="1" w:styleId="USIndent1">
    <w:name w:val="US Indent 1"/>
    <w:basedOn w:val="Normal"/>
    <w:uiPriority w:val="17"/>
    <w:qFormat/>
    <w:rsid w:val="00C7648A"/>
    <w:pPr>
      <w:ind w:left="1276"/>
    </w:pPr>
  </w:style>
  <w:style w:type="paragraph" w:customStyle="1" w:styleId="USIndent2">
    <w:name w:val="US Indent 2"/>
    <w:basedOn w:val="Normal"/>
    <w:uiPriority w:val="17"/>
    <w:rsid w:val="00273D60"/>
    <w:pPr>
      <w:ind w:left="1701"/>
    </w:pPr>
  </w:style>
  <w:style w:type="paragraph" w:customStyle="1" w:styleId="USIndent3">
    <w:name w:val="US Indent 3"/>
    <w:basedOn w:val="Normal"/>
    <w:uiPriority w:val="17"/>
    <w:rsid w:val="00273D60"/>
    <w:pPr>
      <w:ind w:left="2126"/>
    </w:pPr>
  </w:style>
  <w:style w:type="paragraph" w:customStyle="1" w:styleId="Quotation">
    <w:name w:val="Quotation"/>
    <w:basedOn w:val="Normal"/>
    <w:uiPriority w:val="18"/>
    <w:rsid w:val="008B544F"/>
    <w:pPr>
      <w:spacing w:before="120"/>
      <w:ind w:left="1276" w:right="425"/>
    </w:pPr>
    <w:rPr>
      <w:i/>
      <w:color w:val="30353F"/>
    </w:rPr>
  </w:style>
  <w:style w:type="character" w:customStyle="1" w:styleId="Heading2Char">
    <w:name w:val="Heading 2 Char"/>
    <w:basedOn w:val="DefaultParagraphFont"/>
    <w:link w:val="Heading2"/>
    <w:uiPriority w:val="12"/>
    <w:rsid w:val="006D0BF3"/>
    <w:rPr>
      <w:rFonts w:ascii="Calibri" w:eastAsiaTheme="majorEastAsia" w:hAnsi="Calibri" w:cstheme="majorBidi"/>
      <w:b/>
      <w:color w:val="0094C5" w:themeColor="accent1"/>
      <w:sz w:val="26"/>
      <w:szCs w:val="26"/>
    </w:rPr>
  </w:style>
  <w:style w:type="paragraph" w:customStyle="1" w:styleId="USSingleSpacedParagraph">
    <w:name w:val="US Single Spaced Paragraph"/>
    <w:basedOn w:val="USBodyText"/>
    <w:uiPriority w:val="15"/>
    <w:rsid w:val="00273D60"/>
    <w:pPr>
      <w:spacing w:after="0"/>
    </w:pPr>
  </w:style>
  <w:style w:type="character" w:customStyle="1" w:styleId="Heading3Char">
    <w:name w:val="Heading 3 Char"/>
    <w:basedOn w:val="DefaultParagraphFont"/>
    <w:link w:val="Heading3"/>
    <w:uiPriority w:val="12"/>
    <w:rsid w:val="006D0BF3"/>
    <w:rPr>
      <w:rFonts w:ascii="Calibri" w:eastAsiaTheme="majorEastAsia" w:hAnsi="Calibri" w:cstheme="majorBidi"/>
      <w:b/>
      <w:color w:val="0094C5" w:themeColor="accent1"/>
      <w:sz w:val="24"/>
      <w:szCs w:val="24"/>
    </w:rPr>
  </w:style>
  <w:style w:type="character" w:customStyle="1" w:styleId="Heading4Char">
    <w:name w:val="Heading 4 Char"/>
    <w:basedOn w:val="DefaultParagraphFont"/>
    <w:link w:val="Heading4"/>
    <w:uiPriority w:val="12"/>
    <w:rsid w:val="007B14FD"/>
    <w:rPr>
      <w:rFonts w:ascii="Calibri" w:eastAsiaTheme="majorEastAsia" w:hAnsi="Calibri" w:cstheme="majorBidi"/>
      <w:b/>
      <w:iCs/>
      <w:color w:val="0094C5" w:themeColor="accent1"/>
      <w:sz w:val="24"/>
    </w:rPr>
  </w:style>
  <w:style w:type="character" w:customStyle="1" w:styleId="Heading5Char">
    <w:name w:val="Heading 5 Char"/>
    <w:basedOn w:val="DefaultParagraphFont"/>
    <w:link w:val="Heading5"/>
    <w:uiPriority w:val="12"/>
    <w:rsid w:val="007B14FD"/>
    <w:rPr>
      <w:rFonts w:ascii="Calibri" w:eastAsiaTheme="majorEastAsia" w:hAnsi="Calibri" w:cstheme="majorBidi"/>
      <w:b/>
      <w:color w:val="30353F"/>
    </w:rPr>
  </w:style>
  <w:style w:type="paragraph" w:styleId="FootnoteText">
    <w:name w:val="footnote text"/>
    <w:basedOn w:val="Normal"/>
    <w:link w:val="FootnoteTextChar"/>
    <w:uiPriority w:val="40"/>
    <w:rsid w:val="00534AC9"/>
    <w:pPr>
      <w:tabs>
        <w:tab w:val="left" w:pos="425"/>
      </w:tabs>
      <w:spacing w:after="57" w:line="170" w:lineRule="atLeast"/>
      <w:ind w:left="425" w:hanging="425"/>
    </w:pPr>
    <w:rPr>
      <w:sz w:val="16"/>
      <w:szCs w:val="20"/>
    </w:rPr>
  </w:style>
  <w:style w:type="character" w:customStyle="1" w:styleId="FootnoteTextChar">
    <w:name w:val="Footnote Text Char"/>
    <w:basedOn w:val="DefaultParagraphFont"/>
    <w:link w:val="FootnoteText"/>
    <w:uiPriority w:val="40"/>
    <w:rsid w:val="006D0BF3"/>
    <w:rPr>
      <w:rFonts w:ascii="Calibri" w:hAnsi="Calibri"/>
      <w:sz w:val="16"/>
      <w:szCs w:val="20"/>
    </w:rPr>
  </w:style>
  <w:style w:type="character" w:styleId="FootnoteReference">
    <w:name w:val="footnote reference"/>
    <w:basedOn w:val="DefaultParagraphFont"/>
    <w:uiPriority w:val="99"/>
    <w:unhideWhenUsed/>
    <w:rsid w:val="00834343"/>
    <w:rPr>
      <w:vertAlign w:val="superscript"/>
    </w:rPr>
  </w:style>
  <w:style w:type="table" w:customStyle="1" w:styleId="TableDefault">
    <w:name w:val="Table Default"/>
    <w:basedOn w:val="TableNormal"/>
    <w:uiPriority w:val="99"/>
    <w:rsid w:val="00F40CA2"/>
    <w:pPr>
      <w:spacing w:after="0" w:line="240" w:lineRule="auto"/>
    </w:pPr>
    <w:tblPr>
      <w:tblStyleRowBandSize w:val="1"/>
      <w:tblStyleColBandSize w:val="1"/>
      <w:tblInd w:w="851" w:type="dxa"/>
      <w:tblBorders>
        <w:top w:val="single" w:sz="6" w:space="0" w:color="0094C5" w:themeColor="accent1"/>
        <w:bottom w:val="single" w:sz="6" w:space="0" w:color="0094C5" w:themeColor="accent1"/>
        <w:insideH w:val="single" w:sz="6" w:space="0" w:color="0094C5" w:themeColor="accent1"/>
      </w:tblBorders>
    </w:tblPr>
    <w:tblStylePr w:type="firstRow">
      <w:tblPr/>
      <w:trPr>
        <w:tblHeader/>
      </w:trPr>
      <w:tcPr>
        <w:shd w:val="clear" w:color="auto" w:fill="0094C5" w:themeFill="accent1"/>
      </w:tcPr>
    </w:tblStylePr>
    <w:tblStylePr w:type="lastRow">
      <w:tblPr/>
      <w:tcPr>
        <w:tcBorders>
          <w:top w:val="nil"/>
          <w:left w:val="nil"/>
          <w:bottom w:val="single" w:sz="12" w:space="0" w:color="0094C5"/>
          <w:right w:val="nil"/>
          <w:insideH w:val="nil"/>
          <w:insideV w:val="nil"/>
          <w:tl2br w:val="nil"/>
          <w:tr2bl w:val="nil"/>
        </w:tcBorders>
      </w:tcPr>
    </w:tblStylePr>
    <w:tblStylePr w:type="band2Horz">
      <w:tblPr/>
      <w:tcPr>
        <w:shd w:val="clear" w:color="auto" w:fill="EEECF0"/>
      </w:tcPr>
    </w:tblStylePr>
  </w:style>
  <w:style w:type="paragraph" w:styleId="Caption">
    <w:name w:val="caption"/>
    <w:basedOn w:val="Normal"/>
    <w:next w:val="USBodyText"/>
    <w:uiPriority w:val="33"/>
    <w:semiHidden/>
    <w:rsid w:val="00E01501"/>
    <w:pPr>
      <w:keepNext/>
      <w:tabs>
        <w:tab w:val="left" w:pos="851"/>
      </w:tabs>
      <w:spacing w:before="360" w:after="0" w:line="300" w:lineRule="atLeast"/>
      <w:ind w:left="1900" w:hanging="1049"/>
    </w:pPr>
    <w:rPr>
      <w:b/>
      <w:iCs/>
      <w:color w:val="0094C5"/>
      <w:sz w:val="24"/>
      <w:szCs w:val="18"/>
    </w:rPr>
  </w:style>
  <w:style w:type="paragraph" w:customStyle="1" w:styleId="TSTableNormal1">
    <w:name w:val="TS Table Normal1"/>
    <w:basedOn w:val="Normal"/>
    <w:uiPriority w:val="49"/>
    <w:semiHidden/>
    <w:rsid w:val="005B31F9"/>
    <w:pPr>
      <w:spacing w:before="60" w:after="60" w:line="220" w:lineRule="atLeast"/>
    </w:pPr>
    <w:rPr>
      <w:sz w:val="18"/>
    </w:rPr>
  </w:style>
  <w:style w:type="paragraph" w:customStyle="1" w:styleId="TSTableHeadingWhite-TopRow">
    <w:name w:val="TS Table Heading White - Top Row"/>
    <w:basedOn w:val="TSTableNormal1"/>
    <w:uiPriority w:val="41"/>
    <w:rsid w:val="00E85056"/>
    <w:pPr>
      <w:keepNext/>
      <w:keepLines/>
      <w:spacing w:before="80" w:after="80"/>
    </w:pPr>
    <w:rPr>
      <w:b/>
      <w:color w:val="FFFFFF"/>
    </w:rPr>
  </w:style>
  <w:style w:type="paragraph" w:customStyle="1" w:styleId="TSBodyText">
    <w:name w:val="TS Body Text"/>
    <w:basedOn w:val="TSTableNormal1"/>
    <w:uiPriority w:val="42"/>
    <w:rsid w:val="00E457E0"/>
  </w:style>
  <w:style w:type="paragraph" w:customStyle="1" w:styleId="TSTextBodyText">
    <w:name w:val="TS Text (Body Text)"/>
    <w:basedOn w:val="TSTableNormal1"/>
    <w:uiPriority w:val="39"/>
    <w:semiHidden/>
    <w:rsid w:val="00CB496D"/>
    <w:pPr>
      <w:keepNext/>
    </w:pPr>
  </w:style>
  <w:style w:type="paragraph" w:customStyle="1" w:styleId="TSNumber1">
    <w:name w:val="TS Number 1"/>
    <w:basedOn w:val="TSTableNormal1"/>
    <w:uiPriority w:val="43"/>
    <w:rsid w:val="00DA2CC5"/>
    <w:pPr>
      <w:numPr>
        <w:numId w:val="8"/>
      </w:numPr>
    </w:pPr>
  </w:style>
  <w:style w:type="paragraph" w:customStyle="1" w:styleId="TSNumbera">
    <w:name w:val="TS Number a"/>
    <w:basedOn w:val="TSTableNormal1"/>
    <w:uiPriority w:val="43"/>
    <w:rsid w:val="00DA2CC5"/>
    <w:pPr>
      <w:numPr>
        <w:ilvl w:val="1"/>
        <w:numId w:val="8"/>
      </w:numPr>
      <w:tabs>
        <w:tab w:val="left" w:pos="425"/>
      </w:tabs>
      <w:ind w:left="430" w:hanging="215"/>
    </w:pPr>
  </w:style>
  <w:style w:type="paragraph" w:customStyle="1" w:styleId="TSNumberi">
    <w:name w:val="TS Number i"/>
    <w:basedOn w:val="TSTableNormal1"/>
    <w:uiPriority w:val="43"/>
    <w:rsid w:val="00DA2CC5"/>
    <w:pPr>
      <w:numPr>
        <w:ilvl w:val="2"/>
        <w:numId w:val="8"/>
      </w:numPr>
      <w:tabs>
        <w:tab w:val="left" w:pos="641"/>
      </w:tabs>
      <w:ind w:left="640" w:hanging="215"/>
    </w:pPr>
  </w:style>
  <w:style w:type="paragraph" w:customStyle="1" w:styleId="TSIndent1">
    <w:name w:val="TS Indent 1"/>
    <w:basedOn w:val="TSTableNormal1"/>
    <w:uiPriority w:val="43"/>
    <w:rsid w:val="00E85056"/>
    <w:pPr>
      <w:ind w:left="215"/>
    </w:pPr>
  </w:style>
  <w:style w:type="paragraph" w:customStyle="1" w:styleId="TSIndent2">
    <w:name w:val="TS Indent 2"/>
    <w:basedOn w:val="TSTableNormal1"/>
    <w:uiPriority w:val="43"/>
    <w:rsid w:val="00E85056"/>
    <w:pPr>
      <w:ind w:left="425"/>
    </w:pPr>
  </w:style>
  <w:style w:type="paragraph" w:customStyle="1" w:styleId="TSIndent3">
    <w:name w:val="TS Indent 3"/>
    <w:basedOn w:val="TSTableNormal1"/>
    <w:uiPriority w:val="43"/>
    <w:rsid w:val="00E85056"/>
    <w:pPr>
      <w:ind w:left="641"/>
    </w:pPr>
  </w:style>
  <w:style w:type="paragraph" w:customStyle="1" w:styleId="USWhiteSpace">
    <w:name w:val="US White Space"/>
    <w:basedOn w:val="Normal"/>
    <w:uiPriority w:val="45"/>
    <w:rsid w:val="00A16BDB"/>
    <w:pPr>
      <w:spacing w:after="0" w:line="240" w:lineRule="auto"/>
      <w:ind w:left="851"/>
    </w:pPr>
    <w:rPr>
      <w:sz w:val="12"/>
    </w:rPr>
  </w:style>
  <w:style w:type="paragraph" w:customStyle="1" w:styleId="TSBodyHeading">
    <w:name w:val="TS Body Heading"/>
    <w:basedOn w:val="TSBodyText"/>
    <w:next w:val="TSTextBodyText"/>
    <w:uiPriority w:val="42"/>
    <w:rsid w:val="005B31F9"/>
    <w:pPr>
      <w:spacing w:before="120" w:after="0"/>
    </w:pPr>
    <w:rPr>
      <w:b/>
    </w:rPr>
  </w:style>
  <w:style w:type="paragraph" w:customStyle="1" w:styleId="TSMixedB2">
    <w:name w:val="TS Mixed B2"/>
    <w:basedOn w:val="TSTableNormal1"/>
    <w:uiPriority w:val="43"/>
    <w:semiHidden/>
    <w:rsid w:val="00A365B0"/>
    <w:pPr>
      <w:numPr>
        <w:numId w:val="7"/>
      </w:numPr>
    </w:pPr>
  </w:style>
  <w:style w:type="paragraph" w:customStyle="1" w:styleId="TSMixedB3">
    <w:name w:val="TS Mixed B3"/>
    <w:basedOn w:val="TSTableNormal1"/>
    <w:uiPriority w:val="43"/>
    <w:semiHidden/>
    <w:rsid w:val="009D78B4"/>
    <w:pPr>
      <w:numPr>
        <w:ilvl w:val="1"/>
        <w:numId w:val="7"/>
      </w:numPr>
      <w:ind w:left="640" w:hanging="215"/>
    </w:pPr>
  </w:style>
  <w:style w:type="paragraph" w:customStyle="1" w:styleId="USSource">
    <w:name w:val="US Source"/>
    <w:basedOn w:val="Normal"/>
    <w:uiPriority w:val="45"/>
    <w:rsid w:val="00590C9C"/>
    <w:pPr>
      <w:spacing w:before="120" w:after="360" w:line="220" w:lineRule="atLeast"/>
      <w:ind w:left="851"/>
    </w:pPr>
    <w:rPr>
      <w:sz w:val="18"/>
    </w:rPr>
  </w:style>
  <w:style w:type="paragraph" w:customStyle="1" w:styleId="USNotes">
    <w:name w:val="US Notes"/>
    <w:basedOn w:val="TSTableNormal1"/>
    <w:uiPriority w:val="45"/>
    <w:rsid w:val="004E21BB"/>
    <w:pPr>
      <w:numPr>
        <w:numId w:val="5"/>
      </w:numPr>
    </w:pPr>
  </w:style>
  <w:style w:type="paragraph" w:customStyle="1" w:styleId="TSTextSingle">
    <w:name w:val="TS Text (Single)"/>
    <w:basedOn w:val="TSBodyText"/>
    <w:uiPriority w:val="44"/>
    <w:rsid w:val="00410845"/>
    <w:pPr>
      <w:spacing w:before="0" w:after="0"/>
    </w:pPr>
  </w:style>
  <w:style w:type="paragraph" w:customStyle="1" w:styleId="TSBullet1">
    <w:name w:val="TS Bullet 1"/>
    <w:basedOn w:val="TSTableNormal1"/>
    <w:uiPriority w:val="43"/>
    <w:rsid w:val="00E85056"/>
    <w:pPr>
      <w:numPr>
        <w:numId w:val="6"/>
      </w:numPr>
    </w:pPr>
  </w:style>
  <w:style w:type="paragraph" w:customStyle="1" w:styleId="TSBullet2">
    <w:name w:val="TS Bullet 2"/>
    <w:basedOn w:val="TSTableNormal1"/>
    <w:uiPriority w:val="43"/>
    <w:rsid w:val="00DA2CC5"/>
    <w:pPr>
      <w:numPr>
        <w:ilvl w:val="1"/>
        <w:numId w:val="6"/>
      </w:numPr>
      <w:ind w:left="430" w:hanging="215"/>
    </w:pPr>
  </w:style>
  <w:style w:type="paragraph" w:customStyle="1" w:styleId="TSBullet3">
    <w:name w:val="TS Bullet 3"/>
    <w:basedOn w:val="TSTableNormal1"/>
    <w:uiPriority w:val="43"/>
    <w:rsid w:val="00E85056"/>
    <w:pPr>
      <w:numPr>
        <w:ilvl w:val="2"/>
        <w:numId w:val="6"/>
      </w:numPr>
      <w:ind w:left="640" w:hanging="215"/>
    </w:pPr>
  </w:style>
  <w:style w:type="character" w:customStyle="1" w:styleId="Heading6Char">
    <w:name w:val="Heading 6 Char"/>
    <w:basedOn w:val="DefaultParagraphFont"/>
    <w:link w:val="Heading6"/>
    <w:uiPriority w:val="12"/>
    <w:semiHidden/>
    <w:rsid w:val="006D0BF3"/>
    <w:rPr>
      <w:rFonts w:asciiTheme="majorHAnsi" w:eastAsiaTheme="majorEastAsia" w:hAnsiTheme="majorHAnsi" w:cstheme="majorBidi"/>
      <w:color w:val="004962" w:themeColor="accent1" w:themeShade="7F"/>
    </w:rPr>
  </w:style>
  <w:style w:type="character" w:customStyle="1" w:styleId="Heading7Char">
    <w:name w:val="Heading 7 Char"/>
    <w:basedOn w:val="DefaultParagraphFont"/>
    <w:link w:val="Heading7"/>
    <w:uiPriority w:val="12"/>
    <w:semiHidden/>
    <w:rsid w:val="006D0BF3"/>
    <w:rPr>
      <w:rFonts w:asciiTheme="majorHAnsi" w:eastAsiaTheme="majorEastAsia" w:hAnsiTheme="majorHAnsi" w:cstheme="majorBidi"/>
      <w:i/>
      <w:iCs/>
      <w:color w:val="004962" w:themeColor="accent1" w:themeShade="7F"/>
    </w:rPr>
  </w:style>
  <w:style w:type="character" w:customStyle="1" w:styleId="Heading8Char">
    <w:name w:val="Heading 8 Char"/>
    <w:basedOn w:val="DefaultParagraphFont"/>
    <w:link w:val="Heading8"/>
    <w:uiPriority w:val="12"/>
    <w:semiHidden/>
    <w:rsid w:val="006D0BF3"/>
    <w:rPr>
      <w:rFonts w:asciiTheme="majorHAnsi" w:eastAsiaTheme="majorEastAsia" w:hAnsiTheme="majorHAnsi" w:cstheme="majorBidi"/>
      <w:color w:val="4A5261" w:themeColor="text1" w:themeTint="D8"/>
      <w:sz w:val="21"/>
      <w:szCs w:val="21"/>
    </w:rPr>
  </w:style>
  <w:style w:type="character" w:customStyle="1" w:styleId="Heading9Char">
    <w:name w:val="Heading 9 Char"/>
    <w:basedOn w:val="DefaultParagraphFont"/>
    <w:link w:val="Heading9"/>
    <w:uiPriority w:val="12"/>
    <w:semiHidden/>
    <w:rsid w:val="006D0BF3"/>
    <w:rPr>
      <w:rFonts w:asciiTheme="majorHAnsi" w:eastAsiaTheme="majorEastAsia" w:hAnsiTheme="majorHAnsi" w:cstheme="majorBidi"/>
      <w:i/>
      <w:iCs/>
      <w:color w:val="4A5261" w:themeColor="text1" w:themeTint="D8"/>
      <w:sz w:val="21"/>
      <w:szCs w:val="21"/>
    </w:rPr>
  </w:style>
  <w:style w:type="paragraph" w:customStyle="1" w:styleId="ApxHeading1">
    <w:name w:val="Apx Heading 1"/>
    <w:basedOn w:val="Heading1"/>
    <w:next w:val="USBodyText"/>
    <w:uiPriority w:val="13"/>
    <w:rsid w:val="00D454F0"/>
    <w:pPr>
      <w:numPr>
        <w:numId w:val="4"/>
      </w:numPr>
      <w:outlineLvl w:val="5"/>
    </w:pPr>
    <w:rPr>
      <w:color w:val="0094C5" w:themeColor="accent1"/>
    </w:rPr>
  </w:style>
  <w:style w:type="paragraph" w:customStyle="1" w:styleId="ApxHeading2">
    <w:name w:val="Apx Heading 2"/>
    <w:basedOn w:val="USBodyText"/>
    <w:next w:val="USBodyText"/>
    <w:uiPriority w:val="13"/>
    <w:rsid w:val="00D454F0"/>
    <w:pPr>
      <w:keepNext/>
      <w:keepLines/>
      <w:numPr>
        <w:ilvl w:val="1"/>
        <w:numId w:val="4"/>
      </w:numPr>
      <w:spacing w:before="360" w:after="80" w:line="320" w:lineRule="atLeast"/>
      <w:outlineLvl w:val="6"/>
    </w:pPr>
    <w:rPr>
      <w:b/>
      <w:color w:val="0094C5" w:themeColor="accent1"/>
      <w:sz w:val="26"/>
    </w:rPr>
  </w:style>
  <w:style w:type="paragraph" w:customStyle="1" w:styleId="ApxHeading3">
    <w:name w:val="Apx Heading 3"/>
    <w:basedOn w:val="USBodyText"/>
    <w:next w:val="USBodyText"/>
    <w:uiPriority w:val="13"/>
    <w:rsid w:val="00D454F0"/>
    <w:pPr>
      <w:keepNext/>
      <w:keepLines/>
      <w:numPr>
        <w:ilvl w:val="2"/>
        <w:numId w:val="4"/>
      </w:numPr>
      <w:spacing w:before="260" w:line="300" w:lineRule="atLeast"/>
      <w:outlineLvl w:val="7"/>
    </w:pPr>
    <w:rPr>
      <w:b/>
      <w:color w:val="0094C5" w:themeColor="accent1"/>
      <w:sz w:val="24"/>
    </w:rPr>
  </w:style>
  <w:style w:type="paragraph" w:customStyle="1" w:styleId="ApxHeading4">
    <w:name w:val="Apx Heading 4"/>
    <w:basedOn w:val="USBodyText"/>
    <w:next w:val="USBodyText"/>
    <w:uiPriority w:val="13"/>
    <w:rsid w:val="007B14FD"/>
    <w:pPr>
      <w:keepNext/>
      <w:keepLines/>
      <w:spacing w:before="200" w:after="40" w:line="320" w:lineRule="atLeast"/>
      <w:outlineLvl w:val="8"/>
    </w:pPr>
    <w:rPr>
      <w:b/>
      <w:color w:val="0094C5" w:themeColor="accent1"/>
      <w:sz w:val="24"/>
    </w:rPr>
  </w:style>
  <w:style w:type="paragraph" w:customStyle="1" w:styleId="ApxHeading5">
    <w:name w:val="Apx Heading 5"/>
    <w:basedOn w:val="USBodyText"/>
    <w:next w:val="USBodyText"/>
    <w:uiPriority w:val="13"/>
    <w:rsid w:val="007B14FD"/>
    <w:pPr>
      <w:keepNext/>
      <w:keepLines/>
      <w:spacing w:before="160" w:after="0" w:line="300" w:lineRule="atLeast"/>
    </w:pPr>
    <w:rPr>
      <w:b/>
      <w:color w:val="30353F"/>
    </w:rPr>
  </w:style>
  <w:style w:type="table" w:styleId="TableGridLight">
    <w:name w:val="Grid Table Light"/>
    <w:basedOn w:val="TableNormal"/>
    <w:uiPriority w:val="40"/>
    <w:rsid w:val="00916CFA"/>
    <w:pPr>
      <w:spacing w:after="0" w:line="240" w:lineRule="auto"/>
    </w:pPr>
    <w:tblPr>
      <w:tblInd w:w="8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SPlaceholder">
    <w:name w:val="US Placeholder"/>
    <w:basedOn w:val="Normal"/>
    <w:uiPriority w:val="45"/>
    <w:rsid w:val="002B7C24"/>
    <w:pPr>
      <w:keepNext/>
      <w:spacing w:after="0" w:line="240" w:lineRule="auto"/>
      <w:ind w:left="851"/>
    </w:pPr>
    <w:rPr>
      <w:noProof/>
    </w:rPr>
  </w:style>
  <w:style w:type="paragraph" w:customStyle="1" w:styleId="USNotesHeading">
    <w:name w:val="US Notes (Heading)"/>
    <w:basedOn w:val="TSTableNormal1"/>
    <w:uiPriority w:val="45"/>
    <w:rsid w:val="00A16BDB"/>
    <w:pPr>
      <w:keepNext/>
      <w:keepLines/>
      <w:spacing w:before="120"/>
      <w:ind w:left="851"/>
    </w:pPr>
    <w:rPr>
      <w:b/>
    </w:rPr>
  </w:style>
  <w:style w:type="paragraph" w:styleId="BalloonText">
    <w:name w:val="Balloon Text"/>
    <w:basedOn w:val="Normal"/>
    <w:link w:val="BalloonTextChar"/>
    <w:uiPriority w:val="99"/>
    <w:semiHidden/>
    <w:unhideWhenUsed/>
    <w:rsid w:val="00631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510"/>
    <w:rPr>
      <w:rFonts w:ascii="Segoe UI" w:hAnsi="Segoe UI" w:cs="Segoe UI"/>
      <w:sz w:val="18"/>
      <w:szCs w:val="18"/>
    </w:rPr>
  </w:style>
  <w:style w:type="paragraph" w:customStyle="1" w:styleId="CoverTitle">
    <w:name w:val="Cover Title"/>
    <w:basedOn w:val="Normal"/>
    <w:next w:val="Normal"/>
    <w:uiPriority w:val="54"/>
    <w:rsid w:val="006D0BF3"/>
    <w:pPr>
      <w:keepNext/>
      <w:spacing w:before="1200" w:line="620" w:lineRule="atLeast"/>
    </w:pPr>
    <w:rPr>
      <w:b/>
      <w:color w:val="0094C5" w:themeColor="accent1"/>
      <w:sz w:val="56"/>
    </w:rPr>
  </w:style>
  <w:style w:type="paragraph" w:customStyle="1" w:styleId="CoverSubheading">
    <w:name w:val="Cover Subheading"/>
    <w:basedOn w:val="CoverSubTitle"/>
    <w:uiPriority w:val="54"/>
    <w:rsid w:val="00F06449"/>
    <w:pPr>
      <w:spacing w:after="60" w:line="300" w:lineRule="atLeast"/>
    </w:pPr>
    <w:rPr>
      <w:color w:val="30353F"/>
      <w:sz w:val="24"/>
    </w:rPr>
  </w:style>
  <w:style w:type="paragraph" w:customStyle="1" w:styleId="CoverSubTitle">
    <w:name w:val="Cover SubTitle"/>
    <w:basedOn w:val="Normal"/>
    <w:uiPriority w:val="54"/>
    <w:rsid w:val="006D0BF3"/>
    <w:pPr>
      <w:keepNext/>
      <w:spacing w:before="120" w:after="480" w:line="460" w:lineRule="atLeast"/>
    </w:pPr>
    <w:rPr>
      <w:b/>
      <w:sz w:val="40"/>
    </w:rPr>
  </w:style>
  <w:style w:type="paragraph" w:customStyle="1" w:styleId="CoverSubsubheading">
    <w:name w:val="Cover Sub subheading"/>
    <w:basedOn w:val="CoverSubheading"/>
    <w:uiPriority w:val="54"/>
    <w:rsid w:val="004D53BA"/>
    <w:pPr>
      <w:spacing w:after="0" w:line="260" w:lineRule="atLeast"/>
    </w:pPr>
    <w:rPr>
      <w:b w:val="0"/>
      <w:sz w:val="20"/>
    </w:rPr>
  </w:style>
  <w:style w:type="paragraph" w:customStyle="1" w:styleId="HeadingContents">
    <w:name w:val="Heading Contents"/>
    <w:basedOn w:val="Heading1"/>
    <w:uiPriority w:val="55"/>
    <w:rsid w:val="00DE7FA6"/>
    <w:pPr>
      <w:pageBreakBefore/>
      <w:numPr>
        <w:numId w:val="0"/>
      </w:numPr>
      <w:spacing w:after="220"/>
      <w:outlineLvl w:val="9"/>
    </w:pPr>
  </w:style>
  <w:style w:type="paragraph" w:styleId="TOC1">
    <w:name w:val="toc 1"/>
    <w:basedOn w:val="Normal"/>
    <w:next w:val="Normal"/>
    <w:uiPriority w:val="39"/>
    <w:rsid w:val="004F160B"/>
    <w:pPr>
      <w:tabs>
        <w:tab w:val="left" w:pos="567"/>
        <w:tab w:val="right" w:leader="dot" w:pos="9072"/>
      </w:tabs>
      <w:spacing w:before="120" w:after="0"/>
      <w:ind w:left="567" w:right="567" w:hanging="567"/>
    </w:pPr>
  </w:style>
  <w:style w:type="paragraph" w:styleId="TOC2">
    <w:name w:val="toc 2"/>
    <w:basedOn w:val="Normal"/>
    <w:next w:val="Normal"/>
    <w:uiPriority w:val="39"/>
    <w:rsid w:val="004F160B"/>
    <w:pPr>
      <w:tabs>
        <w:tab w:val="left" w:pos="1134"/>
        <w:tab w:val="right" w:leader="dot" w:pos="9072"/>
      </w:tabs>
      <w:spacing w:after="0"/>
      <w:ind w:left="1134" w:right="567" w:hanging="567"/>
    </w:pPr>
  </w:style>
  <w:style w:type="paragraph" w:styleId="TOC3">
    <w:name w:val="toc 3"/>
    <w:basedOn w:val="Normal"/>
    <w:next w:val="Normal"/>
    <w:uiPriority w:val="39"/>
    <w:rsid w:val="004D781B"/>
    <w:pPr>
      <w:tabs>
        <w:tab w:val="left" w:pos="1843"/>
        <w:tab w:val="right" w:leader="dot" w:pos="9072"/>
      </w:tabs>
      <w:spacing w:after="0"/>
      <w:ind w:left="1843" w:right="567" w:hanging="709"/>
    </w:pPr>
  </w:style>
  <w:style w:type="character" w:styleId="Hyperlink">
    <w:name w:val="Hyperlink"/>
    <w:basedOn w:val="DefaultParagraphFont"/>
    <w:uiPriority w:val="99"/>
    <w:rsid w:val="00CC1FF1"/>
    <w:rPr>
      <w:color w:val="0094C5"/>
      <w:u w:val="single"/>
    </w:rPr>
  </w:style>
  <w:style w:type="paragraph" w:styleId="TOC4">
    <w:name w:val="toc 4"/>
    <w:basedOn w:val="Normal"/>
    <w:next w:val="Normal"/>
    <w:uiPriority w:val="39"/>
    <w:rsid w:val="001F323D"/>
    <w:pPr>
      <w:tabs>
        <w:tab w:val="right" w:leader="dot" w:pos="9072"/>
      </w:tabs>
      <w:spacing w:after="0"/>
      <w:ind w:left="1843" w:right="567"/>
    </w:pPr>
  </w:style>
  <w:style w:type="paragraph" w:styleId="TOC5">
    <w:name w:val="toc 5"/>
    <w:basedOn w:val="Normal"/>
    <w:next w:val="Normal"/>
    <w:uiPriority w:val="39"/>
    <w:rsid w:val="001F323D"/>
    <w:pPr>
      <w:tabs>
        <w:tab w:val="right" w:leader="dot" w:pos="9072"/>
      </w:tabs>
      <w:spacing w:after="0"/>
      <w:ind w:left="2268" w:right="567"/>
    </w:pPr>
  </w:style>
  <w:style w:type="paragraph" w:styleId="TOC8">
    <w:name w:val="toc 8"/>
    <w:basedOn w:val="TOC3"/>
    <w:next w:val="Normal"/>
    <w:uiPriority w:val="39"/>
    <w:semiHidden/>
    <w:rsid w:val="004761CC"/>
  </w:style>
  <w:style w:type="paragraph" w:styleId="TOC9">
    <w:name w:val="toc 9"/>
    <w:basedOn w:val="TOC4"/>
    <w:next w:val="Normal"/>
    <w:uiPriority w:val="39"/>
    <w:semiHidden/>
    <w:rsid w:val="00780A71"/>
    <w:pPr>
      <w:tabs>
        <w:tab w:val="left" w:leader="dot" w:pos="1701"/>
      </w:tabs>
      <w:ind w:left="2694" w:hanging="851"/>
    </w:pPr>
  </w:style>
  <w:style w:type="paragraph" w:styleId="TableofFigures">
    <w:name w:val="table of figures"/>
    <w:basedOn w:val="Normal"/>
    <w:next w:val="Normal"/>
    <w:uiPriority w:val="99"/>
    <w:unhideWhenUsed/>
    <w:rsid w:val="00D95F03"/>
    <w:pPr>
      <w:tabs>
        <w:tab w:val="left" w:pos="1049"/>
        <w:tab w:val="right" w:leader="dot" w:pos="9072"/>
      </w:tabs>
      <w:spacing w:after="0"/>
      <w:ind w:left="1049" w:right="567" w:hanging="1049"/>
    </w:pPr>
  </w:style>
  <w:style w:type="paragraph" w:styleId="TOC7">
    <w:name w:val="toc 7"/>
    <w:basedOn w:val="TOC2"/>
    <w:next w:val="Normal"/>
    <w:uiPriority w:val="39"/>
    <w:semiHidden/>
    <w:rsid w:val="004761CC"/>
  </w:style>
  <w:style w:type="paragraph" w:styleId="TOC6">
    <w:name w:val="toc 6"/>
    <w:basedOn w:val="TOC1"/>
    <w:next w:val="Normal"/>
    <w:uiPriority w:val="39"/>
    <w:rsid w:val="004761CC"/>
    <w:pPr>
      <w:tabs>
        <w:tab w:val="clear" w:pos="9072"/>
        <w:tab w:val="right" w:leader="dot" w:pos="9060"/>
      </w:tabs>
    </w:pPr>
  </w:style>
  <w:style w:type="table" w:styleId="PlainTable3">
    <w:name w:val="Plain Table 3"/>
    <w:basedOn w:val="TableNormal"/>
    <w:uiPriority w:val="43"/>
    <w:rsid w:val="00916CFA"/>
    <w:pPr>
      <w:spacing w:after="0" w:line="240" w:lineRule="auto"/>
    </w:pPr>
    <w:tblPr>
      <w:tblStyleRowBandSize w:val="1"/>
      <w:tblStyleColBandSize w:val="1"/>
      <w:tblInd w:w="851" w:type="dxa"/>
    </w:tblPr>
    <w:tblStylePr w:type="firstRow">
      <w:rPr>
        <w:b/>
        <w:bCs/>
        <w:caps/>
      </w:rPr>
      <w:tblPr/>
      <w:tcPr>
        <w:tcBorders>
          <w:bottom w:val="single" w:sz="4" w:space="0" w:color="8D96A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6A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USNote">
    <w:name w:val="US Note"/>
    <w:basedOn w:val="USNotes"/>
    <w:uiPriority w:val="45"/>
    <w:rsid w:val="004726FD"/>
    <w:pPr>
      <w:numPr>
        <w:numId w:val="0"/>
      </w:numPr>
      <w:ind w:left="851"/>
    </w:pPr>
  </w:style>
  <w:style w:type="paragraph" w:customStyle="1" w:styleId="USPullQuoteCharcoal">
    <w:name w:val="US Pull Quote Charcoal"/>
    <w:basedOn w:val="Normal"/>
    <w:uiPriority w:val="18"/>
    <w:rsid w:val="00EC22B7"/>
    <w:pPr>
      <w:pBdr>
        <w:top w:val="single" w:sz="4" w:space="14" w:color="auto"/>
        <w:bottom w:val="single" w:sz="4" w:space="14" w:color="auto"/>
      </w:pBdr>
      <w:spacing w:before="360" w:after="360" w:line="340" w:lineRule="atLeast"/>
      <w:ind w:left="851"/>
    </w:pPr>
    <w:rPr>
      <w:b/>
      <w:color w:val="30353F"/>
      <w:sz w:val="28"/>
    </w:rPr>
  </w:style>
  <w:style w:type="table" w:styleId="GridTable4-Accent1">
    <w:name w:val="Grid Table 4 Accent 1"/>
    <w:basedOn w:val="TableNormal"/>
    <w:uiPriority w:val="49"/>
    <w:rsid w:val="008B2D18"/>
    <w:pPr>
      <w:spacing w:after="0" w:line="240" w:lineRule="auto"/>
    </w:p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color w:val="FFFFFF" w:themeColor="background1"/>
      </w:rPr>
      <w:tblPr/>
      <w:tcPr>
        <w:tcBorders>
          <w:top w:val="single" w:sz="4" w:space="0" w:color="0094C5" w:themeColor="accent1"/>
          <w:left w:val="single" w:sz="4" w:space="0" w:color="0094C5" w:themeColor="accent1"/>
          <w:bottom w:val="single" w:sz="4" w:space="0" w:color="0094C5" w:themeColor="accent1"/>
          <w:right w:val="single" w:sz="4" w:space="0" w:color="0094C5" w:themeColor="accent1"/>
          <w:insideH w:val="nil"/>
          <w:insideV w:val="nil"/>
        </w:tcBorders>
        <w:shd w:val="clear" w:color="auto" w:fill="0094C5" w:themeFill="accent1"/>
      </w:tcPr>
    </w:tblStylePr>
    <w:tblStylePr w:type="lastRow">
      <w:rPr>
        <w:b/>
        <w:bCs/>
      </w:rPr>
      <w:tblPr/>
      <w:tcPr>
        <w:tcBorders>
          <w:top w:val="double" w:sz="4" w:space="0" w:color="0094C5" w:themeColor="accent1"/>
        </w:tcBorders>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paragraph" w:customStyle="1" w:styleId="TSTableHeadingBlack-TopRow">
    <w:name w:val="TS Table Heading Black - Top Row"/>
    <w:basedOn w:val="TSTableNormal1"/>
    <w:uiPriority w:val="41"/>
    <w:rsid w:val="00E457E0"/>
    <w:pPr>
      <w:keepNext/>
      <w:keepLines/>
      <w:spacing w:before="80" w:after="80"/>
    </w:pPr>
    <w:rPr>
      <w:b/>
    </w:rPr>
  </w:style>
  <w:style w:type="character" w:styleId="FollowedHyperlink">
    <w:name w:val="FollowedHyperlink"/>
    <w:basedOn w:val="DefaultParagraphFont"/>
    <w:uiPriority w:val="19"/>
    <w:rsid w:val="00CC1FF1"/>
    <w:rPr>
      <w:color w:val="81DFFF" w:themeColor="accent1" w:themeTint="66"/>
      <w:u w:val="single"/>
    </w:rPr>
  </w:style>
  <w:style w:type="paragraph" w:customStyle="1" w:styleId="USWhiteSpaceAfterTable">
    <w:name w:val="US White Space After Table"/>
    <w:basedOn w:val="USWhiteSpace"/>
    <w:next w:val="USBodyText"/>
    <w:uiPriority w:val="45"/>
    <w:rsid w:val="00C12561"/>
    <w:pPr>
      <w:spacing w:after="240"/>
    </w:pPr>
  </w:style>
  <w:style w:type="character" w:customStyle="1" w:styleId="HyperlinkSourceTextReference">
    <w:name w:val="Hyperlink (Source Text Reference)"/>
    <w:basedOn w:val="DefaultParagraphFont"/>
    <w:uiPriority w:val="19"/>
    <w:semiHidden/>
    <w:rsid w:val="00EC22B7"/>
    <w:rPr>
      <w:noProof w:val="0"/>
      <w:color w:val="0094C5"/>
      <w:u w:val="single"/>
      <w:lang w:val="en-NZ"/>
    </w:rPr>
  </w:style>
  <w:style w:type="paragraph" w:customStyle="1" w:styleId="USPullQuoteBlue">
    <w:name w:val="US Pull Quote Blue"/>
    <w:basedOn w:val="Normal"/>
    <w:uiPriority w:val="18"/>
    <w:rsid w:val="00273D60"/>
    <w:pPr>
      <w:pBdr>
        <w:top w:val="single" w:sz="4" w:space="14" w:color="74C6C7"/>
        <w:bottom w:val="single" w:sz="4" w:space="14" w:color="74C6C7"/>
      </w:pBdr>
      <w:spacing w:before="360" w:after="360" w:line="340" w:lineRule="atLeast"/>
      <w:ind w:left="851"/>
    </w:pPr>
    <w:rPr>
      <w:b/>
      <w:color w:val="0094C5"/>
      <w:sz w:val="28"/>
    </w:rPr>
  </w:style>
  <w:style w:type="paragraph" w:customStyle="1" w:styleId="USWhiteSpaceBeforeTable">
    <w:name w:val="US White Space Before Table"/>
    <w:basedOn w:val="Normal"/>
    <w:uiPriority w:val="45"/>
    <w:rsid w:val="00C12561"/>
    <w:pPr>
      <w:keepNext/>
      <w:spacing w:after="240" w:line="240" w:lineRule="auto"/>
      <w:ind w:left="851"/>
    </w:pPr>
    <w:rPr>
      <w:sz w:val="12"/>
    </w:rPr>
  </w:style>
  <w:style w:type="table" w:styleId="GridTable1Light">
    <w:name w:val="Grid Table 1 Light"/>
    <w:basedOn w:val="TableNormal"/>
    <w:uiPriority w:val="46"/>
    <w:rsid w:val="00916CFA"/>
    <w:pPr>
      <w:spacing w:after="0" w:line="240" w:lineRule="auto"/>
    </w:pPr>
    <w:tblPr>
      <w:tblStyleRowBandSize w:val="1"/>
      <w:tblStyleColBandSize w:val="1"/>
      <w:tblInd w:w="851" w:type="dxa"/>
      <w:tblBorders>
        <w:top w:val="single" w:sz="4" w:space="0" w:color="A4ABBA" w:themeColor="text1" w:themeTint="66"/>
        <w:left w:val="single" w:sz="4" w:space="0" w:color="A4ABBA" w:themeColor="text1" w:themeTint="66"/>
        <w:bottom w:val="single" w:sz="4" w:space="0" w:color="A4ABBA" w:themeColor="text1" w:themeTint="66"/>
        <w:right w:val="single" w:sz="4" w:space="0" w:color="A4ABBA" w:themeColor="text1" w:themeTint="66"/>
        <w:insideH w:val="single" w:sz="4" w:space="0" w:color="A4ABBA" w:themeColor="text1" w:themeTint="66"/>
        <w:insideV w:val="single" w:sz="4" w:space="0" w:color="A4ABBA" w:themeColor="text1" w:themeTint="66"/>
      </w:tblBorders>
    </w:tblPr>
    <w:tblStylePr w:type="firstRow">
      <w:rPr>
        <w:b/>
        <w:bCs/>
      </w:rPr>
      <w:tblPr/>
      <w:tcPr>
        <w:tcBorders>
          <w:bottom w:val="single" w:sz="12" w:space="0" w:color="778197" w:themeColor="text1" w:themeTint="99"/>
        </w:tcBorders>
      </w:tcPr>
    </w:tblStylePr>
    <w:tblStylePr w:type="lastRow">
      <w:rPr>
        <w:b/>
        <w:bCs/>
      </w:rPr>
      <w:tblPr/>
      <w:tcPr>
        <w:tcBorders>
          <w:top w:val="double" w:sz="2" w:space="0" w:color="778197"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929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5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353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353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353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353F" w:themeFill="text1"/>
      </w:tcPr>
    </w:tblStylePr>
    <w:tblStylePr w:type="band1Vert">
      <w:tblPr/>
      <w:tcPr>
        <w:shd w:val="clear" w:color="auto" w:fill="A4ABBA" w:themeFill="text1" w:themeFillTint="66"/>
      </w:tcPr>
    </w:tblStylePr>
    <w:tblStylePr w:type="band1Horz">
      <w:tblPr/>
      <w:tcPr>
        <w:shd w:val="clear" w:color="auto" w:fill="A4ABBA" w:themeFill="text1" w:themeFillTint="66"/>
      </w:tcPr>
    </w:tblStylePr>
  </w:style>
  <w:style w:type="table" w:styleId="GridTable3">
    <w:name w:val="Grid Table 3"/>
    <w:basedOn w:val="TableNormal"/>
    <w:uiPriority w:val="48"/>
    <w:rsid w:val="0069298C"/>
    <w:pPr>
      <w:spacing w:after="0" w:line="240" w:lineRule="auto"/>
    </w:p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5DC" w:themeFill="text1" w:themeFillTint="33"/>
      </w:tcPr>
    </w:tblStylePr>
    <w:tblStylePr w:type="band1Horz">
      <w:tblPr/>
      <w:tcPr>
        <w:shd w:val="clear" w:color="auto" w:fill="D1D5DC" w:themeFill="text1" w:themeFillTint="33"/>
      </w:tcPr>
    </w:tblStylePr>
    <w:tblStylePr w:type="neCell">
      <w:tblPr/>
      <w:tcPr>
        <w:tcBorders>
          <w:bottom w:val="single" w:sz="4" w:space="0" w:color="778197" w:themeColor="text1" w:themeTint="99"/>
        </w:tcBorders>
      </w:tcPr>
    </w:tblStylePr>
    <w:tblStylePr w:type="nwCell">
      <w:tblPr/>
      <w:tcPr>
        <w:tcBorders>
          <w:bottom w:val="single" w:sz="4" w:space="0" w:color="778197" w:themeColor="text1" w:themeTint="99"/>
        </w:tcBorders>
      </w:tcPr>
    </w:tblStylePr>
    <w:tblStylePr w:type="seCell">
      <w:tblPr/>
      <w:tcPr>
        <w:tcBorders>
          <w:top w:val="single" w:sz="4" w:space="0" w:color="778197" w:themeColor="text1" w:themeTint="99"/>
        </w:tcBorders>
      </w:tcPr>
    </w:tblStylePr>
    <w:tblStylePr w:type="swCell">
      <w:tblPr/>
      <w:tcPr>
        <w:tcBorders>
          <w:top w:val="single" w:sz="4" w:space="0" w:color="778197" w:themeColor="text1" w:themeTint="99"/>
        </w:tcBorders>
      </w:tcPr>
    </w:tblStylePr>
  </w:style>
  <w:style w:type="table" w:styleId="GridTable2">
    <w:name w:val="Grid Table 2"/>
    <w:basedOn w:val="TableNormal"/>
    <w:uiPriority w:val="47"/>
    <w:rsid w:val="00225D24"/>
    <w:pPr>
      <w:spacing w:after="0" w:line="240" w:lineRule="auto"/>
    </w:pPr>
    <w:tblPr>
      <w:tblStyleRowBandSize w:val="1"/>
      <w:tblStyleColBandSize w:val="1"/>
      <w:tblBorders>
        <w:top w:val="single" w:sz="2" w:space="0" w:color="778197" w:themeColor="text1" w:themeTint="99"/>
        <w:bottom w:val="single" w:sz="2" w:space="0" w:color="778197" w:themeColor="text1" w:themeTint="99"/>
        <w:insideH w:val="single" w:sz="2" w:space="0" w:color="778197" w:themeColor="text1" w:themeTint="99"/>
        <w:insideV w:val="single" w:sz="2" w:space="0" w:color="778197" w:themeColor="text1" w:themeTint="99"/>
      </w:tblBorders>
    </w:tblPr>
    <w:tblStylePr w:type="firstRow">
      <w:rPr>
        <w:b/>
        <w:bCs/>
      </w:rPr>
      <w:tblPr/>
      <w:tcPr>
        <w:tcBorders>
          <w:top w:val="nil"/>
          <w:bottom w:val="single" w:sz="12" w:space="0" w:color="778197" w:themeColor="text1" w:themeTint="99"/>
          <w:insideH w:val="nil"/>
          <w:insideV w:val="nil"/>
        </w:tcBorders>
        <w:shd w:val="clear" w:color="auto" w:fill="FFFFFF" w:themeFill="background1"/>
      </w:tcPr>
    </w:tblStylePr>
    <w:tblStylePr w:type="lastRow">
      <w:rPr>
        <w:b/>
        <w:bCs/>
      </w:rPr>
      <w:tblPr/>
      <w:tcPr>
        <w:tcBorders>
          <w:top w:val="double" w:sz="2" w:space="0" w:color="77819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table" w:styleId="GridTable6Colorful">
    <w:name w:val="Grid Table 6 Colorful"/>
    <w:basedOn w:val="TableNormal"/>
    <w:uiPriority w:val="51"/>
    <w:rsid w:val="00225D24"/>
    <w:pPr>
      <w:spacing w:after="0" w:line="240" w:lineRule="auto"/>
    </w:pPr>
    <w:rPr>
      <w:color w:val="30353F" w:themeColor="text1"/>
    </w:r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bottom w:val="single" w:sz="12" w:space="0" w:color="778197" w:themeColor="text1" w:themeTint="99"/>
        </w:tcBorders>
      </w:tcPr>
    </w:tblStylePr>
    <w:tblStylePr w:type="lastRow">
      <w:rPr>
        <w:b/>
        <w:bCs/>
      </w:rPr>
      <w:tblPr/>
      <w:tcPr>
        <w:tcBorders>
          <w:top w:val="double" w:sz="4" w:space="0" w:color="778197" w:themeColor="text1" w:themeTint="99"/>
        </w:tcBorders>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table" w:styleId="GridTable4">
    <w:name w:val="Grid Table 4"/>
    <w:basedOn w:val="TableNormal"/>
    <w:uiPriority w:val="49"/>
    <w:rsid w:val="00225D24"/>
    <w:pPr>
      <w:spacing w:after="0" w:line="240" w:lineRule="auto"/>
    </w:p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color w:val="FFFFFF" w:themeColor="background1"/>
      </w:rPr>
      <w:tblPr/>
      <w:tcPr>
        <w:tcBorders>
          <w:top w:val="single" w:sz="4" w:space="0" w:color="30353F" w:themeColor="text1"/>
          <w:left w:val="single" w:sz="4" w:space="0" w:color="30353F" w:themeColor="text1"/>
          <w:bottom w:val="single" w:sz="4" w:space="0" w:color="30353F" w:themeColor="text1"/>
          <w:right w:val="single" w:sz="4" w:space="0" w:color="30353F" w:themeColor="text1"/>
          <w:insideH w:val="nil"/>
          <w:insideV w:val="nil"/>
        </w:tcBorders>
        <w:shd w:val="clear" w:color="auto" w:fill="30353F" w:themeFill="text1"/>
      </w:tcPr>
    </w:tblStylePr>
    <w:tblStylePr w:type="lastRow">
      <w:rPr>
        <w:b/>
        <w:bCs/>
      </w:rPr>
      <w:tblPr/>
      <w:tcPr>
        <w:tcBorders>
          <w:top w:val="double" w:sz="4" w:space="0" w:color="30353F" w:themeColor="text1"/>
        </w:tcBorders>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paragraph" w:styleId="Bibliography">
    <w:name w:val="Bibliography"/>
    <w:basedOn w:val="TSBodyText"/>
    <w:uiPriority w:val="47"/>
    <w:rsid w:val="009F7454"/>
    <w:pPr>
      <w:spacing w:before="0" w:after="0" w:line="240" w:lineRule="atLeast"/>
      <w:ind w:left="720" w:hanging="720"/>
    </w:pPr>
    <w:rPr>
      <w:sz w:val="22"/>
    </w:rPr>
  </w:style>
  <w:style w:type="table" w:styleId="ColorfulGrid">
    <w:name w:val="Colorful Grid"/>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D1D5DC" w:themeFill="text1" w:themeFillTint="33"/>
    </w:tcPr>
    <w:tblStylePr w:type="firstRow">
      <w:rPr>
        <w:b/>
        <w:bCs/>
      </w:rPr>
      <w:tblPr/>
      <w:tcPr>
        <w:shd w:val="clear" w:color="auto" w:fill="A4ABBA" w:themeFill="text1" w:themeFillTint="66"/>
      </w:tcPr>
    </w:tblStylePr>
    <w:tblStylePr w:type="lastRow">
      <w:rPr>
        <w:b/>
        <w:bCs/>
        <w:color w:val="30353F" w:themeColor="text1"/>
      </w:rPr>
      <w:tblPr/>
      <w:tcPr>
        <w:shd w:val="clear" w:color="auto" w:fill="A4ABBA" w:themeFill="text1" w:themeFillTint="66"/>
      </w:tcPr>
    </w:tblStylePr>
    <w:tblStylePr w:type="firstCol">
      <w:rPr>
        <w:color w:val="FFFFFF" w:themeColor="background1"/>
      </w:rPr>
      <w:tblPr/>
      <w:tcPr>
        <w:shd w:val="clear" w:color="auto" w:fill="24272F" w:themeFill="text1" w:themeFillShade="BF"/>
      </w:tcPr>
    </w:tblStylePr>
    <w:tblStylePr w:type="lastCol">
      <w:rPr>
        <w:color w:val="FFFFFF" w:themeColor="background1"/>
      </w:rPr>
      <w:tblPr/>
      <w:tcPr>
        <w:shd w:val="clear" w:color="auto" w:fill="24272F" w:themeFill="text1" w:themeFillShade="BF"/>
      </w:tcPr>
    </w:tblStylePr>
    <w:tblStylePr w:type="band1Vert">
      <w:tblPr/>
      <w:tcPr>
        <w:shd w:val="clear" w:color="auto" w:fill="8E97A9" w:themeFill="text1" w:themeFillTint="7F"/>
      </w:tcPr>
    </w:tblStylePr>
    <w:tblStylePr w:type="band1Horz">
      <w:tblPr/>
      <w:tcPr>
        <w:shd w:val="clear" w:color="auto" w:fill="8E97A9" w:themeFill="text1" w:themeFillTint="7F"/>
      </w:tcPr>
    </w:tblStylePr>
  </w:style>
  <w:style w:type="table" w:styleId="ColorfulGrid-Accent1">
    <w:name w:val="Colorful Grid Accent 1"/>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C0EFFF" w:themeFill="accent1" w:themeFillTint="33"/>
    </w:tcPr>
    <w:tblStylePr w:type="firstRow">
      <w:rPr>
        <w:b/>
        <w:bCs/>
      </w:rPr>
      <w:tblPr/>
      <w:tcPr>
        <w:shd w:val="clear" w:color="auto" w:fill="81DFFF" w:themeFill="accent1" w:themeFillTint="66"/>
      </w:tcPr>
    </w:tblStylePr>
    <w:tblStylePr w:type="lastRow">
      <w:rPr>
        <w:b/>
        <w:bCs/>
        <w:color w:val="30353F" w:themeColor="text1"/>
      </w:rPr>
      <w:tblPr/>
      <w:tcPr>
        <w:shd w:val="clear" w:color="auto" w:fill="81DFFF" w:themeFill="accent1" w:themeFillTint="66"/>
      </w:tcPr>
    </w:tblStylePr>
    <w:tblStylePr w:type="firstCol">
      <w:rPr>
        <w:color w:val="FFFFFF" w:themeColor="background1"/>
      </w:rPr>
      <w:tblPr/>
      <w:tcPr>
        <w:shd w:val="clear" w:color="auto" w:fill="006E93" w:themeFill="accent1" w:themeFillShade="BF"/>
      </w:tcPr>
    </w:tblStylePr>
    <w:tblStylePr w:type="lastCol">
      <w:rPr>
        <w:color w:val="FFFFFF" w:themeColor="background1"/>
      </w:rPr>
      <w:tblPr/>
      <w:tcPr>
        <w:shd w:val="clear" w:color="auto" w:fill="006E93" w:themeFill="accent1" w:themeFillShade="BF"/>
      </w:tcPr>
    </w:tblStylePr>
    <w:tblStylePr w:type="band1Vert">
      <w:tblPr/>
      <w:tcPr>
        <w:shd w:val="clear" w:color="auto" w:fill="63D7FF" w:themeFill="accent1" w:themeFillTint="7F"/>
      </w:tcPr>
    </w:tblStylePr>
    <w:tblStylePr w:type="band1Horz">
      <w:tblPr/>
      <w:tcPr>
        <w:shd w:val="clear" w:color="auto" w:fill="63D7FF" w:themeFill="accent1" w:themeFillTint="7F"/>
      </w:tcPr>
    </w:tblStylePr>
  </w:style>
  <w:style w:type="table" w:styleId="ColorfulGrid-Accent2">
    <w:name w:val="Colorful Grid Accent 2"/>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FC6E1" w:themeFill="accent2" w:themeFillTint="33"/>
    </w:tcPr>
    <w:tblStylePr w:type="firstRow">
      <w:rPr>
        <w:b/>
        <w:bCs/>
      </w:rPr>
      <w:tblPr/>
      <w:tcPr>
        <w:shd w:val="clear" w:color="auto" w:fill="FF8EC3" w:themeFill="accent2" w:themeFillTint="66"/>
      </w:tcPr>
    </w:tblStylePr>
    <w:tblStylePr w:type="lastRow">
      <w:rPr>
        <w:b/>
        <w:bCs/>
        <w:color w:val="30353F" w:themeColor="text1"/>
      </w:rPr>
      <w:tblPr/>
      <w:tcPr>
        <w:shd w:val="clear" w:color="auto" w:fill="FF8EC3" w:themeFill="accent2" w:themeFillTint="66"/>
      </w:tcPr>
    </w:tblStylePr>
    <w:tblStylePr w:type="firstCol">
      <w:rPr>
        <w:color w:val="FFFFFF" w:themeColor="background1"/>
      </w:rPr>
      <w:tblPr/>
      <w:tcPr>
        <w:shd w:val="clear" w:color="auto" w:fill="AB0051" w:themeFill="accent2" w:themeFillShade="BF"/>
      </w:tcPr>
    </w:tblStylePr>
    <w:tblStylePr w:type="lastCol">
      <w:rPr>
        <w:color w:val="FFFFFF" w:themeColor="background1"/>
      </w:rPr>
      <w:tblPr/>
      <w:tcPr>
        <w:shd w:val="clear" w:color="auto" w:fill="AB0051" w:themeFill="accent2" w:themeFillShade="BF"/>
      </w:tcPr>
    </w:tblStylePr>
    <w:tblStylePr w:type="band1Vert">
      <w:tblPr/>
      <w:tcPr>
        <w:shd w:val="clear" w:color="auto" w:fill="FF73B5" w:themeFill="accent2" w:themeFillTint="7F"/>
      </w:tcPr>
    </w:tblStylePr>
    <w:tblStylePr w:type="band1Horz">
      <w:tblPr/>
      <w:tcPr>
        <w:shd w:val="clear" w:color="auto" w:fill="FF73B5" w:themeFill="accent2" w:themeFillTint="7F"/>
      </w:tcPr>
    </w:tblStylePr>
  </w:style>
  <w:style w:type="table" w:styleId="ColorfulGrid-Accent3">
    <w:name w:val="Colorful Grid Accent 3"/>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CCC7EF" w:themeFill="accent3" w:themeFillTint="33"/>
    </w:tcPr>
    <w:tblStylePr w:type="firstRow">
      <w:rPr>
        <w:b/>
        <w:bCs/>
      </w:rPr>
      <w:tblPr/>
      <w:tcPr>
        <w:shd w:val="clear" w:color="auto" w:fill="998FDF" w:themeFill="accent3" w:themeFillTint="66"/>
      </w:tcPr>
    </w:tblStylePr>
    <w:tblStylePr w:type="lastRow">
      <w:rPr>
        <w:b/>
        <w:bCs/>
        <w:color w:val="30353F" w:themeColor="text1"/>
      </w:rPr>
      <w:tblPr/>
      <w:tcPr>
        <w:shd w:val="clear" w:color="auto" w:fill="998FDF" w:themeFill="accent3" w:themeFillTint="66"/>
      </w:tcPr>
    </w:tblStylePr>
    <w:tblStylePr w:type="firstCol">
      <w:rPr>
        <w:color w:val="FFFFFF" w:themeColor="background1"/>
      </w:rPr>
      <w:tblPr/>
      <w:tcPr>
        <w:shd w:val="clear" w:color="auto" w:fill="201958" w:themeFill="accent3" w:themeFillShade="BF"/>
      </w:tcPr>
    </w:tblStylePr>
    <w:tblStylePr w:type="lastCol">
      <w:rPr>
        <w:color w:val="FFFFFF" w:themeColor="background1"/>
      </w:rPr>
      <w:tblPr/>
      <w:tcPr>
        <w:shd w:val="clear" w:color="auto" w:fill="201958" w:themeFill="accent3" w:themeFillShade="BF"/>
      </w:tcPr>
    </w:tblStylePr>
    <w:tblStylePr w:type="band1Vert">
      <w:tblPr/>
      <w:tcPr>
        <w:shd w:val="clear" w:color="auto" w:fill="8074D7" w:themeFill="accent3" w:themeFillTint="7F"/>
      </w:tcPr>
    </w:tblStylePr>
    <w:tblStylePr w:type="band1Horz">
      <w:tblPr/>
      <w:tcPr>
        <w:shd w:val="clear" w:color="auto" w:fill="8074D7" w:themeFill="accent3" w:themeFillTint="7F"/>
      </w:tcPr>
    </w:tblStylePr>
  </w:style>
  <w:style w:type="table" w:styleId="ColorfulGrid-Accent4">
    <w:name w:val="Colorful Grid Accent 4"/>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5BED8" w:themeFill="accent4" w:themeFillTint="33"/>
    </w:tcPr>
    <w:tblStylePr w:type="firstRow">
      <w:rPr>
        <w:b/>
        <w:bCs/>
      </w:rPr>
      <w:tblPr/>
      <w:tcPr>
        <w:shd w:val="clear" w:color="auto" w:fill="EC7EB2" w:themeFill="accent4" w:themeFillTint="66"/>
      </w:tcPr>
    </w:tblStylePr>
    <w:tblStylePr w:type="lastRow">
      <w:rPr>
        <w:b/>
        <w:bCs/>
        <w:color w:val="30353F" w:themeColor="text1"/>
      </w:rPr>
      <w:tblPr/>
      <w:tcPr>
        <w:shd w:val="clear" w:color="auto" w:fill="EC7EB2" w:themeFill="accent4" w:themeFillTint="66"/>
      </w:tcPr>
    </w:tblStylePr>
    <w:tblStylePr w:type="firstCol">
      <w:rPr>
        <w:color w:val="FFFFFF" w:themeColor="background1"/>
      </w:rPr>
      <w:tblPr/>
      <w:tcPr>
        <w:shd w:val="clear" w:color="auto" w:fill="5B0D32" w:themeFill="accent4" w:themeFillShade="BF"/>
      </w:tcPr>
    </w:tblStylePr>
    <w:tblStylePr w:type="lastCol">
      <w:rPr>
        <w:color w:val="FFFFFF" w:themeColor="background1"/>
      </w:rPr>
      <w:tblPr/>
      <w:tcPr>
        <w:shd w:val="clear" w:color="auto" w:fill="5B0D32" w:themeFill="accent4" w:themeFillShade="BF"/>
      </w:tcPr>
    </w:tblStylePr>
    <w:tblStylePr w:type="band1Vert">
      <w:tblPr/>
      <w:tcPr>
        <w:shd w:val="clear" w:color="auto" w:fill="E75E9F" w:themeFill="accent4" w:themeFillTint="7F"/>
      </w:tcPr>
    </w:tblStylePr>
    <w:tblStylePr w:type="band1Horz">
      <w:tblPr/>
      <w:tcPr>
        <w:shd w:val="clear" w:color="auto" w:fill="E75E9F" w:themeFill="accent4" w:themeFillTint="7F"/>
      </w:tcPr>
    </w:tblStylePr>
  </w:style>
  <w:style w:type="table" w:styleId="ColorfulGrid-Accent5">
    <w:name w:val="Colorful Grid Accent 5"/>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4FCC6" w:themeFill="accent5" w:themeFillTint="33"/>
    </w:tcPr>
    <w:tblStylePr w:type="firstRow">
      <w:rPr>
        <w:b/>
        <w:bCs/>
      </w:rPr>
      <w:tblPr/>
      <w:tcPr>
        <w:shd w:val="clear" w:color="auto" w:fill="E9F88E" w:themeFill="accent5" w:themeFillTint="66"/>
      </w:tcPr>
    </w:tblStylePr>
    <w:tblStylePr w:type="lastRow">
      <w:rPr>
        <w:b/>
        <w:bCs/>
        <w:color w:val="30353F" w:themeColor="text1"/>
      </w:rPr>
      <w:tblPr/>
      <w:tcPr>
        <w:shd w:val="clear" w:color="auto" w:fill="E9F88E" w:themeFill="accent5" w:themeFillTint="66"/>
      </w:tcPr>
    </w:tblStylePr>
    <w:tblStylePr w:type="firstCol">
      <w:rPr>
        <w:color w:val="FFFFFF" w:themeColor="background1"/>
      </w:rPr>
      <w:tblPr/>
      <w:tcPr>
        <w:shd w:val="clear" w:color="auto" w:fill="829708" w:themeFill="accent5" w:themeFillShade="BF"/>
      </w:tcPr>
    </w:tblStylePr>
    <w:tblStylePr w:type="lastCol">
      <w:rPr>
        <w:color w:val="FFFFFF" w:themeColor="background1"/>
      </w:rPr>
      <w:tblPr/>
      <w:tcPr>
        <w:shd w:val="clear" w:color="auto" w:fill="829708" w:themeFill="accent5" w:themeFillShade="BF"/>
      </w:tcPr>
    </w:tblStylePr>
    <w:tblStylePr w:type="band1Vert">
      <w:tblPr/>
      <w:tcPr>
        <w:shd w:val="clear" w:color="auto" w:fill="E4F772" w:themeFill="accent5" w:themeFillTint="7F"/>
      </w:tcPr>
    </w:tblStylePr>
    <w:tblStylePr w:type="band1Horz">
      <w:tblPr/>
      <w:tcPr>
        <w:shd w:val="clear" w:color="auto" w:fill="E4F772" w:themeFill="accent5" w:themeFillTint="7F"/>
      </w:tcPr>
    </w:tblStylePr>
  </w:style>
  <w:style w:type="table" w:styleId="ColorfulGrid-Accent6">
    <w:name w:val="Colorful Grid Accent 6"/>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D4F1D3" w:themeFill="accent6" w:themeFillTint="33"/>
    </w:tcPr>
    <w:tblStylePr w:type="firstRow">
      <w:rPr>
        <w:b/>
        <w:bCs/>
      </w:rPr>
      <w:tblPr/>
      <w:tcPr>
        <w:shd w:val="clear" w:color="auto" w:fill="A9E3A7" w:themeFill="accent6" w:themeFillTint="66"/>
      </w:tcPr>
    </w:tblStylePr>
    <w:tblStylePr w:type="lastRow">
      <w:rPr>
        <w:b/>
        <w:bCs/>
        <w:color w:val="30353F" w:themeColor="text1"/>
      </w:rPr>
      <w:tblPr/>
      <w:tcPr>
        <w:shd w:val="clear" w:color="auto" w:fill="A9E3A7" w:themeFill="accent6" w:themeFillTint="66"/>
      </w:tcPr>
    </w:tblStylePr>
    <w:tblStylePr w:type="firstCol">
      <w:rPr>
        <w:color w:val="FFFFFF" w:themeColor="background1"/>
      </w:rPr>
      <w:tblPr/>
      <w:tcPr>
        <w:shd w:val="clear" w:color="auto" w:fill="2B7F27" w:themeFill="accent6" w:themeFillShade="BF"/>
      </w:tcPr>
    </w:tblStylePr>
    <w:tblStylePr w:type="lastCol">
      <w:rPr>
        <w:color w:val="FFFFFF" w:themeColor="background1"/>
      </w:rPr>
      <w:tblPr/>
      <w:tcPr>
        <w:shd w:val="clear" w:color="auto" w:fill="2B7F27" w:themeFill="accent6" w:themeFillShade="BF"/>
      </w:tcPr>
    </w:tblStylePr>
    <w:tblStylePr w:type="band1Vert">
      <w:tblPr/>
      <w:tcPr>
        <w:shd w:val="clear" w:color="auto" w:fill="94DD92" w:themeFill="accent6" w:themeFillTint="7F"/>
      </w:tcPr>
    </w:tblStylePr>
    <w:tblStylePr w:type="band1Horz">
      <w:tblPr/>
      <w:tcPr>
        <w:shd w:val="clear" w:color="auto" w:fill="94DD92" w:themeFill="accent6" w:themeFillTint="7F"/>
      </w:tcPr>
    </w:tblStylePr>
  </w:style>
  <w:style w:type="table" w:styleId="ColorfulList">
    <w:name w:val="Colorful List"/>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8EAEE" w:themeFill="text1"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BD4" w:themeFill="text1" w:themeFillTint="3F"/>
      </w:tcPr>
    </w:tblStylePr>
    <w:tblStylePr w:type="band1Horz">
      <w:tblPr/>
      <w:tcPr>
        <w:shd w:val="clear" w:color="auto" w:fill="D1D5DC" w:themeFill="text1" w:themeFillTint="33"/>
      </w:tcPr>
    </w:tblStylePr>
  </w:style>
  <w:style w:type="table" w:styleId="ColorfulList-Accent1">
    <w:name w:val="Colorful List Accent 1"/>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0F7FF" w:themeFill="accent1"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EBFF" w:themeFill="accent1" w:themeFillTint="3F"/>
      </w:tcPr>
    </w:tblStylePr>
    <w:tblStylePr w:type="band1Horz">
      <w:tblPr/>
      <w:tcPr>
        <w:shd w:val="clear" w:color="auto" w:fill="C0EFFF" w:themeFill="accent1" w:themeFillTint="33"/>
      </w:tcPr>
    </w:tblStylePr>
  </w:style>
  <w:style w:type="table" w:styleId="ColorfulList-Accent2">
    <w:name w:val="Colorful List Accent 2"/>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FE3F0" w:themeFill="accent2"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9DA" w:themeFill="accent2" w:themeFillTint="3F"/>
      </w:tcPr>
    </w:tblStylePr>
    <w:tblStylePr w:type="band1Horz">
      <w:tblPr/>
      <w:tcPr>
        <w:shd w:val="clear" w:color="auto" w:fill="FFC6E1" w:themeFill="accent2" w:themeFillTint="33"/>
      </w:tcPr>
    </w:tblStylePr>
  </w:style>
  <w:style w:type="table" w:styleId="ColorfulList-Accent3">
    <w:name w:val="Colorful List Accent 3"/>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5E3F7" w:themeFill="accent3" w:themeFillTint="19"/>
    </w:tcPr>
    <w:tblStylePr w:type="firstRow">
      <w:rPr>
        <w:b/>
        <w:bCs/>
        <w:color w:val="FFFFFF" w:themeColor="background1"/>
      </w:rPr>
      <w:tblPr/>
      <w:tcPr>
        <w:tcBorders>
          <w:bottom w:val="single" w:sz="12" w:space="0" w:color="FFFFFF" w:themeColor="background1"/>
        </w:tcBorders>
        <w:shd w:val="clear" w:color="auto" w:fill="620E36" w:themeFill="accent4" w:themeFillShade="CC"/>
      </w:tcPr>
    </w:tblStylePr>
    <w:tblStylePr w:type="lastRow">
      <w:rPr>
        <w:b/>
        <w:bCs/>
        <w:color w:val="620E36" w:themeColor="accent4"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AEB" w:themeFill="accent3" w:themeFillTint="3F"/>
      </w:tcPr>
    </w:tblStylePr>
    <w:tblStylePr w:type="band1Horz">
      <w:tblPr/>
      <w:tcPr>
        <w:shd w:val="clear" w:color="auto" w:fill="CCC7EF" w:themeFill="accent3" w:themeFillTint="33"/>
      </w:tcPr>
    </w:tblStylePr>
  </w:style>
  <w:style w:type="table" w:styleId="ColorfulList-Accent4">
    <w:name w:val="Colorful List Accent 4"/>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ADFEC" w:themeFill="accent4" w:themeFillTint="19"/>
    </w:tcPr>
    <w:tblStylePr w:type="firstRow">
      <w:rPr>
        <w:b/>
        <w:bCs/>
        <w:color w:val="FFFFFF" w:themeColor="background1"/>
      </w:rPr>
      <w:tblPr/>
      <w:tcPr>
        <w:tcBorders>
          <w:bottom w:val="single" w:sz="12" w:space="0" w:color="FFFFFF" w:themeColor="background1"/>
        </w:tcBorders>
        <w:shd w:val="clear" w:color="auto" w:fill="231B5E" w:themeFill="accent3" w:themeFillShade="CC"/>
      </w:tcPr>
    </w:tblStylePr>
    <w:tblStylePr w:type="lastRow">
      <w:rPr>
        <w:b/>
        <w:bCs/>
        <w:color w:val="231B5E" w:themeColor="accent3"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AFCF" w:themeFill="accent4" w:themeFillTint="3F"/>
      </w:tcPr>
    </w:tblStylePr>
    <w:tblStylePr w:type="band1Horz">
      <w:tblPr/>
      <w:tcPr>
        <w:shd w:val="clear" w:color="auto" w:fill="F5BED8" w:themeFill="accent4" w:themeFillTint="33"/>
      </w:tcPr>
    </w:tblStylePr>
  </w:style>
  <w:style w:type="table" w:styleId="ColorfulList-Accent5">
    <w:name w:val="Colorful List Accent 5"/>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9FDE3" w:themeFill="accent5" w:themeFillTint="19"/>
    </w:tcPr>
    <w:tblStylePr w:type="firstRow">
      <w:rPr>
        <w:b/>
        <w:bCs/>
        <w:color w:val="FFFFFF" w:themeColor="background1"/>
      </w:rPr>
      <w:tblPr/>
      <w:tcPr>
        <w:tcBorders>
          <w:bottom w:val="single" w:sz="12" w:space="0" w:color="FFFFFF" w:themeColor="background1"/>
        </w:tcBorders>
        <w:shd w:val="clear" w:color="auto" w:fill="2E872A" w:themeFill="accent6" w:themeFillShade="CC"/>
      </w:tcPr>
    </w:tblStylePr>
    <w:tblStylePr w:type="lastRow">
      <w:rPr>
        <w:b/>
        <w:bCs/>
        <w:color w:val="2E872A" w:themeColor="accent6"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BB9" w:themeFill="accent5" w:themeFillTint="3F"/>
      </w:tcPr>
    </w:tblStylePr>
    <w:tblStylePr w:type="band1Horz">
      <w:tblPr/>
      <w:tcPr>
        <w:shd w:val="clear" w:color="auto" w:fill="F4FCC6" w:themeFill="accent5" w:themeFillTint="33"/>
      </w:tcPr>
    </w:tblStylePr>
  </w:style>
  <w:style w:type="table" w:styleId="ColorfulList-Accent6">
    <w:name w:val="Colorful List Accent 6"/>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9F8E9" w:themeFill="accent6" w:themeFillTint="19"/>
    </w:tcPr>
    <w:tblStylePr w:type="firstRow">
      <w:rPr>
        <w:b/>
        <w:bCs/>
        <w:color w:val="FFFFFF" w:themeColor="background1"/>
      </w:rPr>
      <w:tblPr/>
      <w:tcPr>
        <w:tcBorders>
          <w:bottom w:val="single" w:sz="12" w:space="0" w:color="FFFFFF" w:themeColor="background1"/>
        </w:tcBorders>
        <w:shd w:val="clear" w:color="auto" w:fill="8BA109" w:themeFill="accent5" w:themeFillShade="CC"/>
      </w:tcPr>
    </w:tblStylePr>
    <w:tblStylePr w:type="lastRow">
      <w:rPr>
        <w:b/>
        <w:bCs/>
        <w:color w:val="8BA109" w:themeColor="accent5"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EC8" w:themeFill="accent6" w:themeFillTint="3F"/>
      </w:tcPr>
    </w:tblStylePr>
    <w:tblStylePr w:type="band1Horz">
      <w:tblPr/>
      <w:tcPr>
        <w:shd w:val="clear" w:color="auto" w:fill="D4F1D3" w:themeFill="accent6" w:themeFillTint="33"/>
      </w:tcPr>
    </w:tblStylePr>
  </w:style>
  <w:style w:type="table" w:styleId="ColorfulShading">
    <w:name w:val="Colorful Shading"/>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30353F" w:themeColor="text1"/>
        <w:bottom w:val="single" w:sz="4" w:space="0" w:color="30353F" w:themeColor="text1"/>
        <w:right w:val="single" w:sz="4" w:space="0" w:color="30353F" w:themeColor="text1"/>
        <w:insideH w:val="single" w:sz="4" w:space="0" w:color="FFFFFF" w:themeColor="background1"/>
        <w:insideV w:val="single" w:sz="4" w:space="0" w:color="FFFFFF" w:themeColor="background1"/>
      </w:tblBorders>
    </w:tblPr>
    <w:tcPr>
      <w:shd w:val="clear" w:color="auto" w:fill="E8EAEE" w:themeFill="text1"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1F25" w:themeFill="text1" w:themeFillShade="99"/>
      </w:tcPr>
    </w:tblStylePr>
    <w:tblStylePr w:type="firstCol">
      <w:rPr>
        <w:color w:val="FFFFFF" w:themeColor="background1"/>
      </w:rPr>
      <w:tblPr/>
      <w:tcPr>
        <w:tcBorders>
          <w:top w:val="nil"/>
          <w:left w:val="nil"/>
          <w:bottom w:val="nil"/>
          <w:right w:val="nil"/>
          <w:insideH w:val="single" w:sz="4" w:space="0" w:color="1C1F25" w:themeColor="text1" w:themeShade="99"/>
          <w:insideV w:val="nil"/>
        </w:tcBorders>
        <w:shd w:val="clear" w:color="auto" w:fill="1C1F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4272F" w:themeFill="text1" w:themeFillShade="BF"/>
      </w:tcPr>
    </w:tblStylePr>
    <w:tblStylePr w:type="band1Vert">
      <w:tblPr/>
      <w:tcPr>
        <w:shd w:val="clear" w:color="auto" w:fill="A4ABBA" w:themeFill="text1" w:themeFillTint="66"/>
      </w:tcPr>
    </w:tblStylePr>
    <w:tblStylePr w:type="band1Horz">
      <w:tblPr/>
      <w:tcPr>
        <w:shd w:val="clear" w:color="auto" w:fill="8E97A9" w:themeFill="text1" w:themeFillTint="7F"/>
      </w:tcPr>
    </w:tblStylePr>
    <w:tblStylePr w:type="neCell">
      <w:rPr>
        <w:color w:val="30353F" w:themeColor="text1"/>
      </w:rPr>
    </w:tblStylePr>
    <w:tblStylePr w:type="nwCell">
      <w:rPr>
        <w:color w:val="30353F" w:themeColor="text1"/>
      </w:rPr>
    </w:tblStylePr>
  </w:style>
  <w:style w:type="table" w:styleId="ColorfulShading-Accent1">
    <w:name w:val="Colorful Shading Accent 1"/>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0094C5" w:themeColor="accent1"/>
        <w:bottom w:val="single" w:sz="4" w:space="0" w:color="0094C5" w:themeColor="accent1"/>
        <w:right w:val="single" w:sz="4" w:space="0" w:color="0094C5" w:themeColor="accent1"/>
        <w:insideH w:val="single" w:sz="4" w:space="0" w:color="FFFFFF" w:themeColor="background1"/>
        <w:insideV w:val="single" w:sz="4" w:space="0" w:color="FFFFFF" w:themeColor="background1"/>
      </w:tblBorders>
    </w:tblPr>
    <w:tcPr>
      <w:shd w:val="clear" w:color="auto" w:fill="E0F7FF" w:themeFill="accent1"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76" w:themeFill="accent1" w:themeFillShade="99"/>
      </w:tcPr>
    </w:tblStylePr>
    <w:tblStylePr w:type="firstCol">
      <w:rPr>
        <w:color w:val="FFFFFF" w:themeColor="background1"/>
      </w:rPr>
      <w:tblPr/>
      <w:tcPr>
        <w:tcBorders>
          <w:top w:val="nil"/>
          <w:left w:val="nil"/>
          <w:bottom w:val="nil"/>
          <w:right w:val="nil"/>
          <w:insideH w:val="single" w:sz="4" w:space="0" w:color="005876" w:themeColor="accent1" w:themeShade="99"/>
          <w:insideV w:val="nil"/>
        </w:tcBorders>
        <w:shd w:val="clear" w:color="auto" w:fill="0058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876" w:themeFill="accent1" w:themeFillShade="99"/>
      </w:tcPr>
    </w:tblStylePr>
    <w:tblStylePr w:type="band1Vert">
      <w:tblPr/>
      <w:tcPr>
        <w:shd w:val="clear" w:color="auto" w:fill="81DFFF" w:themeFill="accent1" w:themeFillTint="66"/>
      </w:tcPr>
    </w:tblStylePr>
    <w:tblStylePr w:type="band1Horz">
      <w:tblPr/>
      <w:tcPr>
        <w:shd w:val="clear" w:color="auto" w:fill="63D7FF" w:themeFill="accent1" w:themeFillTint="7F"/>
      </w:tcPr>
    </w:tblStylePr>
    <w:tblStylePr w:type="neCell">
      <w:rPr>
        <w:color w:val="30353F" w:themeColor="text1"/>
      </w:rPr>
    </w:tblStylePr>
    <w:tblStylePr w:type="nwCell">
      <w:rPr>
        <w:color w:val="30353F" w:themeColor="text1"/>
      </w:rPr>
    </w:tblStylePr>
  </w:style>
  <w:style w:type="table" w:styleId="ColorfulShading-Accent2">
    <w:name w:val="Colorful Shading Accent 2"/>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E5006D" w:themeColor="accent2"/>
        <w:bottom w:val="single" w:sz="4" w:space="0" w:color="E5006D" w:themeColor="accent2"/>
        <w:right w:val="single" w:sz="4" w:space="0" w:color="E5006D" w:themeColor="accent2"/>
        <w:insideH w:val="single" w:sz="4" w:space="0" w:color="FFFFFF" w:themeColor="background1"/>
        <w:insideV w:val="single" w:sz="4" w:space="0" w:color="FFFFFF" w:themeColor="background1"/>
      </w:tblBorders>
    </w:tblPr>
    <w:tcPr>
      <w:shd w:val="clear" w:color="auto" w:fill="FFE3F0" w:themeFill="accent2"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0041" w:themeFill="accent2" w:themeFillShade="99"/>
      </w:tcPr>
    </w:tblStylePr>
    <w:tblStylePr w:type="firstCol">
      <w:rPr>
        <w:color w:val="FFFFFF" w:themeColor="background1"/>
      </w:rPr>
      <w:tblPr/>
      <w:tcPr>
        <w:tcBorders>
          <w:top w:val="nil"/>
          <w:left w:val="nil"/>
          <w:bottom w:val="nil"/>
          <w:right w:val="nil"/>
          <w:insideH w:val="single" w:sz="4" w:space="0" w:color="890041" w:themeColor="accent2" w:themeShade="99"/>
          <w:insideV w:val="nil"/>
        </w:tcBorders>
        <w:shd w:val="clear" w:color="auto" w:fill="89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0041" w:themeFill="accent2" w:themeFillShade="99"/>
      </w:tcPr>
    </w:tblStylePr>
    <w:tblStylePr w:type="band1Vert">
      <w:tblPr/>
      <w:tcPr>
        <w:shd w:val="clear" w:color="auto" w:fill="FF8EC3" w:themeFill="accent2" w:themeFillTint="66"/>
      </w:tcPr>
    </w:tblStylePr>
    <w:tblStylePr w:type="band1Horz">
      <w:tblPr/>
      <w:tcPr>
        <w:shd w:val="clear" w:color="auto" w:fill="FF73B5" w:themeFill="accent2" w:themeFillTint="7F"/>
      </w:tcPr>
    </w:tblStylePr>
    <w:tblStylePr w:type="neCell">
      <w:rPr>
        <w:color w:val="30353F" w:themeColor="text1"/>
      </w:rPr>
    </w:tblStylePr>
    <w:tblStylePr w:type="nwCell">
      <w:rPr>
        <w:color w:val="30353F" w:themeColor="text1"/>
      </w:rPr>
    </w:tblStylePr>
  </w:style>
  <w:style w:type="table" w:styleId="ColorfulShading-Accent3">
    <w:name w:val="Colorful Shading Accent 3"/>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7B1244" w:themeColor="accent4"/>
        <w:left w:val="single" w:sz="4" w:space="0" w:color="2C2276" w:themeColor="accent3"/>
        <w:bottom w:val="single" w:sz="4" w:space="0" w:color="2C2276" w:themeColor="accent3"/>
        <w:right w:val="single" w:sz="4" w:space="0" w:color="2C2276" w:themeColor="accent3"/>
        <w:insideH w:val="single" w:sz="4" w:space="0" w:color="FFFFFF" w:themeColor="background1"/>
        <w:insideV w:val="single" w:sz="4" w:space="0" w:color="FFFFFF" w:themeColor="background1"/>
      </w:tblBorders>
    </w:tblPr>
    <w:tcPr>
      <w:shd w:val="clear" w:color="auto" w:fill="E5E3F7" w:themeFill="accent3" w:themeFillTint="19"/>
    </w:tcPr>
    <w:tblStylePr w:type="firstRow">
      <w:rPr>
        <w:b/>
        <w:bCs/>
      </w:rPr>
      <w:tblPr/>
      <w:tcPr>
        <w:tcBorders>
          <w:top w:val="nil"/>
          <w:left w:val="nil"/>
          <w:bottom w:val="single" w:sz="24" w:space="0" w:color="7B124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446" w:themeFill="accent3" w:themeFillShade="99"/>
      </w:tcPr>
    </w:tblStylePr>
    <w:tblStylePr w:type="firstCol">
      <w:rPr>
        <w:color w:val="FFFFFF" w:themeColor="background1"/>
      </w:rPr>
      <w:tblPr/>
      <w:tcPr>
        <w:tcBorders>
          <w:top w:val="nil"/>
          <w:left w:val="nil"/>
          <w:bottom w:val="nil"/>
          <w:right w:val="nil"/>
          <w:insideH w:val="single" w:sz="4" w:space="0" w:color="1A1446" w:themeColor="accent3" w:themeShade="99"/>
          <w:insideV w:val="nil"/>
        </w:tcBorders>
        <w:shd w:val="clear" w:color="auto" w:fill="1A14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1446" w:themeFill="accent3" w:themeFillShade="99"/>
      </w:tcPr>
    </w:tblStylePr>
    <w:tblStylePr w:type="band1Vert">
      <w:tblPr/>
      <w:tcPr>
        <w:shd w:val="clear" w:color="auto" w:fill="998FDF" w:themeFill="accent3" w:themeFillTint="66"/>
      </w:tcPr>
    </w:tblStylePr>
    <w:tblStylePr w:type="band1Horz">
      <w:tblPr/>
      <w:tcPr>
        <w:shd w:val="clear" w:color="auto" w:fill="8074D7" w:themeFill="accent3" w:themeFillTint="7F"/>
      </w:tcPr>
    </w:tblStylePr>
  </w:style>
  <w:style w:type="table" w:styleId="ColorfulShading-Accent4">
    <w:name w:val="Colorful Shading Accent 4"/>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2C2276" w:themeColor="accent3"/>
        <w:left w:val="single" w:sz="4" w:space="0" w:color="7B1244" w:themeColor="accent4"/>
        <w:bottom w:val="single" w:sz="4" w:space="0" w:color="7B1244" w:themeColor="accent4"/>
        <w:right w:val="single" w:sz="4" w:space="0" w:color="7B1244" w:themeColor="accent4"/>
        <w:insideH w:val="single" w:sz="4" w:space="0" w:color="FFFFFF" w:themeColor="background1"/>
        <w:insideV w:val="single" w:sz="4" w:space="0" w:color="FFFFFF" w:themeColor="background1"/>
      </w:tblBorders>
    </w:tblPr>
    <w:tcPr>
      <w:shd w:val="clear" w:color="auto" w:fill="FADFEC" w:themeFill="accent4" w:themeFillTint="19"/>
    </w:tcPr>
    <w:tblStylePr w:type="firstRow">
      <w:rPr>
        <w:b/>
        <w:bCs/>
      </w:rPr>
      <w:tblPr/>
      <w:tcPr>
        <w:tcBorders>
          <w:top w:val="nil"/>
          <w:left w:val="nil"/>
          <w:bottom w:val="single" w:sz="24" w:space="0" w:color="2C2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0A28" w:themeFill="accent4" w:themeFillShade="99"/>
      </w:tcPr>
    </w:tblStylePr>
    <w:tblStylePr w:type="firstCol">
      <w:rPr>
        <w:color w:val="FFFFFF" w:themeColor="background1"/>
      </w:rPr>
      <w:tblPr/>
      <w:tcPr>
        <w:tcBorders>
          <w:top w:val="nil"/>
          <w:left w:val="nil"/>
          <w:bottom w:val="nil"/>
          <w:right w:val="nil"/>
          <w:insideH w:val="single" w:sz="4" w:space="0" w:color="490A28" w:themeColor="accent4" w:themeShade="99"/>
          <w:insideV w:val="nil"/>
        </w:tcBorders>
        <w:shd w:val="clear" w:color="auto" w:fill="490A2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90A28" w:themeFill="accent4" w:themeFillShade="99"/>
      </w:tcPr>
    </w:tblStylePr>
    <w:tblStylePr w:type="band1Vert">
      <w:tblPr/>
      <w:tcPr>
        <w:shd w:val="clear" w:color="auto" w:fill="EC7EB2" w:themeFill="accent4" w:themeFillTint="66"/>
      </w:tcPr>
    </w:tblStylePr>
    <w:tblStylePr w:type="band1Horz">
      <w:tblPr/>
      <w:tcPr>
        <w:shd w:val="clear" w:color="auto" w:fill="E75E9F" w:themeFill="accent4" w:themeFillTint="7F"/>
      </w:tcPr>
    </w:tblStylePr>
    <w:tblStylePr w:type="neCell">
      <w:rPr>
        <w:color w:val="30353F" w:themeColor="text1"/>
      </w:rPr>
    </w:tblStylePr>
    <w:tblStylePr w:type="nwCell">
      <w:rPr>
        <w:color w:val="30353F" w:themeColor="text1"/>
      </w:rPr>
    </w:tblStylePr>
  </w:style>
  <w:style w:type="table" w:styleId="ColorfulShading-Accent5">
    <w:name w:val="Colorful Shading Accent 5"/>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3AAA35" w:themeColor="accent6"/>
        <w:left w:val="single" w:sz="4" w:space="0" w:color="AFCA0B" w:themeColor="accent5"/>
        <w:bottom w:val="single" w:sz="4" w:space="0" w:color="AFCA0B" w:themeColor="accent5"/>
        <w:right w:val="single" w:sz="4" w:space="0" w:color="AFCA0B" w:themeColor="accent5"/>
        <w:insideH w:val="single" w:sz="4" w:space="0" w:color="FFFFFF" w:themeColor="background1"/>
        <w:insideV w:val="single" w:sz="4" w:space="0" w:color="FFFFFF" w:themeColor="background1"/>
      </w:tblBorders>
    </w:tblPr>
    <w:tcPr>
      <w:shd w:val="clear" w:color="auto" w:fill="F9FDE3" w:themeFill="accent5" w:themeFillTint="19"/>
    </w:tcPr>
    <w:tblStylePr w:type="firstRow">
      <w:rPr>
        <w:b/>
        <w:bCs/>
      </w:rPr>
      <w:tblPr/>
      <w:tcPr>
        <w:tcBorders>
          <w:top w:val="nil"/>
          <w:left w:val="nil"/>
          <w:bottom w:val="single" w:sz="24" w:space="0" w:color="3AAA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87906" w:themeFill="accent5" w:themeFillShade="99"/>
      </w:tcPr>
    </w:tblStylePr>
    <w:tblStylePr w:type="firstCol">
      <w:rPr>
        <w:color w:val="FFFFFF" w:themeColor="background1"/>
      </w:rPr>
      <w:tblPr/>
      <w:tcPr>
        <w:tcBorders>
          <w:top w:val="nil"/>
          <w:left w:val="nil"/>
          <w:bottom w:val="nil"/>
          <w:right w:val="nil"/>
          <w:insideH w:val="single" w:sz="4" w:space="0" w:color="687906" w:themeColor="accent5" w:themeShade="99"/>
          <w:insideV w:val="nil"/>
        </w:tcBorders>
        <w:shd w:val="clear" w:color="auto" w:fill="68790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87906" w:themeFill="accent5" w:themeFillShade="99"/>
      </w:tcPr>
    </w:tblStylePr>
    <w:tblStylePr w:type="band1Vert">
      <w:tblPr/>
      <w:tcPr>
        <w:shd w:val="clear" w:color="auto" w:fill="E9F88E" w:themeFill="accent5" w:themeFillTint="66"/>
      </w:tcPr>
    </w:tblStylePr>
    <w:tblStylePr w:type="band1Horz">
      <w:tblPr/>
      <w:tcPr>
        <w:shd w:val="clear" w:color="auto" w:fill="E4F772" w:themeFill="accent5" w:themeFillTint="7F"/>
      </w:tcPr>
    </w:tblStylePr>
    <w:tblStylePr w:type="neCell">
      <w:rPr>
        <w:color w:val="30353F" w:themeColor="text1"/>
      </w:rPr>
    </w:tblStylePr>
    <w:tblStylePr w:type="nwCell">
      <w:rPr>
        <w:color w:val="30353F" w:themeColor="text1"/>
      </w:rPr>
    </w:tblStylePr>
  </w:style>
  <w:style w:type="table" w:styleId="ColorfulShading-Accent6">
    <w:name w:val="Colorful Shading Accent 6"/>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AFCA0B" w:themeColor="accent5"/>
        <w:left w:val="single" w:sz="4" w:space="0" w:color="3AAA35" w:themeColor="accent6"/>
        <w:bottom w:val="single" w:sz="4" w:space="0" w:color="3AAA35" w:themeColor="accent6"/>
        <w:right w:val="single" w:sz="4" w:space="0" w:color="3AAA35" w:themeColor="accent6"/>
        <w:insideH w:val="single" w:sz="4" w:space="0" w:color="FFFFFF" w:themeColor="background1"/>
        <w:insideV w:val="single" w:sz="4" w:space="0" w:color="FFFFFF" w:themeColor="background1"/>
      </w:tblBorders>
    </w:tblPr>
    <w:tcPr>
      <w:shd w:val="clear" w:color="auto" w:fill="E9F8E9" w:themeFill="accent6" w:themeFillTint="19"/>
    </w:tcPr>
    <w:tblStylePr w:type="firstRow">
      <w:rPr>
        <w:b/>
        <w:bCs/>
      </w:rPr>
      <w:tblPr/>
      <w:tcPr>
        <w:tcBorders>
          <w:top w:val="nil"/>
          <w:left w:val="nil"/>
          <w:bottom w:val="single" w:sz="24" w:space="0" w:color="AFCA0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51F" w:themeFill="accent6" w:themeFillShade="99"/>
      </w:tcPr>
    </w:tblStylePr>
    <w:tblStylePr w:type="firstCol">
      <w:rPr>
        <w:color w:val="FFFFFF" w:themeColor="background1"/>
      </w:rPr>
      <w:tblPr/>
      <w:tcPr>
        <w:tcBorders>
          <w:top w:val="nil"/>
          <w:left w:val="nil"/>
          <w:bottom w:val="nil"/>
          <w:right w:val="nil"/>
          <w:insideH w:val="single" w:sz="4" w:space="0" w:color="22651F" w:themeColor="accent6" w:themeShade="99"/>
          <w:insideV w:val="nil"/>
        </w:tcBorders>
        <w:shd w:val="clear" w:color="auto" w:fill="2265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2651F" w:themeFill="accent6" w:themeFillShade="99"/>
      </w:tcPr>
    </w:tblStylePr>
    <w:tblStylePr w:type="band1Vert">
      <w:tblPr/>
      <w:tcPr>
        <w:shd w:val="clear" w:color="auto" w:fill="A9E3A7" w:themeFill="accent6" w:themeFillTint="66"/>
      </w:tcPr>
    </w:tblStylePr>
    <w:tblStylePr w:type="band1Horz">
      <w:tblPr/>
      <w:tcPr>
        <w:shd w:val="clear" w:color="auto" w:fill="94DD92" w:themeFill="accent6" w:themeFillTint="7F"/>
      </w:tcPr>
    </w:tblStylePr>
    <w:tblStylePr w:type="neCell">
      <w:rPr>
        <w:color w:val="30353F" w:themeColor="text1"/>
      </w:rPr>
    </w:tblStylePr>
    <w:tblStylePr w:type="nwCell">
      <w:rPr>
        <w:color w:val="30353F" w:themeColor="text1"/>
      </w:rPr>
    </w:tblStylePr>
  </w:style>
  <w:style w:type="character" w:styleId="CommentReference">
    <w:name w:val="annotation reference"/>
    <w:basedOn w:val="DefaultParagraphFont"/>
    <w:uiPriority w:val="99"/>
    <w:semiHidden/>
    <w:unhideWhenUsed/>
    <w:rsid w:val="00DF245D"/>
    <w:rPr>
      <w:sz w:val="16"/>
      <w:szCs w:val="16"/>
    </w:rPr>
  </w:style>
  <w:style w:type="paragraph" w:styleId="CommentText">
    <w:name w:val="annotation text"/>
    <w:basedOn w:val="Normal"/>
    <w:link w:val="CommentTextChar"/>
    <w:uiPriority w:val="99"/>
    <w:unhideWhenUsed/>
    <w:rsid w:val="00DF245D"/>
    <w:pPr>
      <w:spacing w:line="240" w:lineRule="auto"/>
    </w:pPr>
    <w:rPr>
      <w:sz w:val="20"/>
      <w:szCs w:val="20"/>
    </w:rPr>
  </w:style>
  <w:style w:type="character" w:customStyle="1" w:styleId="CommentTextChar">
    <w:name w:val="Comment Text Char"/>
    <w:basedOn w:val="DefaultParagraphFont"/>
    <w:link w:val="CommentText"/>
    <w:uiPriority w:val="99"/>
    <w:rsid w:val="00DF245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F245D"/>
    <w:rPr>
      <w:b/>
      <w:bCs/>
    </w:rPr>
  </w:style>
  <w:style w:type="character" w:customStyle="1" w:styleId="CommentSubjectChar">
    <w:name w:val="Comment Subject Char"/>
    <w:basedOn w:val="CommentTextChar"/>
    <w:link w:val="CommentSubject"/>
    <w:uiPriority w:val="99"/>
    <w:semiHidden/>
    <w:rsid w:val="00DF245D"/>
    <w:rPr>
      <w:rFonts w:ascii="Calibri" w:hAnsi="Calibri"/>
      <w:b/>
      <w:bCs/>
      <w:sz w:val="20"/>
      <w:szCs w:val="20"/>
    </w:rPr>
  </w:style>
  <w:style w:type="table" w:styleId="DarkList">
    <w:name w:val="Dark List"/>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30353F" w:themeFill="text1"/>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71A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427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4272F" w:themeFill="text1" w:themeFillShade="BF"/>
      </w:tcPr>
    </w:tblStylePr>
    <w:tblStylePr w:type="band1Vert">
      <w:tblPr/>
      <w:tcPr>
        <w:tcBorders>
          <w:top w:val="nil"/>
          <w:left w:val="nil"/>
          <w:bottom w:val="nil"/>
          <w:right w:val="nil"/>
          <w:insideH w:val="nil"/>
          <w:insideV w:val="nil"/>
        </w:tcBorders>
        <w:shd w:val="clear" w:color="auto" w:fill="24272F" w:themeFill="text1" w:themeFillShade="BF"/>
      </w:tcPr>
    </w:tblStylePr>
    <w:tblStylePr w:type="band1Horz">
      <w:tblPr/>
      <w:tcPr>
        <w:tcBorders>
          <w:top w:val="nil"/>
          <w:left w:val="nil"/>
          <w:bottom w:val="nil"/>
          <w:right w:val="nil"/>
          <w:insideH w:val="nil"/>
          <w:insideV w:val="nil"/>
        </w:tcBorders>
        <w:shd w:val="clear" w:color="auto" w:fill="24272F" w:themeFill="text1" w:themeFillShade="BF"/>
      </w:tcPr>
    </w:tblStylePr>
  </w:style>
  <w:style w:type="table" w:styleId="DarkList-Accent1">
    <w:name w:val="Dark List Accent 1"/>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0094C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0049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E9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E93" w:themeFill="accent1" w:themeFillShade="BF"/>
      </w:tcPr>
    </w:tblStylePr>
    <w:tblStylePr w:type="band1Vert">
      <w:tblPr/>
      <w:tcPr>
        <w:tcBorders>
          <w:top w:val="nil"/>
          <w:left w:val="nil"/>
          <w:bottom w:val="nil"/>
          <w:right w:val="nil"/>
          <w:insideH w:val="nil"/>
          <w:insideV w:val="nil"/>
        </w:tcBorders>
        <w:shd w:val="clear" w:color="auto" w:fill="006E93" w:themeFill="accent1" w:themeFillShade="BF"/>
      </w:tcPr>
    </w:tblStylePr>
    <w:tblStylePr w:type="band1Horz">
      <w:tblPr/>
      <w:tcPr>
        <w:tcBorders>
          <w:top w:val="nil"/>
          <w:left w:val="nil"/>
          <w:bottom w:val="nil"/>
          <w:right w:val="nil"/>
          <w:insideH w:val="nil"/>
          <w:insideV w:val="nil"/>
        </w:tcBorders>
        <w:shd w:val="clear" w:color="auto" w:fill="006E93" w:themeFill="accent1" w:themeFillShade="BF"/>
      </w:tcPr>
    </w:tblStylePr>
  </w:style>
  <w:style w:type="table" w:styleId="DarkList-Accent2">
    <w:name w:val="Dark List Accent 2"/>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E5006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72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00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0051" w:themeFill="accent2" w:themeFillShade="BF"/>
      </w:tcPr>
    </w:tblStylePr>
    <w:tblStylePr w:type="band1Vert">
      <w:tblPr/>
      <w:tcPr>
        <w:tcBorders>
          <w:top w:val="nil"/>
          <w:left w:val="nil"/>
          <w:bottom w:val="nil"/>
          <w:right w:val="nil"/>
          <w:insideH w:val="nil"/>
          <w:insideV w:val="nil"/>
        </w:tcBorders>
        <w:shd w:val="clear" w:color="auto" w:fill="AB0051" w:themeFill="accent2" w:themeFillShade="BF"/>
      </w:tcPr>
    </w:tblStylePr>
    <w:tblStylePr w:type="band1Horz">
      <w:tblPr/>
      <w:tcPr>
        <w:tcBorders>
          <w:top w:val="nil"/>
          <w:left w:val="nil"/>
          <w:bottom w:val="nil"/>
          <w:right w:val="nil"/>
          <w:insideH w:val="nil"/>
          <w:insideV w:val="nil"/>
        </w:tcBorders>
        <w:shd w:val="clear" w:color="auto" w:fill="AB0051" w:themeFill="accent2" w:themeFillShade="BF"/>
      </w:tcPr>
    </w:tblStylePr>
  </w:style>
  <w:style w:type="table" w:styleId="DarkList-Accent3">
    <w:name w:val="Dark List Accent 3"/>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2C227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511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19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1958" w:themeFill="accent3" w:themeFillShade="BF"/>
      </w:tcPr>
    </w:tblStylePr>
    <w:tblStylePr w:type="band1Vert">
      <w:tblPr/>
      <w:tcPr>
        <w:tcBorders>
          <w:top w:val="nil"/>
          <w:left w:val="nil"/>
          <w:bottom w:val="nil"/>
          <w:right w:val="nil"/>
          <w:insideH w:val="nil"/>
          <w:insideV w:val="nil"/>
        </w:tcBorders>
        <w:shd w:val="clear" w:color="auto" w:fill="201958" w:themeFill="accent3" w:themeFillShade="BF"/>
      </w:tcPr>
    </w:tblStylePr>
    <w:tblStylePr w:type="band1Horz">
      <w:tblPr/>
      <w:tcPr>
        <w:tcBorders>
          <w:top w:val="nil"/>
          <w:left w:val="nil"/>
          <w:bottom w:val="nil"/>
          <w:right w:val="nil"/>
          <w:insideH w:val="nil"/>
          <w:insideV w:val="nil"/>
        </w:tcBorders>
        <w:shd w:val="clear" w:color="auto" w:fill="201958" w:themeFill="accent3" w:themeFillShade="BF"/>
      </w:tcPr>
    </w:tblStylePr>
  </w:style>
  <w:style w:type="table" w:styleId="DarkList-Accent4">
    <w:name w:val="Dark List Accent 4"/>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7B124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3D09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0D3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0D32" w:themeFill="accent4" w:themeFillShade="BF"/>
      </w:tcPr>
    </w:tblStylePr>
    <w:tblStylePr w:type="band1Vert">
      <w:tblPr/>
      <w:tcPr>
        <w:tcBorders>
          <w:top w:val="nil"/>
          <w:left w:val="nil"/>
          <w:bottom w:val="nil"/>
          <w:right w:val="nil"/>
          <w:insideH w:val="nil"/>
          <w:insideV w:val="nil"/>
        </w:tcBorders>
        <w:shd w:val="clear" w:color="auto" w:fill="5B0D32" w:themeFill="accent4" w:themeFillShade="BF"/>
      </w:tcPr>
    </w:tblStylePr>
    <w:tblStylePr w:type="band1Horz">
      <w:tblPr/>
      <w:tcPr>
        <w:tcBorders>
          <w:top w:val="nil"/>
          <w:left w:val="nil"/>
          <w:bottom w:val="nil"/>
          <w:right w:val="nil"/>
          <w:insideH w:val="nil"/>
          <w:insideV w:val="nil"/>
        </w:tcBorders>
        <w:shd w:val="clear" w:color="auto" w:fill="5B0D32" w:themeFill="accent4" w:themeFillShade="BF"/>
      </w:tcPr>
    </w:tblStylePr>
  </w:style>
  <w:style w:type="table" w:styleId="DarkList-Accent5">
    <w:name w:val="Dark List Accent 5"/>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AFCA0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56640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2970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29708" w:themeFill="accent5" w:themeFillShade="BF"/>
      </w:tcPr>
    </w:tblStylePr>
    <w:tblStylePr w:type="band1Vert">
      <w:tblPr/>
      <w:tcPr>
        <w:tcBorders>
          <w:top w:val="nil"/>
          <w:left w:val="nil"/>
          <w:bottom w:val="nil"/>
          <w:right w:val="nil"/>
          <w:insideH w:val="nil"/>
          <w:insideV w:val="nil"/>
        </w:tcBorders>
        <w:shd w:val="clear" w:color="auto" w:fill="829708" w:themeFill="accent5" w:themeFillShade="BF"/>
      </w:tcPr>
    </w:tblStylePr>
    <w:tblStylePr w:type="band1Horz">
      <w:tblPr/>
      <w:tcPr>
        <w:tcBorders>
          <w:top w:val="nil"/>
          <w:left w:val="nil"/>
          <w:bottom w:val="nil"/>
          <w:right w:val="nil"/>
          <w:insideH w:val="nil"/>
          <w:insideV w:val="nil"/>
        </w:tcBorders>
        <w:shd w:val="clear" w:color="auto" w:fill="829708" w:themeFill="accent5" w:themeFillShade="BF"/>
      </w:tcPr>
    </w:tblStylePr>
  </w:style>
  <w:style w:type="table" w:styleId="DarkList-Accent6">
    <w:name w:val="Dark List Accent 6"/>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3AAA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C54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B7F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B7F27" w:themeFill="accent6" w:themeFillShade="BF"/>
      </w:tcPr>
    </w:tblStylePr>
    <w:tblStylePr w:type="band1Vert">
      <w:tblPr/>
      <w:tcPr>
        <w:tcBorders>
          <w:top w:val="nil"/>
          <w:left w:val="nil"/>
          <w:bottom w:val="nil"/>
          <w:right w:val="nil"/>
          <w:insideH w:val="nil"/>
          <w:insideV w:val="nil"/>
        </w:tcBorders>
        <w:shd w:val="clear" w:color="auto" w:fill="2B7F27" w:themeFill="accent6" w:themeFillShade="BF"/>
      </w:tcPr>
    </w:tblStylePr>
    <w:tblStylePr w:type="band1Horz">
      <w:tblPr/>
      <w:tcPr>
        <w:tcBorders>
          <w:top w:val="nil"/>
          <w:left w:val="nil"/>
          <w:bottom w:val="nil"/>
          <w:right w:val="nil"/>
          <w:insideH w:val="nil"/>
          <w:insideV w:val="nil"/>
        </w:tcBorders>
        <w:shd w:val="clear" w:color="auto" w:fill="2B7F27" w:themeFill="accent6" w:themeFillShade="BF"/>
      </w:tcPr>
    </w:tblStylePr>
  </w:style>
  <w:style w:type="paragraph" w:styleId="DocumentMap">
    <w:name w:val="Document Map"/>
    <w:basedOn w:val="Normal"/>
    <w:link w:val="DocumentMapChar"/>
    <w:uiPriority w:val="99"/>
    <w:semiHidden/>
    <w:unhideWhenUsed/>
    <w:rsid w:val="00DF245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F245D"/>
    <w:rPr>
      <w:rFonts w:ascii="Segoe UI" w:hAnsi="Segoe UI" w:cs="Segoe UI"/>
      <w:sz w:val="16"/>
      <w:szCs w:val="16"/>
    </w:rPr>
  </w:style>
  <w:style w:type="paragraph" w:styleId="E-mailSignature">
    <w:name w:val="E-mail Signature"/>
    <w:basedOn w:val="Normal"/>
    <w:link w:val="E-mailSignatureChar"/>
    <w:uiPriority w:val="99"/>
    <w:semiHidden/>
    <w:unhideWhenUsed/>
    <w:rsid w:val="00DF245D"/>
    <w:pPr>
      <w:spacing w:after="0" w:line="240" w:lineRule="auto"/>
    </w:pPr>
  </w:style>
  <w:style w:type="character" w:customStyle="1" w:styleId="E-mailSignatureChar">
    <w:name w:val="E-mail Signature Char"/>
    <w:basedOn w:val="DefaultParagraphFont"/>
    <w:link w:val="E-mailSignature"/>
    <w:uiPriority w:val="99"/>
    <w:semiHidden/>
    <w:rsid w:val="00DF245D"/>
    <w:rPr>
      <w:rFonts w:ascii="Calibri" w:hAnsi="Calibri"/>
    </w:rPr>
  </w:style>
  <w:style w:type="character" w:styleId="EndnoteReference">
    <w:name w:val="endnote reference"/>
    <w:basedOn w:val="DefaultParagraphFont"/>
    <w:uiPriority w:val="99"/>
    <w:semiHidden/>
    <w:unhideWhenUsed/>
    <w:rsid w:val="00DF245D"/>
    <w:rPr>
      <w:vertAlign w:val="superscript"/>
    </w:rPr>
  </w:style>
  <w:style w:type="paragraph" w:styleId="EndnoteText">
    <w:name w:val="endnote text"/>
    <w:basedOn w:val="Normal"/>
    <w:link w:val="EndnoteTextChar"/>
    <w:uiPriority w:val="99"/>
    <w:semiHidden/>
    <w:unhideWhenUsed/>
    <w:rsid w:val="00DF24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45D"/>
    <w:rPr>
      <w:rFonts w:ascii="Calibri" w:hAnsi="Calibri"/>
      <w:sz w:val="20"/>
      <w:szCs w:val="20"/>
    </w:rPr>
  </w:style>
  <w:style w:type="paragraph" w:styleId="EnvelopeAddress">
    <w:name w:val="envelope address"/>
    <w:basedOn w:val="Normal"/>
    <w:uiPriority w:val="99"/>
    <w:semiHidden/>
    <w:unhideWhenUsed/>
    <w:rsid w:val="00DF245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F245D"/>
    <w:pPr>
      <w:spacing w:after="0" w:line="240" w:lineRule="auto"/>
    </w:pPr>
    <w:rPr>
      <w:rFonts w:asciiTheme="majorHAnsi" w:eastAsiaTheme="majorEastAsia" w:hAnsiTheme="majorHAnsi" w:cstheme="majorBidi"/>
      <w:sz w:val="20"/>
      <w:szCs w:val="20"/>
    </w:rPr>
  </w:style>
  <w:style w:type="table" w:styleId="GridTable1Light-Accent1">
    <w:name w:val="Grid Table 1 Light Accent 1"/>
    <w:basedOn w:val="TableNormal"/>
    <w:uiPriority w:val="46"/>
    <w:rsid w:val="00916CFA"/>
    <w:pPr>
      <w:spacing w:after="0" w:line="240" w:lineRule="auto"/>
    </w:pPr>
    <w:tblPr>
      <w:tblStyleRowBandSize w:val="1"/>
      <w:tblStyleColBandSize w:val="1"/>
      <w:tblInd w:w="851" w:type="dxa"/>
      <w:tblBorders>
        <w:top w:val="single" w:sz="4" w:space="0" w:color="81DFFF" w:themeColor="accent1" w:themeTint="66"/>
        <w:left w:val="single" w:sz="4" w:space="0" w:color="81DFFF" w:themeColor="accent1" w:themeTint="66"/>
        <w:bottom w:val="single" w:sz="4" w:space="0" w:color="81DFFF" w:themeColor="accent1" w:themeTint="66"/>
        <w:right w:val="single" w:sz="4" w:space="0" w:color="81DFFF" w:themeColor="accent1" w:themeTint="66"/>
        <w:insideH w:val="single" w:sz="4" w:space="0" w:color="81DFFF" w:themeColor="accent1" w:themeTint="66"/>
        <w:insideV w:val="single" w:sz="4" w:space="0" w:color="81DFFF" w:themeColor="accent1" w:themeTint="66"/>
      </w:tblBorders>
    </w:tblPr>
    <w:tblStylePr w:type="firstRow">
      <w:rPr>
        <w:b/>
        <w:bCs/>
      </w:rPr>
      <w:tblPr/>
      <w:tcPr>
        <w:tcBorders>
          <w:bottom w:val="single" w:sz="12" w:space="0" w:color="43CFFF" w:themeColor="accent1" w:themeTint="99"/>
        </w:tcBorders>
      </w:tcPr>
    </w:tblStylePr>
    <w:tblStylePr w:type="lastRow">
      <w:rPr>
        <w:b/>
        <w:bCs/>
      </w:rPr>
      <w:tblPr/>
      <w:tcPr>
        <w:tcBorders>
          <w:top w:val="double" w:sz="2" w:space="0" w:color="43C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16CFA"/>
    <w:pPr>
      <w:spacing w:after="0" w:line="240" w:lineRule="auto"/>
    </w:pPr>
    <w:tblPr>
      <w:tblStyleRowBandSize w:val="1"/>
      <w:tblStyleColBandSize w:val="1"/>
      <w:tblInd w:w="851" w:type="dxa"/>
      <w:tblBorders>
        <w:top w:val="single" w:sz="4" w:space="0" w:color="FF8EC3" w:themeColor="accent2" w:themeTint="66"/>
        <w:left w:val="single" w:sz="4" w:space="0" w:color="FF8EC3" w:themeColor="accent2" w:themeTint="66"/>
        <w:bottom w:val="single" w:sz="4" w:space="0" w:color="FF8EC3" w:themeColor="accent2" w:themeTint="66"/>
        <w:right w:val="single" w:sz="4" w:space="0" w:color="FF8EC3" w:themeColor="accent2" w:themeTint="66"/>
        <w:insideH w:val="single" w:sz="4" w:space="0" w:color="FF8EC3" w:themeColor="accent2" w:themeTint="66"/>
        <w:insideV w:val="single" w:sz="4" w:space="0" w:color="FF8EC3" w:themeColor="accent2" w:themeTint="66"/>
      </w:tblBorders>
    </w:tblPr>
    <w:tblStylePr w:type="firstRow">
      <w:rPr>
        <w:b/>
        <w:bCs/>
      </w:rPr>
      <w:tblPr/>
      <w:tcPr>
        <w:tcBorders>
          <w:bottom w:val="single" w:sz="12" w:space="0" w:color="FF56A6" w:themeColor="accent2" w:themeTint="99"/>
        </w:tcBorders>
      </w:tcPr>
    </w:tblStylePr>
    <w:tblStylePr w:type="lastRow">
      <w:rPr>
        <w:b/>
        <w:bCs/>
      </w:rPr>
      <w:tblPr/>
      <w:tcPr>
        <w:tcBorders>
          <w:top w:val="double" w:sz="2" w:space="0" w:color="FF56A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6CFA"/>
    <w:pPr>
      <w:spacing w:after="0" w:line="240" w:lineRule="auto"/>
    </w:pPr>
    <w:tblPr>
      <w:tblStyleRowBandSize w:val="1"/>
      <w:tblStyleColBandSize w:val="1"/>
      <w:tblInd w:w="851" w:type="dxa"/>
      <w:tblBorders>
        <w:top w:val="single" w:sz="4" w:space="0" w:color="998FDF" w:themeColor="accent3" w:themeTint="66"/>
        <w:left w:val="single" w:sz="4" w:space="0" w:color="998FDF" w:themeColor="accent3" w:themeTint="66"/>
        <w:bottom w:val="single" w:sz="4" w:space="0" w:color="998FDF" w:themeColor="accent3" w:themeTint="66"/>
        <w:right w:val="single" w:sz="4" w:space="0" w:color="998FDF" w:themeColor="accent3" w:themeTint="66"/>
        <w:insideH w:val="single" w:sz="4" w:space="0" w:color="998FDF" w:themeColor="accent3" w:themeTint="66"/>
        <w:insideV w:val="single" w:sz="4" w:space="0" w:color="998FDF" w:themeColor="accent3" w:themeTint="66"/>
      </w:tblBorders>
    </w:tblPr>
    <w:tblStylePr w:type="firstRow">
      <w:rPr>
        <w:b/>
        <w:bCs/>
      </w:rPr>
      <w:tblPr/>
      <w:tcPr>
        <w:tcBorders>
          <w:bottom w:val="single" w:sz="12" w:space="0" w:color="6658CF" w:themeColor="accent3" w:themeTint="99"/>
        </w:tcBorders>
      </w:tcPr>
    </w:tblStylePr>
    <w:tblStylePr w:type="lastRow">
      <w:rPr>
        <w:b/>
        <w:bCs/>
      </w:rPr>
      <w:tblPr/>
      <w:tcPr>
        <w:tcBorders>
          <w:top w:val="double" w:sz="2" w:space="0" w:color="6658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6CFA"/>
    <w:pPr>
      <w:spacing w:after="0" w:line="240" w:lineRule="auto"/>
    </w:pPr>
    <w:tblPr>
      <w:tblStyleRowBandSize w:val="1"/>
      <w:tblStyleColBandSize w:val="1"/>
      <w:tblInd w:w="851" w:type="dxa"/>
      <w:tblBorders>
        <w:top w:val="single" w:sz="4" w:space="0" w:color="EC7EB2" w:themeColor="accent4" w:themeTint="66"/>
        <w:left w:val="single" w:sz="4" w:space="0" w:color="EC7EB2" w:themeColor="accent4" w:themeTint="66"/>
        <w:bottom w:val="single" w:sz="4" w:space="0" w:color="EC7EB2" w:themeColor="accent4" w:themeTint="66"/>
        <w:right w:val="single" w:sz="4" w:space="0" w:color="EC7EB2" w:themeColor="accent4" w:themeTint="66"/>
        <w:insideH w:val="single" w:sz="4" w:space="0" w:color="EC7EB2" w:themeColor="accent4" w:themeTint="66"/>
        <w:insideV w:val="single" w:sz="4" w:space="0" w:color="EC7EB2" w:themeColor="accent4" w:themeTint="66"/>
      </w:tblBorders>
    </w:tblPr>
    <w:tblStylePr w:type="firstRow">
      <w:rPr>
        <w:b/>
        <w:bCs/>
      </w:rPr>
      <w:tblPr/>
      <w:tcPr>
        <w:tcBorders>
          <w:bottom w:val="single" w:sz="12" w:space="0" w:color="E23D8B" w:themeColor="accent4" w:themeTint="99"/>
        </w:tcBorders>
      </w:tcPr>
    </w:tblStylePr>
    <w:tblStylePr w:type="lastRow">
      <w:rPr>
        <w:b/>
        <w:bCs/>
      </w:rPr>
      <w:tblPr/>
      <w:tcPr>
        <w:tcBorders>
          <w:top w:val="double" w:sz="2" w:space="0" w:color="E23D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6CFA"/>
    <w:pPr>
      <w:spacing w:after="0" w:line="240" w:lineRule="auto"/>
    </w:pPr>
    <w:tblPr>
      <w:tblStyleRowBandSize w:val="1"/>
      <w:tblStyleColBandSize w:val="1"/>
      <w:tblInd w:w="851" w:type="dxa"/>
      <w:tblBorders>
        <w:top w:val="single" w:sz="4" w:space="0" w:color="E9F88E" w:themeColor="accent5" w:themeTint="66"/>
        <w:left w:val="single" w:sz="4" w:space="0" w:color="E9F88E" w:themeColor="accent5" w:themeTint="66"/>
        <w:bottom w:val="single" w:sz="4" w:space="0" w:color="E9F88E" w:themeColor="accent5" w:themeTint="66"/>
        <w:right w:val="single" w:sz="4" w:space="0" w:color="E9F88E" w:themeColor="accent5" w:themeTint="66"/>
        <w:insideH w:val="single" w:sz="4" w:space="0" w:color="E9F88E" w:themeColor="accent5" w:themeTint="66"/>
        <w:insideV w:val="single" w:sz="4" w:space="0" w:color="E9F88E" w:themeColor="accent5" w:themeTint="66"/>
      </w:tblBorders>
    </w:tblPr>
    <w:tblStylePr w:type="firstRow">
      <w:rPr>
        <w:b/>
        <w:bCs/>
      </w:rPr>
      <w:tblPr/>
      <w:tcPr>
        <w:tcBorders>
          <w:bottom w:val="single" w:sz="12" w:space="0" w:color="DEF555" w:themeColor="accent5" w:themeTint="99"/>
        </w:tcBorders>
      </w:tcPr>
    </w:tblStylePr>
    <w:tblStylePr w:type="lastRow">
      <w:rPr>
        <w:b/>
        <w:bCs/>
      </w:rPr>
      <w:tblPr/>
      <w:tcPr>
        <w:tcBorders>
          <w:top w:val="double" w:sz="2" w:space="0" w:color="DEF55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F245D"/>
    <w:pPr>
      <w:spacing w:after="0" w:line="240" w:lineRule="auto"/>
    </w:pPr>
    <w:tblPr>
      <w:tblStyleRowBandSize w:val="1"/>
      <w:tblStyleColBandSize w:val="1"/>
      <w:tblBorders>
        <w:top w:val="single" w:sz="4" w:space="0" w:color="A9E3A7" w:themeColor="accent6" w:themeTint="66"/>
        <w:left w:val="single" w:sz="4" w:space="0" w:color="A9E3A7" w:themeColor="accent6" w:themeTint="66"/>
        <w:bottom w:val="single" w:sz="4" w:space="0" w:color="A9E3A7" w:themeColor="accent6" w:themeTint="66"/>
        <w:right w:val="single" w:sz="4" w:space="0" w:color="A9E3A7" w:themeColor="accent6" w:themeTint="66"/>
        <w:insideH w:val="single" w:sz="4" w:space="0" w:color="A9E3A7" w:themeColor="accent6" w:themeTint="66"/>
        <w:insideV w:val="single" w:sz="4" w:space="0" w:color="A9E3A7" w:themeColor="accent6" w:themeTint="66"/>
      </w:tblBorders>
    </w:tblPr>
    <w:tblStylePr w:type="firstRow">
      <w:rPr>
        <w:b/>
        <w:bCs/>
      </w:rPr>
      <w:tblPr/>
      <w:tcPr>
        <w:tcBorders>
          <w:bottom w:val="single" w:sz="12" w:space="0" w:color="7FD67B" w:themeColor="accent6" w:themeTint="99"/>
        </w:tcBorders>
      </w:tcPr>
    </w:tblStylePr>
    <w:tblStylePr w:type="lastRow">
      <w:rPr>
        <w:b/>
        <w:bCs/>
      </w:rPr>
      <w:tblPr/>
      <w:tcPr>
        <w:tcBorders>
          <w:top w:val="double" w:sz="2" w:space="0" w:color="7FD67B"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F245D"/>
    <w:pPr>
      <w:spacing w:after="0" w:line="240" w:lineRule="auto"/>
    </w:pPr>
    <w:tblPr>
      <w:tblStyleRowBandSize w:val="1"/>
      <w:tblStyleColBandSize w:val="1"/>
      <w:tblBorders>
        <w:top w:val="single" w:sz="2" w:space="0" w:color="43CFFF" w:themeColor="accent1" w:themeTint="99"/>
        <w:bottom w:val="single" w:sz="2" w:space="0" w:color="43CFFF" w:themeColor="accent1" w:themeTint="99"/>
        <w:insideH w:val="single" w:sz="2" w:space="0" w:color="43CFFF" w:themeColor="accent1" w:themeTint="99"/>
        <w:insideV w:val="single" w:sz="2" w:space="0" w:color="43CFFF" w:themeColor="accent1" w:themeTint="99"/>
      </w:tblBorders>
    </w:tblPr>
    <w:tblStylePr w:type="firstRow">
      <w:rPr>
        <w:b/>
        <w:bCs/>
      </w:rPr>
      <w:tblPr/>
      <w:tcPr>
        <w:tcBorders>
          <w:top w:val="nil"/>
          <w:bottom w:val="single" w:sz="12" w:space="0" w:color="43CFFF" w:themeColor="accent1" w:themeTint="99"/>
          <w:insideH w:val="nil"/>
          <w:insideV w:val="nil"/>
        </w:tcBorders>
        <w:shd w:val="clear" w:color="auto" w:fill="FFFFFF" w:themeFill="background1"/>
      </w:tcPr>
    </w:tblStylePr>
    <w:tblStylePr w:type="lastRow">
      <w:rPr>
        <w:b/>
        <w:bCs/>
      </w:rPr>
      <w:tblPr/>
      <w:tcPr>
        <w:tcBorders>
          <w:top w:val="double" w:sz="2" w:space="0" w:color="43C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table" w:styleId="GridTable2-Accent2">
    <w:name w:val="Grid Table 2 Accent 2"/>
    <w:basedOn w:val="TableNormal"/>
    <w:uiPriority w:val="47"/>
    <w:rsid w:val="00DF245D"/>
    <w:pPr>
      <w:spacing w:after="0" w:line="240" w:lineRule="auto"/>
    </w:pPr>
    <w:tblPr>
      <w:tblStyleRowBandSize w:val="1"/>
      <w:tblStyleColBandSize w:val="1"/>
      <w:tblBorders>
        <w:top w:val="single" w:sz="2" w:space="0" w:color="FF56A6" w:themeColor="accent2" w:themeTint="99"/>
        <w:bottom w:val="single" w:sz="2" w:space="0" w:color="FF56A6" w:themeColor="accent2" w:themeTint="99"/>
        <w:insideH w:val="single" w:sz="2" w:space="0" w:color="FF56A6" w:themeColor="accent2" w:themeTint="99"/>
        <w:insideV w:val="single" w:sz="2" w:space="0" w:color="FF56A6" w:themeColor="accent2" w:themeTint="99"/>
      </w:tblBorders>
    </w:tblPr>
    <w:tblStylePr w:type="firstRow">
      <w:rPr>
        <w:b/>
        <w:bCs/>
      </w:rPr>
      <w:tblPr/>
      <w:tcPr>
        <w:tcBorders>
          <w:top w:val="nil"/>
          <w:bottom w:val="single" w:sz="12" w:space="0" w:color="FF56A6" w:themeColor="accent2" w:themeTint="99"/>
          <w:insideH w:val="nil"/>
          <w:insideV w:val="nil"/>
        </w:tcBorders>
        <w:shd w:val="clear" w:color="auto" w:fill="FFFFFF" w:themeFill="background1"/>
      </w:tcPr>
    </w:tblStylePr>
    <w:tblStylePr w:type="lastRow">
      <w:rPr>
        <w:b/>
        <w:bCs/>
      </w:rPr>
      <w:tblPr/>
      <w:tcPr>
        <w:tcBorders>
          <w:top w:val="double" w:sz="2" w:space="0" w:color="FF56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2-Accent3">
    <w:name w:val="Grid Table 2 Accent 3"/>
    <w:basedOn w:val="TableNormal"/>
    <w:uiPriority w:val="47"/>
    <w:rsid w:val="00DF245D"/>
    <w:pPr>
      <w:spacing w:after="0" w:line="240" w:lineRule="auto"/>
    </w:pPr>
    <w:tblPr>
      <w:tblStyleRowBandSize w:val="1"/>
      <w:tblStyleColBandSize w:val="1"/>
      <w:tblBorders>
        <w:top w:val="single" w:sz="2" w:space="0" w:color="6658CF" w:themeColor="accent3" w:themeTint="99"/>
        <w:bottom w:val="single" w:sz="2" w:space="0" w:color="6658CF" w:themeColor="accent3" w:themeTint="99"/>
        <w:insideH w:val="single" w:sz="2" w:space="0" w:color="6658CF" w:themeColor="accent3" w:themeTint="99"/>
        <w:insideV w:val="single" w:sz="2" w:space="0" w:color="6658CF" w:themeColor="accent3" w:themeTint="99"/>
      </w:tblBorders>
    </w:tblPr>
    <w:tblStylePr w:type="firstRow">
      <w:rPr>
        <w:b/>
        <w:bCs/>
      </w:rPr>
      <w:tblPr/>
      <w:tcPr>
        <w:tcBorders>
          <w:top w:val="nil"/>
          <w:bottom w:val="single" w:sz="12" w:space="0" w:color="6658CF" w:themeColor="accent3" w:themeTint="99"/>
          <w:insideH w:val="nil"/>
          <w:insideV w:val="nil"/>
        </w:tcBorders>
        <w:shd w:val="clear" w:color="auto" w:fill="FFFFFF" w:themeFill="background1"/>
      </w:tcPr>
    </w:tblStylePr>
    <w:tblStylePr w:type="lastRow">
      <w:rPr>
        <w:b/>
        <w:bCs/>
      </w:rPr>
      <w:tblPr/>
      <w:tcPr>
        <w:tcBorders>
          <w:top w:val="double" w:sz="2" w:space="0" w:color="6658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2-Accent4">
    <w:name w:val="Grid Table 2 Accent 4"/>
    <w:basedOn w:val="TableNormal"/>
    <w:uiPriority w:val="47"/>
    <w:rsid w:val="00DF245D"/>
    <w:pPr>
      <w:spacing w:after="0" w:line="240" w:lineRule="auto"/>
    </w:pPr>
    <w:tblPr>
      <w:tblStyleRowBandSize w:val="1"/>
      <w:tblStyleColBandSize w:val="1"/>
      <w:tblBorders>
        <w:top w:val="single" w:sz="2" w:space="0" w:color="E23D8B" w:themeColor="accent4" w:themeTint="99"/>
        <w:bottom w:val="single" w:sz="2" w:space="0" w:color="E23D8B" w:themeColor="accent4" w:themeTint="99"/>
        <w:insideH w:val="single" w:sz="2" w:space="0" w:color="E23D8B" w:themeColor="accent4" w:themeTint="99"/>
        <w:insideV w:val="single" w:sz="2" w:space="0" w:color="E23D8B" w:themeColor="accent4" w:themeTint="99"/>
      </w:tblBorders>
    </w:tblPr>
    <w:tblStylePr w:type="firstRow">
      <w:rPr>
        <w:b/>
        <w:bCs/>
      </w:rPr>
      <w:tblPr/>
      <w:tcPr>
        <w:tcBorders>
          <w:top w:val="nil"/>
          <w:bottom w:val="single" w:sz="12" w:space="0" w:color="E23D8B" w:themeColor="accent4" w:themeTint="99"/>
          <w:insideH w:val="nil"/>
          <w:insideV w:val="nil"/>
        </w:tcBorders>
        <w:shd w:val="clear" w:color="auto" w:fill="FFFFFF" w:themeFill="background1"/>
      </w:tcPr>
    </w:tblStylePr>
    <w:tblStylePr w:type="lastRow">
      <w:rPr>
        <w:b/>
        <w:bCs/>
      </w:rPr>
      <w:tblPr/>
      <w:tcPr>
        <w:tcBorders>
          <w:top w:val="double" w:sz="2" w:space="0" w:color="E23D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2-Accent5">
    <w:name w:val="Grid Table 2 Accent 5"/>
    <w:basedOn w:val="TableNormal"/>
    <w:uiPriority w:val="47"/>
    <w:rsid w:val="00DF245D"/>
    <w:pPr>
      <w:spacing w:after="0" w:line="240" w:lineRule="auto"/>
    </w:pPr>
    <w:tblPr>
      <w:tblStyleRowBandSize w:val="1"/>
      <w:tblStyleColBandSize w:val="1"/>
      <w:tblBorders>
        <w:top w:val="single" w:sz="2" w:space="0" w:color="DEF555" w:themeColor="accent5" w:themeTint="99"/>
        <w:bottom w:val="single" w:sz="2" w:space="0" w:color="DEF555" w:themeColor="accent5" w:themeTint="99"/>
        <w:insideH w:val="single" w:sz="2" w:space="0" w:color="DEF555" w:themeColor="accent5" w:themeTint="99"/>
        <w:insideV w:val="single" w:sz="2" w:space="0" w:color="DEF555" w:themeColor="accent5" w:themeTint="99"/>
      </w:tblBorders>
    </w:tblPr>
    <w:tblStylePr w:type="firstRow">
      <w:rPr>
        <w:b/>
        <w:bCs/>
      </w:rPr>
      <w:tblPr/>
      <w:tcPr>
        <w:tcBorders>
          <w:top w:val="nil"/>
          <w:bottom w:val="single" w:sz="12" w:space="0" w:color="DEF555" w:themeColor="accent5" w:themeTint="99"/>
          <w:insideH w:val="nil"/>
          <w:insideV w:val="nil"/>
        </w:tcBorders>
        <w:shd w:val="clear" w:color="auto" w:fill="FFFFFF" w:themeFill="background1"/>
      </w:tcPr>
    </w:tblStylePr>
    <w:tblStylePr w:type="lastRow">
      <w:rPr>
        <w:b/>
        <w:bCs/>
      </w:rPr>
      <w:tblPr/>
      <w:tcPr>
        <w:tcBorders>
          <w:top w:val="double" w:sz="2" w:space="0" w:color="DEF55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2-Accent6">
    <w:name w:val="Grid Table 2 Accent 6"/>
    <w:basedOn w:val="TableNormal"/>
    <w:uiPriority w:val="47"/>
    <w:rsid w:val="00DF245D"/>
    <w:pPr>
      <w:spacing w:after="0" w:line="240" w:lineRule="auto"/>
    </w:pPr>
    <w:tblPr>
      <w:tblStyleRowBandSize w:val="1"/>
      <w:tblStyleColBandSize w:val="1"/>
      <w:tblBorders>
        <w:top w:val="single" w:sz="2" w:space="0" w:color="7FD67B" w:themeColor="accent6" w:themeTint="99"/>
        <w:bottom w:val="single" w:sz="2" w:space="0" w:color="7FD67B" w:themeColor="accent6" w:themeTint="99"/>
        <w:insideH w:val="single" w:sz="2" w:space="0" w:color="7FD67B" w:themeColor="accent6" w:themeTint="99"/>
        <w:insideV w:val="single" w:sz="2" w:space="0" w:color="7FD67B" w:themeColor="accent6" w:themeTint="99"/>
      </w:tblBorders>
    </w:tblPr>
    <w:tblStylePr w:type="firstRow">
      <w:rPr>
        <w:b/>
        <w:bCs/>
      </w:rPr>
      <w:tblPr/>
      <w:tcPr>
        <w:tcBorders>
          <w:top w:val="nil"/>
          <w:bottom w:val="single" w:sz="12" w:space="0" w:color="7FD67B" w:themeColor="accent6" w:themeTint="99"/>
          <w:insideH w:val="nil"/>
          <w:insideV w:val="nil"/>
        </w:tcBorders>
        <w:shd w:val="clear" w:color="auto" w:fill="FFFFFF" w:themeFill="background1"/>
      </w:tcPr>
    </w:tblStylePr>
    <w:tblStylePr w:type="lastRow">
      <w:rPr>
        <w:b/>
        <w:bCs/>
      </w:rPr>
      <w:tblPr/>
      <w:tcPr>
        <w:tcBorders>
          <w:top w:val="double" w:sz="2" w:space="0" w:color="7FD6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3-Accent1">
    <w:name w:val="Grid Table 3 Accent 1"/>
    <w:basedOn w:val="TableNormal"/>
    <w:uiPriority w:val="48"/>
    <w:rsid w:val="00DF245D"/>
    <w:pPr>
      <w:spacing w:after="0" w:line="240" w:lineRule="auto"/>
    </w:p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FFF" w:themeFill="accent1" w:themeFillTint="33"/>
      </w:tcPr>
    </w:tblStylePr>
    <w:tblStylePr w:type="band1Horz">
      <w:tblPr/>
      <w:tcPr>
        <w:shd w:val="clear" w:color="auto" w:fill="C0EFFF" w:themeFill="accent1" w:themeFillTint="33"/>
      </w:tcPr>
    </w:tblStylePr>
    <w:tblStylePr w:type="neCell">
      <w:tblPr/>
      <w:tcPr>
        <w:tcBorders>
          <w:bottom w:val="single" w:sz="4" w:space="0" w:color="43CFFF" w:themeColor="accent1" w:themeTint="99"/>
        </w:tcBorders>
      </w:tcPr>
    </w:tblStylePr>
    <w:tblStylePr w:type="nwCell">
      <w:tblPr/>
      <w:tcPr>
        <w:tcBorders>
          <w:bottom w:val="single" w:sz="4" w:space="0" w:color="43CFFF" w:themeColor="accent1" w:themeTint="99"/>
        </w:tcBorders>
      </w:tcPr>
    </w:tblStylePr>
    <w:tblStylePr w:type="seCell">
      <w:tblPr/>
      <w:tcPr>
        <w:tcBorders>
          <w:top w:val="single" w:sz="4" w:space="0" w:color="43CFFF" w:themeColor="accent1" w:themeTint="99"/>
        </w:tcBorders>
      </w:tcPr>
    </w:tblStylePr>
    <w:tblStylePr w:type="swCell">
      <w:tblPr/>
      <w:tcPr>
        <w:tcBorders>
          <w:top w:val="single" w:sz="4" w:space="0" w:color="43CFFF" w:themeColor="accent1" w:themeTint="99"/>
        </w:tcBorders>
      </w:tcPr>
    </w:tblStylePr>
  </w:style>
  <w:style w:type="table" w:styleId="GridTable3-Accent2">
    <w:name w:val="Grid Table 3 Accent 2"/>
    <w:basedOn w:val="TableNormal"/>
    <w:uiPriority w:val="48"/>
    <w:rsid w:val="00DF245D"/>
    <w:pPr>
      <w:spacing w:after="0" w:line="240" w:lineRule="auto"/>
    </w:p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E1" w:themeFill="accent2" w:themeFillTint="33"/>
      </w:tcPr>
    </w:tblStylePr>
    <w:tblStylePr w:type="band1Horz">
      <w:tblPr/>
      <w:tcPr>
        <w:shd w:val="clear" w:color="auto" w:fill="FFC6E1" w:themeFill="accent2" w:themeFillTint="33"/>
      </w:tcPr>
    </w:tblStylePr>
    <w:tblStylePr w:type="neCell">
      <w:tblPr/>
      <w:tcPr>
        <w:tcBorders>
          <w:bottom w:val="single" w:sz="4" w:space="0" w:color="FF56A6" w:themeColor="accent2" w:themeTint="99"/>
        </w:tcBorders>
      </w:tcPr>
    </w:tblStylePr>
    <w:tblStylePr w:type="nwCell">
      <w:tblPr/>
      <w:tcPr>
        <w:tcBorders>
          <w:bottom w:val="single" w:sz="4" w:space="0" w:color="FF56A6" w:themeColor="accent2" w:themeTint="99"/>
        </w:tcBorders>
      </w:tcPr>
    </w:tblStylePr>
    <w:tblStylePr w:type="seCell">
      <w:tblPr/>
      <w:tcPr>
        <w:tcBorders>
          <w:top w:val="single" w:sz="4" w:space="0" w:color="FF56A6" w:themeColor="accent2" w:themeTint="99"/>
        </w:tcBorders>
      </w:tcPr>
    </w:tblStylePr>
    <w:tblStylePr w:type="swCell">
      <w:tblPr/>
      <w:tcPr>
        <w:tcBorders>
          <w:top w:val="single" w:sz="4" w:space="0" w:color="FF56A6" w:themeColor="accent2" w:themeTint="99"/>
        </w:tcBorders>
      </w:tcPr>
    </w:tblStylePr>
  </w:style>
  <w:style w:type="table" w:styleId="GridTable3-Accent3">
    <w:name w:val="Grid Table 3 Accent 3"/>
    <w:basedOn w:val="TableNormal"/>
    <w:uiPriority w:val="48"/>
    <w:rsid w:val="00DF245D"/>
    <w:pPr>
      <w:spacing w:after="0" w:line="240" w:lineRule="auto"/>
    </w:p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7EF" w:themeFill="accent3" w:themeFillTint="33"/>
      </w:tcPr>
    </w:tblStylePr>
    <w:tblStylePr w:type="band1Horz">
      <w:tblPr/>
      <w:tcPr>
        <w:shd w:val="clear" w:color="auto" w:fill="CCC7EF" w:themeFill="accent3" w:themeFillTint="33"/>
      </w:tcPr>
    </w:tblStylePr>
    <w:tblStylePr w:type="neCell">
      <w:tblPr/>
      <w:tcPr>
        <w:tcBorders>
          <w:bottom w:val="single" w:sz="4" w:space="0" w:color="6658CF" w:themeColor="accent3" w:themeTint="99"/>
        </w:tcBorders>
      </w:tcPr>
    </w:tblStylePr>
    <w:tblStylePr w:type="nwCell">
      <w:tblPr/>
      <w:tcPr>
        <w:tcBorders>
          <w:bottom w:val="single" w:sz="4" w:space="0" w:color="6658CF" w:themeColor="accent3" w:themeTint="99"/>
        </w:tcBorders>
      </w:tcPr>
    </w:tblStylePr>
    <w:tblStylePr w:type="seCell">
      <w:tblPr/>
      <w:tcPr>
        <w:tcBorders>
          <w:top w:val="single" w:sz="4" w:space="0" w:color="6658CF" w:themeColor="accent3" w:themeTint="99"/>
        </w:tcBorders>
      </w:tcPr>
    </w:tblStylePr>
    <w:tblStylePr w:type="swCell">
      <w:tblPr/>
      <w:tcPr>
        <w:tcBorders>
          <w:top w:val="single" w:sz="4" w:space="0" w:color="6658CF" w:themeColor="accent3" w:themeTint="99"/>
        </w:tcBorders>
      </w:tcPr>
    </w:tblStylePr>
  </w:style>
  <w:style w:type="table" w:styleId="GridTable3-Accent4">
    <w:name w:val="Grid Table 3 Accent 4"/>
    <w:basedOn w:val="TableNormal"/>
    <w:uiPriority w:val="48"/>
    <w:rsid w:val="00DF245D"/>
    <w:pPr>
      <w:spacing w:after="0" w:line="240" w:lineRule="auto"/>
    </w:p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ED8" w:themeFill="accent4" w:themeFillTint="33"/>
      </w:tcPr>
    </w:tblStylePr>
    <w:tblStylePr w:type="band1Horz">
      <w:tblPr/>
      <w:tcPr>
        <w:shd w:val="clear" w:color="auto" w:fill="F5BED8" w:themeFill="accent4" w:themeFillTint="33"/>
      </w:tcPr>
    </w:tblStylePr>
    <w:tblStylePr w:type="neCell">
      <w:tblPr/>
      <w:tcPr>
        <w:tcBorders>
          <w:bottom w:val="single" w:sz="4" w:space="0" w:color="E23D8B" w:themeColor="accent4" w:themeTint="99"/>
        </w:tcBorders>
      </w:tcPr>
    </w:tblStylePr>
    <w:tblStylePr w:type="nwCell">
      <w:tblPr/>
      <w:tcPr>
        <w:tcBorders>
          <w:bottom w:val="single" w:sz="4" w:space="0" w:color="E23D8B" w:themeColor="accent4" w:themeTint="99"/>
        </w:tcBorders>
      </w:tcPr>
    </w:tblStylePr>
    <w:tblStylePr w:type="seCell">
      <w:tblPr/>
      <w:tcPr>
        <w:tcBorders>
          <w:top w:val="single" w:sz="4" w:space="0" w:color="E23D8B" w:themeColor="accent4" w:themeTint="99"/>
        </w:tcBorders>
      </w:tcPr>
    </w:tblStylePr>
    <w:tblStylePr w:type="swCell">
      <w:tblPr/>
      <w:tcPr>
        <w:tcBorders>
          <w:top w:val="single" w:sz="4" w:space="0" w:color="E23D8B" w:themeColor="accent4" w:themeTint="99"/>
        </w:tcBorders>
      </w:tcPr>
    </w:tblStylePr>
  </w:style>
  <w:style w:type="table" w:styleId="GridTable3-Accent5">
    <w:name w:val="Grid Table 3 Accent 5"/>
    <w:basedOn w:val="TableNormal"/>
    <w:uiPriority w:val="48"/>
    <w:rsid w:val="00DF245D"/>
    <w:pPr>
      <w:spacing w:after="0" w:line="240" w:lineRule="auto"/>
    </w:p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C6" w:themeFill="accent5" w:themeFillTint="33"/>
      </w:tcPr>
    </w:tblStylePr>
    <w:tblStylePr w:type="band1Horz">
      <w:tblPr/>
      <w:tcPr>
        <w:shd w:val="clear" w:color="auto" w:fill="F4FCC6" w:themeFill="accent5" w:themeFillTint="33"/>
      </w:tcPr>
    </w:tblStylePr>
    <w:tblStylePr w:type="neCell">
      <w:tblPr/>
      <w:tcPr>
        <w:tcBorders>
          <w:bottom w:val="single" w:sz="4" w:space="0" w:color="DEF555" w:themeColor="accent5" w:themeTint="99"/>
        </w:tcBorders>
      </w:tcPr>
    </w:tblStylePr>
    <w:tblStylePr w:type="nwCell">
      <w:tblPr/>
      <w:tcPr>
        <w:tcBorders>
          <w:bottom w:val="single" w:sz="4" w:space="0" w:color="DEF555" w:themeColor="accent5" w:themeTint="99"/>
        </w:tcBorders>
      </w:tcPr>
    </w:tblStylePr>
    <w:tblStylePr w:type="seCell">
      <w:tblPr/>
      <w:tcPr>
        <w:tcBorders>
          <w:top w:val="single" w:sz="4" w:space="0" w:color="DEF555" w:themeColor="accent5" w:themeTint="99"/>
        </w:tcBorders>
      </w:tcPr>
    </w:tblStylePr>
    <w:tblStylePr w:type="swCell">
      <w:tblPr/>
      <w:tcPr>
        <w:tcBorders>
          <w:top w:val="single" w:sz="4" w:space="0" w:color="DEF555" w:themeColor="accent5" w:themeTint="99"/>
        </w:tcBorders>
      </w:tcPr>
    </w:tblStylePr>
  </w:style>
  <w:style w:type="table" w:styleId="GridTable3-Accent6">
    <w:name w:val="Grid Table 3 Accent 6"/>
    <w:basedOn w:val="TableNormal"/>
    <w:uiPriority w:val="48"/>
    <w:rsid w:val="00DF245D"/>
    <w:pPr>
      <w:spacing w:after="0" w:line="240" w:lineRule="auto"/>
    </w:p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1D3" w:themeFill="accent6" w:themeFillTint="33"/>
      </w:tcPr>
    </w:tblStylePr>
    <w:tblStylePr w:type="band1Horz">
      <w:tblPr/>
      <w:tcPr>
        <w:shd w:val="clear" w:color="auto" w:fill="D4F1D3" w:themeFill="accent6" w:themeFillTint="33"/>
      </w:tcPr>
    </w:tblStylePr>
    <w:tblStylePr w:type="neCell">
      <w:tblPr/>
      <w:tcPr>
        <w:tcBorders>
          <w:bottom w:val="single" w:sz="4" w:space="0" w:color="7FD67B" w:themeColor="accent6" w:themeTint="99"/>
        </w:tcBorders>
      </w:tcPr>
    </w:tblStylePr>
    <w:tblStylePr w:type="nwCell">
      <w:tblPr/>
      <w:tcPr>
        <w:tcBorders>
          <w:bottom w:val="single" w:sz="4" w:space="0" w:color="7FD67B" w:themeColor="accent6" w:themeTint="99"/>
        </w:tcBorders>
      </w:tcPr>
    </w:tblStylePr>
    <w:tblStylePr w:type="seCell">
      <w:tblPr/>
      <w:tcPr>
        <w:tcBorders>
          <w:top w:val="single" w:sz="4" w:space="0" w:color="7FD67B" w:themeColor="accent6" w:themeTint="99"/>
        </w:tcBorders>
      </w:tcPr>
    </w:tblStylePr>
    <w:tblStylePr w:type="swCell">
      <w:tblPr/>
      <w:tcPr>
        <w:tcBorders>
          <w:top w:val="single" w:sz="4" w:space="0" w:color="7FD67B" w:themeColor="accent6" w:themeTint="99"/>
        </w:tcBorders>
      </w:tcPr>
    </w:tblStylePr>
  </w:style>
  <w:style w:type="table" w:styleId="GridTable4-Accent2">
    <w:name w:val="Grid Table 4 Accent 2"/>
    <w:basedOn w:val="TableNormal"/>
    <w:uiPriority w:val="49"/>
    <w:rsid w:val="00DF245D"/>
    <w:pPr>
      <w:spacing w:after="0" w:line="240" w:lineRule="auto"/>
    </w:p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color w:val="FFFFFF" w:themeColor="background1"/>
      </w:rPr>
      <w:tblPr/>
      <w:tcPr>
        <w:tcBorders>
          <w:top w:val="single" w:sz="4" w:space="0" w:color="E5006D" w:themeColor="accent2"/>
          <w:left w:val="single" w:sz="4" w:space="0" w:color="E5006D" w:themeColor="accent2"/>
          <w:bottom w:val="single" w:sz="4" w:space="0" w:color="E5006D" w:themeColor="accent2"/>
          <w:right w:val="single" w:sz="4" w:space="0" w:color="E5006D" w:themeColor="accent2"/>
          <w:insideH w:val="nil"/>
          <w:insideV w:val="nil"/>
        </w:tcBorders>
        <w:shd w:val="clear" w:color="auto" w:fill="E5006D" w:themeFill="accent2"/>
      </w:tcPr>
    </w:tblStylePr>
    <w:tblStylePr w:type="lastRow">
      <w:rPr>
        <w:b/>
        <w:bCs/>
      </w:rPr>
      <w:tblPr/>
      <w:tcPr>
        <w:tcBorders>
          <w:top w:val="double" w:sz="4" w:space="0" w:color="E5006D" w:themeColor="accent2"/>
        </w:tcBorders>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4-Accent3">
    <w:name w:val="Grid Table 4 Accent 3"/>
    <w:basedOn w:val="TableNormal"/>
    <w:uiPriority w:val="49"/>
    <w:rsid w:val="00DF245D"/>
    <w:pPr>
      <w:spacing w:after="0" w:line="240" w:lineRule="auto"/>
    </w:p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color w:val="FFFFFF" w:themeColor="background1"/>
      </w:rPr>
      <w:tblPr/>
      <w:tcPr>
        <w:tcBorders>
          <w:top w:val="single" w:sz="4" w:space="0" w:color="2C2276" w:themeColor="accent3"/>
          <w:left w:val="single" w:sz="4" w:space="0" w:color="2C2276" w:themeColor="accent3"/>
          <w:bottom w:val="single" w:sz="4" w:space="0" w:color="2C2276" w:themeColor="accent3"/>
          <w:right w:val="single" w:sz="4" w:space="0" w:color="2C2276" w:themeColor="accent3"/>
          <w:insideH w:val="nil"/>
          <w:insideV w:val="nil"/>
        </w:tcBorders>
        <w:shd w:val="clear" w:color="auto" w:fill="2C2276" w:themeFill="accent3"/>
      </w:tcPr>
    </w:tblStylePr>
    <w:tblStylePr w:type="lastRow">
      <w:rPr>
        <w:b/>
        <w:bCs/>
      </w:rPr>
      <w:tblPr/>
      <w:tcPr>
        <w:tcBorders>
          <w:top w:val="double" w:sz="4" w:space="0" w:color="2C2276" w:themeColor="accent3"/>
        </w:tcBorders>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4-Accent4">
    <w:name w:val="Grid Table 4 Accent 4"/>
    <w:basedOn w:val="TableNormal"/>
    <w:uiPriority w:val="49"/>
    <w:rsid w:val="00DF245D"/>
    <w:pPr>
      <w:spacing w:after="0" w:line="240" w:lineRule="auto"/>
    </w:p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color w:val="FFFFFF" w:themeColor="background1"/>
      </w:rPr>
      <w:tblPr/>
      <w:tcPr>
        <w:tcBorders>
          <w:top w:val="single" w:sz="4" w:space="0" w:color="7B1244" w:themeColor="accent4"/>
          <w:left w:val="single" w:sz="4" w:space="0" w:color="7B1244" w:themeColor="accent4"/>
          <w:bottom w:val="single" w:sz="4" w:space="0" w:color="7B1244" w:themeColor="accent4"/>
          <w:right w:val="single" w:sz="4" w:space="0" w:color="7B1244" w:themeColor="accent4"/>
          <w:insideH w:val="nil"/>
          <w:insideV w:val="nil"/>
        </w:tcBorders>
        <w:shd w:val="clear" w:color="auto" w:fill="7B1244" w:themeFill="accent4"/>
      </w:tcPr>
    </w:tblStylePr>
    <w:tblStylePr w:type="lastRow">
      <w:rPr>
        <w:b/>
        <w:bCs/>
      </w:rPr>
      <w:tblPr/>
      <w:tcPr>
        <w:tcBorders>
          <w:top w:val="double" w:sz="4" w:space="0" w:color="7B1244" w:themeColor="accent4"/>
        </w:tcBorders>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4-Accent5">
    <w:name w:val="Grid Table 4 Accent 5"/>
    <w:basedOn w:val="TableNormal"/>
    <w:uiPriority w:val="49"/>
    <w:rsid w:val="00DF245D"/>
    <w:pPr>
      <w:spacing w:after="0" w:line="240" w:lineRule="auto"/>
    </w:p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color w:val="FFFFFF" w:themeColor="background1"/>
      </w:rPr>
      <w:tblPr/>
      <w:tcPr>
        <w:tcBorders>
          <w:top w:val="single" w:sz="4" w:space="0" w:color="AFCA0B" w:themeColor="accent5"/>
          <w:left w:val="single" w:sz="4" w:space="0" w:color="AFCA0B" w:themeColor="accent5"/>
          <w:bottom w:val="single" w:sz="4" w:space="0" w:color="AFCA0B" w:themeColor="accent5"/>
          <w:right w:val="single" w:sz="4" w:space="0" w:color="AFCA0B" w:themeColor="accent5"/>
          <w:insideH w:val="nil"/>
          <w:insideV w:val="nil"/>
        </w:tcBorders>
        <w:shd w:val="clear" w:color="auto" w:fill="AFCA0B" w:themeFill="accent5"/>
      </w:tcPr>
    </w:tblStylePr>
    <w:tblStylePr w:type="lastRow">
      <w:rPr>
        <w:b/>
        <w:bCs/>
      </w:rPr>
      <w:tblPr/>
      <w:tcPr>
        <w:tcBorders>
          <w:top w:val="double" w:sz="4" w:space="0" w:color="AFCA0B" w:themeColor="accent5"/>
        </w:tcBorders>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4-Accent6">
    <w:name w:val="Grid Table 4 Accent 6"/>
    <w:basedOn w:val="TableNormal"/>
    <w:uiPriority w:val="49"/>
    <w:rsid w:val="00DF245D"/>
    <w:pPr>
      <w:spacing w:after="0" w:line="240" w:lineRule="auto"/>
    </w:p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color w:val="FFFFFF" w:themeColor="background1"/>
      </w:rPr>
      <w:tblPr/>
      <w:tcPr>
        <w:tcBorders>
          <w:top w:val="single" w:sz="4" w:space="0" w:color="3AAA35" w:themeColor="accent6"/>
          <w:left w:val="single" w:sz="4" w:space="0" w:color="3AAA35" w:themeColor="accent6"/>
          <w:bottom w:val="single" w:sz="4" w:space="0" w:color="3AAA35" w:themeColor="accent6"/>
          <w:right w:val="single" w:sz="4" w:space="0" w:color="3AAA35" w:themeColor="accent6"/>
          <w:insideH w:val="nil"/>
          <w:insideV w:val="nil"/>
        </w:tcBorders>
        <w:shd w:val="clear" w:color="auto" w:fill="3AAA35" w:themeFill="accent6"/>
      </w:tcPr>
    </w:tblStylePr>
    <w:tblStylePr w:type="lastRow">
      <w:rPr>
        <w:b/>
        <w:bCs/>
      </w:rPr>
      <w:tblPr/>
      <w:tcPr>
        <w:tcBorders>
          <w:top w:val="double" w:sz="4" w:space="0" w:color="3AAA35" w:themeColor="accent6"/>
        </w:tcBorders>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5Dark-Accent2">
    <w:name w:val="Grid Table 5 Dark Accent 2"/>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006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006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006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006D" w:themeFill="accent2"/>
      </w:tcPr>
    </w:tblStylePr>
    <w:tblStylePr w:type="band1Vert">
      <w:tblPr/>
      <w:tcPr>
        <w:shd w:val="clear" w:color="auto" w:fill="FF8EC3" w:themeFill="accent2" w:themeFillTint="66"/>
      </w:tcPr>
    </w:tblStylePr>
    <w:tblStylePr w:type="band1Horz">
      <w:tblPr/>
      <w:tcPr>
        <w:shd w:val="clear" w:color="auto" w:fill="FF8EC3" w:themeFill="accent2" w:themeFillTint="66"/>
      </w:tcPr>
    </w:tblStylePr>
  </w:style>
  <w:style w:type="table" w:styleId="GridTable5Dark-Accent3">
    <w:name w:val="Grid Table 5 Dark Accent 3"/>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7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27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27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27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276" w:themeFill="accent3"/>
      </w:tcPr>
    </w:tblStylePr>
    <w:tblStylePr w:type="band1Vert">
      <w:tblPr/>
      <w:tcPr>
        <w:shd w:val="clear" w:color="auto" w:fill="998FDF" w:themeFill="accent3" w:themeFillTint="66"/>
      </w:tcPr>
    </w:tblStylePr>
    <w:tblStylePr w:type="band1Horz">
      <w:tblPr/>
      <w:tcPr>
        <w:shd w:val="clear" w:color="auto" w:fill="998FDF" w:themeFill="accent3" w:themeFillTint="66"/>
      </w:tcPr>
    </w:tblStylePr>
  </w:style>
  <w:style w:type="table" w:styleId="GridTable5Dark-Accent4">
    <w:name w:val="Grid Table 5 Dark Accent 4"/>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BE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124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124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124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1244" w:themeFill="accent4"/>
      </w:tcPr>
    </w:tblStylePr>
    <w:tblStylePr w:type="band1Vert">
      <w:tblPr/>
      <w:tcPr>
        <w:shd w:val="clear" w:color="auto" w:fill="EC7EB2" w:themeFill="accent4" w:themeFillTint="66"/>
      </w:tcPr>
    </w:tblStylePr>
    <w:tblStylePr w:type="band1Horz">
      <w:tblPr/>
      <w:tcPr>
        <w:shd w:val="clear" w:color="auto" w:fill="EC7EB2" w:themeFill="accent4" w:themeFillTint="66"/>
      </w:tcPr>
    </w:tblStylePr>
  </w:style>
  <w:style w:type="table" w:styleId="GridTable5Dark-Accent5">
    <w:name w:val="Grid Table 5 Dark Accent 5"/>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C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CA0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CA0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CA0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CA0B" w:themeFill="accent5"/>
      </w:tcPr>
    </w:tblStylePr>
    <w:tblStylePr w:type="band1Vert">
      <w:tblPr/>
      <w:tcPr>
        <w:shd w:val="clear" w:color="auto" w:fill="E9F88E" w:themeFill="accent5" w:themeFillTint="66"/>
      </w:tcPr>
    </w:tblStylePr>
    <w:tblStylePr w:type="band1Horz">
      <w:tblPr/>
      <w:tcPr>
        <w:shd w:val="clear" w:color="auto" w:fill="E9F88E" w:themeFill="accent5" w:themeFillTint="66"/>
      </w:tcPr>
    </w:tblStylePr>
  </w:style>
  <w:style w:type="table" w:styleId="GridTable5Dark-Accent6">
    <w:name w:val="Grid Table 5 Dark Accent 6"/>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A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A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A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A35" w:themeFill="accent6"/>
      </w:tcPr>
    </w:tblStylePr>
    <w:tblStylePr w:type="band1Vert">
      <w:tblPr/>
      <w:tcPr>
        <w:shd w:val="clear" w:color="auto" w:fill="A9E3A7" w:themeFill="accent6" w:themeFillTint="66"/>
      </w:tcPr>
    </w:tblStylePr>
    <w:tblStylePr w:type="band1Horz">
      <w:tblPr/>
      <w:tcPr>
        <w:shd w:val="clear" w:color="auto" w:fill="A9E3A7" w:themeFill="accent6" w:themeFillTint="66"/>
      </w:tcPr>
    </w:tblStylePr>
  </w:style>
  <w:style w:type="table" w:styleId="GridTable6Colorful-Accent1">
    <w:name w:val="Grid Table 6 Colorful Accent 1"/>
    <w:basedOn w:val="TableNormal"/>
    <w:uiPriority w:val="51"/>
    <w:rsid w:val="00DF245D"/>
    <w:pPr>
      <w:spacing w:after="0" w:line="240" w:lineRule="auto"/>
    </w:pPr>
    <w:rPr>
      <w:color w:val="006E93" w:themeColor="accent1" w:themeShade="BF"/>
    </w:r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bottom w:val="single" w:sz="12" w:space="0" w:color="43CFFF" w:themeColor="accent1" w:themeTint="99"/>
        </w:tcBorders>
      </w:tcPr>
    </w:tblStylePr>
    <w:tblStylePr w:type="lastRow">
      <w:rPr>
        <w:b/>
        <w:bCs/>
      </w:rPr>
      <w:tblPr/>
      <w:tcPr>
        <w:tcBorders>
          <w:top w:val="double" w:sz="4" w:space="0" w:color="43CFFF" w:themeColor="accent1" w:themeTint="99"/>
        </w:tcBorders>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table" w:styleId="GridTable6Colorful-Accent2">
    <w:name w:val="Grid Table 6 Colorful Accent 2"/>
    <w:basedOn w:val="TableNormal"/>
    <w:uiPriority w:val="51"/>
    <w:rsid w:val="00DF245D"/>
    <w:pPr>
      <w:spacing w:after="0" w:line="240" w:lineRule="auto"/>
    </w:pPr>
    <w:rPr>
      <w:color w:val="AB0051" w:themeColor="accent2" w:themeShade="BF"/>
    </w:r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bottom w:val="single" w:sz="12" w:space="0" w:color="FF56A6" w:themeColor="accent2" w:themeTint="99"/>
        </w:tcBorders>
      </w:tcPr>
    </w:tblStylePr>
    <w:tblStylePr w:type="lastRow">
      <w:rPr>
        <w:b/>
        <w:bCs/>
      </w:rPr>
      <w:tblPr/>
      <w:tcPr>
        <w:tcBorders>
          <w:top w:val="double" w:sz="4" w:space="0" w:color="FF56A6" w:themeColor="accent2" w:themeTint="99"/>
        </w:tcBorders>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6Colorful-Accent3">
    <w:name w:val="Grid Table 6 Colorful Accent 3"/>
    <w:basedOn w:val="TableNormal"/>
    <w:uiPriority w:val="51"/>
    <w:rsid w:val="00DF245D"/>
    <w:pPr>
      <w:spacing w:after="0" w:line="240" w:lineRule="auto"/>
    </w:pPr>
    <w:rPr>
      <w:color w:val="201958" w:themeColor="accent3" w:themeShade="BF"/>
    </w:r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bottom w:val="single" w:sz="12" w:space="0" w:color="6658CF" w:themeColor="accent3" w:themeTint="99"/>
        </w:tcBorders>
      </w:tcPr>
    </w:tblStylePr>
    <w:tblStylePr w:type="lastRow">
      <w:rPr>
        <w:b/>
        <w:bCs/>
      </w:rPr>
      <w:tblPr/>
      <w:tcPr>
        <w:tcBorders>
          <w:top w:val="double" w:sz="4" w:space="0" w:color="6658CF" w:themeColor="accent3" w:themeTint="99"/>
        </w:tcBorders>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6Colorful-Accent4">
    <w:name w:val="Grid Table 6 Colorful Accent 4"/>
    <w:basedOn w:val="TableNormal"/>
    <w:uiPriority w:val="51"/>
    <w:rsid w:val="00DF245D"/>
    <w:pPr>
      <w:spacing w:after="0" w:line="240" w:lineRule="auto"/>
    </w:pPr>
    <w:rPr>
      <w:color w:val="5B0D32" w:themeColor="accent4" w:themeShade="BF"/>
    </w:r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bottom w:val="single" w:sz="12" w:space="0" w:color="E23D8B" w:themeColor="accent4" w:themeTint="99"/>
        </w:tcBorders>
      </w:tcPr>
    </w:tblStylePr>
    <w:tblStylePr w:type="lastRow">
      <w:rPr>
        <w:b/>
        <w:bCs/>
      </w:rPr>
      <w:tblPr/>
      <w:tcPr>
        <w:tcBorders>
          <w:top w:val="double" w:sz="4" w:space="0" w:color="E23D8B" w:themeColor="accent4" w:themeTint="99"/>
        </w:tcBorders>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6Colorful-Accent5">
    <w:name w:val="Grid Table 6 Colorful Accent 5"/>
    <w:basedOn w:val="TableNormal"/>
    <w:uiPriority w:val="51"/>
    <w:rsid w:val="00DF245D"/>
    <w:pPr>
      <w:spacing w:after="0" w:line="240" w:lineRule="auto"/>
    </w:pPr>
    <w:rPr>
      <w:color w:val="829708" w:themeColor="accent5" w:themeShade="BF"/>
    </w:r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bottom w:val="single" w:sz="12" w:space="0" w:color="DEF555" w:themeColor="accent5" w:themeTint="99"/>
        </w:tcBorders>
      </w:tcPr>
    </w:tblStylePr>
    <w:tblStylePr w:type="lastRow">
      <w:rPr>
        <w:b/>
        <w:bCs/>
      </w:rPr>
      <w:tblPr/>
      <w:tcPr>
        <w:tcBorders>
          <w:top w:val="double" w:sz="4" w:space="0" w:color="DEF555" w:themeColor="accent5" w:themeTint="99"/>
        </w:tcBorders>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6Colorful-Accent6">
    <w:name w:val="Grid Table 6 Colorful Accent 6"/>
    <w:basedOn w:val="TableNormal"/>
    <w:uiPriority w:val="51"/>
    <w:rsid w:val="00DF245D"/>
    <w:pPr>
      <w:spacing w:after="0" w:line="240" w:lineRule="auto"/>
    </w:pPr>
    <w:rPr>
      <w:color w:val="2B7F27" w:themeColor="accent6" w:themeShade="BF"/>
    </w:r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bottom w:val="single" w:sz="12" w:space="0" w:color="7FD67B" w:themeColor="accent6" w:themeTint="99"/>
        </w:tcBorders>
      </w:tcPr>
    </w:tblStylePr>
    <w:tblStylePr w:type="lastRow">
      <w:rPr>
        <w:b/>
        <w:bCs/>
      </w:rPr>
      <w:tblPr/>
      <w:tcPr>
        <w:tcBorders>
          <w:top w:val="double" w:sz="4" w:space="0" w:color="7FD67B" w:themeColor="accent6" w:themeTint="99"/>
        </w:tcBorders>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7Colorful">
    <w:name w:val="Grid Table 7 Colorful"/>
    <w:basedOn w:val="TableNormal"/>
    <w:uiPriority w:val="52"/>
    <w:rsid w:val="00DF245D"/>
    <w:pPr>
      <w:spacing w:after="0" w:line="240" w:lineRule="auto"/>
    </w:pPr>
    <w:rPr>
      <w:color w:val="30353F" w:themeColor="text1"/>
    </w:r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5DC" w:themeFill="text1" w:themeFillTint="33"/>
      </w:tcPr>
    </w:tblStylePr>
    <w:tblStylePr w:type="band1Horz">
      <w:tblPr/>
      <w:tcPr>
        <w:shd w:val="clear" w:color="auto" w:fill="D1D5DC" w:themeFill="text1" w:themeFillTint="33"/>
      </w:tcPr>
    </w:tblStylePr>
    <w:tblStylePr w:type="neCell">
      <w:tblPr/>
      <w:tcPr>
        <w:tcBorders>
          <w:bottom w:val="single" w:sz="4" w:space="0" w:color="778197" w:themeColor="text1" w:themeTint="99"/>
        </w:tcBorders>
      </w:tcPr>
    </w:tblStylePr>
    <w:tblStylePr w:type="nwCell">
      <w:tblPr/>
      <w:tcPr>
        <w:tcBorders>
          <w:bottom w:val="single" w:sz="4" w:space="0" w:color="778197" w:themeColor="text1" w:themeTint="99"/>
        </w:tcBorders>
      </w:tcPr>
    </w:tblStylePr>
    <w:tblStylePr w:type="seCell">
      <w:tblPr/>
      <w:tcPr>
        <w:tcBorders>
          <w:top w:val="single" w:sz="4" w:space="0" w:color="778197" w:themeColor="text1" w:themeTint="99"/>
        </w:tcBorders>
      </w:tcPr>
    </w:tblStylePr>
    <w:tblStylePr w:type="swCell">
      <w:tblPr/>
      <w:tcPr>
        <w:tcBorders>
          <w:top w:val="single" w:sz="4" w:space="0" w:color="778197" w:themeColor="text1" w:themeTint="99"/>
        </w:tcBorders>
      </w:tcPr>
    </w:tblStylePr>
  </w:style>
  <w:style w:type="table" w:styleId="GridTable7Colorful-Accent1">
    <w:name w:val="Grid Table 7 Colorful Accent 1"/>
    <w:basedOn w:val="TableNormal"/>
    <w:uiPriority w:val="52"/>
    <w:rsid w:val="00DF245D"/>
    <w:pPr>
      <w:spacing w:after="0" w:line="240" w:lineRule="auto"/>
    </w:pPr>
    <w:rPr>
      <w:color w:val="006E93" w:themeColor="accent1" w:themeShade="BF"/>
    </w:r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FFF" w:themeFill="accent1" w:themeFillTint="33"/>
      </w:tcPr>
    </w:tblStylePr>
    <w:tblStylePr w:type="band1Horz">
      <w:tblPr/>
      <w:tcPr>
        <w:shd w:val="clear" w:color="auto" w:fill="C0EFFF" w:themeFill="accent1" w:themeFillTint="33"/>
      </w:tcPr>
    </w:tblStylePr>
    <w:tblStylePr w:type="neCell">
      <w:tblPr/>
      <w:tcPr>
        <w:tcBorders>
          <w:bottom w:val="single" w:sz="4" w:space="0" w:color="43CFFF" w:themeColor="accent1" w:themeTint="99"/>
        </w:tcBorders>
      </w:tcPr>
    </w:tblStylePr>
    <w:tblStylePr w:type="nwCell">
      <w:tblPr/>
      <w:tcPr>
        <w:tcBorders>
          <w:bottom w:val="single" w:sz="4" w:space="0" w:color="43CFFF" w:themeColor="accent1" w:themeTint="99"/>
        </w:tcBorders>
      </w:tcPr>
    </w:tblStylePr>
    <w:tblStylePr w:type="seCell">
      <w:tblPr/>
      <w:tcPr>
        <w:tcBorders>
          <w:top w:val="single" w:sz="4" w:space="0" w:color="43CFFF" w:themeColor="accent1" w:themeTint="99"/>
        </w:tcBorders>
      </w:tcPr>
    </w:tblStylePr>
    <w:tblStylePr w:type="swCell">
      <w:tblPr/>
      <w:tcPr>
        <w:tcBorders>
          <w:top w:val="single" w:sz="4" w:space="0" w:color="43CFFF" w:themeColor="accent1" w:themeTint="99"/>
        </w:tcBorders>
      </w:tcPr>
    </w:tblStylePr>
  </w:style>
  <w:style w:type="table" w:styleId="GridTable7Colorful-Accent2">
    <w:name w:val="Grid Table 7 Colorful Accent 2"/>
    <w:basedOn w:val="TableNormal"/>
    <w:uiPriority w:val="52"/>
    <w:rsid w:val="00DF245D"/>
    <w:pPr>
      <w:spacing w:after="0" w:line="240" w:lineRule="auto"/>
    </w:pPr>
    <w:rPr>
      <w:color w:val="AB0051" w:themeColor="accent2" w:themeShade="BF"/>
    </w:r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E1" w:themeFill="accent2" w:themeFillTint="33"/>
      </w:tcPr>
    </w:tblStylePr>
    <w:tblStylePr w:type="band1Horz">
      <w:tblPr/>
      <w:tcPr>
        <w:shd w:val="clear" w:color="auto" w:fill="FFC6E1" w:themeFill="accent2" w:themeFillTint="33"/>
      </w:tcPr>
    </w:tblStylePr>
    <w:tblStylePr w:type="neCell">
      <w:tblPr/>
      <w:tcPr>
        <w:tcBorders>
          <w:bottom w:val="single" w:sz="4" w:space="0" w:color="FF56A6" w:themeColor="accent2" w:themeTint="99"/>
        </w:tcBorders>
      </w:tcPr>
    </w:tblStylePr>
    <w:tblStylePr w:type="nwCell">
      <w:tblPr/>
      <w:tcPr>
        <w:tcBorders>
          <w:bottom w:val="single" w:sz="4" w:space="0" w:color="FF56A6" w:themeColor="accent2" w:themeTint="99"/>
        </w:tcBorders>
      </w:tcPr>
    </w:tblStylePr>
    <w:tblStylePr w:type="seCell">
      <w:tblPr/>
      <w:tcPr>
        <w:tcBorders>
          <w:top w:val="single" w:sz="4" w:space="0" w:color="FF56A6" w:themeColor="accent2" w:themeTint="99"/>
        </w:tcBorders>
      </w:tcPr>
    </w:tblStylePr>
    <w:tblStylePr w:type="swCell">
      <w:tblPr/>
      <w:tcPr>
        <w:tcBorders>
          <w:top w:val="single" w:sz="4" w:space="0" w:color="FF56A6" w:themeColor="accent2" w:themeTint="99"/>
        </w:tcBorders>
      </w:tcPr>
    </w:tblStylePr>
  </w:style>
  <w:style w:type="table" w:styleId="GridTable7Colorful-Accent3">
    <w:name w:val="Grid Table 7 Colorful Accent 3"/>
    <w:basedOn w:val="TableNormal"/>
    <w:uiPriority w:val="52"/>
    <w:rsid w:val="00DF245D"/>
    <w:pPr>
      <w:spacing w:after="0" w:line="240" w:lineRule="auto"/>
    </w:pPr>
    <w:rPr>
      <w:color w:val="201958" w:themeColor="accent3" w:themeShade="BF"/>
    </w:r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7EF" w:themeFill="accent3" w:themeFillTint="33"/>
      </w:tcPr>
    </w:tblStylePr>
    <w:tblStylePr w:type="band1Horz">
      <w:tblPr/>
      <w:tcPr>
        <w:shd w:val="clear" w:color="auto" w:fill="CCC7EF" w:themeFill="accent3" w:themeFillTint="33"/>
      </w:tcPr>
    </w:tblStylePr>
    <w:tblStylePr w:type="neCell">
      <w:tblPr/>
      <w:tcPr>
        <w:tcBorders>
          <w:bottom w:val="single" w:sz="4" w:space="0" w:color="6658CF" w:themeColor="accent3" w:themeTint="99"/>
        </w:tcBorders>
      </w:tcPr>
    </w:tblStylePr>
    <w:tblStylePr w:type="nwCell">
      <w:tblPr/>
      <w:tcPr>
        <w:tcBorders>
          <w:bottom w:val="single" w:sz="4" w:space="0" w:color="6658CF" w:themeColor="accent3" w:themeTint="99"/>
        </w:tcBorders>
      </w:tcPr>
    </w:tblStylePr>
    <w:tblStylePr w:type="seCell">
      <w:tblPr/>
      <w:tcPr>
        <w:tcBorders>
          <w:top w:val="single" w:sz="4" w:space="0" w:color="6658CF" w:themeColor="accent3" w:themeTint="99"/>
        </w:tcBorders>
      </w:tcPr>
    </w:tblStylePr>
    <w:tblStylePr w:type="swCell">
      <w:tblPr/>
      <w:tcPr>
        <w:tcBorders>
          <w:top w:val="single" w:sz="4" w:space="0" w:color="6658CF" w:themeColor="accent3" w:themeTint="99"/>
        </w:tcBorders>
      </w:tcPr>
    </w:tblStylePr>
  </w:style>
  <w:style w:type="table" w:styleId="GridTable7Colorful-Accent4">
    <w:name w:val="Grid Table 7 Colorful Accent 4"/>
    <w:basedOn w:val="TableNormal"/>
    <w:uiPriority w:val="52"/>
    <w:rsid w:val="00DF245D"/>
    <w:pPr>
      <w:spacing w:after="0" w:line="240" w:lineRule="auto"/>
    </w:pPr>
    <w:rPr>
      <w:color w:val="5B0D32" w:themeColor="accent4" w:themeShade="BF"/>
    </w:r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ED8" w:themeFill="accent4" w:themeFillTint="33"/>
      </w:tcPr>
    </w:tblStylePr>
    <w:tblStylePr w:type="band1Horz">
      <w:tblPr/>
      <w:tcPr>
        <w:shd w:val="clear" w:color="auto" w:fill="F5BED8" w:themeFill="accent4" w:themeFillTint="33"/>
      </w:tcPr>
    </w:tblStylePr>
    <w:tblStylePr w:type="neCell">
      <w:tblPr/>
      <w:tcPr>
        <w:tcBorders>
          <w:bottom w:val="single" w:sz="4" w:space="0" w:color="E23D8B" w:themeColor="accent4" w:themeTint="99"/>
        </w:tcBorders>
      </w:tcPr>
    </w:tblStylePr>
    <w:tblStylePr w:type="nwCell">
      <w:tblPr/>
      <w:tcPr>
        <w:tcBorders>
          <w:bottom w:val="single" w:sz="4" w:space="0" w:color="E23D8B" w:themeColor="accent4" w:themeTint="99"/>
        </w:tcBorders>
      </w:tcPr>
    </w:tblStylePr>
    <w:tblStylePr w:type="seCell">
      <w:tblPr/>
      <w:tcPr>
        <w:tcBorders>
          <w:top w:val="single" w:sz="4" w:space="0" w:color="E23D8B" w:themeColor="accent4" w:themeTint="99"/>
        </w:tcBorders>
      </w:tcPr>
    </w:tblStylePr>
    <w:tblStylePr w:type="swCell">
      <w:tblPr/>
      <w:tcPr>
        <w:tcBorders>
          <w:top w:val="single" w:sz="4" w:space="0" w:color="E23D8B" w:themeColor="accent4" w:themeTint="99"/>
        </w:tcBorders>
      </w:tcPr>
    </w:tblStylePr>
  </w:style>
  <w:style w:type="table" w:styleId="GridTable7Colorful-Accent5">
    <w:name w:val="Grid Table 7 Colorful Accent 5"/>
    <w:basedOn w:val="TableNormal"/>
    <w:uiPriority w:val="52"/>
    <w:rsid w:val="00DF245D"/>
    <w:pPr>
      <w:spacing w:after="0" w:line="240" w:lineRule="auto"/>
    </w:pPr>
    <w:rPr>
      <w:color w:val="829708" w:themeColor="accent5" w:themeShade="BF"/>
    </w:r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C6" w:themeFill="accent5" w:themeFillTint="33"/>
      </w:tcPr>
    </w:tblStylePr>
    <w:tblStylePr w:type="band1Horz">
      <w:tblPr/>
      <w:tcPr>
        <w:shd w:val="clear" w:color="auto" w:fill="F4FCC6" w:themeFill="accent5" w:themeFillTint="33"/>
      </w:tcPr>
    </w:tblStylePr>
    <w:tblStylePr w:type="neCell">
      <w:tblPr/>
      <w:tcPr>
        <w:tcBorders>
          <w:bottom w:val="single" w:sz="4" w:space="0" w:color="DEF555" w:themeColor="accent5" w:themeTint="99"/>
        </w:tcBorders>
      </w:tcPr>
    </w:tblStylePr>
    <w:tblStylePr w:type="nwCell">
      <w:tblPr/>
      <w:tcPr>
        <w:tcBorders>
          <w:bottom w:val="single" w:sz="4" w:space="0" w:color="DEF555" w:themeColor="accent5" w:themeTint="99"/>
        </w:tcBorders>
      </w:tcPr>
    </w:tblStylePr>
    <w:tblStylePr w:type="seCell">
      <w:tblPr/>
      <w:tcPr>
        <w:tcBorders>
          <w:top w:val="single" w:sz="4" w:space="0" w:color="DEF555" w:themeColor="accent5" w:themeTint="99"/>
        </w:tcBorders>
      </w:tcPr>
    </w:tblStylePr>
    <w:tblStylePr w:type="swCell">
      <w:tblPr/>
      <w:tcPr>
        <w:tcBorders>
          <w:top w:val="single" w:sz="4" w:space="0" w:color="DEF555" w:themeColor="accent5" w:themeTint="99"/>
        </w:tcBorders>
      </w:tcPr>
    </w:tblStylePr>
  </w:style>
  <w:style w:type="table" w:styleId="GridTable7Colorful-Accent6">
    <w:name w:val="Grid Table 7 Colorful Accent 6"/>
    <w:basedOn w:val="TableNormal"/>
    <w:uiPriority w:val="52"/>
    <w:rsid w:val="00DF245D"/>
    <w:pPr>
      <w:spacing w:after="0" w:line="240" w:lineRule="auto"/>
    </w:pPr>
    <w:rPr>
      <w:color w:val="2B7F27" w:themeColor="accent6" w:themeShade="BF"/>
    </w:r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1D3" w:themeFill="accent6" w:themeFillTint="33"/>
      </w:tcPr>
    </w:tblStylePr>
    <w:tblStylePr w:type="band1Horz">
      <w:tblPr/>
      <w:tcPr>
        <w:shd w:val="clear" w:color="auto" w:fill="D4F1D3" w:themeFill="accent6" w:themeFillTint="33"/>
      </w:tcPr>
    </w:tblStylePr>
    <w:tblStylePr w:type="neCell">
      <w:tblPr/>
      <w:tcPr>
        <w:tcBorders>
          <w:bottom w:val="single" w:sz="4" w:space="0" w:color="7FD67B" w:themeColor="accent6" w:themeTint="99"/>
        </w:tcBorders>
      </w:tcPr>
    </w:tblStylePr>
    <w:tblStylePr w:type="nwCell">
      <w:tblPr/>
      <w:tcPr>
        <w:tcBorders>
          <w:bottom w:val="single" w:sz="4" w:space="0" w:color="7FD67B" w:themeColor="accent6" w:themeTint="99"/>
        </w:tcBorders>
      </w:tcPr>
    </w:tblStylePr>
    <w:tblStylePr w:type="seCell">
      <w:tblPr/>
      <w:tcPr>
        <w:tcBorders>
          <w:top w:val="single" w:sz="4" w:space="0" w:color="7FD67B" w:themeColor="accent6" w:themeTint="99"/>
        </w:tcBorders>
      </w:tcPr>
    </w:tblStylePr>
    <w:tblStylePr w:type="swCell">
      <w:tblPr/>
      <w:tcPr>
        <w:tcBorders>
          <w:top w:val="single" w:sz="4" w:space="0" w:color="7FD67B" w:themeColor="accent6" w:themeTint="99"/>
        </w:tcBorders>
      </w:tcPr>
    </w:tblStylePr>
  </w:style>
  <w:style w:type="character" w:styleId="Hashtag">
    <w:name w:val="Hashtag"/>
    <w:basedOn w:val="DefaultParagraphFont"/>
    <w:uiPriority w:val="99"/>
    <w:semiHidden/>
    <w:unhideWhenUsed/>
    <w:rsid w:val="00DF245D"/>
    <w:rPr>
      <w:color w:val="2B579A"/>
      <w:shd w:val="clear" w:color="auto" w:fill="E1DFDD"/>
    </w:rPr>
  </w:style>
  <w:style w:type="character" w:styleId="HTMLAcronym">
    <w:name w:val="HTML Acronym"/>
    <w:basedOn w:val="DefaultParagraphFont"/>
    <w:uiPriority w:val="99"/>
    <w:semiHidden/>
    <w:unhideWhenUsed/>
    <w:rsid w:val="00DF245D"/>
  </w:style>
  <w:style w:type="paragraph" w:styleId="HTMLAddress">
    <w:name w:val="HTML Address"/>
    <w:basedOn w:val="Normal"/>
    <w:link w:val="HTMLAddressChar"/>
    <w:uiPriority w:val="99"/>
    <w:semiHidden/>
    <w:unhideWhenUsed/>
    <w:rsid w:val="00DF245D"/>
    <w:pPr>
      <w:spacing w:after="0" w:line="240" w:lineRule="auto"/>
    </w:pPr>
    <w:rPr>
      <w:i/>
      <w:iCs/>
    </w:rPr>
  </w:style>
  <w:style w:type="character" w:customStyle="1" w:styleId="HTMLAddressChar">
    <w:name w:val="HTML Address Char"/>
    <w:basedOn w:val="DefaultParagraphFont"/>
    <w:link w:val="HTMLAddress"/>
    <w:uiPriority w:val="99"/>
    <w:semiHidden/>
    <w:rsid w:val="00DF245D"/>
    <w:rPr>
      <w:rFonts w:ascii="Calibri" w:hAnsi="Calibri"/>
      <w:i/>
      <w:iCs/>
    </w:rPr>
  </w:style>
  <w:style w:type="character" w:styleId="HTMLCite">
    <w:name w:val="HTML Cite"/>
    <w:basedOn w:val="DefaultParagraphFont"/>
    <w:uiPriority w:val="99"/>
    <w:semiHidden/>
    <w:unhideWhenUsed/>
    <w:rsid w:val="00DF245D"/>
    <w:rPr>
      <w:i/>
      <w:iCs/>
    </w:rPr>
  </w:style>
  <w:style w:type="character" w:styleId="HTMLCode">
    <w:name w:val="HTML Code"/>
    <w:basedOn w:val="DefaultParagraphFont"/>
    <w:uiPriority w:val="99"/>
    <w:semiHidden/>
    <w:unhideWhenUsed/>
    <w:rsid w:val="00DF245D"/>
    <w:rPr>
      <w:rFonts w:ascii="Consolas" w:hAnsi="Consolas"/>
      <w:sz w:val="20"/>
      <w:szCs w:val="20"/>
    </w:rPr>
  </w:style>
  <w:style w:type="character" w:styleId="HTMLDefinition">
    <w:name w:val="HTML Definition"/>
    <w:basedOn w:val="DefaultParagraphFont"/>
    <w:uiPriority w:val="99"/>
    <w:semiHidden/>
    <w:unhideWhenUsed/>
    <w:rsid w:val="00DF245D"/>
    <w:rPr>
      <w:i/>
      <w:iCs/>
    </w:rPr>
  </w:style>
  <w:style w:type="character" w:styleId="HTMLKeyboard">
    <w:name w:val="HTML Keyboard"/>
    <w:basedOn w:val="DefaultParagraphFont"/>
    <w:uiPriority w:val="99"/>
    <w:semiHidden/>
    <w:unhideWhenUsed/>
    <w:rsid w:val="00DF245D"/>
    <w:rPr>
      <w:rFonts w:ascii="Consolas" w:hAnsi="Consolas"/>
      <w:sz w:val="20"/>
      <w:szCs w:val="20"/>
    </w:rPr>
  </w:style>
  <w:style w:type="paragraph" w:styleId="HTMLPreformatted">
    <w:name w:val="HTML Preformatted"/>
    <w:basedOn w:val="Normal"/>
    <w:link w:val="HTMLPreformattedChar"/>
    <w:uiPriority w:val="99"/>
    <w:semiHidden/>
    <w:unhideWhenUsed/>
    <w:rsid w:val="00DF24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F245D"/>
    <w:rPr>
      <w:rFonts w:ascii="Consolas" w:hAnsi="Consolas"/>
      <w:sz w:val="20"/>
      <w:szCs w:val="20"/>
    </w:rPr>
  </w:style>
  <w:style w:type="character" w:styleId="HTMLSample">
    <w:name w:val="HTML Sample"/>
    <w:basedOn w:val="DefaultParagraphFont"/>
    <w:uiPriority w:val="99"/>
    <w:semiHidden/>
    <w:unhideWhenUsed/>
    <w:rsid w:val="00DF245D"/>
    <w:rPr>
      <w:rFonts w:ascii="Consolas" w:hAnsi="Consolas"/>
      <w:sz w:val="24"/>
      <w:szCs w:val="24"/>
    </w:rPr>
  </w:style>
  <w:style w:type="character" w:styleId="HTMLTypewriter">
    <w:name w:val="HTML Typewriter"/>
    <w:basedOn w:val="DefaultParagraphFont"/>
    <w:uiPriority w:val="99"/>
    <w:semiHidden/>
    <w:unhideWhenUsed/>
    <w:rsid w:val="00DF245D"/>
    <w:rPr>
      <w:rFonts w:ascii="Consolas" w:hAnsi="Consolas"/>
      <w:sz w:val="20"/>
      <w:szCs w:val="20"/>
    </w:rPr>
  </w:style>
  <w:style w:type="character" w:styleId="HTMLVariable">
    <w:name w:val="HTML Variable"/>
    <w:basedOn w:val="DefaultParagraphFont"/>
    <w:uiPriority w:val="99"/>
    <w:semiHidden/>
    <w:unhideWhenUsed/>
    <w:rsid w:val="00DF245D"/>
    <w:rPr>
      <w:i/>
      <w:iCs/>
    </w:rPr>
  </w:style>
  <w:style w:type="paragraph" w:styleId="Index1">
    <w:name w:val="index 1"/>
    <w:basedOn w:val="Normal"/>
    <w:next w:val="Normal"/>
    <w:autoRedefine/>
    <w:uiPriority w:val="99"/>
    <w:semiHidden/>
    <w:unhideWhenUsed/>
    <w:rsid w:val="00DF245D"/>
    <w:pPr>
      <w:spacing w:after="0" w:line="240" w:lineRule="auto"/>
      <w:ind w:left="220" w:hanging="220"/>
    </w:pPr>
  </w:style>
  <w:style w:type="paragraph" w:styleId="Index2">
    <w:name w:val="index 2"/>
    <w:basedOn w:val="Normal"/>
    <w:next w:val="Normal"/>
    <w:autoRedefine/>
    <w:uiPriority w:val="99"/>
    <w:semiHidden/>
    <w:unhideWhenUsed/>
    <w:rsid w:val="00DF245D"/>
    <w:pPr>
      <w:spacing w:after="0" w:line="240" w:lineRule="auto"/>
      <w:ind w:left="440" w:hanging="220"/>
    </w:pPr>
  </w:style>
  <w:style w:type="paragraph" w:styleId="Index3">
    <w:name w:val="index 3"/>
    <w:basedOn w:val="Normal"/>
    <w:next w:val="Normal"/>
    <w:autoRedefine/>
    <w:uiPriority w:val="99"/>
    <w:semiHidden/>
    <w:unhideWhenUsed/>
    <w:rsid w:val="00DF245D"/>
    <w:pPr>
      <w:spacing w:after="0" w:line="240" w:lineRule="auto"/>
      <w:ind w:left="660" w:hanging="220"/>
    </w:pPr>
  </w:style>
  <w:style w:type="paragraph" w:styleId="Index4">
    <w:name w:val="index 4"/>
    <w:basedOn w:val="Normal"/>
    <w:next w:val="Normal"/>
    <w:autoRedefine/>
    <w:uiPriority w:val="99"/>
    <w:semiHidden/>
    <w:unhideWhenUsed/>
    <w:rsid w:val="00DF245D"/>
    <w:pPr>
      <w:spacing w:after="0" w:line="240" w:lineRule="auto"/>
      <w:ind w:left="880" w:hanging="220"/>
    </w:pPr>
  </w:style>
  <w:style w:type="paragraph" w:styleId="Index5">
    <w:name w:val="index 5"/>
    <w:basedOn w:val="Normal"/>
    <w:next w:val="Normal"/>
    <w:autoRedefine/>
    <w:uiPriority w:val="99"/>
    <w:semiHidden/>
    <w:unhideWhenUsed/>
    <w:rsid w:val="00DF245D"/>
    <w:pPr>
      <w:spacing w:after="0" w:line="240" w:lineRule="auto"/>
      <w:ind w:left="1100" w:hanging="220"/>
    </w:pPr>
  </w:style>
  <w:style w:type="paragraph" w:styleId="Index6">
    <w:name w:val="index 6"/>
    <w:basedOn w:val="Normal"/>
    <w:next w:val="Normal"/>
    <w:autoRedefine/>
    <w:uiPriority w:val="99"/>
    <w:semiHidden/>
    <w:unhideWhenUsed/>
    <w:rsid w:val="00DF245D"/>
    <w:pPr>
      <w:spacing w:after="0" w:line="240" w:lineRule="auto"/>
      <w:ind w:left="1320" w:hanging="220"/>
    </w:pPr>
  </w:style>
  <w:style w:type="paragraph" w:styleId="Index7">
    <w:name w:val="index 7"/>
    <w:basedOn w:val="Normal"/>
    <w:next w:val="Normal"/>
    <w:autoRedefine/>
    <w:uiPriority w:val="99"/>
    <w:semiHidden/>
    <w:unhideWhenUsed/>
    <w:rsid w:val="00DF245D"/>
    <w:pPr>
      <w:spacing w:after="0" w:line="240" w:lineRule="auto"/>
      <w:ind w:left="1540" w:hanging="220"/>
    </w:pPr>
  </w:style>
  <w:style w:type="paragraph" w:styleId="Index8">
    <w:name w:val="index 8"/>
    <w:basedOn w:val="Normal"/>
    <w:next w:val="Normal"/>
    <w:autoRedefine/>
    <w:uiPriority w:val="99"/>
    <w:semiHidden/>
    <w:unhideWhenUsed/>
    <w:rsid w:val="00DF245D"/>
    <w:pPr>
      <w:spacing w:after="0" w:line="240" w:lineRule="auto"/>
      <w:ind w:left="1760" w:hanging="220"/>
    </w:pPr>
  </w:style>
  <w:style w:type="paragraph" w:styleId="Index9">
    <w:name w:val="index 9"/>
    <w:basedOn w:val="Normal"/>
    <w:next w:val="Normal"/>
    <w:autoRedefine/>
    <w:uiPriority w:val="99"/>
    <w:semiHidden/>
    <w:unhideWhenUsed/>
    <w:rsid w:val="00DF245D"/>
    <w:pPr>
      <w:spacing w:after="0" w:line="240" w:lineRule="auto"/>
      <w:ind w:left="1980" w:hanging="220"/>
    </w:pPr>
  </w:style>
  <w:style w:type="paragraph" w:styleId="IndexHeading">
    <w:name w:val="index heading"/>
    <w:basedOn w:val="Normal"/>
    <w:next w:val="Index1"/>
    <w:uiPriority w:val="99"/>
    <w:semiHidden/>
    <w:unhideWhenUsed/>
    <w:rsid w:val="00DF245D"/>
    <w:rPr>
      <w:rFonts w:asciiTheme="majorHAnsi" w:eastAsiaTheme="majorEastAsia" w:hAnsiTheme="majorHAnsi" w:cstheme="majorBidi"/>
      <w:b/>
      <w:bCs/>
    </w:rPr>
  </w:style>
  <w:style w:type="table" w:styleId="LightGrid">
    <w:name w:val="Light Grid"/>
    <w:basedOn w:val="TableNormal"/>
    <w:uiPriority w:val="62"/>
    <w:semiHidden/>
    <w:unhideWhenUsed/>
    <w:rsid w:val="00DF245D"/>
    <w:pPr>
      <w:spacing w:after="0" w:line="240" w:lineRule="auto"/>
    </w:p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insideH w:val="single" w:sz="8" w:space="0" w:color="30353F" w:themeColor="text1"/>
        <w:insideV w:val="single" w:sz="8" w:space="0" w:color="30353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353F" w:themeColor="text1"/>
          <w:left w:val="single" w:sz="8" w:space="0" w:color="30353F" w:themeColor="text1"/>
          <w:bottom w:val="single" w:sz="18" w:space="0" w:color="30353F" w:themeColor="text1"/>
          <w:right w:val="single" w:sz="8" w:space="0" w:color="30353F" w:themeColor="text1"/>
          <w:insideH w:val="nil"/>
          <w:insideV w:val="single" w:sz="8" w:space="0" w:color="30353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53F" w:themeColor="text1"/>
          <w:left w:val="single" w:sz="8" w:space="0" w:color="30353F" w:themeColor="text1"/>
          <w:bottom w:val="single" w:sz="8" w:space="0" w:color="30353F" w:themeColor="text1"/>
          <w:right w:val="single" w:sz="8" w:space="0" w:color="30353F" w:themeColor="text1"/>
          <w:insideH w:val="nil"/>
          <w:insideV w:val="single" w:sz="8" w:space="0" w:color="30353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tblStylePr w:type="band1Vert">
      <w:tblPr/>
      <w:tcPr>
        <w:tcBorders>
          <w:top w:val="single" w:sz="8" w:space="0" w:color="30353F" w:themeColor="text1"/>
          <w:left w:val="single" w:sz="8" w:space="0" w:color="30353F" w:themeColor="text1"/>
          <w:bottom w:val="single" w:sz="8" w:space="0" w:color="30353F" w:themeColor="text1"/>
          <w:right w:val="single" w:sz="8" w:space="0" w:color="30353F" w:themeColor="text1"/>
        </w:tcBorders>
        <w:shd w:val="clear" w:color="auto" w:fill="C7CBD4" w:themeFill="text1" w:themeFillTint="3F"/>
      </w:tcPr>
    </w:tblStylePr>
    <w:tblStylePr w:type="band1Horz">
      <w:tblPr/>
      <w:tcPr>
        <w:tcBorders>
          <w:top w:val="single" w:sz="8" w:space="0" w:color="30353F" w:themeColor="text1"/>
          <w:left w:val="single" w:sz="8" w:space="0" w:color="30353F" w:themeColor="text1"/>
          <w:bottom w:val="single" w:sz="8" w:space="0" w:color="30353F" w:themeColor="text1"/>
          <w:right w:val="single" w:sz="8" w:space="0" w:color="30353F" w:themeColor="text1"/>
          <w:insideV w:val="single" w:sz="8" w:space="0" w:color="30353F" w:themeColor="text1"/>
        </w:tcBorders>
        <w:shd w:val="clear" w:color="auto" w:fill="C7CBD4" w:themeFill="text1" w:themeFillTint="3F"/>
      </w:tcPr>
    </w:tblStylePr>
    <w:tblStylePr w:type="band2Horz">
      <w:tblPr/>
      <w:tcPr>
        <w:tcBorders>
          <w:top w:val="single" w:sz="8" w:space="0" w:color="30353F" w:themeColor="text1"/>
          <w:left w:val="single" w:sz="8" w:space="0" w:color="30353F" w:themeColor="text1"/>
          <w:bottom w:val="single" w:sz="8" w:space="0" w:color="30353F" w:themeColor="text1"/>
          <w:right w:val="single" w:sz="8" w:space="0" w:color="30353F" w:themeColor="text1"/>
          <w:insideV w:val="single" w:sz="8" w:space="0" w:color="30353F" w:themeColor="text1"/>
        </w:tcBorders>
      </w:tcPr>
    </w:tblStylePr>
  </w:style>
  <w:style w:type="table" w:styleId="LightGrid-Accent1">
    <w:name w:val="Light Grid Accent 1"/>
    <w:basedOn w:val="TableNormal"/>
    <w:uiPriority w:val="62"/>
    <w:semiHidden/>
    <w:unhideWhenUsed/>
    <w:rsid w:val="00DF245D"/>
    <w:pPr>
      <w:spacing w:after="0" w:line="240" w:lineRule="auto"/>
    </w:p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insideH w:val="single" w:sz="8" w:space="0" w:color="0094C5" w:themeColor="accent1"/>
        <w:insideV w:val="single" w:sz="8" w:space="0" w:color="0094C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4C5" w:themeColor="accent1"/>
          <w:left w:val="single" w:sz="8" w:space="0" w:color="0094C5" w:themeColor="accent1"/>
          <w:bottom w:val="single" w:sz="18" w:space="0" w:color="0094C5" w:themeColor="accent1"/>
          <w:right w:val="single" w:sz="8" w:space="0" w:color="0094C5" w:themeColor="accent1"/>
          <w:insideH w:val="nil"/>
          <w:insideV w:val="single" w:sz="8" w:space="0" w:color="0094C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4C5" w:themeColor="accent1"/>
          <w:left w:val="single" w:sz="8" w:space="0" w:color="0094C5" w:themeColor="accent1"/>
          <w:bottom w:val="single" w:sz="8" w:space="0" w:color="0094C5" w:themeColor="accent1"/>
          <w:right w:val="single" w:sz="8" w:space="0" w:color="0094C5" w:themeColor="accent1"/>
          <w:insideH w:val="nil"/>
          <w:insideV w:val="single" w:sz="8" w:space="0" w:color="0094C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tblStylePr w:type="band1Vert">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shd w:val="clear" w:color="auto" w:fill="B1EBFF" w:themeFill="accent1" w:themeFillTint="3F"/>
      </w:tcPr>
    </w:tblStylePr>
    <w:tblStylePr w:type="band1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insideV w:val="single" w:sz="8" w:space="0" w:color="0094C5" w:themeColor="accent1"/>
        </w:tcBorders>
        <w:shd w:val="clear" w:color="auto" w:fill="B1EBFF" w:themeFill="accent1" w:themeFillTint="3F"/>
      </w:tcPr>
    </w:tblStylePr>
    <w:tblStylePr w:type="band2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insideV w:val="single" w:sz="8" w:space="0" w:color="0094C5" w:themeColor="accent1"/>
        </w:tcBorders>
      </w:tcPr>
    </w:tblStylePr>
  </w:style>
  <w:style w:type="table" w:styleId="LightGrid-Accent2">
    <w:name w:val="Light Grid Accent 2"/>
    <w:basedOn w:val="TableNormal"/>
    <w:uiPriority w:val="62"/>
    <w:semiHidden/>
    <w:unhideWhenUsed/>
    <w:rsid w:val="00DF245D"/>
    <w:pPr>
      <w:spacing w:after="0" w:line="240" w:lineRule="auto"/>
    </w:p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insideH w:val="single" w:sz="8" w:space="0" w:color="E5006D" w:themeColor="accent2"/>
        <w:insideV w:val="single" w:sz="8" w:space="0" w:color="E5006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006D" w:themeColor="accent2"/>
          <w:left w:val="single" w:sz="8" w:space="0" w:color="E5006D" w:themeColor="accent2"/>
          <w:bottom w:val="single" w:sz="18" w:space="0" w:color="E5006D" w:themeColor="accent2"/>
          <w:right w:val="single" w:sz="8" w:space="0" w:color="E5006D" w:themeColor="accent2"/>
          <w:insideH w:val="nil"/>
          <w:insideV w:val="single" w:sz="8" w:space="0" w:color="E5006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006D" w:themeColor="accent2"/>
          <w:left w:val="single" w:sz="8" w:space="0" w:color="E5006D" w:themeColor="accent2"/>
          <w:bottom w:val="single" w:sz="8" w:space="0" w:color="E5006D" w:themeColor="accent2"/>
          <w:right w:val="single" w:sz="8" w:space="0" w:color="E5006D" w:themeColor="accent2"/>
          <w:insideH w:val="nil"/>
          <w:insideV w:val="single" w:sz="8" w:space="0" w:color="E5006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tblStylePr w:type="band1Vert">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shd w:val="clear" w:color="auto" w:fill="FFB9DA" w:themeFill="accent2" w:themeFillTint="3F"/>
      </w:tcPr>
    </w:tblStylePr>
    <w:tblStylePr w:type="band1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insideV w:val="single" w:sz="8" w:space="0" w:color="E5006D" w:themeColor="accent2"/>
        </w:tcBorders>
        <w:shd w:val="clear" w:color="auto" w:fill="FFB9DA" w:themeFill="accent2" w:themeFillTint="3F"/>
      </w:tcPr>
    </w:tblStylePr>
    <w:tblStylePr w:type="band2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insideV w:val="single" w:sz="8" w:space="0" w:color="E5006D" w:themeColor="accent2"/>
        </w:tcBorders>
      </w:tcPr>
    </w:tblStylePr>
  </w:style>
  <w:style w:type="table" w:styleId="LightGrid-Accent3">
    <w:name w:val="Light Grid Accent 3"/>
    <w:basedOn w:val="TableNormal"/>
    <w:uiPriority w:val="62"/>
    <w:semiHidden/>
    <w:unhideWhenUsed/>
    <w:rsid w:val="00DF245D"/>
    <w:pPr>
      <w:spacing w:after="0" w:line="240" w:lineRule="auto"/>
    </w:p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insideH w:val="single" w:sz="8" w:space="0" w:color="2C2276" w:themeColor="accent3"/>
        <w:insideV w:val="single" w:sz="8" w:space="0" w:color="2C227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2276" w:themeColor="accent3"/>
          <w:left w:val="single" w:sz="8" w:space="0" w:color="2C2276" w:themeColor="accent3"/>
          <w:bottom w:val="single" w:sz="18" w:space="0" w:color="2C2276" w:themeColor="accent3"/>
          <w:right w:val="single" w:sz="8" w:space="0" w:color="2C2276" w:themeColor="accent3"/>
          <w:insideH w:val="nil"/>
          <w:insideV w:val="single" w:sz="8" w:space="0" w:color="2C2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2276" w:themeColor="accent3"/>
          <w:left w:val="single" w:sz="8" w:space="0" w:color="2C2276" w:themeColor="accent3"/>
          <w:bottom w:val="single" w:sz="8" w:space="0" w:color="2C2276" w:themeColor="accent3"/>
          <w:right w:val="single" w:sz="8" w:space="0" w:color="2C2276" w:themeColor="accent3"/>
          <w:insideH w:val="nil"/>
          <w:insideV w:val="single" w:sz="8" w:space="0" w:color="2C2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tblStylePr w:type="band1Vert">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shd w:val="clear" w:color="auto" w:fill="BFBAEB" w:themeFill="accent3" w:themeFillTint="3F"/>
      </w:tcPr>
    </w:tblStylePr>
    <w:tblStylePr w:type="band1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insideV w:val="single" w:sz="8" w:space="0" w:color="2C2276" w:themeColor="accent3"/>
        </w:tcBorders>
        <w:shd w:val="clear" w:color="auto" w:fill="BFBAEB" w:themeFill="accent3" w:themeFillTint="3F"/>
      </w:tcPr>
    </w:tblStylePr>
    <w:tblStylePr w:type="band2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insideV w:val="single" w:sz="8" w:space="0" w:color="2C2276" w:themeColor="accent3"/>
        </w:tcBorders>
      </w:tcPr>
    </w:tblStylePr>
  </w:style>
  <w:style w:type="table" w:styleId="LightGrid-Accent4">
    <w:name w:val="Light Grid Accent 4"/>
    <w:basedOn w:val="TableNormal"/>
    <w:uiPriority w:val="62"/>
    <w:semiHidden/>
    <w:unhideWhenUsed/>
    <w:rsid w:val="00DF245D"/>
    <w:pPr>
      <w:spacing w:after="0" w:line="240" w:lineRule="auto"/>
    </w:p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insideH w:val="single" w:sz="8" w:space="0" w:color="7B1244" w:themeColor="accent4"/>
        <w:insideV w:val="single" w:sz="8" w:space="0" w:color="7B124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1244" w:themeColor="accent4"/>
          <w:left w:val="single" w:sz="8" w:space="0" w:color="7B1244" w:themeColor="accent4"/>
          <w:bottom w:val="single" w:sz="18" w:space="0" w:color="7B1244" w:themeColor="accent4"/>
          <w:right w:val="single" w:sz="8" w:space="0" w:color="7B1244" w:themeColor="accent4"/>
          <w:insideH w:val="nil"/>
          <w:insideV w:val="single" w:sz="8" w:space="0" w:color="7B124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1244" w:themeColor="accent4"/>
          <w:left w:val="single" w:sz="8" w:space="0" w:color="7B1244" w:themeColor="accent4"/>
          <w:bottom w:val="single" w:sz="8" w:space="0" w:color="7B1244" w:themeColor="accent4"/>
          <w:right w:val="single" w:sz="8" w:space="0" w:color="7B1244" w:themeColor="accent4"/>
          <w:insideH w:val="nil"/>
          <w:insideV w:val="single" w:sz="8" w:space="0" w:color="7B124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tblStylePr w:type="band1Vert">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shd w:val="clear" w:color="auto" w:fill="F3AFCF" w:themeFill="accent4" w:themeFillTint="3F"/>
      </w:tcPr>
    </w:tblStylePr>
    <w:tblStylePr w:type="band1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insideV w:val="single" w:sz="8" w:space="0" w:color="7B1244" w:themeColor="accent4"/>
        </w:tcBorders>
        <w:shd w:val="clear" w:color="auto" w:fill="F3AFCF" w:themeFill="accent4" w:themeFillTint="3F"/>
      </w:tcPr>
    </w:tblStylePr>
    <w:tblStylePr w:type="band2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insideV w:val="single" w:sz="8" w:space="0" w:color="7B1244" w:themeColor="accent4"/>
        </w:tcBorders>
      </w:tcPr>
    </w:tblStylePr>
  </w:style>
  <w:style w:type="table" w:styleId="LightGrid-Accent5">
    <w:name w:val="Light Grid Accent 5"/>
    <w:basedOn w:val="TableNormal"/>
    <w:uiPriority w:val="62"/>
    <w:semiHidden/>
    <w:unhideWhenUsed/>
    <w:rsid w:val="00DF245D"/>
    <w:pPr>
      <w:spacing w:after="0" w:line="240" w:lineRule="auto"/>
    </w:p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insideH w:val="single" w:sz="8" w:space="0" w:color="AFCA0B" w:themeColor="accent5"/>
        <w:insideV w:val="single" w:sz="8" w:space="0" w:color="AFCA0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CA0B" w:themeColor="accent5"/>
          <w:left w:val="single" w:sz="8" w:space="0" w:color="AFCA0B" w:themeColor="accent5"/>
          <w:bottom w:val="single" w:sz="18" w:space="0" w:color="AFCA0B" w:themeColor="accent5"/>
          <w:right w:val="single" w:sz="8" w:space="0" w:color="AFCA0B" w:themeColor="accent5"/>
          <w:insideH w:val="nil"/>
          <w:insideV w:val="single" w:sz="8" w:space="0" w:color="AFCA0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CA0B" w:themeColor="accent5"/>
          <w:left w:val="single" w:sz="8" w:space="0" w:color="AFCA0B" w:themeColor="accent5"/>
          <w:bottom w:val="single" w:sz="8" w:space="0" w:color="AFCA0B" w:themeColor="accent5"/>
          <w:right w:val="single" w:sz="8" w:space="0" w:color="AFCA0B" w:themeColor="accent5"/>
          <w:insideH w:val="nil"/>
          <w:insideV w:val="single" w:sz="8" w:space="0" w:color="AFCA0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tblStylePr w:type="band1Vert">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shd w:val="clear" w:color="auto" w:fill="F1FBB9" w:themeFill="accent5" w:themeFillTint="3F"/>
      </w:tcPr>
    </w:tblStylePr>
    <w:tblStylePr w:type="band1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insideV w:val="single" w:sz="8" w:space="0" w:color="AFCA0B" w:themeColor="accent5"/>
        </w:tcBorders>
        <w:shd w:val="clear" w:color="auto" w:fill="F1FBB9" w:themeFill="accent5" w:themeFillTint="3F"/>
      </w:tcPr>
    </w:tblStylePr>
    <w:tblStylePr w:type="band2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insideV w:val="single" w:sz="8" w:space="0" w:color="AFCA0B" w:themeColor="accent5"/>
        </w:tcBorders>
      </w:tcPr>
    </w:tblStylePr>
  </w:style>
  <w:style w:type="table" w:styleId="LightGrid-Accent6">
    <w:name w:val="Light Grid Accent 6"/>
    <w:basedOn w:val="TableNormal"/>
    <w:uiPriority w:val="62"/>
    <w:semiHidden/>
    <w:unhideWhenUsed/>
    <w:rsid w:val="00DF245D"/>
    <w:pPr>
      <w:spacing w:after="0" w:line="240" w:lineRule="auto"/>
    </w:p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insideH w:val="single" w:sz="8" w:space="0" w:color="3AAA35" w:themeColor="accent6"/>
        <w:insideV w:val="single" w:sz="8" w:space="0" w:color="3AAA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A35" w:themeColor="accent6"/>
          <w:left w:val="single" w:sz="8" w:space="0" w:color="3AAA35" w:themeColor="accent6"/>
          <w:bottom w:val="single" w:sz="18" w:space="0" w:color="3AAA35" w:themeColor="accent6"/>
          <w:right w:val="single" w:sz="8" w:space="0" w:color="3AAA35" w:themeColor="accent6"/>
          <w:insideH w:val="nil"/>
          <w:insideV w:val="single" w:sz="8" w:space="0" w:color="3AAA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A35" w:themeColor="accent6"/>
          <w:left w:val="single" w:sz="8" w:space="0" w:color="3AAA35" w:themeColor="accent6"/>
          <w:bottom w:val="single" w:sz="8" w:space="0" w:color="3AAA35" w:themeColor="accent6"/>
          <w:right w:val="single" w:sz="8" w:space="0" w:color="3AAA35" w:themeColor="accent6"/>
          <w:insideH w:val="nil"/>
          <w:insideV w:val="single" w:sz="8" w:space="0" w:color="3AAA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tblStylePr w:type="band1Vert">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shd w:val="clear" w:color="auto" w:fill="CAEEC8" w:themeFill="accent6" w:themeFillTint="3F"/>
      </w:tcPr>
    </w:tblStylePr>
    <w:tblStylePr w:type="band1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insideV w:val="single" w:sz="8" w:space="0" w:color="3AAA35" w:themeColor="accent6"/>
        </w:tcBorders>
        <w:shd w:val="clear" w:color="auto" w:fill="CAEEC8" w:themeFill="accent6" w:themeFillTint="3F"/>
      </w:tcPr>
    </w:tblStylePr>
    <w:tblStylePr w:type="band2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insideV w:val="single" w:sz="8" w:space="0" w:color="3AAA35" w:themeColor="accent6"/>
        </w:tcBorders>
      </w:tcPr>
    </w:tblStylePr>
  </w:style>
  <w:style w:type="table" w:styleId="LightList">
    <w:name w:val="Light List"/>
    <w:basedOn w:val="TableNormal"/>
    <w:uiPriority w:val="61"/>
    <w:semiHidden/>
    <w:unhideWhenUsed/>
    <w:rsid w:val="00DF245D"/>
    <w:pPr>
      <w:spacing w:after="0" w:line="240" w:lineRule="auto"/>
    </w:p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tblBorders>
    </w:tblPr>
    <w:tblStylePr w:type="firstRow">
      <w:pPr>
        <w:spacing w:before="0" w:after="0" w:line="240" w:lineRule="auto"/>
      </w:pPr>
      <w:rPr>
        <w:b/>
        <w:bCs/>
        <w:color w:val="FFFFFF" w:themeColor="background1"/>
      </w:rPr>
      <w:tblPr/>
      <w:tcPr>
        <w:shd w:val="clear" w:color="auto" w:fill="30353F" w:themeFill="text1"/>
      </w:tcPr>
    </w:tblStylePr>
    <w:tblStylePr w:type="lastRow">
      <w:pPr>
        <w:spacing w:before="0" w:after="0" w:line="240" w:lineRule="auto"/>
      </w:pPr>
      <w:rPr>
        <w:b/>
        <w:bCs/>
      </w:rPr>
      <w:tblPr/>
      <w:tcPr>
        <w:tcBorders>
          <w:top w:val="double" w:sz="6" w:space="0" w:color="30353F" w:themeColor="text1"/>
          <w:left w:val="single" w:sz="8" w:space="0" w:color="30353F" w:themeColor="text1"/>
          <w:bottom w:val="single" w:sz="8" w:space="0" w:color="30353F" w:themeColor="text1"/>
          <w:right w:val="single" w:sz="8" w:space="0" w:color="30353F" w:themeColor="text1"/>
        </w:tcBorders>
      </w:tcPr>
    </w:tblStylePr>
    <w:tblStylePr w:type="firstCol">
      <w:rPr>
        <w:b/>
        <w:bCs/>
      </w:rPr>
    </w:tblStylePr>
    <w:tblStylePr w:type="lastCol">
      <w:rPr>
        <w:b/>
        <w:bCs/>
      </w:rPr>
    </w:tblStylePr>
    <w:tblStylePr w:type="band1Vert">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tblStylePr w:type="band1Horz">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style>
  <w:style w:type="table" w:styleId="LightList-Accent1">
    <w:name w:val="Light List Accent 1"/>
    <w:basedOn w:val="TableNormal"/>
    <w:uiPriority w:val="61"/>
    <w:semiHidden/>
    <w:unhideWhenUsed/>
    <w:rsid w:val="00DF245D"/>
    <w:pPr>
      <w:spacing w:after="0" w:line="240" w:lineRule="auto"/>
    </w:p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tblBorders>
    </w:tblPr>
    <w:tblStylePr w:type="firstRow">
      <w:pPr>
        <w:spacing w:before="0" w:after="0" w:line="240" w:lineRule="auto"/>
      </w:pPr>
      <w:rPr>
        <w:b/>
        <w:bCs/>
        <w:color w:val="FFFFFF" w:themeColor="background1"/>
      </w:rPr>
      <w:tblPr/>
      <w:tcPr>
        <w:shd w:val="clear" w:color="auto" w:fill="0094C5" w:themeFill="accent1"/>
      </w:tcPr>
    </w:tblStylePr>
    <w:tblStylePr w:type="lastRow">
      <w:pPr>
        <w:spacing w:before="0" w:after="0" w:line="240" w:lineRule="auto"/>
      </w:pPr>
      <w:rPr>
        <w:b/>
        <w:bCs/>
      </w:rPr>
      <w:tblPr/>
      <w:tcPr>
        <w:tcBorders>
          <w:top w:val="double" w:sz="6" w:space="0" w:color="0094C5" w:themeColor="accent1"/>
          <w:left w:val="single" w:sz="8" w:space="0" w:color="0094C5" w:themeColor="accent1"/>
          <w:bottom w:val="single" w:sz="8" w:space="0" w:color="0094C5" w:themeColor="accent1"/>
          <w:right w:val="single" w:sz="8" w:space="0" w:color="0094C5" w:themeColor="accent1"/>
        </w:tcBorders>
      </w:tcPr>
    </w:tblStylePr>
    <w:tblStylePr w:type="firstCol">
      <w:rPr>
        <w:b/>
        <w:bCs/>
      </w:rPr>
    </w:tblStylePr>
    <w:tblStylePr w:type="lastCol">
      <w:rPr>
        <w:b/>
        <w:bCs/>
      </w:rPr>
    </w:tblStylePr>
    <w:tblStylePr w:type="band1Vert">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tblStylePr w:type="band1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style>
  <w:style w:type="table" w:styleId="LightList-Accent2">
    <w:name w:val="Light List Accent 2"/>
    <w:basedOn w:val="TableNormal"/>
    <w:uiPriority w:val="61"/>
    <w:semiHidden/>
    <w:unhideWhenUsed/>
    <w:rsid w:val="00DF245D"/>
    <w:pPr>
      <w:spacing w:after="0" w:line="240" w:lineRule="auto"/>
    </w:p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tblBorders>
    </w:tblPr>
    <w:tblStylePr w:type="firstRow">
      <w:pPr>
        <w:spacing w:before="0" w:after="0" w:line="240" w:lineRule="auto"/>
      </w:pPr>
      <w:rPr>
        <w:b/>
        <w:bCs/>
        <w:color w:val="FFFFFF" w:themeColor="background1"/>
      </w:rPr>
      <w:tblPr/>
      <w:tcPr>
        <w:shd w:val="clear" w:color="auto" w:fill="E5006D" w:themeFill="accent2"/>
      </w:tcPr>
    </w:tblStylePr>
    <w:tblStylePr w:type="lastRow">
      <w:pPr>
        <w:spacing w:before="0" w:after="0" w:line="240" w:lineRule="auto"/>
      </w:pPr>
      <w:rPr>
        <w:b/>
        <w:bCs/>
      </w:rPr>
      <w:tblPr/>
      <w:tcPr>
        <w:tcBorders>
          <w:top w:val="double" w:sz="6" w:space="0" w:color="E5006D" w:themeColor="accent2"/>
          <w:left w:val="single" w:sz="8" w:space="0" w:color="E5006D" w:themeColor="accent2"/>
          <w:bottom w:val="single" w:sz="8" w:space="0" w:color="E5006D" w:themeColor="accent2"/>
          <w:right w:val="single" w:sz="8" w:space="0" w:color="E5006D" w:themeColor="accent2"/>
        </w:tcBorders>
      </w:tcPr>
    </w:tblStylePr>
    <w:tblStylePr w:type="firstCol">
      <w:rPr>
        <w:b/>
        <w:bCs/>
      </w:rPr>
    </w:tblStylePr>
    <w:tblStylePr w:type="lastCol">
      <w:rPr>
        <w:b/>
        <w:bCs/>
      </w:rPr>
    </w:tblStylePr>
    <w:tblStylePr w:type="band1Vert">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tblStylePr w:type="band1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style>
  <w:style w:type="table" w:styleId="LightList-Accent3">
    <w:name w:val="Light List Accent 3"/>
    <w:basedOn w:val="TableNormal"/>
    <w:uiPriority w:val="61"/>
    <w:semiHidden/>
    <w:unhideWhenUsed/>
    <w:rsid w:val="00DF245D"/>
    <w:pPr>
      <w:spacing w:after="0" w:line="240" w:lineRule="auto"/>
    </w:p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tblBorders>
    </w:tblPr>
    <w:tblStylePr w:type="firstRow">
      <w:pPr>
        <w:spacing w:before="0" w:after="0" w:line="240" w:lineRule="auto"/>
      </w:pPr>
      <w:rPr>
        <w:b/>
        <w:bCs/>
        <w:color w:val="FFFFFF" w:themeColor="background1"/>
      </w:rPr>
      <w:tblPr/>
      <w:tcPr>
        <w:shd w:val="clear" w:color="auto" w:fill="2C2276" w:themeFill="accent3"/>
      </w:tcPr>
    </w:tblStylePr>
    <w:tblStylePr w:type="lastRow">
      <w:pPr>
        <w:spacing w:before="0" w:after="0" w:line="240" w:lineRule="auto"/>
      </w:pPr>
      <w:rPr>
        <w:b/>
        <w:bCs/>
      </w:rPr>
      <w:tblPr/>
      <w:tcPr>
        <w:tcBorders>
          <w:top w:val="double" w:sz="6" w:space="0" w:color="2C2276" w:themeColor="accent3"/>
          <w:left w:val="single" w:sz="8" w:space="0" w:color="2C2276" w:themeColor="accent3"/>
          <w:bottom w:val="single" w:sz="8" w:space="0" w:color="2C2276" w:themeColor="accent3"/>
          <w:right w:val="single" w:sz="8" w:space="0" w:color="2C2276" w:themeColor="accent3"/>
        </w:tcBorders>
      </w:tcPr>
    </w:tblStylePr>
    <w:tblStylePr w:type="firstCol">
      <w:rPr>
        <w:b/>
        <w:bCs/>
      </w:rPr>
    </w:tblStylePr>
    <w:tblStylePr w:type="lastCol">
      <w:rPr>
        <w:b/>
        <w:bCs/>
      </w:rPr>
    </w:tblStylePr>
    <w:tblStylePr w:type="band1Vert">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tblStylePr w:type="band1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style>
  <w:style w:type="table" w:styleId="LightList-Accent4">
    <w:name w:val="Light List Accent 4"/>
    <w:basedOn w:val="TableNormal"/>
    <w:uiPriority w:val="61"/>
    <w:semiHidden/>
    <w:unhideWhenUsed/>
    <w:rsid w:val="00DF245D"/>
    <w:pPr>
      <w:spacing w:after="0" w:line="240" w:lineRule="auto"/>
    </w:p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tblBorders>
    </w:tblPr>
    <w:tblStylePr w:type="firstRow">
      <w:pPr>
        <w:spacing w:before="0" w:after="0" w:line="240" w:lineRule="auto"/>
      </w:pPr>
      <w:rPr>
        <w:b/>
        <w:bCs/>
        <w:color w:val="FFFFFF" w:themeColor="background1"/>
      </w:rPr>
      <w:tblPr/>
      <w:tcPr>
        <w:shd w:val="clear" w:color="auto" w:fill="7B1244" w:themeFill="accent4"/>
      </w:tcPr>
    </w:tblStylePr>
    <w:tblStylePr w:type="lastRow">
      <w:pPr>
        <w:spacing w:before="0" w:after="0" w:line="240" w:lineRule="auto"/>
      </w:pPr>
      <w:rPr>
        <w:b/>
        <w:bCs/>
      </w:rPr>
      <w:tblPr/>
      <w:tcPr>
        <w:tcBorders>
          <w:top w:val="double" w:sz="6" w:space="0" w:color="7B1244" w:themeColor="accent4"/>
          <w:left w:val="single" w:sz="8" w:space="0" w:color="7B1244" w:themeColor="accent4"/>
          <w:bottom w:val="single" w:sz="8" w:space="0" w:color="7B1244" w:themeColor="accent4"/>
          <w:right w:val="single" w:sz="8" w:space="0" w:color="7B1244" w:themeColor="accent4"/>
        </w:tcBorders>
      </w:tcPr>
    </w:tblStylePr>
    <w:tblStylePr w:type="firstCol">
      <w:rPr>
        <w:b/>
        <w:bCs/>
      </w:rPr>
    </w:tblStylePr>
    <w:tblStylePr w:type="lastCol">
      <w:rPr>
        <w:b/>
        <w:bCs/>
      </w:rPr>
    </w:tblStylePr>
    <w:tblStylePr w:type="band1Vert">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tblStylePr w:type="band1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style>
  <w:style w:type="table" w:styleId="LightList-Accent5">
    <w:name w:val="Light List Accent 5"/>
    <w:basedOn w:val="TableNormal"/>
    <w:uiPriority w:val="61"/>
    <w:semiHidden/>
    <w:unhideWhenUsed/>
    <w:rsid w:val="00DF245D"/>
    <w:pPr>
      <w:spacing w:after="0" w:line="240" w:lineRule="auto"/>
    </w:p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tblBorders>
    </w:tblPr>
    <w:tblStylePr w:type="firstRow">
      <w:pPr>
        <w:spacing w:before="0" w:after="0" w:line="240" w:lineRule="auto"/>
      </w:pPr>
      <w:rPr>
        <w:b/>
        <w:bCs/>
        <w:color w:val="FFFFFF" w:themeColor="background1"/>
      </w:rPr>
      <w:tblPr/>
      <w:tcPr>
        <w:shd w:val="clear" w:color="auto" w:fill="AFCA0B" w:themeFill="accent5"/>
      </w:tcPr>
    </w:tblStylePr>
    <w:tblStylePr w:type="lastRow">
      <w:pPr>
        <w:spacing w:before="0" w:after="0" w:line="240" w:lineRule="auto"/>
      </w:pPr>
      <w:rPr>
        <w:b/>
        <w:bCs/>
      </w:rPr>
      <w:tblPr/>
      <w:tcPr>
        <w:tcBorders>
          <w:top w:val="double" w:sz="6" w:space="0" w:color="AFCA0B" w:themeColor="accent5"/>
          <w:left w:val="single" w:sz="8" w:space="0" w:color="AFCA0B" w:themeColor="accent5"/>
          <w:bottom w:val="single" w:sz="8" w:space="0" w:color="AFCA0B" w:themeColor="accent5"/>
          <w:right w:val="single" w:sz="8" w:space="0" w:color="AFCA0B" w:themeColor="accent5"/>
        </w:tcBorders>
      </w:tcPr>
    </w:tblStylePr>
    <w:tblStylePr w:type="firstCol">
      <w:rPr>
        <w:b/>
        <w:bCs/>
      </w:rPr>
    </w:tblStylePr>
    <w:tblStylePr w:type="lastCol">
      <w:rPr>
        <w:b/>
        <w:bCs/>
      </w:rPr>
    </w:tblStylePr>
    <w:tblStylePr w:type="band1Vert">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tblStylePr w:type="band1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style>
  <w:style w:type="table" w:styleId="LightList-Accent6">
    <w:name w:val="Light List Accent 6"/>
    <w:basedOn w:val="TableNormal"/>
    <w:uiPriority w:val="61"/>
    <w:semiHidden/>
    <w:unhideWhenUsed/>
    <w:rsid w:val="00DF245D"/>
    <w:pPr>
      <w:spacing w:after="0" w:line="240" w:lineRule="auto"/>
    </w:p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tblBorders>
    </w:tblPr>
    <w:tblStylePr w:type="firstRow">
      <w:pPr>
        <w:spacing w:before="0" w:after="0" w:line="240" w:lineRule="auto"/>
      </w:pPr>
      <w:rPr>
        <w:b/>
        <w:bCs/>
        <w:color w:val="FFFFFF" w:themeColor="background1"/>
      </w:rPr>
      <w:tblPr/>
      <w:tcPr>
        <w:shd w:val="clear" w:color="auto" w:fill="3AAA35" w:themeFill="accent6"/>
      </w:tcPr>
    </w:tblStylePr>
    <w:tblStylePr w:type="lastRow">
      <w:pPr>
        <w:spacing w:before="0" w:after="0" w:line="240" w:lineRule="auto"/>
      </w:pPr>
      <w:rPr>
        <w:b/>
        <w:bCs/>
      </w:rPr>
      <w:tblPr/>
      <w:tcPr>
        <w:tcBorders>
          <w:top w:val="double" w:sz="6" w:space="0" w:color="3AAA35" w:themeColor="accent6"/>
          <w:left w:val="single" w:sz="8" w:space="0" w:color="3AAA35" w:themeColor="accent6"/>
          <w:bottom w:val="single" w:sz="8" w:space="0" w:color="3AAA35" w:themeColor="accent6"/>
          <w:right w:val="single" w:sz="8" w:space="0" w:color="3AAA35" w:themeColor="accent6"/>
        </w:tcBorders>
      </w:tcPr>
    </w:tblStylePr>
    <w:tblStylePr w:type="firstCol">
      <w:rPr>
        <w:b/>
        <w:bCs/>
      </w:rPr>
    </w:tblStylePr>
    <w:tblStylePr w:type="lastCol">
      <w:rPr>
        <w:b/>
        <w:bCs/>
      </w:rPr>
    </w:tblStylePr>
    <w:tblStylePr w:type="band1Vert">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tblStylePr w:type="band1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style>
  <w:style w:type="table" w:styleId="LightShading">
    <w:name w:val="Light Shading"/>
    <w:basedOn w:val="TableNormal"/>
    <w:uiPriority w:val="60"/>
    <w:semiHidden/>
    <w:unhideWhenUsed/>
    <w:rsid w:val="00DF245D"/>
    <w:pPr>
      <w:spacing w:after="0" w:line="240" w:lineRule="auto"/>
    </w:pPr>
    <w:rPr>
      <w:color w:val="24272F" w:themeColor="text1" w:themeShade="BF"/>
    </w:rPr>
    <w:tblPr>
      <w:tblStyleRowBandSize w:val="1"/>
      <w:tblStyleColBandSize w:val="1"/>
      <w:tblBorders>
        <w:top w:val="single" w:sz="8" w:space="0" w:color="30353F" w:themeColor="text1"/>
        <w:bottom w:val="single" w:sz="8" w:space="0" w:color="30353F" w:themeColor="text1"/>
      </w:tblBorders>
    </w:tblPr>
    <w:tblStylePr w:type="firstRow">
      <w:pPr>
        <w:spacing w:before="0" w:after="0" w:line="240" w:lineRule="auto"/>
      </w:pPr>
      <w:rPr>
        <w:b/>
        <w:bCs/>
      </w:rPr>
      <w:tblPr/>
      <w:tcPr>
        <w:tcBorders>
          <w:top w:val="single" w:sz="8" w:space="0" w:color="30353F" w:themeColor="text1"/>
          <w:left w:val="nil"/>
          <w:bottom w:val="single" w:sz="8" w:space="0" w:color="30353F" w:themeColor="text1"/>
          <w:right w:val="nil"/>
          <w:insideH w:val="nil"/>
          <w:insideV w:val="nil"/>
        </w:tcBorders>
      </w:tcPr>
    </w:tblStylePr>
    <w:tblStylePr w:type="lastRow">
      <w:pPr>
        <w:spacing w:before="0" w:after="0" w:line="240" w:lineRule="auto"/>
      </w:pPr>
      <w:rPr>
        <w:b/>
        <w:bCs/>
      </w:rPr>
      <w:tblPr/>
      <w:tcPr>
        <w:tcBorders>
          <w:top w:val="single" w:sz="8" w:space="0" w:color="30353F" w:themeColor="text1"/>
          <w:left w:val="nil"/>
          <w:bottom w:val="single" w:sz="8" w:space="0" w:color="30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BD4" w:themeFill="text1" w:themeFillTint="3F"/>
      </w:tcPr>
    </w:tblStylePr>
    <w:tblStylePr w:type="band1Horz">
      <w:tblPr/>
      <w:tcPr>
        <w:tcBorders>
          <w:left w:val="nil"/>
          <w:right w:val="nil"/>
          <w:insideH w:val="nil"/>
          <w:insideV w:val="nil"/>
        </w:tcBorders>
        <w:shd w:val="clear" w:color="auto" w:fill="C7CBD4" w:themeFill="text1" w:themeFillTint="3F"/>
      </w:tcPr>
    </w:tblStylePr>
  </w:style>
  <w:style w:type="table" w:styleId="LightShading-Accent1">
    <w:name w:val="Light Shading Accent 1"/>
    <w:basedOn w:val="TableNormal"/>
    <w:uiPriority w:val="60"/>
    <w:semiHidden/>
    <w:unhideWhenUsed/>
    <w:rsid w:val="00DF245D"/>
    <w:pPr>
      <w:spacing w:after="0" w:line="240" w:lineRule="auto"/>
    </w:pPr>
    <w:rPr>
      <w:color w:val="006E93" w:themeColor="accent1" w:themeShade="BF"/>
    </w:rPr>
    <w:tblPr>
      <w:tblStyleRowBandSize w:val="1"/>
      <w:tblStyleColBandSize w:val="1"/>
      <w:tblBorders>
        <w:top w:val="single" w:sz="8" w:space="0" w:color="0094C5" w:themeColor="accent1"/>
        <w:bottom w:val="single" w:sz="8" w:space="0" w:color="0094C5" w:themeColor="accent1"/>
      </w:tblBorders>
    </w:tblPr>
    <w:tblStylePr w:type="firstRow">
      <w:pPr>
        <w:spacing w:before="0" w:after="0" w:line="240" w:lineRule="auto"/>
      </w:pPr>
      <w:rPr>
        <w:b/>
        <w:bCs/>
      </w:rPr>
      <w:tblPr/>
      <w:tcPr>
        <w:tcBorders>
          <w:top w:val="single" w:sz="8" w:space="0" w:color="0094C5" w:themeColor="accent1"/>
          <w:left w:val="nil"/>
          <w:bottom w:val="single" w:sz="8" w:space="0" w:color="0094C5" w:themeColor="accent1"/>
          <w:right w:val="nil"/>
          <w:insideH w:val="nil"/>
          <w:insideV w:val="nil"/>
        </w:tcBorders>
      </w:tcPr>
    </w:tblStylePr>
    <w:tblStylePr w:type="lastRow">
      <w:pPr>
        <w:spacing w:before="0" w:after="0" w:line="240" w:lineRule="auto"/>
      </w:pPr>
      <w:rPr>
        <w:b/>
        <w:bCs/>
      </w:rPr>
      <w:tblPr/>
      <w:tcPr>
        <w:tcBorders>
          <w:top w:val="single" w:sz="8" w:space="0" w:color="0094C5" w:themeColor="accent1"/>
          <w:left w:val="nil"/>
          <w:bottom w:val="single" w:sz="8" w:space="0" w:color="0094C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BFF" w:themeFill="accent1" w:themeFillTint="3F"/>
      </w:tcPr>
    </w:tblStylePr>
    <w:tblStylePr w:type="band1Horz">
      <w:tblPr/>
      <w:tcPr>
        <w:tcBorders>
          <w:left w:val="nil"/>
          <w:right w:val="nil"/>
          <w:insideH w:val="nil"/>
          <w:insideV w:val="nil"/>
        </w:tcBorders>
        <w:shd w:val="clear" w:color="auto" w:fill="B1EBFF" w:themeFill="accent1" w:themeFillTint="3F"/>
      </w:tcPr>
    </w:tblStylePr>
  </w:style>
  <w:style w:type="table" w:styleId="LightShading-Accent2">
    <w:name w:val="Light Shading Accent 2"/>
    <w:basedOn w:val="TableNormal"/>
    <w:uiPriority w:val="60"/>
    <w:semiHidden/>
    <w:unhideWhenUsed/>
    <w:rsid w:val="00DF245D"/>
    <w:pPr>
      <w:spacing w:after="0" w:line="240" w:lineRule="auto"/>
    </w:pPr>
    <w:rPr>
      <w:color w:val="AB0051" w:themeColor="accent2" w:themeShade="BF"/>
    </w:rPr>
    <w:tblPr>
      <w:tblStyleRowBandSize w:val="1"/>
      <w:tblStyleColBandSize w:val="1"/>
      <w:tblBorders>
        <w:top w:val="single" w:sz="8" w:space="0" w:color="E5006D" w:themeColor="accent2"/>
        <w:bottom w:val="single" w:sz="8" w:space="0" w:color="E5006D" w:themeColor="accent2"/>
      </w:tblBorders>
    </w:tblPr>
    <w:tblStylePr w:type="firstRow">
      <w:pPr>
        <w:spacing w:before="0" w:after="0" w:line="240" w:lineRule="auto"/>
      </w:pPr>
      <w:rPr>
        <w:b/>
        <w:bCs/>
      </w:rPr>
      <w:tblPr/>
      <w:tcPr>
        <w:tcBorders>
          <w:top w:val="single" w:sz="8" w:space="0" w:color="E5006D" w:themeColor="accent2"/>
          <w:left w:val="nil"/>
          <w:bottom w:val="single" w:sz="8" w:space="0" w:color="E5006D" w:themeColor="accent2"/>
          <w:right w:val="nil"/>
          <w:insideH w:val="nil"/>
          <w:insideV w:val="nil"/>
        </w:tcBorders>
      </w:tcPr>
    </w:tblStylePr>
    <w:tblStylePr w:type="lastRow">
      <w:pPr>
        <w:spacing w:before="0" w:after="0" w:line="240" w:lineRule="auto"/>
      </w:pPr>
      <w:rPr>
        <w:b/>
        <w:bCs/>
      </w:rPr>
      <w:tblPr/>
      <w:tcPr>
        <w:tcBorders>
          <w:top w:val="single" w:sz="8" w:space="0" w:color="E5006D" w:themeColor="accent2"/>
          <w:left w:val="nil"/>
          <w:bottom w:val="single" w:sz="8" w:space="0" w:color="E5006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9DA" w:themeFill="accent2" w:themeFillTint="3F"/>
      </w:tcPr>
    </w:tblStylePr>
    <w:tblStylePr w:type="band1Horz">
      <w:tblPr/>
      <w:tcPr>
        <w:tcBorders>
          <w:left w:val="nil"/>
          <w:right w:val="nil"/>
          <w:insideH w:val="nil"/>
          <w:insideV w:val="nil"/>
        </w:tcBorders>
        <w:shd w:val="clear" w:color="auto" w:fill="FFB9DA" w:themeFill="accent2" w:themeFillTint="3F"/>
      </w:tcPr>
    </w:tblStylePr>
  </w:style>
  <w:style w:type="table" w:styleId="LightShading-Accent3">
    <w:name w:val="Light Shading Accent 3"/>
    <w:basedOn w:val="TableNormal"/>
    <w:uiPriority w:val="60"/>
    <w:semiHidden/>
    <w:unhideWhenUsed/>
    <w:rsid w:val="00DF245D"/>
    <w:pPr>
      <w:spacing w:after="0" w:line="240" w:lineRule="auto"/>
    </w:pPr>
    <w:rPr>
      <w:color w:val="201958" w:themeColor="accent3" w:themeShade="BF"/>
    </w:rPr>
    <w:tblPr>
      <w:tblStyleRowBandSize w:val="1"/>
      <w:tblStyleColBandSize w:val="1"/>
      <w:tblBorders>
        <w:top w:val="single" w:sz="8" w:space="0" w:color="2C2276" w:themeColor="accent3"/>
        <w:bottom w:val="single" w:sz="8" w:space="0" w:color="2C2276" w:themeColor="accent3"/>
      </w:tblBorders>
    </w:tblPr>
    <w:tblStylePr w:type="firstRow">
      <w:pPr>
        <w:spacing w:before="0" w:after="0" w:line="240" w:lineRule="auto"/>
      </w:pPr>
      <w:rPr>
        <w:b/>
        <w:bCs/>
      </w:rPr>
      <w:tblPr/>
      <w:tcPr>
        <w:tcBorders>
          <w:top w:val="single" w:sz="8" w:space="0" w:color="2C2276" w:themeColor="accent3"/>
          <w:left w:val="nil"/>
          <w:bottom w:val="single" w:sz="8" w:space="0" w:color="2C2276" w:themeColor="accent3"/>
          <w:right w:val="nil"/>
          <w:insideH w:val="nil"/>
          <w:insideV w:val="nil"/>
        </w:tcBorders>
      </w:tcPr>
    </w:tblStylePr>
    <w:tblStylePr w:type="lastRow">
      <w:pPr>
        <w:spacing w:before="0" w:after="0" w:line="240" w:lineRule="auto"/>
      </w:pPr>
      <w:rPr>
        <w:b/>
        <w:bCs/>
      </w:rPr>
      <w:tblPr/>
      <w:tcPr>
        <w:tcBorders>
          <w:top w:val="single" w:sz="8" w:space="0" w:color="2C2276" w:themeColor="accent3"/>
          <w:left w:val="nil"/>
          <w:bottom w:val="single" w:sz="8" w:space="0" w:color="2C2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AEB" w:themeFill="accent3" w:themeFillTint="3F"/>
      </w:tcPr>
    </w:tblStylePr>
    <w:tblStylePr w:type="band1Horz">
      <w:tblPr/>
      <w:tcPr>
        <w:tcBorders>
          <w:left w:val="nil"/>
          <w:right w:val="nil"/>
          <w:insideH w:val="nil"/>
          <w:insideV w:val="nil"/>
        </w:tcBorders>
        <w:shd w:val="clear" w:color="auto" w:fill="BFBAEB" w:themeFill="accent3" w:themeFillTint="3F"/>
      </w:tcPr>
    </w:tblStylePr>
  </w:style>
  <w:style w:type="table" w:styleId="LightShading-Accent4">
    <w:name w:val="Light Shading Accent 4"/>
    <w:basedOn w:val="TableNormal"/>
    <w:uiPriority w:val="60"/>
    <w:semiHidden/>
    <w:unhideWhenUsed/>
    <w:rsid w:val="00DF245D"/>
    <w:pPr>
      <w:spacing w:after="0" w:line="240" w:lineRule="auto"/>
    </w:pPr>
    <w:rPr>
      <w:color w:val="5B0D32" w:themeColor="accent4" w:themeShade="BF"/>
    </w:rPr>
    <w:tblPr>
      <w:tblStyleRowBandSize w:val="1"/>
      <w:tblStyleColBandSize w:val="1"/>
      <w:tblBorders>
        <w:top w:val="single" w:sz="8" w:space="0" w:color="7B1244" w:themeColor="accent4"/>
        <w:bottom w:val="single" w:sz="8" w:space="0" w:color="7B1244" w:themeColor="accent4"/>
      </w:tblBorders>
    </w:tblPr>
    <w:tblStylePr w:type="firstRow">
      <w:pPr>
        <w:spacing w:before="0" w:after="0" w:line="240" w:lineRule="auto"/>
      </w:pPr>
      <w:rPr>
        <w:b/>
        <w:bCs/>
      </w:rPr>
      <w:tblPr/>
      <w:tcPr>
        <w:tcBorders>
          <w:top w:val="single" w:sz="8" w:space="0" w:color="7B1244" w:themeColor="accent4"/>
          <w:left w:val="nil"/>
          <w:bottom w:val="single" w:sz="8" w:space="0" w:color="7B1244" w:themeColor="accent4"/>
          <w:right w:val="nil"/>
          <w:insideH w:val="nil"/>
          <w:insideV w:val="nil"/>
        </w:tcBorders>
      </w:tcPr>
    </w:tblStylePr>
    <w:tblStylePr w:type="lastRow">
      <w:pPr>
        <w:spacing w:before="0" w:after="0" w:line="240" w:lineRule="auto"/>
      </w:pPr>
      <w:rPr>
        <w:b/>
        <w:bCs/>
      </w:rPr>
      <w:tblPr/>
      <w:tcPr>
        <w:tcBorders>
          <w:top w:val="single" w:sz="8" w:space="0" w:color="7B1244" w:themeColor="accent4"/>
          <w:left w:val="nil"/>
          <w:bottom w:val="single" w:sz="8" w:space="0" w:color="7B124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AFCF" w:themeFill="accent4" w:themeFillTint="3F"/>
      </w:tcPr>
    </w:tblStylePr>
    <w:tblStylePr w:type="band1Horz">
      <w:tblPr/>
      <w:tcPr>
        <w:tcBorders>
          <w:left w:val="nil"/>
          <w:right w:val="nil"/>
          <w:insideH w:val="nil"/>
          <w:insideV w:val="nil"/>
        </w:tcBorders>
        <w:shd w:val="clear" w:color="auto" w:fill="F3AFCF" w:themeFill="accent4" w:themeFillTint="3F"/>
      </w:tcPr>
    </w:tblStylePr>
  </w:style>
  <w:style w:type="table" w:styleId="LightShading-Accent5">
    <w:name w:val="Light Shading Accent 5"/>
    <w:basedOn w:val="TableNormal"/>
    <w:uiPriority w:val="60"/>
    <w:semiHidden/>
    <w:unhideWhenUsed/>
    <w:rsid w:val="00DF245D"/>
    <w:pPr>
      <w:spacing w:after="0" w:line="240" w:lineRule="auto"/>
    </w:pPr>
    <w:rPr>
      <w:color w:val="829708" w:themeColor="accent5" w:themeShade="BF"/>
    </w:rPr>
    <w:tblPr>
      <w:tblStyleRowBandSize w:val="1"/>
      <w:tblStyleColBandSize w:val="1"/>
      <w:tblBorders>
        <w:top w:val="single" w:sz="8" w:space="0" w:color="AFCA0B" w:themeColor="accent5"/>
        <w:bottom w:val="single" w:sz="8" w:space="0" w:color="AFCA0B" w:themeColor="accent5"/>
      </w:tblBorders>
    </w:tblPr>
    <w:tblStylePr w:type="firstRow">
      <w:pPr>
        <w:spacing w:before="0" w:after="0" w:line="240" w:lineRule="auto"/>
      </w:pPr>
      <w:rPr>
        <w:b/>
        <w:bCs/>
      </w:rPr>
      <w:tblPr/>
      <w:tcPr>
        <w:tcBorders>
          <w:top w:val="single" w:sz="8" w:space="0" w:color="AFCA0B" w:themeColor="accent5"/>
          <w:left w:val="nil"/>
          <w:bottom w:val="single" w:sz="8" w:space="0" w:color="AFCA0B" w:themeColor="accent5"/>
          <w:right w:val="nil"/>
          <w:insideH w:val="nil"/>
          <w:insideV w:val="nil"/>
        </w:tcBorders>
      </w:tcPr>
    </w:tblStylePr>
    <w:tblStylePr w:type="lastRow">
      <w:pPr>
        <w:spacing w:before="0" w:after="0" w:line="240" w:lineRule="auto"/>
      </w:pPr>
      <w:rPr>
        <w:b/>
        <w:bCs/>
      </w:rPr>
      <w:tblPr/>
      <w:tcPr>
        <w:tcBorders>
          <w:top w:val="single" w:sz="8" w:space="0" w:color="AFCA0B" w:themeColor="accent5"/>
          <w:left w:val="nil"/>
          <w:bottom w:val="single" w:sz="8" w:space="0" w:color="AFCA0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BB9" w:themeFill="accent5" w:themeFillTint="3F"/>
      </w:tcPr>
    </w:tblStylePr>
    <w:tblStylePr w:type="band1Horz">
      <w:tblPr/>
      <w:tcPr>
        <w:tcBorders>
          <w:left w:val="nil"/>
          <w:right w:val="nil"/>
          <w:insideH w:val="nil"/>
          <w:insideV w:val="nil"/>
        </w:tcBorders>
        <w:shd w:val="clear" w:color="auto" w:fill="F1FBB9" w:themeFill="accent5" w:themeFillTint="3F"/>
      </w:tcPr>
    </w:tblStylePr>
  </w:style>
  <w:style w:type="table" w:styleId="LightShading-Accent6">
    <w:name w:val="Light Shading Accent 6"/>
    <w:basedOn w:val="TableNormal"/>
    <w:uiPriority w:val="60"/>
    <w:semiHidden/>
    <w:unhideWhenUsed/>
    <w:rsid w:val="00DF245D"/>
    <w:pPr>
      <w:spacing w:after="0" w:line="240" w:lineRule="auto"/>
    </w:pPr>
    <w:rPr>
      <w:color w:val="2B7F27" w:themeColor="accent6" w:themeShade="BF"/>
    </w:rPr>
    <w:tblPr>
      <w:tblStyleRowBandSize w:val="1"/>
      <w:tblStyleColBandSize w:val="1"/>
      <w:tblBorders>
        <w:top w:val="single" w:sz="8" w:space="0" w:color="3AAA35" w:themeColor="accent6"/>
        <w:bottom w:val="single" w:sz="8" w:space="0" w:color="3AAA35" w:themeColor="accent6"/>
      </w:tblBorders>
    </w:tblPr>
    <w:tblStylePr w:type="firstRow">
      <w:pPr>
        <w:spacing w:before="0" w:after="0" w:line="240" w:lineRule="auto"/>
      </w:pPr>
      <w:rPr>
        <w:b/>
        <w:bCs/>
      </w:rPr>
      <w:tblPr/>
      <w:tcPr>
        <w:tcBorders>
          <w:top w:val="single" w:sz="8" w:space="0" w:color="3AAA35" w:themeColor="accent6"/>
          <w:left w:val="nil"/>
          <w:bottom w:val="single" w:sz="8" w:space="0" w:color="3AAA35" w:themeColor="accent6"/>
          <w:right w:val="nil"/>
          <w:insideH w:val="nil"/>
          <w:insideV w:val="nil"/>
        </w:tcBorders>
      </w:tcPr>
    </w:tblStylePr>
    <w:tblStylePr w:type="lastRow">
      <w:pPr>
        <w:spacing w:before="0" w:after="0" w:line="240" w:lineRule="auto"/>
      </w:pPr>
      <w:rPr>
        <w:b/>
        <w:bCs/>
      </w:rPr>
      <w:tblPr/>
      <w:tcPr>
        <w:tcBorders>
          <w:top w:val="single" w:sz="8" w:space="0" w:color="3AAA35" w:themeColor="accent6"/>
          <w:left w:val="nil"/>
          <w:bottom w:val="single" w:sz="8" w:space="0" w:color="3AAA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EC8" w:themeFill="accent6" w:themeFillTint="3F"/>
      </w:tcPr>
    </w:tblStylePr>
    <w:tblStylePr w:type="band1Horz">
      <w:tblPr/>
      <w:tcPr>
        <w:tcBorders>
          <w:left w:val="nil"/>
          <w:right w:val="nil"/>
          <w:insideH w:val="nil"/>
          <w:insideV w:val="nil"/>
        </w:tcBorders>
        <w:shd w:val="clear" w:color="auto" w:fill="CAEEC8" w:themeFill="accent6" w:themeFillTint="3F"/>
      </w:tcPr>
    </w:tblStylePr>
  </w:style>
  <w:style w:type="character" w:styleId="LineNumber">
    <w:name w:val="line number"/>
    <w:basedOn w:val="DefaultParagraphFont"/>
    <w:uiPriority w:val="99"/>
    <w:semiHidden/>
    <w:unhideWhenUsed/>
    <w:rsid w:val="00DF245D"/>
  </w:style>
  <w:style w:type="paragraph" w:styleId="MacroText">
    <w:name w:val="macro"/>
    <w:link w:val="MacroTextChar"/>
    <w:uiPriority w:val="99"/>
    <w:semiHidden/>
    <w:unhideWhenUsed/>
    <w:rsid w:val="00DF245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DF245D"/>
    <w:rPr>
      <w:rFonts w:ascii="Consolas" w:hAnsi="Consolas"/>
      <w:sz w:val="20"/>
      <w:szCs w:val="20"/>
    </w:rPr>
  </w:style>
  <w:style w:type="table" w:styleId="MediumGrid1">
    <w:name w:val="Medium Grid 1"/>
    <w:basedOn w:val="TableNormal"/>
    <w:uiPriority w:val="67"/>
    <w:semiHidden/>
    <w:unhideWhenUsed/>
    <w:rsid w:val="00DF245D"/>
    <w:pPr>
      <w:spacing w:after="0" w:line="240" w:lineRule="auto"/>
    </w:pPr>
    <w:tblPr>
      <w:tblStyleRowBandSize w:val="1"/>
      <w:tblStyleColBandSize w:val="1"/>
      <w:tbl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single" w:sz="8" w:space="0" w:color="5B6477" w:themeColor="text1" w:themeTint="BF"/>
        <w:insideV w:val="single" w:sz="8" w:space="0" w:color="5B6477" w:themeColor="text1" w:themeTint="BF"/>
      </w:tblBorders>
    </w:tblPr>
    <w:tcPr>
      <w:shd w:val="clear" w:color="auto" w:fill="C7CBD4" w:themeFill="text1" w:themeFillTint="3F"/>
    </w:tcPr>
    <w:tblStylePr w:type="firstRow">
      <w:rPr>
        <w:b/>
        <w:bCs/>
      </w:rPr>
    </w:tblStylePr>
    <w:tblStylePr w:type="lastRow">
      <w:rPr>
        <w:b/>
        <w:bCs/>
      </w:rPr>
      <w:tblPr/>
      <w:tcPr>
        <w:tcBorders>
          <w:top w:val="single" w:sz="18" w:space="0" w:color="5B6477" w:themeColor="text1" w:themeTint="BF"/>
        </w:tcBorders>
      </w:tcPr>
    </w:tblStylePr>
    <w:tblStylePr w:type="firstCol">
      <w:rPr>
        <w:b/>
        <w:bCs/>
      </w:rPr>
    </w:tblStylePr>
    <w:tblStylePr w:type="lastCol">
      <w:rPr>
        <w:b/>
        <w:bCs/>
      </w:rPr>
    </w:tblStylePr>
    <w:tblStylePr w:type="band1Vert">
      <w:tblPr/>
      <w:tcPr>
        <w:shd w:val="clear" w:color="auto" w:fill="8E97A9" w:themeFill="text1" w:themeFillTint="7F"/>
      </w:tcPr>
    </w:tblStylePr>
    <w:tblStylePr w:type="band1Horz">
      <w:tblPr/>
      <w:tcPr>
        <w:shd w:val="clear" w:color="auto" w:fill="8E97A9" w:themeFill="text1" w:themeFillTint="7F"/>
      </w:tcPr>
    </w:tblStylePr>
  </w:style>
  <w:style w:type="table" w:styleId="MediumGrid1-Accent1">
    <w:name w:val="Medium Grid 1 Accent 1"/>
    <w:basedOn w:val="TableNormal"/>
    <w:uiPriority w:val="67"/>
    <w:semiHidden/>
    <w:unhideWhenUsed/>
    <w:rsid w:val="00DF245D"/>
    <w:pPr>
      <w:spacing w:after="0" w:line="240" w:lineRule="auto"/>
    </w:pPr>
    <w:tblPr>
      <w:tblStyleRowBandSize w:val="1"/>
      <w:tblStyleColBandSize w:val="1"/>
      <w:tbl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single" w:sz="8" w:space="0" w:color="14C4FF" w:themeColor="accent1" w:themeTint="BF"/>
        <w:insideV w:val="single" w:sz="8" w:space="0" w:color="14C4FF" w:themeColor="accent1" w:themeTint="BF"/>
      </w:tblBorders>
    </w:tblPr>
    <w:tcPr>
      <w:shd w:val="clear" w:color="auto" w:fill="B1EBFF" w:themeFill="accent1" w:themeFillTint="3F"/>
    </w:tcPr>
    <w:tblStylePr w:type="firstRow">
      <w:rPr>
        <w:b/>
        <w:bCs/>
      </w:rPr>
    </w:tblStylePr>
    <w:tblStylePr w:type="lastRow">
      <w:rPr>
        <w:b/>
        <w:bCs/>
      </w:rPr>
      <w:tblPr/>
      <w:tcPr>
        <w:tcBorders>
          <w:top w:val="single" w:sz="18" w:space="0" w:color="14C4FF" w:themeColor="accent1" w:themeTint="BF"/>
        </w:tcBorders>
      </w:tcPr>
    </w:tblStylePr>
    <w:tblStylePr w:type="firstCol">
      <w:rPr>
        <w:b/>
        <w:bCs/>
      </w:rPr>
    </w:tblStylePr>
    <w:tblStylePr w:type="lastCol">
      <w:rPr>
        <w:b/>
        <w:bCs/>
      </w:rPr>
    </w:tblStylePr>
    <w:tblStylePr w:type="band1Vert">
      <w:tblPr/>
      <w:tcPr>
        <w:shd w:val="clear" w:color="auto" w:fill="63D7FF" w:themeFill="accent1" w:themeFillTint="7F"/>
      </w:tcPr>
    </w:tblStylePr>
    <w:tblStylePr w:type="band1Horz">
      <w:tblPr/>
      <w:tcPr>
        <w:shd w:val="clear" w:color="auto" w:fill="63D7FF" w:themeFill="accent1" w:themeFillTint="7F"/>
      </w:tcPr>
    </w:tblStylePr>
  </w:style>
  <w:style w:type="table" w:styleId="MediumGrid1-Accent2">
    <w:name w:val="Medium Grid 1 Accent 2"/>
    <w:basedOn w:val="TableNormal"/>
    <w:uiPriority w:val="67"/>
    <w:semiHidden/>
    <w:unhideWhenUsed/>
    <w:rsid w:val="00DF245D"/>
    <w:pPr>
      <w:spacing w:after="0" w:line="240" w:lineRule="auto"/>
    </w:pPr>
    <w:tblPr>
      <w:tblStyleRowBandSize w:val="1"/>
      <w:tblStyleColBandSize w:val="1"/>
      <w:tbl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single" w:sz="8" w:space="0" w:color="FF2C90" w:themeColor="accent2" w:themeTint="BF"/>
        <w:insideV w:val="single" w:sz="8" w:space="0" w:color="FF2C90" w:themeColor="accent2" w:themeTint="BF"/>
      </w:tblBorders>
    </w:tblPr>
    <w:tcPr>
      <w:shd w:val="clear" w:color="auto" w:fill="FFB9DA" w:themeFill="accent2" w:themeFillTint="3F"/>
    </w:tcPr>
    <w:tblStylePr w:type="firstRow">
      <w:rPr>
        <w:b/>
        <w:bCs/>
      </w:rPr>
    </w:tblStylePr>
    <w:tblStylePr w:type="lastRow">
      <w:rPr>
        <w:b/>
        <w:bCs/>
      </w:rPr>
      <w:tblPr/>
      <w:tcPr>
        <w:tcBorders>
          <w:top w:val="single" w:sz="18" w:space="0" w:color="FF2C90" w:themeColor="accent2" w:themeTint="BF"/>
        </w:tcBorders>
      </w:tcPr>
    </w:tblStylePr>
    <w:tblStylePr w:type="firstCol">
      <w:rPr>
        <w:b/>
        <w:bCs/>
      </w:rPr>
    </w:tblStylePr>
    <w:tblStylePr w:type="lastCol">
      <w:rPr>
        <w:b/>
        <w:bCs/>
      </w:rPr>
    </w:tblStylePr>
    <w:tblStylePr w:type="band1Vert">
      <w:tblPr/>
      <w:tcPr>
        <w:shd w:val="clear" w:color="auto" w:fill="FF73B5" w:themeFill="accent2" w:themeFillTint="7F"/>
      </w:tcPr>
    </w:tblStylePr>
    <w:tblStylePr w:type="band1Horz">
      <w:tblPr/>
      <w:tcPr>
        <w:shd w:val="clear" w:color="auto" w:fill="FF73B5" w:themeFill="accent2" w:themeFillTint="7F"/>
      </w:tcPr>
    </w:tblStylePr>
  </w:style>
  <w:style w:type="table" w:styleId="MediumGrid1-Accent3">
    <w:name w:val="Medium Grid 1 Accent 3"/>
    <w:basedOn w:val="TableNormal"/>
    <w:uiPriority w:val="67"/>
    <w:semiHidden/>
    <w:unhideWhenUsed/>
    <w:rsid w:val="00DF245D"/>
    <w:pPr>
      <w:spacing w:after="0" w:line="240" w:lineRule="auto"/>
    </w:pPr>
    <w:tblPr>
      <w:tblStyleRowBandSize w:val="1"/>
      <w:tblStyleColBandSize w:val="1"/>
      <w:tbl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single" w:sz="8" w:space="0" w:color="4536BB" w:themeColor="accent3" w:themeTint="BF"/>
        <w:insideV w:val="single" w:sz="8" w:space="0" w:color="4536BB" w:themeColor="accent3" w:themeTint="BF"/>
      </w:tblBorders>
    </w:tblPr>
    <w:tcPr>
      <w:shd w:val="clear" w:color="auto" w:fill="BFBAEB" w:themeFill="accent3" w:themeFillTint="3F"/>
    </w:tcPr>
    <w:tblStylePr w:type="firstRow">
      <w:rPr>
        <w:b/>
        <w:bCs/>
      </w:rPr>
    </w:tblStylePr>
    <w:tblStylePr w:type="lastRow">
      <w:rPr>
        <w:b/>
        <w:bCs/>
      </w:rPr>
      <w:tblPr/>
      <w:tcPr>
        <w:tcBorders>
          <w:top w:val="single" w:sz="18" w:space="0" w:color="4536BB" w:themeColor="accent3" w:themeTint="BF"/>
        </w:tcBorders>
      </w:tcPr>
    </w:tblStylePr>
    <w:tblStylePr w:type="firstCol">
      <w:rPr>
        <w:b/>
        <w:bCs/>
      </w:rPr>
    </w:tblStylePr>
    <w:tblStylePr w:type="lastCol">
      <w:rPr>
        <w:b/>
        <w:bCs/>
      </w:rPr>
    </w:tblStylePr>
    <w:tblStylePr w:type="band1Vert">
      <w:tblPr/>
      <w:tcPr>
        <w:shd w:val="clear" w:color="auto" w:fill="8074D7" w:themeFill="accent3" w:themeFillTint="7F"/>
      </w:tcPr>
    </w:tblStylePr>
    <w:tblStylePr w:type="band1Horz">
      <w:tblPr/>
      <w:tcPr>
        <w:shd w:val="clear" w:color="auto" w:fill="8074D7" w:themeFill="accent3" w:themeFillTint="7F"/>
      </w:tcPr>
    </w:tblStylePr>
  </w:style>
  <w:style w:type="table" w:styleId="MediumGrid1-Accent4">
    <w:name w:val="Medium Grid 1 Accent 4"/>
    <w:basedOn w:val="TableNormal"/>
    <w:uiPriority w:val="67"/>
    <w:semiHidden/>
    <w:unhideWhenUsed/>
    <w:rsid w:val="00DF245D"/>
    <w:pPr>
      <w:spacing w:after="0" w:line="240" w:lineRule="auto"/>
    </w:pPr>
    <w:tblPr>
      <w:tblStyleRowBandSize w:val="1"/>
      <w:tblStyleColBandSize w:val="1"/>
      <w:tbl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single" w:sz="8" w:space="0" w:color="CB1D70" w:themeColor="accent4" w:themeTint="BF"/>
        <w:insideV w:val="single" w:sz="8" w:space="0" w:color="CB1D70" w:themeColor="accent4" w:themeTint="BF"/>
      </w:tblBorders>
    </w:tblPr>
    <w:tcPr>
      <w:shd w:val="clear" w:color="auto" w:fill="F3AFCF" w:themeFill="accent4" w:themeFillTint="3F"/>
    </w:tcPr>
    <w:tblStylePr w:type="firstRow">
      <w:rPr>
        <w:b/>
        <w:bCs/>
      </w:rPr>
    </w:tblStylePr>
    <w:tblStylePr w:type="lastRow">
      <w:rPr>
        <w:b/>
        <w:bCs/>
      </w:rPr>
      <w:tblPr/>
      <w:tcPr>
        <w:tcBorders>
          <w:top w:val="single" w:sz="18" w:space="0" w:color="CB1D70" w:themeColor="accent4" w:themeTint="BF"/>
        </w:tcBorders>
      </w:tcPr>
    </w:tblStylePr>
    <w:tblStylePr w:type="firstCol">
      <w:rPr>
        <w:b/>
        <w:bCs/>
      </w:rPr>
    </w:tblStylePr>
    <w:tblStylePr w:type="lastCol">
      <w:rPr>
        <w:b/>
        <w:bCs/>
      </w:rPr>
    </w:tblStylePr>
    <w:tblStylePr w:type="band1Vert">
      <w:tblPr/>
      <w:tcPr>
        <w:shd w:val="clear" w:color="auto" w:fill="E75E9F" w:themeFill="accent4" w:themeFillTint="7F"/>
      </w:tcPr>
    </w:tblStylePr>
    <w:tblStylePr w:type="band1Horz">
      <w:tblPr/>
      <w:tcPr>
        <w:shd w:val="clear" w:color="auto" w:fill="E75E9F" w:themeFill="accent4" w:themeFillTint="7F"/>
      </w:tcPr>
    </w:tblStylePr>
  </w:style>
  <w:style w:type="table" w:styleId="MediumGrid1-Accent5">
    <w:name w:val="Medium Grid 1 Accent 5"/>
    <w:basedOn w:val="TableNormal"/>
    <w:uiPriority w:val="67"/>
    <w:semiHidden/>
    <w:unhideWhenUsed/>
    <w:rsid w:val="00DF245D"/>
    <w:pPr>
      <w:spacing w:after="0" w:line="240" w:lineRule="auto"/>
    </w:pPr>
    <w:tblPr>
      <w:tblStyleRowBandSize w:val="1"/>
      <w:tblStyleColBandSize w:val="1"/>
      <w:tbl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single" w:sz="8" w:space="0" w:color="D6F32B" w:themeColor="accent5" w:themeTint="BF"/>
        <w:insideV w:val="single" w:sz="8" w:space="0" w:color="D6F32B" w:themeColor="accent5" w:themeTint="BF"/>
      </w:tblBorders>
    </w:tblPr>
    <w:tcPr>
      <w:shd w:val="clear" w:color="auto" w:fill="F1FBB9" w:themeFill="accent5" w:themeFillTint="3F"/>
    </w:tcPr>
    <w:tblStylePr w:type="firstRow">
      <w:rPr>
        <w:b/>
        <w:bCs/>
      </w:rPr>
    </w:tblStylePr>
    <w:tblStylePr w:type="lastRow">
      <w:rPr>
        <w:b/>
        <w:bCs/>
      </w:rPr>
      <w:tblPr/>
      <w:tcPr>
        <w:tcBorders>
          <w:top w:val="single" w:sz="18" w:space="0" w:color="D6F32B" w:themeColor="accent5" w:themeTint="BF"/>
        </w:tcBorders>
      </w:tcPr>
    </w:tblStylePr>
    <w:tblStylePr w:type="firstCol">
      <w:rPr>
        <w:b/>
        <w:bCs/>
      </w:rPr>
    </w:tblStylePr>
    <w:tblStylePr w:type="lastCol">
      <w:rPr>
        <w:b/>
        <w:bCs/>
      </w:rPr>
    </w:tblStylePr>
    <w:tblStylePr w:type="band1Vert">
      <w:tblPr/>
      <w:tcPr>
        <w:shd w:val="clear" w:color="auto" w:fill="E4F772" w:themeFill="accent5" w:themeFillTint="7F"/>
      </w:tcPr>
    </w:tblStylePr>
    <w:tblStylePr w:type="band1Horz">
      <w:tblPr/>
      <w:tcPr>
        <w:shd w:val="clear" w:color="auto" w:fill="E4F772" w:themeFill="accent5" w:themeFillTint="7F"/>
      </w:tcPr>
    </w:tblStylePr>
  </w:style>
  <w:style w:type="table" w:styleId="MediumGrid1-Accent6">
    <w:name w:val="Medium Grid 1 Accent 6"/>
    <w:basedOn w:val="TableNormal"/>
    <w:uiPriority w:val="67"/>
    <w:semiHidden/>
    <w:unhideWhenUsed/>
    <w:rsid w:val="00DF245D"/>
    <w:pPr>
      <w:spacing w:after="0" w:line="240" w:lineRule="auto"/>
    </w:pPr>
    <w:tblPr>
      <w:tblStyleRowBandSize w:val="1"/>
      <w:tblStyleColBandSize w:val="1"/>
      <w:tbl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single" w:sz="8" w:space="0" w:color="5FCC5B" w:themeColor="accent6" w:themeTint="BF"/>
        <w:insideV w:val="single" w:sz="8" w:space="0" w:color="5FCC5B" w:themeColor="accent6" w:themeTint="BF"/>
      </w:tblBorders>
    </w:tblPr>
    <w:tcPr>
      <w:shd w:val="clear" w:color="auto" w:fill="CAEEC8" w:themeFill="accent6" w:themeFillTint="3F"/>
    </w:tcPr>
    <w:tblStylePr w:type="firstRow">
      <w:rPr>
        <w:b/>
        <w:bCs/>
      </w:rPr>
    </w:tblStylePr>
    <w:tblStylePr w:type="lastRow">
      <w:rPr>
        <w:b/>
        <w:bCs/>
      </w:rPr>
      <w:tblPr/>
      <w:tcPr>
        <w:tcBorders>
          <w:top w:val="single" w:sz="18" w:space="0" w:color="5FCC5B" w:themeColor="accent6" w:themeTint="BF"/>
        </w:tcBorders>
      </w:tcPr>
    </w:tblStylePr>
    <w:tblStylePr w:type="firstCol">
      <w:rPr>
        <w:b/>
        <w:bCs/>
      </w:rPr>
    </w:tblStylePr>
    <w:tblStylePr w:type="lastCol">
      <w:rPr>
        <w:b/>
        <w:bCs/>
      </w:rPr>
    </w:tblStylePr>
    <w:tblStylePr w:type="band1Vert">
      <w:tblPr/>
      <w:tcPr>
        <w:shd w:val="clear" w:color="auto" w:fill="94DD92" w:themeFill="accent6" w:themeFillTint="7F"/>
      </w:tcPr>
    </w:tblStylePr>
    <w:tblStylePr w:type="band1Horz">
      <w:tblPr/>
      <w:tcPr>
        <w:shd w:val="clear" w:color="auto" w:fill="94DD92" w:themeFill="accent6" w:themeFillTint="7F"/>
      </w:tcPr>
    </w:tblStylePr>
  </w:style>
  <w:style w:type="table" w:styleId="MediumGrid2">
    <w:name w:val="Medium Grid 2"/>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insideH w:val="single" w:sz="8" w:space="0" w:color="30353F" w:themeColor="text1"/>
        <w:insideV w:val="single" w:sz="8" w:space="0" w:color="30353F" w:themeColor="text1"/>
      </w:tblBorders>
    </w:tblPr>
    <w:tcPr>
      <w:shd w:val="clear" w:color="auto" w:fill="C7CBD4" w:themeFill="text1" w:themeFillTint="3F"/>
    </w:tcPr>
    <w:tblStylePr w:type="firstRow">
      <w:rPr>
        <w:b/>
        <w:bCs/>
        <w:color w:val="30353F" w:themeColor="text1"/>
      </w:rPr>
      <w:tblPr/>
      <w:tcPr>
        <w:shd w:val="clear" w:color="auto" w:fill="E8EAEE" w:themeFill="text1"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D1D5DC" w:themeFill="text1" w:themeFillTint="33"/>
      </w:tcPr>
    </w:tblStylePr>
    <w:tblStylePr w:type="band1Vert">
      <w:tblPr/>
      <w:tcPr>
        <w:shd w:val="clear" w:color="auto" w:fill="8E97A9" w:themeFill="text1" w:themeFillTint="7F"/>
      </w:tcPr>
    </w:tblStylePr>
    <w:tblStylePr w:type="band1Horz">
      <w:tblPr/>
      <w:tcPr>
        <w:tcBorders>
          <w:insideH w:val="single" w:sz="6" w:space="0" w:color="30353F" w:themeColor="text1"/>
          <w:insideV w:val="single" w:sz="6" w:space="0" w:color="30353F" w:themeColor="text1"/>
        </w:tcBorders>
        <w:shd w:val="clear" w:color="auto" w:fill="8E97A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insideH w:val="single" w:sz="8" w:space="0" w:color="0094C5" w:themeColor="accent1"/>
        <w:insideV w:val="single" w:sz="8" w:space="0" w:color="0094C5" w:themeColor="accent1"/>
      </w:tblBorders>
    </w:tblPr>
    <w:tcPr>
      <w:shd w:val="clear" w:color="auto" w:fill="B1EBFF" w:themeFill="accent1" w:themeFillTint="3F"/>
    </w:tcPr>
    <w:tblStylePr w:type="firstRow">
      <w:rPr>
        <w:b/>
        <w:bCs/>
        <w:color w:val="30353F" w:themeColor="text1"/>
      </w:rPr>
      <w:tblPr/>
      <w:tcPr>
        <w:shd w:val="clear" w:color="auto" w:fill="E0F7FF" w:themeFill="accent1"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C0EFFF" w:themeFill="accent1" w:themeFillTint="33"/>
      </w:tcPr>
    </w:tblStylePr>
    <w:tblStylePr w:type="band1Vert">
      <w:tblPr/>
      <w:tcPr>
        <w:shd w:val="clear" w:color="auto" w:fill="63D7FF" w:themeFill="accent1" w:themeFillTint="7F"/>
      </w:tcPr>
    </w:tblStylePr>
    <w:tblStylePr w:type="band1Horz">
      <w:tblPr/>
      <w:tcPr>
        <w:tcBorders>
          <w:insideH w:val="single" w:sz="6" w:space="0" w:color="0094C5" w:themeColor="accent1"/>
          <w:insideV w:val="single" w:sz="6" w:space="0" w:color="0094C5" w:themeColor="accent1"/>
        </w:tcBorders>
        <w:shd w:val="clear" w:color="auto" w:fill="63D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insideH w:val="single" w:sz="8" w:space="0" w:color="E5006D" w:themeColor="accent2"/>
        <w:insideV w:val="single" w:sz="8" w:space="0" w:color="E5006D" w:themeColor="accent2"/>
      </w:tblBorders>
    </w:tblPr>
    <w:tcPr>
      <w:shd w:val="clear" w:color="auto" w:fill="FFB9DA" w:themeFill="accent2" w:themeFillTint="3F"/>
    </w:tcPr>
    <w:tblStylePr w:type="firstRow">
      <w:rPr>
        <w:b/>
        <w:bCs/>
        <w:color w:val="30353F" w:themeColor="text1"/>
      </w:rPr>
      <w:tblPr/>
      <w:tcPr>
        <w:shd w:val="clear" w:color="auto" w:fill="FFE3F0" w:themeFill="accent2"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FC6E1" w:themeFill="accent2" w:themeFillTint="33"/>
      </w:tcPr>
    </w:tblStylePr>
    <w:tblStylePr w:type="band1Vert">
      <w:tblPr/>
      <w:tcPr>
        <w:shd w:val="clear" w:color="auto" w:fill="FF73B5" w:themeFill="accent2" w:themeFillTint="7F"/>
      </w:tcPr>
    </w:tblStylePr>
    <w:tblStylePr w:type="band1Horz">
      <w:tblPr/>
      <w:tcPr>
        <w:tcBorders>
          <w:insideH w:val="single" w:sz="6" w:space="0" w:color="E5006D" w:themeColor="accent2"/>
          <w:insideV w:val="single" w:sz="6" w:space="0" w:color="E5006D" w:themeColor="accent2"/>
        </w:tcBorders>
        <w:shd w:val="clear" w:color="auto" w:fill="FF73B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insideH w:val="single" w:sz="8" w:space="0" w:color="2C2276" w:themeColor="accent3"/>
        <w:insideV w:val="single" w:sz="8" w:space="0" w:color="2C2276" w:themeColor="accent3"/>
      </w:tblBorders>
    </w:tblPr>
    <w:tcPr>
      <w:shd w:val="clear" w:color="auto" w:fill="BFBAEB" w:themeFill="accent3" w:themeFillTint="3F"/>
    </w:tcPr>
    <w:tblStylePr w:type="firstRow">
      <w:rPr>
        <w:b/>
        <w:bCs/>
        <w:color w:val="30353F" w:themeColor="text1"/>
      </w:rPr>
      <w:tblPr/>
      <w:tcPr>
        <w:shd w:val="clear" w:color="auto" w:fill="E5E3F7" w:themeFill="accent3"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CCC7EF" w:themeFill="accent3" w:themeFillTint="33"/>
      </w:tcPr>
    </w:tblStylePr>
    <w:tblStylePr w:type="band1Vert">
      <w:tblPr/>
      <w:tcPr>
        <w:shd w:val="clear" w:color="auto" w:fill="8074D7" w:themeFill="accent3" w:themeFillTint="7F"/>
      </w:tcPr>
    </w:tblStylePr>
    <w:tblStylePr w:type="band1Horz">
      <w:tblPr/>
      <w:tcPr>
        <w:tcBorders>
          <w:insideH w:val="single" w:sz="6" w:space="0" w:color="2C2276" w:themeColor="accent3"/>
          <w:insideV w:val="single" w:sz="6" w:space="0" w:color="2C2276" w:themeColor="accent3"/>
        </w:tcBorders>
        <w:shd w:val="clear" w:color="auto" w:fill="8074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insideH w:val="single" w:sz="8" w:space="0" w:color="7B1244" w:themeColor="accent4"/>
        <w:insideV w:val="single" w:sz="8" w:space="0" w:color="7B1244" w:themeColor="accent4"/>
      </w:tblBorders>
    </w:tblPr>
    <w:tcPr>
      <w:shd w:val="clear" w:color="auto" w:fill="F3AFCF" w:themeFill="accent4" w:themeFillTint="3F"/>
    </w:tcPr>
    <w:tblStylePr w:type="firstRow">
      <w:rPr>
        <w:b/>
        <w:bCs/>
        <w:color w:val="30353F" w:themeColor="text1"/>
      </w:rPr>
      <w:tblPr/>
      <w:tcPr>
        <w:shd w:val="clear" w:color="auto" w:fill="FADFEC" w:themeFill="accent4"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5BED8" w:themeFill="accent4" w:themeFillTint="33"/>
      </w:tcPr>
    </w:tblStylePr>
    <w:tblStylePr w:type="band1Vert">
      <w:tblPr/>
      <w:tcPr>
        <w:shd w:val="clear" w:color="auto" w:fill="E75E9F" w:themeFill="accent4" w:themeFillTint="7F"/>
      </w:tcPr>
    </w:tblStylePr>
    <w:tblStylePr w:type="band1Horz">
      <w:tblPr/>
      <w:tcPr>
        <w:tcBorders>
          <w:insideH w:val="single" w:sz="6" w:space="0" w:color="7B1244" w:themeColor="accent4"/>
          <w:insideV w:val="single" w:sz="6" w:space="0" w:color="7B1244" w:themeColor="accent4"/>
        </w:tcBorders>
        <w:shd w:val="clear" w:color="auto" w:fill="E75E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insideH w:val="single" w:sz="8" w:space="0" w:color="AFCA0B" w:themeColor="accent5"/>
        <w:insideV w:val="single" w:sz="8" w:space="0" w:color="AFCA0B" w:themeColor="accent5"/>
      </w:tblBorders>
    </w:tblPr>
    <w:tcPr>
      <w:shd w:val="clear" w:color="auto" w:fill="F1FBB9" w:themeFill="accent5" w:themeFillTint="3F"/>
    </w:tcPr>
    <w:tblStylePr w:type="firstRow">
      <w:rPr>
        <w:b/>
        <w:bCs/>
        <w:color w:val="30353F" w:themeColor="text1"/>
      </w:rPr>
      <w:tblPr/>
      <w:tcPr>
        <w:shd w:val="clear" w:color="auto" w:fill="F9FDE3" w:themeFill="accent5"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4FCC6" w:themeFill="accent5" w:themeFillTint="33"/>
      </w:tcPr>
    </w:tblStylePr>
    <w:tblStylePr w:type="band1Vert">
      <w:tblPr/>
      <w:tcPr>
        <w:shd w:val="clear" w:color="auto" w:fill="E4F772" w:themeFill="accent5" w:themeFillTint="7F"/>
      </w:tcPr>
    </w:tblStylePr>
    <w:tblStylePr w:type="band1Horz">
      <w:tblPr/>
      <w:tcPr>
        <w:tcBorders>
          <w:insideH w:val="single" w:sz="6" w:space="0" w:color="AFCA0B" w:themeColor="accent5"/>
          <w:insideV w:val="single" w:sz="6" w:space="0" w:color="AFCA0B" w:themeColor="accent5"/>
        </w:tcBorders>
        <w:shd w:val="clear" w:color="auto" w:fill="E4F7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insideH w:val="single" w:sz="8" w:space="0" w:color="3AAA35" w:themeColor="accent6"/>
        <w:insideV w:val="single" w:sz="8" w:space="0" w:color="3AAA35" w:themeColor="accent6"/>
      </w:tblBorders>
    </w:tblPr>
    <w:tcPr>
      <w:shd w:val="clear" w:color="auto" w:fill="CAEEC8" w:themeFill="accent6" w:themeFillTint="3F"/>
    </w:tcPr>
    <w:tblStylePr w:type="firstRow">
      <w:rPr>
        <w:b/>
        <w:bCs/>
        <w:color w:val="30353F" w:themeColor="text1"/>
      </w:rPr>
      <w:tblPr/>
      <w:tcPr>
        <w:shd w:val="clear" w:color="auto" w:fill="E9F8E9" w:themeFill="accent6"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D4F1D3" w:themeFill="accent6" w:themeFillTint="33"/>
      </w:tcPr>
    </w:tblStylePr>
    <w:tblStylePr w:type="band1Vert">
      <w:tblPr/>
      <w:tcPr>
        <w:shd w:val="clear" w:color="auto" w:fill="94DD92" w:themeFill="accent6" w:themeFillTint="7F"/>
      </w:tcPr>
    </w:tblStylePr>
    <w:tblStylePr w:type="band1Horz">
      <w:tblPr/>
      <w:tcPr>
        <w:tcBorders>
          <w:insideH w:val="single" w:sz="6" w:space="0" w:color="3AAA35" w:themeColor="accent6"/>
          <w:insideV w:val="single" w:sz="6" w:space="0" w:color="3AAA35" w:themeColor="accent6"/>
        </w:tcBorders>
        <w:shd w:val="clear" w:color="auto" w:fill="94DD9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BD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353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353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353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353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7A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7A9" w:themeFill="text1" w:themeFillTint="7F"/>
      </w:tcPr>
    </w:tblStylePr>
  </w:style>
  <w:style w:type="table" w:styleId="MediumGrid3-Accent1">
    <w:name w:val="Medium Grid 3 Accent 1"/>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E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4C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4C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4C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4C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D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D7FF" w:themeFill="accent1" w:themeFillTint="7F"/>
      </w:tcPr>
    </w:tblStylePr>
  </w:style>
  <w:style w:type="table" w:styleId="MediumGrid3-Accent2">
    <w:name w:val="Medium Grid 3 Accent 2"/>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9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006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006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006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006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3B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3B5" w:themeFill="accent2" w:themeFillTint="7F"/>
      </w:tcPr>
    </w:tblStylePr>
  </w:style>
  <w:style w:type="table" w:styleId="MediumGrid3-Accent3">
    <w:name w:val="Medium Grid 3 Accent 3"/>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B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2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2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2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2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74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74D7" w:themeFill="accent3" w:themeFillTint="7F"/>
      </w:tcPr>
    </w:tblStylePr>
  </w:style>
  <w:style w:type="table" w:styleId="MediumGrid3-Accent4">
    <w:name w:val="Medium Grid 3 Accent 4"/>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AF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124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124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124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124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5E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5E9F" w:themeFill="accent4" w:themeFillTint="7F"/>
      </w:tcPr>
    </w:tblStylePr>
  </w:style>
  <w:style w:type="table" w:styleId="MediumGrid3-Accent5">
    <w:name w:val="Medium Grid 3 Accent 5"/>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B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CA0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CA0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CA0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CA0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7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772" w:themeFill="accent5" w:themeFillTint="7F"/>
      </w:tcPr>
    </w:tblStylePr>
  </w:style>
  <w:style w:type="table" w:styleId="MediumGrid3-Accent6">
    <w:name w:val="Medium Grid 3 Accent 6"/>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E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A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A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A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A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DD9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DD92" w:themeFill="accent6" w:themeFillTint="7F"/>
      </w:tcPr>
    </w:tblStylePr>
  </w:style>
  <w:style w:type="table" w:styleId="MediumList1">
    <w:name w:val="Medium List 1"/>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30353F" w:themeColor="text1"/>
        <w:bottom w:val="single" w:sz="8" w:space="0" w:color="30353F" w:themeColor="text1"/>
      </w:tblBorders>
    </w:tblPr>
    <w:tblStylePr w:type="firstRow">
      <w:rPr>
        <w:rFonts w:asciiTheme="majorHAnsi" w:eastAsiaTheme="majorEastAsia" w:hAnsiTheme="majorHAnsi" w:cstheme="majorBidi"/>
      </w:rPr>
      <w:tblPr/>
      <w:tcPr>
        <w:tcBorders>
          <w:top w:val="nil"/>
          <w:bottom w:val="single" w:sz="8" w:space="0" w:color="30353F" w:themeColor="text1"/>
        </w:tcBorders>
      </w:tcPr>
    </w:tblStylePr>
    <w:tblStylePr w:type="lastRow">
      <w:rPr>
        <w:b/>
        <w:bCs/>
        <w:color w:val="000000" w:themeColor="text2"/>
      </w:rPr>
      <w:tblPr/>
      <w:tcPr>
        <w:tcBorders>
          <w:top w:val="single" w:sz="8" w:space="0" w:color="30353F" w:themeColor="text1"/>
          <w:bottom w:val="single" w:sz="8" w:space="0" w:color="30353F" w:themeColor="text1"/>
        </w:tcBorders>
      </w:tcPr>
    </w:tblStylePr>
    <w:tblStylePr w:type="firstCol">
      <w:rPr>
        <w:b/>
        <w:bCs/>
      </w:rPr>
    </w:tblStylePr>
    <w:tblStylePr w:type="lastCol">
      <w:rPr>
        <w:b/>
        <w:bCs/>
      </w:rPr>
      <w:tblPr/>
      <w:tcPr>
        <w:tcBorders>
          <w:top w:val="single" w:sz="8" w:space="0" w:color="30353F" w:themeColor="text1"/>
          <w:bottom w:val="single" w:sz="8" w:space="0" w:color="30353F" w:themeColor="text1"/>
        </w:tcBorders>
      </w:tcPr>
    </w:tblStylePr>
    <w:tblStylePr w:type="band1Vert">
      <w:tblPr/>
      <w:tcPr>
        <w:shd w:val="clear" w:color="auto" w:fill="C7CBD4" w:themeFill="text1" w:themeFillTint="3F"/>
      </w:tcPr>
    </w:tblStylePr>
    <w:tblStylePr w:type="band1Horz">
      <w:tblPr/>
      <w:tcPr>
        <w:shd w:val="clear" w:color="auto" w:fill="C7CBD4" w:themeFill="text1" w:themeFillTint="3F"/>
      </w:tcPr>
    </w:tblStylePr>
  </w:style>
  <w:style w:type="table" w:styleId="MediumList1-Accent1">
    <w:name w:val="Medium List 1 Accent 1"/>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0094C5" w:themeColor="accent1"/>
        <w:bottom w:val="single" w:sz="8" w:space="0" w:color="0094C5" w:themeColor="accent1"/>
      </w:tblBorders>
    </w:tblPr>
    <w:tblStylePr w:type="firstRow">
      <w:rPr>
        <w:rFonts w:asciiTheme="majorHAnsi" w:eastAsiaTheme="majorEastAsia" w:hAnsiTheme="majorHAnsi" w:cstheme="majorBidi"/>
      </w:rPr>
      <w:tblPr/>
      <w:tcPr>
        <w:tcBorders>
          <w:top w:val="nil"/>
          <w:bottom w:val="single" w:sz="8" w:space="0" w:color="0094C5" w:themeColor="accent1"/>
        </w:tcBorders>
      </w:tcPr>
    </w:tblStylePr>
    <w:tblStylePr w:type="lastRow">
      <w:rPr>
        <w:b/>
        <w:bCs/>
        <w:color w:val="000000" w:themeColor="text2"/>
      </w:rPr>
      <w:tblPr/>
      <w:tcPr>
        <w:tcBorders>
          <w:top w:val="single" w:sz="8" w:space="0" w:color="0094C5" w:themeColor="accent1"/>
          <w:bottom w:val="single" w:sz="8" w:space="0" w:color="0094C5" w:themeColor="accent1"/>
        </w:tcBorders>
      </w:tcPr>
    </w:tblStylePr>
    <w:tblStylePr w:type="firstCol">
      <w:rPr>
        <w:b/>
        <w:bCs/>
      </w:rPr>
    </w:tblStylePr>
    <w:tblStylePr w:type="lastCol">
      <w:rPr>
        <w:b/>
        <w:bCs/>
      </w:rPr>
      <w:tblPr/>
      <w:tcPr>
        <w:tcBorders>
          <w:top w:val="single" w:sz="8" w:space="0" w:color="0094C5" w:themeColor="accent1"/>
          <w:bottom w:val="single" w:sz="8" w:space="0" w:color="0094C5" w:themeColor="accent1"/>
        </w:tcBorders>
      </w:tcPr>
    </w:tblStylePr>
    <w:tblStylePr w:type="band1Vert">
      <w:tblPr/>
      <w:tcPr>
        <w:shd w:val="clear" w:color="auto" w:fill="B1EBFF" w:themeFill="accent1" w:themeFillTint="3F"/>
      </w:tcPr>
    </w:tblStylePr>
    <w:tblStylePr w:type="band1Horz">
      <w:tblPr/>
      <w:tcPr>
        <w:shd w:val="clear" w:color="auto" w:fill="B1EBFF" w:themeFill="accent1" w:themeFillTint="3F"/>
      </w:tcPr>
    </w:tblStylePr>
  </w:style>
  <w:style w:type="table" w:styleId="MediumList1-Accent2">
    <w:name w:val="Medium List 1 Accent 2"/>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E5006D" w:themeColor="accent2"/>
        <w:bottom w:val="single" w:sz="8" w:space="0" w:color="E5006D" w:themeColor="accent2"/>
      </w:tblBorders>
    </w:tblPr>
    <w:tblStylePr w:type="firstRow">
      <w:rPr>
        <w:rFonts w:asciiTheme="majorHAnsi" w:eastAsiaTheme="majorEastAsia" w:hAnsiTheme="majorHAnsi" w:cstheme="majorBidi"/>
      </w:rPr>
      <w:tblPr/>
      <w:tcPr>
        <w:tcBorders>
          <w:top w:val="nil"/>
          <w:bottom w:val="single" w:sz="8" w:space="0" w:color="E5006D" w:themeColor="accent2"/>
        </w:tcBorders>
      </w:tcPr>
    </w:tblStylePr>
    <w:tblStylePr w:type="lastRow">
      <w:rPr>
        <w:b/>
        <w:bCs/>
        <w:color w:val="000000" w:themeColor="text2"/>
      </w:rPr>
      <w:tblPr/>
      <w:tcPr>
        <w:tcBorders>
          <w:top w:val="single" w:sz="8" w:space="0" w:color="E5006D" w:themeColor="accent2"/>
          <w:bottom w:val="single" w:sz="8" w:space="0" w:color="E5006D" w:themeColor="accent2"/>
        </w:tcBorders>
      </w:tcPr>
    </w:tblStylePr>
    <w:tblStylePr w:type="firstCol">
      <w:rPr>
        <w:b/>
        <w:bCs/>
      </w:rPr>
    </w:tblStylePr>
    <w:tblStylePr w:type="lastCol">
      <w:rPr>
        <w:b/>
        <w:bCs/>
      </w:rPr>
      <w:tblPr/>
      <w:tcPr>
        <w:tcBorders>
          <w:top w:val="single" w:sz="8" w:space="0" w:color="E5006D" w:themeColor="accent2"/>
          <w:bottom w:val="single" w:sz="8" w:space="0" w:color="E5006D" w:themeColor="accent2"/>
        </w:tcBorders>
      </w:tcPr>
    </w:tblStylePr>
    <w:tblStylePr w:type="band1Vert">
      <w:tblPr/>
      <w:tcPr>
        <w:shd w:val="clear" w:color="auto" w:fill="FFB9DA" w:themeFill="accent2" w:themeFillTint="3F"/>
      </w:tcPr>
    </w:tblStylePr>
    <w:tblStylePr w:type="band1Horz">
      <w:tblPr/>
      <w:tcPr>
        <w:shd w:val="clear" w:color="auto" w:fill="FFB9DA" w:themeFill="accent2" w:themeFillTint="3F"/>
      </w:tcPr>
    </w:tblStylePr>
  </w:style>
  <w:style w:type="table" w:styleId="MediumList1-Accent3">
    <w:name w:val="Medium List 1 Accent 3"/>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2C2276" w:themeColor="accent3"/>
        <w:bottom w:val="single" w:sz="8" w:space="0" w:color="2C2276" w:themeColor="accent3"/>
      </w:tblBorders>
    </w:tblPr>
    <w:tblStylePr w:type="firstRow">
      <w:rPr>
        <w:rFonts w:asciiTheme="majorHAnsi" w:eastAsiaTheme="majorEastAsia" w:hAnsiTheme="majorHAnsi" w:cstheme="majorBidi"/>
      </w:rPr>
      <w:tblPr/>
      <w:tcPr>
        <w:tcBorders>
          <w:top w:val="nil"/>
          <w:bottom w:val="single" w:sz="8" w:space="0" w:color="2C2276" w:themeColor="accent3"/>
        </w:tcBorders>
      </w:tcPr>
    </w:tblStylePr>
    <w:tblStylePr w:type="lastRow">
      <w:rPr>
        <w:b/>
        <w:bCs/>
        <w:color w:val="000000" w:themeColor="text2"/>
      </w:rPr>
      <w:tblPr/>
      <w:tcPr>
        <w:tcBorders>
          <w:top w:val="single" w:sz="8" w:space="0" w:color="2C2276" w:themeColor="accent3"/>
          <w:bottom w:val="single" w:sz="8" w:space="0" w:color="2C2276" w:themeColor="accent3"/>
        </w:tcBorders>
      </w:tcPr>
    </w:tblStylePr>
    <w:tblStylePr w:type="firstCol">
      <w:rPr>
        <w:b/>
        <w:bCs/>
      </w:rPr>
    </w:tblStylePr>
    <w:tblStylePr w:type="lastCol">
      <w:rPr>
        <w:b/>
        <w:bCs/>
      </w:rPr>
      <w:tblPr/>
      <w:tcPr>
        <w:tcBorders>
          <w:top w:val="single" w:sz="8" w:space="0" w:color="2C2276" w:themeColor="accent3"/>
          <w:bottom w:val="single" w:sz="8" w:space="0" w:color="2C2276" w:themeColor="accent3"/>
        </w:tcBorders>
      </w:tcPr>
    </w:tblStylePr>
    <w:tblStylePr w:type="band1Vert">
      <w:tblPr/>
      <w:tcPr>
        <w:shd w:val="clear" w:color="auto" w:fill="BFBAEB" w:themeFill="accent3" w:themeFillTint="3F"/>
      </w:tcPr>
    </w:tblStylePr>
    <w:tblStylePr w:type="band1Horz">
      <w:tblPr/>
      <w:tcPr>
        <w:shd w:val="clear" w:color="auto" w:fill="BFBAEB" w:themeFill="accent3" w:themeFillTint="3F"/>
      </w:tcPr>
    </w:tblStylePr>
  </w:style>
  <w:style w:type="table" w:styleId="MediumList1-Accent4">
    <w:name w:val="Medium List 1 Accent 4"/>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7B1244" w:themeColor="accent4"/>
        <w:bottom w:val="single" w:sz="8" w:space="0" w:color="7B1244" w:themeColor="accent4"/>
      </w:tblBorders>
    </w:tblPr>
    <w:tblStylePr w:type="firstRow">
      <w:rPr>
        <w:rFonts w:asciiTheme="majorHAnsi" w:eastAsiaTheme="majorEastAsia" w:hAnsiTheme="majorHAnsi" w:cstheme="majorBidi"/>
      </w:rPr>
      <w:tblPr/>
      <w:tcPr>
        <w:tcBorders>
          <w:top w:val="nil"/>
          <w:bottom w:val="single" w:sz="8" w:space="0" w:color="7B1244" w:themeColor="accent4"/>
        </w:tcBorders>
      </w:tcPr>
    </w:tblStylePr>
    <w:tblStylePr w:type="lastRow">
      <w:rPr>
        <w:b/>
        <w:bCs/>
        <w:color w:val="000000" w:themeColor="text2"/>
      </w:rPr>
      <w:tblPr/>
      <w:tcPr>
        <w:tcBorders>
          <w:top w:val="single" w:sz="8" w:space="0" w:color="7B1244" w:themeColor="accent4"/>
          <w:bottom w:val="single" w:sz="8" w:space="0" w:color="7B1244" w:themeColor="accent4"/>
        </w:tcBorders>
      </w:tcPr>
    </w:tblStylePr>
    <w:tblStylePr w:type="firstCol">
      <w:rPr>
        <w:b/>
        <w:bCs/>
      </w:rPr>
    </w:tblStylePr>
    <w:tblStylePr w:type="lastCol">
      <w:rPr>
        <w:b/>
        <w:bCs/>
      </w:rPr>
      <w:tblPr/>
      <w:tcPr>
        <w:tcBorders>
          <w:top w:val="single" w:sz="8" w:space="0" w:color="7B1244" w:themeColor="accent4"/>
          <w:bottom w:val="single" w:sz="8" w:space="0" w:color="7B1244" w:themeColor="accent4"/>
        </w:tcBorders>
      </w:tcPr>
    </w:tblStylePr>
    <w:tblStylePr w:type="band1Vert">
      <w:tblPr/>
      <w:tcPr>
        <w:shd w:val="clear" w:color="auto" w:fill="F3AFCF" w:themeFill="accent4" w:themeFillTint="3F"/>
      </w:tcPr>
    </w:tblStylePr>
    <w:tblStylePr w:type="band1Horz">
      <w:tblPr/>
      <w:tcPr>
        <w:shd w:val="clear" w:color="auto" w:fill="F3AFCF" w:themeFill="accent4" w:themeFillTint="3F"/>
      </w:tcPr>
    </w:tblStylePr>
  </w:style>
  <w:style w:type="table" w:styleId="MediumList1-Accent5">
    <w:name w:val="Medium List 1 Accent 5"/>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AFCA0B" w:themeColor="accent5"/>
        <w:bottom w:val="single" w:sz="8" w:space="0" w:color="AFCA0B" w:themeColor="accent5"/>
      </w:tblBorders>
    </w:tblPr>
    <w:tblStylePr w:type="firstRow">
      <w:rPr>
        <w:rFonts w:asciiTheme="majorHAnsi" w:eastAsiaTheme="majorEastAsia" w:hAnsiTheme="majorHAnsi" w:cstheme="majorBidi"/>
      </w:rPr>
      <w:tblPr/>
      <w:tcPr>
        <w:tcBorders>
          <w:top w:val="nil"/>
          <w:bottom w:val="single" w:sz="8" w:space="0" w:color="AFCA0B" w:themeColor="accent5"/>
        </w:tcBorders>
      </w:tcPr>
    </w:tblStylePr>
    <w:tblStylePr w:type="lastRow">
      <w:rPr>
        <w:b/>
        <w:bCs/>
        <w:color w:val="000000" w:themeColor="text2"/>
      </w:rPr>
      <w:tblPr/>
      <w:tcPr>
        <w:tcBorders>
          <w:top w:val="single" w:sz="8" w:space="0" w:color="AFCA0B" w:themeColor="accent5"/>
          <w:bottom w:val="single" w:sz="8" w:space="0" w:color="AFCA0B" w:themeColor="accent5"/>
        </w:tcBorders>
      </w:tcPr>
    </w:tblStylePr>
    <w:tblStylePr w:type="firstCol">
      <w:rPr>
        <w:b/>
        <w:bCs/>
      </w:rPr>
    </w:tblStylePr>
    <w:tblStylePr w:type="lastCol">
      <w:rPr>
        <w:b/>
        <w:bCs/>
      </w:rPr>
      <w:tblPr/>
      <w:tcPr>
        <w:tcBorders>
          <w:top w:val="single" w:sz="8" w:space="0" w:color="AFCA0B" w:themeColor="accent5"/>
          <w:bottom w:val="single" w:sz="8" w:space="0" w:color="AFCA0B" w:themeColor="accent5"/>
        </w:tcBorders>
      </w:tcPr>
    </w:tblStylePr>
    <w:tblStylePr w:type="band1Vert">
      <w:tblPr/>
      <w:tcPr>
        <w:shd w:val="clear" w:color="auto" w:fill="F1FBB9" w:themeFill="accent5" w:themeFillTint="3F"/>
      </w:tcPr>
    </w:tblStylePr>
    <w:tblStylePr w:type="band1Horz">
      <w:tblPr/>
      <w:tcPr>
        <w:shd w:val="clear" w:color="auto" w:fill="F1FBB9" w:themeFill="accent5" w:themeFillTint="3F"/>
      </w:tcPr>
    </w:tblStylePr>
  </w:style>
  <w:style w:type="table" w:styleId="MediumList1-Accent6">
    <w:name w:val="Medium List 1 Accent 6"/>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3AAA35" w:themeColor="accent6"/>
        <w:bottom w:val="single" w:sz="8" w:space="0" w:color="3AAA35" w:themeColor="accent6"/>
      </w:tblBorders>
    </w:tblPr>
    <w:tblStylePr w:type="firstRow">
      <w:rPr>
        <w:rFonts w:asciiTheme="majorHAnsi" w:eastAsiaTheme="majorEastAsia" w:hAnsiTheme="majorHAnsi" w:cstheme="majorBidi"/>
      </w:rPr>
      <w:tblPr/>
      <w:tcPr>
        <w:tcBorders>
          <w:top w:val="nil"/>
          <w:bottom w:val="single" w:sz="8" w:space="0" w:color="3AAA35" w:themeColor="accent6"/>
        </w:tcBorders>
      </w:tcPr>
    </w:tblStylePr>
    <w:tblStylePr w:type="lastRow">
      <w:rPr>
        <w:b/>
        <w:bCs/>
        <w:color w:val="000000" w:themeColor="text2"/>
      </w:rPr>
      <w:tblPr/>
      <w:tcPr>
        <w:tcBorders>
          <w:top w:val="single" w:sz="8" w:space="0" w:color="3AAA35" w:themeColor="accent6"/>
          <w:bottom w:val="single" w:sz="8" w:space="0" w:color="3AAA35" w:themeColor="accent6"/>
        </w:tcBorders>
      </w:tcPr>
    </w:tblStylePr>
    <w:tblStylePr w:type="firstCol">
      <w:rPr>
        <w:b/>
        <w:bCs/>
      </w:rPr>
    </w:tblStylePr>
    <w:tblStylePr w:type="lastCol">
      <w:rPr>
        <w:b/>
        <w:bCs/>
      </w:rPr>
      <w:tblPr/>
      <w:tcPr>
        <w:tcBorders>
          <w:top w:val="single" w:sz="8" w:space="0" w:color="3AAA35" w:themeColor="accent6"/>
          <w:bottom w:val="single" w:sz="8" w:space="0" w:color="3AAA35" w:themeColor="accent6"/>
        </w:tcBorders>
      </w:tcPr>
    </w:tblStylePr>
    <w:tblStylePr w:type="band1Vert">
      <w:tblPr/>
      <w:tcPr>
        <w:shd w:val="clear" w:color="auto" w:fill="CAEEC8" w:themeFill="accent6" w:themeFillTint="3F"/>
      </w:tcPr>
    </w:tblStylePr>
    <w:tblStylePr w:type="band1Horz">
      <w:tblPr/>
      <w:tcPr>
        <w:shd w:val="clear" w:color="auto" w:fill="CAEEC8" w:themeFill="accent6" w:themeFillTint="3F"/>
      </w:tcPr>
    </w:tblStylePr>
  </w:style>
  <w:style w:type="table" w:styleId="MediumList2">
    <w:name w:val="Medium List 2"/>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tblBorders>
    </w:tblPr>
    <w:tblStylePr w:type="firstRow">
      <w:rPr>
        <w:sz w:val="24"/>
        <w:szCs w:val="24"/>
      </w:rPr>
      <w:tblPr/>
      <w:tcPr>
        <w:tcBorders>
          <w:top w:val="nil"/>
          <w:left w:val="nil"/>
          <w:bottom w:val="single" w:sz="24" w:space="0" w:color="30353F" w:themeColor="text1"/>
          <w:right w:val="nil"/>
          <w:insideH w:val="nil"/>
          <w:insideV w:val="nil"/>
        </w:tcBorders>
        <w:shd w:val="clear" w:color="auto" w:fill="FFFFFF" w:themeFill="background1"/>
      </w:tcPr>
    </w:tblStylePr>
    <w:tblStylePr w:type="lastRow">
      <w:tblPr/>
      <w:tcPr>
        <w:tcBorders>
          <w:top w:val="single" w:sz="8" w:space="0" w:color="30353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53F" w:themeColor="text1"/>
          <w:insideH w:val="nil"/>
          <w:insideV w:val="nil"/>
        </w:tcBorders>
        <w:shd w:val="clear" w:color="auto" w:fill="FFFFFF" w:themeFill="background1"/>
      </w:tcPr>
    </w:tblStylePr>
    <w:tblStylePr w:type="lastCol">
      <w:tblPr/>
      <w:tcPr>
        <w:tcBorders>
          <w:top w:val="nil"/>
          <w:left w:val="single" w:sz="8" w:space="0" w:color="30353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BD4" w:themeFill="text1" w:themeFillTint="3F"/>
      </w:tcPr>
    </w:tblStylePr>
    <w:tblStylePr w:type="band1Horz">
      <w:tblPr/>
      <w:tcPr>
        <w:tcBorders>
          <w:top w:val="nil"/>
          <w:bottom w:val="nil"/>
          <w:insideH w:val="nil"/>
          <w:insideV w:val="nil"/>
        </w:tcBorders>
        <w:shd w:val="clear" w:color="auto" w:fill="C7CBD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tblBorders>
    </w:tblPr>
    <w:tblStylePr w:type="firstRow">
      <w:rPr>
        <w:sz w:val="24"/>
        <w:szCs w:val="24"/>
      </w:rPr>
      <w:tblPr/>
      <w:tcPr>
        <w:tcBorders>
          <w:top w:val="nil"/>
          <w:left w:val="nil"/>
          <w:bottom w:val="single" w:sz="24" w:space="0" w:color="0094C5" w:themeColor="accent1"/>
          <w:right w:val="nil"/>
          <w:insideH w:val="nil"/>
          <w:insideV w:val="nil"/>
        </w:tcBorders>
        <w:shd w:val="clear" w:color="auto" w:fill="FFFFFF" w:themeFill="background1"/>
      </w:tcPr>
    </w:tblStylePr>
    <w:tblStylePr w:type="lastRow">
      <w:tblPr/>
      <w:tcPr>
        <w:tcBorders>
          <w:top w:val="single" w:sz="8" w:space="0" w:color="0094C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4C5" w:themeColor="accent1"/>
          <w:insideH w:val="nil"/>
          <w:insideV w:val="nil"/>
        </w:tcBorders>
        <w:shd w:val="clear" w:color="auto" w:fill="FFFFFF" w:themeFill="background1"/>
      </w:tcPr>
    </w:tblStylePr>
    <w:tblStylePr w:type="lastCol">
      <w:tblPr/>
      <w:tcPr>
        <w:tcBorders>
          <w:top w:val="nil"/>
          <w:left w:val="single" w:sz="8" w:space="0" w:color="0094C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EBFF" w:themeFill="accent1" w:themeFillTint="3F"/>
      </w:tcPr>
    </w:tblStylePr>
    <w:tblStylePr w:type="band1Horz">
      <w:tblPr/>
      <w:tcPr>
        <w:tcBorders>
          <w:top w:val="nil"/>
          <w:bottom w:val="nil"/>
          <w:insideH w:val="nil"/>
          <w:insideV w:val="nil"/>
        </w:tcBorders>
        <w:shd w:val="clear" w:color="auto" w:fill="B1E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tblBorders>
    </w:tblPr>
    <w:tblStylePr w:type="firstRow">
      <w:rPr>
        <w:sz w:val="24"/>
        <w:szCs w:val="24"/>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tblPr/>
      <w:tcPr>
        <w:tcBorders>
          <w:top w:val="single" w:sz="8" w:space="0" w:color="E5006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006D" w:themeColor="accent2"/>
          <w:insideH w:val="nil"/>
          <w:insideV w:val="nil"/>
        </w:tcBorders>
        <w:shd w:val="clear" w:color="auto" w:fill="FFFFFF" w:themeFill="background1"/>
      </w:tcPr>
    </w:tblStylePr>
    <w:tblStylePr w:type="lastCol">
      <w:tblPr/>
      <w:tcPr>
        <w:tcBorders>
          <w:top w:val="nil"/>
          <w:left w:val="single" w:sz="8" w:space="0" w:color="E5006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9DA" w:themeFill="accent2" w:themeFillTint="3F"/>
      </w:tcPr>
    </w:tblStylePr>
    <w:tblStylePr w:type="band1Horz">
      <w:tblPr/>
      <w:tcPr>
        <w:tcBorders>
          <w:top w:val="nil"/>
          <w:bottom w:val="nil"/>
          <w:insideH w:val="nil"/>
          <w:insideV w:val="nil"/>
        </w:tcBorders>
        <w:shd w:val="clear" w:color="auto" w:fill="FFB9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tblBorders>
    </w:tblPr>
    <w:tblStylePr w:type="firstRow">
      <w:rPr>
        <w:sz w:val="24"/>
        <w:szCs w:val="24"/>
      </w:rPr>
      <w:tblPr/>
      <w:tcPr>
        <w:tcBorders>
          <w:top w:val="nil"/>
          <w:left w:val="nil"/>
          <w:bottom w:val="single" w:sz="24" w:space="0" w:color="2C2276" w:themeColor="accent3"/>
          <w:right w:val="nil"/>
          <w:insideH w:val="nil"/>
          <w:insideV w:val="nil"/>
        </w:tcBorders>
        <w:shd w:val="clear" w:color="auto" w:fill="FFFFFF" w:themeFill="background1"/>
      </w:tcPr>
    </w:tblStylePr>
    <w:tblStylePr w:type="lastRow">
      <w:tblPr/>
      <w:tcPr>
        <w:tcBorders>
          <w:top w:val="single" w:sz="8" w:space="0" w:color="2C2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2276" w:themeColor="accent3"/>
          <w:insideH w:val="nil"/>
          <w:insideV w:val="nil"/>
        </w:tcBorders>
        <w:shd w:val="clear" w:color="auto" w:fill="FFFFFF" w:themeFill="background1"/>
      </w:tcPr>
    </w:tblStylePr>
    <w:tblStylePr w:type="lastCol">
      <w:tblPr/>
      <w:tcPr>
        <w:tcBorders>
          <w:top w:val="nil"/>
          <w:left w:val="single" w:sz="8" w:space="0" w:color="2C2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AEB" w:themeFill="accent3" w:themeFillTint="3F"/>
      </w:tcPr>
    </w:tblStylePr>
    <w:tblStylePr w:type="band1Horz">
      <w:tblPr/>
      <w:tcPr>
        <w:tcBorders>
          <w:top w:val="nil"/>
          <w:bottom w:val="nil"/>
          <w:insideH w:val="nil"/>
          <w:insideV w:val="nil"/>
        </w:tcBorders>
        <w:shd w:val="clear" w:color="auto" w:fill="BFB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tblBorders>
    </w:tblPr>
    <w:tblStylePr w:type="firstRow">
      <w:rPr>
        <w:sz w:val="24"/>
        <w:szCs w:val="24"/>
      </w:rPr>
      <w:tblPr/>
      <w:tcPr>
        <w:tcBorders>
          <w:top w:val="nil"/>
          <w:left w:val="nil"/>
          <w:bottom w:val="single" w:sz="24" w:space="0" w:color="7B1244" w:themeColor="accent4"/>
          <w:right w:val="nil"/>
          <w:insideH w:val="nil"/>
          <w:insideV w:val="nil"/>
        </w:tcBorders>
        <w:shd w:val="clear" w:color="auto" w:fill="FFFFFF" w:themeFill="background1"/>
      </w:tcPr>
    </w:tblStylePr>
    <w:tblStylePr w:type="lastRow">
      <w:tblPr/>
      <w:tcPr>
        <w:tcBorders>
          <w:top w:val="single" w:sz="8" w:space="0" w:color="7B124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1244" w:themeColor="accent4"/>
          <w:insideH w:val="nil"/>
          <w:insideV w:val="nil"/>
        </w:tcBorders>
        <w:shd w:val="clear" w:color="auto" w:fill="FFFFFF" w:themeFill="background1"/>
      </w:tcPr>
    </w:tblStylePr>
    <w:tblStylePr w:type="lastCol">
      <w:tblPr/>
      <w:tcPr>
        <w:tcBorders>
          <w:top w:val="nil"/>
          <w:left w:val="single" w:sz="8" w:space="0" w:color="7B124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AFCF" w:themeFill="accent4" w:themeFillTint="3F"/>
      </w:tcPr>
    </w:tblStylePr>
    <w:tblStylePr w:type="band1Horz">
      <w:tblPr/>
      <w:tcPr>
        <w:tcBorders>
          <w:top w:val="nil"/>
          <w:bottom w:val="nil"/>
          <w:insideH w:val="nil"/>
          <w:insideV w:val="nil"/>
        </w:tcBorders>
        <w:shd w:val="clear" w:color="auto" w:fill="F3AF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tblBorders>
    </w:tblPr>
    <w:tblStylePr w:type="firstRow">
      <w:rPr>
        <w:sz w:val="24"/>
        <w:szCs w:val="24"/>
      </w:rPr>
      <w:tblPr/>
      <w:tcPr>
        <w:tcBorders>
          <w:top w:val="nil"/>
          <w:left w:val="nil"/>
          <w:bottom w:val="single" w:sz="24" w:space="0" w:color="AFCA0B" w:themeColor="accent5"/>
          <w:right w:val="nil"/>
          <w:insideH w:val="nil"/>
          <w:insideV w:val="nil"/>
        </w:tcBorders>
        <w:shd w:val="clear" w:color="auto" w:fill="FFFFFF" w:themeFill="background1"/>
      </w:tcPr>
    </w:tblStylePr>
    <w:tblStylePr w:type="lastRow">
      <w:tblPr/>
      <w:tcPr>
        <w:tcBorders>
          <w:top w:val="single" w:sz="8" w:space="0" w:color="AFCA0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CA0B" w:themeColor="accent5"/>
          <w:insideH w:val="nil"/>
          <w:insideV w:val="nil"/>
        </w:tcBorders>
        <w:shd w:val="clear" w:color="auto" w:fill="FFFFFF" w:themeFill="background1"/>
      </w:tcPr>
    </w:tblStylePr>
    <w:tblStylePr w:type="lastCol">
      <w:tblPr/>
      <w:tcPr>
        <w:tcBorders>
          <w:top w:val="nil"/>
          <w:left w:val="single" w:sz="8" w:space="0" w:color="AFCA0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BB9" w:themeFill="accent5" w:themeFillTint="3F"/>
      </w:tcPr>
    </w:tblStylePr>
    <w:tblStylePr w:type="band1Horz">
      <w:tblPr/>
      <w:tcPr>
        <w:tcBorders>
          <w:top w:val="nil"/>
          <w:bottom w:val="nil"/>
          <w:insideH w:val="nil"/>
          <w:insideV w:val="nil"/>
        </w:tcBorders>
        <w:shd w:val="clear" w:color="auto" w:fill="F1FB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tblBorders>
    </w:tblPr>
    <w:tblStylePr w:type="firstRow">
      <w:rPr>
        <w:sz w:val="24"/>
        <w:szCs w:val="24"/>
      </w:rPr>
      <w:tblPr/>
      <w:tcPr>
        <w:tcBorders>
          <w:top w:val="nil"/>
          <w:left w:val="nil"/>
          <w:bottom w:val="single" w:sz="24" w:space="0" w:color="3AAA35" w:themeColor="accent6"/>
          <w:right w:val="nil"/>
          <w:insideH w:val="nil"/>
          <w:insideV w:val="nil"/>
        </w:tcBorders>
        <w:shd w:val="clear" w:color="auto" w:fill="FFFFFF" w:themeFill="background1"/>
      </w:tcPr>
    </w:tblStylePr>
    <w:tblStylePr w:type="lastRow">
      <w:tblPr/>
      <w:tcPr>
        <w:tcBorders>
          <w:top w:val="single" w:sz="8" w:space="0" w:color="3AAA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A35" w:themeColor="accent6"/>
          <w:insideH w:val="nil"/>
          <w:insideV w:val="nil"/>
        </w:tcBorders>
        <w:shd w:val="clear" w:color="auto" w:fill="FFFFFF" w:themeFill="background1"/>
      </w:tcPr>
    </w:tblStylePr>
    <w:tblStylePr w:type="lastCol">
      <w:tblPr/>
      <w:tcPr>
        <w:tcBorders>
          <w:top w:val="nil"/>
          <w:left w:val="single" w:sz="8" w:space="0" w:color="3AAA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EC8" w:themeFill="accent6" w:themeFillTint="3F"/>
      </w:tcPr>
    </w:tblStylePr>
    <w:tblStylePr w:type="band1Horz">
      <w:tblPr/>
      <w:tcPr>
        <w:tcBorders>
          <w:top w:val="nil"/>
          <w:bottom w:val="nil"/>
          <w:insideH w:val="nil"/>
          <w:insideV w:val="nil"/>
        </w:tcBorders>
        <w:shd w:val="clear" w:color="auto" w:fill="CAEE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F245D"/>
    <w:pPr>
      <w:spacing w:after="0" w:line="240" w:lineRule="auto"/>
    </w:pPr>
    <w:tblPr>
      <w:tblStyleRowBandSize w:val="1"/>
      <w:tblStyleColBandSize w:val="1"/>
      <w:tbl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single" w:sz="8" w:space="0" w:color="5B6477" w:themeColor="text1" w:themeTint="BF"/>
      </w:tblBorders>
    </w:tblPr>
    <w:tblStylePr w:type="firstRow">
      <w:pPr>
        <w:spacing w:before="0" w:after="0" w:line="240" w:lineRule="auto"/>
      </w:pPr>
      <w:rPr>
        <w:b/>
        <w:bCs/>
        <w:color w:val="FFFFFF" w:themeColor="background1"/>
      </w:rPr>
      <w:tblPr/>
      <w:tcPr>
        <w:tc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nil"/>
          <w:insideV w:val="nil"/>
        </w:tcBorders>
        <w:shd w:val="clear" w:color="auto" w:fill="30353F" w:themeFill="text1"/>
      </w:tcPr>
    </w:tblStylePr>
    <w:tblStylePr w:type="lastRow">
      <w:pPr>
        <w:spacing w:before="0" w:after="0" w:line="240" w:lineRule="auto"/>
      </w:pPr>
      <w:rPr>
        <w:b/>
        <w:bCs/>
      </w:rPr>
      <w:tblPr/>
      <w:tcPr>
        <w:tcBorders>
          <w:top w:val="double" w:sz="6"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nil"/>
          <w:insideV w:val="nil"/>
        </w:tcBorders>
      </w:tcPr>
    </w:tblStylePr>
    <w:tblStylePr w:type="firstCol">
      <w:rPr>
        <w:b/>
        <w:bCs/>
      </w:rPr>
    </w:tblStylePr>
    <w:tblStylePr w:type="lastCol">
      <w:rPr>
        <w:b/>
        <w:bCs/>
      </w:rPr>
    </w:tblStylePr>
    <w:tblStylePr w:type="band1Vert">
      <w:tblPr/>
      <w:tcPr>
        <w:shd w:val="clear" w:color="auto" w:fill="C7CBD4" w:themeFill="text1" w:themeFillTint="3F"/>
      </w:tcPr>
    </w:tblStylePr>
    <w:tblStylePr w:type="band1Horz">
      <w:tblPr/>
      <w:tcPr>
        <w:tcBorders>
          <w:insideH w:val="nil"/>
          <w:insideV w:val="nil"/>
        </w:tcBorders>
        <w:shd w:val="clear" w:color="auto" w:fill="C7CBD4"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F245D"/>
    <w:pPr>
      <w:spacing w:after="0" w:line="240" w:lineRule="auto"/>
    </w:pPr>
    <w:tblPr>
      <w:tblStyleRowBandSize w:val="1"/>
      <w:tblStyleColBandSize w:val="1"/>
      <w:tbl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single" w:sz="8" w:space="0" w:color="14C4FF" w:themeColor="accent1" w:themeTint="BF"/>
      </w:tblBorders>
    </w:tblPr>
    <w:tblStylePr w:type="firstRow">
      <w:pPr>
        <w:spacing w:before="0" w:after="0" w:line="240" w:lineRule="auto"/>
      </w:pPr>
      <w:rPr>
        <w:b/>
        <w:bCs/>
        <w:color w:val="FFFFFF" w:themeColor="background1"/>
      </w:rPr>
      <w:tblPr/>
      <w:tcPr>
        <w:tc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nil"/>
          <w:insideV w:val="nil"/>
        </w:tcBorders>
        <w:shd w:val="clear" w:color="auto" w:fill="0094C5" w:themeFill="accent1"/>
      </w:tcPr>
    </w:tblStylePr>
    <w:tblStylePr w:type="lastRow">
      <w:pPr>
        <w:spacing w:before="0" w:after="0" w:line="240" w:lineRule="auto"/>
      </w:pPr>
      <w:rPr>
        <w:b/>
        <w:bCs/>
      </w:rPr>
      <w:tblPr/>
      <w:tcPr>
        <w:tcBorders>
          <w:top w:val="double" w:sz="6"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EBFF" w:themeFill="accent1" w:themeFillTint="3F"/>
      </w:tcPr>
    </w:tblStylePr>
    <w:tblStylePr w:type="band1Horz">
      <w:tblPr/>
      <w:tcPr>
        <w:tcBorders>
          <w:insideH w:val="nil"/>
          <w:insideV w:val="nil"/>
        </w:tcBorders>
        <w:shd w:val="clear" w:color="auto" w:fill="B1E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F245D"/>
    <w:pPr>
      <w:spacing w:after="0" w:line="240" w:lineRule="auto"/>
    </w:pPr>
    <w:tblPr>
      <w:tblStyleRowBandSize w:val="1"/>
      <w:tblStyleColBandSize w:val="1"/>
      <w:tbl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single" w:sz="8" w:space="0" w:color="FF2C90" w:themeColor="accent2" w:themeTint="BF"/>
      </w:tblBorders>
    </w:tblPr>
    <w:tblStylePr w:type="firstRow">
      <w:pPr>
        <w:spacing w:before="0" w:after="0" w:line="240" w:lineRule="auto"/>
      </w:pPr>
      <w:rPr>
        <w:b/>
        <w:bCs/>
        <w:color w:val="FFFFFF" w:themeColor="background1"/>
      </w:rPr>
      <w:tblPr/>
      <w:tcPr>
        <w:tc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nil"/>
          <w:insideV w:val="nil"/>
        </w:tcBorders>
        <w:shd w:val="clear" w:color="auto" w:fill="E5006D" w:themeFill="accent2"/>
      </w:tcPr>
    </w:tblStylePr>
    <w:tblStylePr w:type="lastRow">
      <w:pPr>
        <w:spacing w:before="0" w:after="0" w:line="240" w:lineRule="auto"/>
      </w:pPr>
      <w:rPr>
        <w:b/>
        <w:bCs/>
      </w:rPr>
      <w:tblPr/>
      <w:tcPr>
        <w:tcBorders>
          <w:top w:val="double" w:sz="6"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A" w:themeFill="accent2" w:themeFillTint="3F"/>
      </w:tcPr>
    </w:tblStylePr>
    <w:tblStylePr w:type="band1Horz">
      <w:tblPr/>
      <w:tcPr>
        <w:tcBorders>
          <w:insideH w:val="nil"/>
          <w:insideV w:val="nil"/>
        </w:tcBorders>
        <w:shd w:val="clear" w:color="auto" w:fill="FFB9D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F245D"/>
    <w:pPr>
      <w:spacing w:after="0" w:line="240" w:lineRule="auto"/>
    </w:pPr>
    <w:tblPr>
      <w:tblStyleRowBandSize w:val="1"/>
      <w:tblStyleColBandSize w:val="1"/>
      <w:tbl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single" w:sz="8" w:space="0" w:color="4536BB" w:themeColor="accent3" w:themeTint="BF"/>
      </w:tblBorders>
    </w:tblPr>
    <w:tblStylePr w:type="firstRow">
      <w:pPr>
        <w:spacing w:before="0" w:after="0" w:line="240" w:lineRule="auto"/>
      </w:pPr>
      <w:rPr>
        <w:b/>
        <w:bCs/>
        <w:color w:val="FFFFFF" w:themeColor="background1"/>
      </w:rPr>
      <w:tblPr/>
      <w:tcPr>
        <w:tc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nil"/>
          <w:insideV w:val="nil"/>
        </w:tcBorders>
        <w:shd w:val="clear" w:color="auto" w:fill="2C2276" w:themeFill="accent3"/>
      </w:tcPr>
    </w:tblStylePr>
    <w:tblStylePr w:type="lastRow">
      <w:pPr>
        <w:spacing w:before="0" w:after="0" w:line="240" w:lineRule="auto"/>
      </w:pPr>
      <w:rPr>
        <w:b/>
        <w:bCs/>
      </w:rPr>
      <w:tblPr/>
      <w:tcPr>
        <w:tcBorders>
          <w:top w:val="double" w:sz="6"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BAEB" w:themeFill="accent3" w:themeFillTint="3F"/>
      </w:tcPr>
    </w:tblStylePr>
    <w:tblStylePr w:type="band1Horz">
      <w:tblPr/>
      <w:tcPr>
        <w:tcBorders>
          <w:insideH w:val="nil"/>
          <w:insideV w:val="nil"/>
        </w:tcBorders>
        <w:shd w:val="clear" w:color="auto" w:fill="BFB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F245D"/>
    <w:pPr>
      <w:spacing w:after="0" w:line="240" w:lineRule="auto"/>
    </w:pPr>
    <w:tblPr>
      <w:tblStyleRowBandSize w:val="1"/>
      <w:tblStyleColBandSize w:val="1"/>
      <w:tbl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single" w:sz="8" w:space="0" w:color="CB1D70" w:themeColor="accent4" w:themeTint="BF"/>
      </w:tblBorders>
    </w:tblPr>
    <w:tblStylePr w:type="firstRow">
      <w:pPr>
        <w:spacing w:before="0" w:after="0" w:line="240" w:lineRule="auto"/>
      </w:pPr>
      <w:rPr>
        <w:b/>
        <w:bCs/>
        <w:color w:val="FFFFFF" w:themeColor="background1"/>
      </w:rPr>
      <w:tblPr/>
      <w:tcPr>
        <w:tc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nil"/>
          <w:insideV w:val="nil"/>
        </w:tcBorders>
        <w:shd w:val="clear" w:color="auto" w:fill="7B1244" w:themeFill="accent4"/>
      </w:tcPr>
    </w:tblStylePr>
    <w:tblStylePr w:type="lastRow">
      <w:pPr>
        <w:spacing w:before="0" w:after="0" w:line="240" w:lineRule="auto"/>
      </w:pPr>
      <w:rPr>
        <w:b/>
        <w:bCs/>
      </w:rPr>
      <w:tblPr/>
      <w:tcPr>
        <w:tcBorders>
          <w:top w:val="double" w:sz="6"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AFCF" w:themeFill="accent4" w:themeFillTint="3F"/>
      </w:tcPr>
    </w:tblStylePr>
    <w:tblStylePr w:type="band1Horz">
      <w:tblPr/>
      <w:tcPr>
        <w:tcBorders>
          <w:insideH w:val="nil"/>
          <w:insideV w:val="nil"/>
        </w:tcBorders>
        <w:shd w:val="clear" w:color="auto" w:fill="F3AF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F245D"/>
    <w:pPr>
      <w:spacing w:after="0" w:line="240" w:lineRule="auto"/>
    </w:pPr>
    <w:tblPr>
      <w:tblStyleRowBandSize w:val="1"/>
      <w:tblStyleColBandSize w:val="1"/>
      <w:tbl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single" w:sz="8" w:space="0" w:color="D6F32B" w:themeColor="accent5" w:themeTint="BF"/>
      </w:tblBorders>
    </w:tblPr>
    <w:tblStylePr w:type="firstRow">
      <w:pPr>
        <w:spacing w:before="0" w:after="0" w:line="240" w:lineRule="auto"/>
      </w:pPr>
      <w:rPr>
        <w:b/>
        <w:bCs/>
        <w:color w:val="FFFFFF" w:themeColor="background1"/>
      </w:rPr>
      <w:tblPr/>
      <w:tcPr>
        <w:tc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nil"/>
          <w:insideV w:val="nil"/>
        </w:tcBorders>
        <w:shd w:val="clear" w:color="auto" w:fill="AFCA0B" w:themeFill="accent5"/>
      </w:tcPr>
    </w:tblStylePr>
    <w:tblStylePr w:type="lastRow">
      <w:pPr>
        <w:spacing w:before="0" w:after="0" w:line="240" w:lineRule="auto"/>
      </w:pPr>
      <w:rPr>
        <w:b/>
        <w:bCs/>
      </w:rPr>
      <w:tblPr/>
      <w:tcPr>
        <w:tcBorders>
          <w:top w:val="double" w:sz="6"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BB9" w:themeFill="accent5" w:themeFillTint="3F"/>
      </w:tcPr>
    </w:tblStylePr>
    <w:tblStylePr w:type="band1Horz">
      <w:tblPr/>
      <w:tcPr>
        <w:tcBorders>
          <w:insideH w:val="nil"/>
          <w:insideV w:val="nil"/>
        </w:tcBorders>
        <w:shd w:val="clear" w:color="auto" w:fill="F1FBB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F245D"/>
    <w:pPr>
      <w:spacing w:after="0" w:line="240" w:lineRule="auto"/>
    </w:pPr>
    <w:tblPr>
      <w:tblStyleRowBandSize w:val="1"/>
      <w:tblStyleColBandSize w:val="1"/>
      <w:tbl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single" w:sz="8" w:space="0" w:color="5FCC5B" w:themeColor="accent6" w:themeTint="BF"/>
      </w:tblBorders>
    </w:tblPr>
    <w:tblStylePr w:type="firstRow">
      <w:pPr>
        <w:spacing w:before="0" w:after="0" w:line="240" w:lineRule="auto"/>
      </w:pPr>
      <w:rPr>
        <w:b/>
        <w:bCs/>
        <w:color w:val="FFFFFF" w:themeColor="background1"/>
      </w:rPr>
      <w:tblPr/>
      <w:tcPr>
        <w:tc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nil"/>
          <w:insideV w:val="nil"/>
        </w:tcBorders>
        <w:shd w:val="clear" w:color="auto" w:fill="3AAA35" w:themeFill="accent6"/>
      </w:tcPr>
    </w:tblStylePr>
    <w:tblStylePr w:type="lastRow">
      <w:pPr>
        <w:spacing w:before="0" w:after="0" w:line="240" w:lineRule="auto"/>
      </w:pPr>
      <w:rPr>
        <w:b/>
        <w:bCs/>
      </w:rPr>
      <w:tblPr/>
      <w:tcPr>
        <w:tcBorders>
          <w:top w:val="double" w:sz="6"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EC8" w:themeFill="accent6" w:themeFillTint="3F"/>
      </w:tcPr>
    </w:tblStylePr>
    <w:tblStylePr w:type="band1Horz">
      <w:tblPr/>
      <w:tcPr>
        <w:tcBorders>
          <w:insideH w:val="nil"/>
          <w:insideV w:val="nil"/>
        </w:tcBorders>
        <w:shd w:val="clear" w:color="auto" w:fill="CAEE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53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53F" w:themeFill="text1"/>
      </w:tcPr>
    </w:tblStylePr>
    <w:tblStylePr w:type="lastCol">
      <w:rPr>
        <w:b/>
        <w:bCs/>
        <w:color w:val="FFFFFF" w:themeColor="background1"/>
      </w:rPr>
      <w:tblPr/>
      <w:tcPr>
        <w:tcBorders>
          <w:left w:val="nil"/>
          <w:right w:val="nil"/>
          <w:insideH w:val="nil"/>
          <w:insideV w:val="nil"/>
        </w:tcBorders>
        <w:shd w:val="clear" w:color="auto" w:fill="30353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4C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4C5" w:themeFill="accent1"/>
      </w:tcPr>
    </w:tblStylePr>
    <w:tblStylePr w:type="lastCol">
      <w:rPr>
        <w:b/>
        <w:bCs/>
        <w:color w:val="FFFFFF" w:themeColor="background1"/>
      </w:rPr>
      <w:tblPr/>
      <w:tcPr>
        <w:tcBorders>
          <w:left w:val="nil"/>
          <w:right w:val="nil"/>
          <w:insideH w:val="nil"/>
          <w:insideV w:val="nil"/>
        </w:tcBorders>
        <w:shd w:val="clear" w:color="auto" w:fill="0094C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006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006D" w:themeFill="accent2"/>
      </w:tcPr>
    </w:tblStylePr>
    <w:tblStylePr w:type="lastCol">
      <w:rPr>
        <w:b/>
        <w:bCs/>
        <w:color w:val="FFFFFF" w:themeColor="background1"/>
      </w:rPr>
      <w:tblPr/>
      <w:tcPr>
        <w:tcBorders>
          <w:left w:val="nil"/>
          <w:right w:val="nil"/>
          <w:insideH w:val="nil"/>
          <w:insideV w:val="nil"/>
        </w:tcBorders>
        <w:shd w:val="clear" w:color="auto" w:fill="E5006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2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C2276" w:themeFill="accent3"/>
      </w:tcPr>
    </w:tblStylePr>
    <w:tblStylePr w:type="lastCol">
      <w:rPr>
        <w:b/>
        <w:bCs/>
        <w:color w:val="FFFFFF" w:themeColor="background1"/>
      </w:rPr>
      <w:tblPr/>
      <w:tcPr>
        <w:tcBorders>
          <w:left w:val="nil"/>
          <w:right w:val="nil"/>
          <w:insideH w:val="nil"/>
          <w:insideV w:val="nil"/>
        </w:tcBorders>
        <w:shd w:val="clear" w:color="auto" w:fill="2C2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124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1244" w:themeFill="accent4"/>
      </w:tcPr>
    </w:tblStylePr>
    <w:tblStylePr w:type="lastCol">
      <w:rPr>
        <w:b/>
        <w:bCs/>
        <w:color w:val="FFFFFF" w:themeColor="background1"/>
      </w:rPr>
      <w:tblPr/>
      <w:tcPr>
        <w:tcBorders>
          <w:left w:val="nil"/>
          <w:right w:val="nil"/>
          <w:insideH w:val="nil"/>
          <w:insideV w:val="nil"/>
        </w:tcBorders>
        <w:shd w:val="clear" w:color="auto" w:fill="7B124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CA0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CA0B" w:themeFill="accent5"/>
      </w:tcPr>
    </w:tblStylePr>
    <w:tblStylePr w:type="lastCol">
      <w:rPr>
        <w:b/>
        <w:bCs/>
        <w:color w:val="FFFFFF" w:themeColor="background1"/>
      </w:rPr>
      <w:tblPr/>
      <w:tcPr>
        <w:tcBorders>
          <w:left w:val="nil"/>
          <w:right w:val="nil"/>
          <w:insideH w:val="nil"/>
          <w:insideV w:val="nil"/>
        </w:tcBorders>
        <w:shd w:val="clear" w:color="auto" w:fill="AFCA0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A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AAA35" w:themeFill="accent6"/>
      </w:tcPr>
    </w:tblStylePr>
    <w:tblStylePr w:type="lastCol">
      <w:rPr>
        <w:b/>
        <w:bCs/>
        <w:color w:val="FFFFFF" w:themeColor="background1"/>
      </w:rPr>
      <w:tblPr/>
      <w:tcPr>
        <w:tcBorders>
          <w:left w:val="nil"/>
          <w:right w:val="nil"/>
          <w:insideH w:val="nil"/>
          <w:insideV w:val="nil"/>
        </w:tcBorders>
        <w:shd w:val="clear" w:color="auto" w:fill="3AAA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F245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F245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DF245D"/>
    <w:pPr>
      <w:spacing w:after="0" w:line="240" w:lineRule="auto"/>
    </w:pPr>
    <w:rPr>
      <w:rFonts w:ascii="Calibri" w:hAnsi="Calibri"/>
    </w:rPr>
  </w:style>
  <w:style w:type="paragraph" w:styleId="NormalWeb">
    <w:name w:val="Normal (Web)"/>
    <w:basedOn w:val="Normal"/>
    <w:uiPriority w:val="99"/>
    <w:semiHidden/>
    <w:unhideWhenUsed/>
    <w:rsid w:val="00DF245D"/>
    <w:rPr>
      <w:rFonts w:ascii="Times New Roman" w:hAnsi="Times New Roman" w:cs="Times New Roman"/>
      <w:sz w:val="24"/>
      <w:szCs w:val="24"/>
    </w:rPr>
  </w:style>
  <w:style w:type="paragraph" w:styleId="NormalIndent">
    <w:name w:val="Normal Indent"/>
    <w:basedOn w:val="Normal"/>
    <w:uiPriority w:val="99"/>
    <w:semiHidden/>
    <w:unhideWhenUsed/>
    <w:rsid w:val="00DF245D"/>
    <w:pPr>
      <w:ind w:left="720"/>
    </w:pPr>
  </w:style>
  <w:style w:type="paragraph" w:styleId="NoteHeading">
    <w:name w:val="Note Heading"/>
    <w:basedOn w:val="Normal"/>
    <w:next w:val="Normal"/>
    <w:link w:val="NoteHeadingChar"/>
    <w:uiPriority w:val="99"/>
    <w:semiHidden/>
    <w:unhideWhenUsed/>
    <w:rsid w:val="00DF245D"/>
    <w:pPr>
      <w:spacing w:after="0" w:line="240" w:lineRule="auto"/>
    </w:pPr>
  </w:style>
  <w:style w:type="character" w:customStyle="1" w:styleId="NoteHeadingChar">
    <w:name w:val="Note Heading Char"/>
    <w:basedOn w:val="DefaultParagraphFont"/>
    <w:link w:val="NoteHeading"/>
    <w:uiPriority w:val="99"/>
    <w:semiHidden/>
    <w:rsid w:val="00DF245D"/>
    <w:rPr>
      <w:rFonts w:ascii="Calibri" w:hAnsi="Calibri"/>
    </w:rPr>
  </w:style>
  <w:style w:type="character" w:styleId="PageNumber">
    <w:name w:val="page number"/>
    <w:basedOn w:val="DefaultParagraphFont"/>
    <w:uiPriority w:val="48"/>
    <w:rsid w:val="00DF245D"/>
  </w:style>
  <w:style w:type="table" w:styleId="PlainTable1">
    <w:name w:val="Plain Table 1"/>
    <w:basedOn w:val="TableNormal"/>
    <w:uiPriority w:val="41"/>
    <w:rsid w:val="00916CFA"/>
    <w:pPr>
      <w:spacing w:after="0" w:line="240" w:lineRule="auto"/>
    </w:pPr>
    <w:tblPr>
      <w:tblStyleRowBandSize w:val="1"/>
      <w:tblStyleColBandSize w:val="1"/>
      <w:tblInd w:w="8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16CFA"/>
    <w:pPr>
      <w:spacing w:after="0" w:line="240" w:lineRule="auto"/>
    </w:pPr>
    <w:tblPr>
      <w:tblStyleRowBandSize w:val="1"/>
      <w:tblStyleColBandSize w:val="1"/>
      <w:tblInd w:w="851" w:type="dxa"/>
      <w:tblBorders>
        <w:top w:val="single" w:sz="4" w:space="0" w:color="8D96A8" w:themeColor="text1" w:themeTint="80"/>
        <w:bottom w:val="single" w:sz="4" w:space="0" w:color="8D96A8" w:themeColor="text1" w:themeTint="80"/>
      </w:tblBorders>
    </w:tblPr>
    <w:tblStylePr w:type="firstRow">
      <w:rPr>
        <w:b/>
        <w:bCs/>
      </w:rPr>
      <w:tblPr/>
      <w:tcPr>
        <w:tcBorders>
          <w:bottom w:val="single" w:sz="4" w:space="0" w:color="8D96A8" w:themeColor="text1" w:themeTint="80"/>
        </w:tcBorders>
      </w:tcPr>
    </w:tblStylePr>
    <w:tblStylePr w:type="lastRow">
      <w:rPr>
        <w:b/>
        <w:bCs/>
      </w:rPr>
      <w:tblPr/>
      <w:tcPr>
        <w:tcBorders>
          <w:top w:val="single" w:sz="4" w:space="0" w:color="8D96A8" w:themeColor="text1" w:themeTint="80"/>
        </w:tcBorders>
      </w:tcPr>
    </w:tblStylePr>
    <w:tblStylePr w:type="firstCol">
      <w:rPr>
        <w:b/>
        <w:bCs/>
      </w:rPr>
    </w:tblStylePr>
    <w:tblStylePr w:type="lastCol">
      <w:rPr>
        <w:b/>
        <w:bCs/>
      </w:rPr>
    </w:tblStylePr>
    <w:tblStylePr w:type="band1Vert">
      <w:tblPr/>
      <w:tcPr>
        <w:tcBorders>
          <w:left w:val="single" w:sz="4" w:space="0" w:color="8D96A8" w:themeColor="text1" w:themeTint="80"/>
          <w:right w:val="single" w:sz="4" w:space="0" w:color="8D96A8" w:themeColor="text1" w:themeTint="80"/>
        </w:tcBorders>
      </w:tcPr>
    </w:tblStylePr>
    <w:tblStylePr w:type="band2Vert">
      <w:tblPr/>
      <w:tcPr>
        <w:tcBorders>
          <w:left w:val="single" w:sz="4" w:space="0" w:color="8D96A8" w:themeColor="text1" w:themeTint="80"/>
          <w:right w:val="single" w:sz="4" w:space="0" w:color="8D96A8" w:themeColor="text1" w:themeTint="80"/>
        </w:tcBorders>
      </w:tcPr>
    </w:tblStylePr>
    <w:tblStylePr w:type="band1Horz">
      <w:tblPr/>
      <w:tcPr>
        <w:tcBorders>
          <w:top w:val="single" w:sz="4" w:space="0" w:color="8D96A8" w:themeColor="text1" w:themeTint="80"/>
          <w:bottom w:val="single" w:sz="4" w:space="0" w:color="8D96A8" w:themeColor="text1" w:themeTint="80"/>
        </w:tcBorders>
      </w:tcPr>
    </w:tblStylePr>
  </w:style>
  <w:style w:type="table" w:styleId="PlainTable4">
    <w:name w:val="Plain Table 4"/>
    <w:basedOn w:val="TableNormal"/>
    <w:uiPriority w:val="44"/>
    <w:rsid w:val="00916CFA"/>
    <w:pPr>
      <w:spacing w:after="0" w:line="240" w:lineRule="auto"/>
    </w:pPr>
    <w:tblPr>
      <w:tblStyleRowBandSize w:val="1"/>
      <w:tblStyleColBandSize w:val="1"/>
      <w:tblInd w:w="851"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16CFA"/>
    <w:pPr>
      <w:spacing w:after="0" w:line="240" w:lineRule="auto"/>
    </w:pPr>
    <w:tblPr>
      <w:tblStyleRowBandSize w:val="1"/>
      <w:tblStyleColBandSize w:val="1"/>
      <w:tblInd w:w="851" w:type="dxa"/>
    </w:tblPr>
    <w:tblStylePr w:type="firstRow">
      <w:rPr>
        <w:rFonts w:asciiTheme="majorHAnsi" w:eastAsiaTheme="majorEastAsia" w:hAnsiTheme="majorHAnsi" w:cstheme="majorBidi"/>
        <w:i/>
        <w:iCs/>
        <w:sz w:val="26"/>
      </w:rPr>
      <w:tblPr/>
      <w:tcPr>
        <w:tcBorders>
          <w:bottom w:val="single" w:sz="4" w:space="0" w:color="8D96A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96A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96A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96A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F245D"/>
    <w:rPr>
      <w:u w:val="dotted"/>
    </w:rPr>
  </w:style>
  <w:style w:type="character" w:customStyle="1" w:styleId="SmartLink1">
    <w:name w:val="SmartLink1"/>
    <w:basedOn w:val="DefaultParagraphFont"/>
    <w:uiPriority w:val="99"/>
    <w:semiHidden/>
    <w:unhideWhenUsed/>
    <w:rsid w:val="00DF245D"/>
    <w:rPr>
      <w:color w:val="2B579A"/>
      <w:shd w:val="clear" w:color="auto" w:fill="E1DFDD"/>
    </w:rPr>
  </w:style>
  <w:style w:type="table" w:styleId="Table3Deffects1">
    <w:name w:val="Table 3D effects 1"/>
    <w:basedOn w:val="TableNormal"/>
    <w:uiPriority w:val="99"/>
    <w:semiHidden/>
    <w:unhideWhenUsed/>
    <w:rsid w:val="00DF245D"/>
    <w:pPr>
      <w:spacing w:after="120"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F245D"/>
    <w:pPr>
      <w:spacing w:after="120"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F245D"/>
    <w:pPr>
      <w:spacing w:after="120"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F245D"/>
    <w:pPr>
      <w:spacing w:after="120"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F245D"/>
    <w:pPr>
      <w:spacing w:after="120"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F245D"/>
    <w:pPr>
      <w:spacing w:after="120"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F245D"/>
    <w:pPr>
      <w:spacing w:after="120"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F245D"/>
    <w:pPr>
      <w:spacing w:after="120"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F245D"/>
    <w:pPr>
      <w:spacing w:after="120"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F245D"/>
    <w:pPr>
      <w:spacing w:after="120"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F245D"/>
    <w:pPr>
      <w:spacing w:after="120"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F245D"/>
    <w:pPr>
      <w:spacing w:after="120"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F245D"/>
    <w:pPr>
      <w:spacing w:after="120"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F245D"/>
    <w:pPr>
      <w:spacing w:after="120"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F245D"/>
    <w:pPr>
      <w:spacing w:after="120"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F245D"/>
    <w:pPr>
      <w:spacing w:after="120"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F245D"/>
    <w:pPr>
      <w:spacing w:after="120"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F245D"/>
    <w:pPr>
      <w:spacing w:after="120"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F245D"/>
    <w:pPr>
      <w:spacing w:after="120"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F245D"/>
    <w:pPr>
      <w:spacing w:after="120"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F245D"/>
    <w:pPr>
      <w:spacing w:after="120"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F245D"/>
    <w:pPr>
      <w:spacing w:after="120"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F245D"/>
    <w:pPr>
      <w:spacing w:after="120"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F245D"/>
    <w:pPr>
      <w:spacing w:after="120"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F245D"/>
    <w:pPr>
      <w:spacing w:after="120"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F245D"/>
    <w:pPr>
      <w:spacing w:after="120"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F245D"/>
    <w:pPr>
      <w:spacing w:after="120"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F245D"/>
    <w:pPr>
      <w:spacing w:after="120"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F245D"/>
    <w:pPr>
      <w:spacing w:after="0"/>
      <w:ind w:left="220" w:hanging="220"/>
    </w:pPr>
  </w:style>
  <w:style w:type="table" w:styleId="TableProfessional">
    <w:name w:val="Table Professional"/>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F245D"/>
    <w:pPr>
      <w:spacing w:after="120"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F245D"/>
    <w:pPr>
      <w:spacing w:after="120"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F245D"/>
    <w:pPr>
      <w:spacing w:after="120"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F245D"/>
    <w:pPr>
      <w:spacing w:after="120"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F245D"/>
    <w:pPr>
      <w:spacing w:after="12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F245D"/>
    <w:pPr>
      <w:spacing w:after="120"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F245D"/>
    <w:pPr>
      <w:spacing w:after="120"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F245D"/>
    <w:pPr>
      <w:spacing w:after="120"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F245D"/>
    <w:pPr>
      <w:spacing w:before="120"/>
    </w:pPr>
    <w:rPr>
      <w:rFonts w:asciiTheme="majorHAnsi" w:eastAsiaTheme="majorEastAsia" w:hAnsiTheme="majorHAnsi" w:cstheme="majorBidi"/>
      <w:b/>
      <w:bCs/>
      <w:sz w:val="24"/>
      <w:szCs w:val="24"/>
    </w:rPr>
  </w:style>
  <w:style w:type="paragraph" w:customStyle="1" w:styleId="CaptionSubheading">
    <w:name w:val="Caption Subheading"/>
    <w:basedOn w:val="USBodyText"/>
    <w:uiPriority w:val="39"/>
    <w:rsid w:val="004E29DF"/>
    <w:pPr>
      <w:keepNext/>
      <w:spacing w:line="220" w:lineRule="atLeast"/>
    </w:pPr>
    <w:rPr>
      <w:sz w:val="18"/>
      <w:szCs w:val="18"/>
    </w:rPr>
  </w:style>
  <w:style w:type="paragraph" w:customStyle="1" w:styleId="TableCaption">
    <w:name w:val="Table Caption"/>
    <w:basedOn w:val="Caption"/>
    <w:next w:val="CaptionSubheading"/>
    <w:uiPriority w:val="38"/>
    <w:rsid w:val="00EC22B7"/>
    <w:pPr>
      <w:ind w:left="851" w:firstLine="0"/>
    </w:pPr>
  </w:style>
  <w:style w:type="paragraph" w:customStyle="1" w:styleId="FigureCaption">
    <w:name w:val="Figure Caption"/>
    <w:basedOn w:val="Caption"/>
    <w:uiPriority w:val="38"/>
    <w:rsid w:val="00EC22B7"/>
    <w:pPr>
      <w:spacing w:after="120"/>
      <w:ind w:left="851" w:firstLine="0"/>
    </w:pPr>
  </w:style>
  <w:style w:type="paragraph" w:customStyle="1" w:styleId="ESHeading1">
    <w:name w:val="ES Heading 1"/>
    <w:basedOn w:val="Heading1"/>
    <w:next w:val="USBodyText"/>
    <w:uiPriority w:val="8"/>
    <w:rsid w:val="00C141D4"/>
    <w:pPr>
      <w:numPr>
        <w:numId w:val="0"/>
      </w:numPr>
      <w:outlineLvl w:val="9"/>
    </w:pPr>
  </w:style>
  <w:style w:type="paragraph" w:customStyle="1" w:styleId="ESHeading2">
    <w:name w:val="ES Heading 2"/>
    <w:basedOn w:val="Heading2"/>
    <w:next w:val="USBodyText"/>
    <w:uiPriority w:val="8"/>
    <w:rsid w:val="00C141D4"/>
    <w:pPr>
      <w:numPr>
        <w:ilvl w:val="0"/>
        <w:numId w:val="0"/>
      </w:numPr>
      <w:outlineLvl w:val="9"/>
    </w:pPr>
  </w:style>
  <w:style w:type="paragraph" w:customStyle="1" w:styleId="HeadingContents-TablesFigures">
    <w:name w:val="Heading Contents - Tables/Figures"/>
    <w:basedOn w:val="Heading2"/>
    <w:uiPriority w:val="55"/>
    <w:rsid w:val="009C506D"/>
    <w:pPr>
      <w:numPr>
        <w:ilvl w:val="0"/>
        <w:numId w:val="0"/>
      </w:numPr>
      <w:spacing w:before="120" w:after="40"/>
      <w:outlineLvl w:val="9"/>
    </w:pPr>
  </w:style>
  <w:style w:type="paragraph" w:styleId="ListParagraph">
    <w:name w:val="List Paragraph"/>
    <w:basedOn w:val="Normal"/>
    <w:uiPriority w:val="34"/>
    <w:semiHidden/>
    <w:qFormat/>
    <w:rsid w:val="00C7750E"/>
    <w:pPr>
      <w:ind w:left="720"/>
      <w:contextualSpacing/>
    </w:pPr>
  </w:style>
  <w:style w:type="character" w:customStyle="1" w:styleId="QuotationwithinSentence">
    <w:name w:val="Quotation (within Sentence)"/>
    <w:basedOn w:val="DefaultParagraphFont"/>
    <w:uiPriority w:val="18"/>
    <w:rsid w:val="0039336F"/>
    <w:rPr>
      <w:i/>
    </w:rPr>
  </w:style>
  <w:style w:type="paragraph" w:customStyle="1" w:styleId="CoverPicturePlaceholder">
    <w:name w:val="Cover Picture Placeholder"/>
    <w:basedOn w:val="USBodyText"/>
    <w:next w:val="CoverTitle"/>
    <w:uiPriority w:val="54"/>
    <w:rsid w:val="004D53BA"/>
    <w:pPr>
      <w:spacing w:after="0"/>
      <w:ind w:left="0"/>
    </w:pPr>
  </w:style>
  <w:style w:type="paragraph" w:customStyle="1" w:styleId="FooterInsidecover">
    <w:name w:val="Footer (Inside cover)"/>
    <w:basedOn w:val="Footer"/>
    <w:uiPriority w:val="47"/>
    <w:rsid w:val="00881555"/>
    <w:pPr>
      <w:ind w:left="851"/>
      <w:jc w:val="left"/>
    </w:pPr>
    <w:rPr>
      <w:sz w:val="17"/>
    </w:rPr>
  </w:style>
  <w:style w:type="character" w:styleId="UnresolvedMention">
    <w:name w:val="Unresolved Mention"/>
    <w:basedOn w:val="DefaultParagraphFont"/>
    <w:uiPriority w:val="99"/>
    <w:semiHidden/>
    <w:unhideWhenUsed/>
    <w:rsid w:val="00881555"/>
    <w:rPr>
      <w:color w:val="605E5C"/>
      <w:shd w:val="clear" w:color="auto" w:fill="E1DFDD"/>
    </w:rPr>
  </w:style>
  <w:style w:type="paragraph" w:customStyle="1" w:styleId="Default">
    <w:name w:val="Default"/>
    <w:rsid w:val="004515AB"/>
    <w:pPr>
      <w:autoSpaceDE w:val="0"/>
      <w:autoSpaceDN w:val="0"/>
      <w:adjustRightInd w:val="0"/>
      <w:spacing w:after="0" w:line="240" w:lineRule="auto"/>
    </w:pPr>
    <w:rPr>
      <w:rFonts w:ascii="Calibri" w:hAnsi="Calibri" w:cs="Calibri"/>
      <w:color w:val="000000"/>
      <w:sz w:val="24"/>
      <w:szCs w:val="24"/>
    </w:rPr>
  </w:style>
  <w:style w:type="table" w:customStyle="1" w:styleId="TableGrid10">
    <w:name w:val="Table Grid1"/>
    <w:basedOn w:val="TableNormal"/>
    <w:next w:val="TableGrid"/>
    <w:uiPriority w:val="39"/>
    <w:rsid w:val="00FD7FD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76F6"/>
    <w:pPr>
      <w:spacing w:after="0" w:line="240" w:lineRule="auto"/>
    </w:pPr>
    <w:rPr>
      <w:rFonts w:ascii="Calibri" w:hAnsi="Calibri"/>
    </w:rPr>
  </w:style>
  <w:style w:type="character" w:styleId="Mention">
    <w:name w:val="Mention"/>
    <w:basedOn w:val="DefaultParagraphFont"/>
    <w:uiPriority w:val="99"/>
    <w:unhideWhenUsed/>
    <w:rsid w:val="00811CAF"/>
    <w:rPr>
      <w:color w:val="2B579A"/>
      <w:shd w:val="clear" w:color="auto" w:fill="E1DFDD"/>
    </w:rPr>
  </w:style>
  <w:style w:type="paragraph" w:customStyle="1" w:styleId="Tabletext">
    <w:name w:val="Table text"/>
    <w:basedOn w:val="BodyText"/>
    <w:qFormat/>
    <w:locked/>
    <w:rsid w:val="003C586B"/>
    <w:pPr>
      <w:spacing w:before="60" w:after="60" w:line="200" w:lineRule="atLeast"/>
    </w:pPr>
    <w:rPr>
      <w:rFonts w:asciiTheme="minorHAnsi" w:eastAsia="Times New Roman" w:hAnsiTheme="minorHAnsi" w:cs="Times New Roman"/>
      <w:kern w:val="20"/>
      <w:sz w:val="18"/>
      <w:szCs w:val="18"/>
    </w:rPr>
  </w:style>
  <w:style w:type="paragraph" w:customStyle="1" w:styleId="Tablesubheading">
    <w:name w:val="Table subheading"/>
    <w:basedOn w:val="BodyText"/>
    <w:rsid w:val="003C586B"/>
    <w:pPr>
      <w:keepNext/>
      <w:spacing w:line="240" w:lineRule="auto"/>
      <w:jc w:val="both"/>
    </w:pPr>
    <w:rPr>
      <w:rFonts w:ascii="Tahoma" w:eastAsia="Times New Roman" w:hAnsi="Tahoma" w:cs="Times New Roman"/>
      <w:sz w:val="17"/>
      <w:lang w:eastAsia="en-GB"/>
    </w:rPr>
  </w:style>
  <w:style w:type="paragraph" w:styleId="BodyText">
    <w:name w:val="Body Text"/>
    <w:basedOn w:val="Normal"/>
    <w:link w:val="BodyTextChar"/>
    <w:uiPriority w:val="99"/>
    <w:semiHidden/>
    <w:unhideWhenUsed/>
    <w:rsid w:val="003C586B"/>
  </w:style>
  <w:style w:type="character" w:customStyle="1" w:styleId="BodyTextChar">
    <w:name w:val="Body Text Char"/>
    <w:basedOn w:val="DefaultParagraphFont"/>
    <w:link w:val="BodyText"/>
    <w:uiPriority w:val="99"/>
    <w:semiHidden/>
    <w:rsid w:val="003C586B"/>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1657">
      <w:bodyDiv w:val="1"/>
      <w:marLeft w:val="0"/>
      <w:marRight w:val="0"/>
      <w:marTop w:val="0"/>
      <w:marBottom w:val="0"/>
      <w:divBdr>
        <w:top w:val="none" w:sz="0" w:space="0" w:color="auto"/>
        <w:left w:val="none" w:sz="0" w:space="0" w:color="auto"/>
        <w:bottom w:val="none" w:sz="0" w:space="0" w:color="auto"/>
        <w:right w:val="none" w:sz="0" w:space="0" w:color="auto"/>
      </w:divBdr>
      <w:divsChild>
        <w:div w:id="328217941">
          <w:marLeft w:val="0"/>
          <w:marRight w:val="0"/>
          <w:marTop w:val="0"/>
          <w:marBottom w:val="0"/>
          <w:divBdr>
            <w:top w:val="none" w:sz="0" w:space="0" w:color="auto"/>
            <w:left w:val="none" w:sz="0" w:space="0" w:color="auto"/>
            <w:bottom w:val="none" w:sz="0" w:space="0" w:color="auto"/>
            <w:right w:val="none" w:sz="0" w:space="0" w:color="auto"/>
          </w:divBdr>
        </w:div>
      </w:divsChild>
    </w:div>
    <w:div w:id="264194412">
      <w:bodyDiv w:val="1"/>
      <w:marLeft w:val="0"/>
      <w:marRight w:val="0"/>
      <w:marTop w:val="0"/>
      <w:marBottom w:val="0"/>
      <w:divBdr>
        <w:top w:val="none" w:sz="0" w:space="0" w:color="auto"/>
        <w:left w:val="none" w:sz="0" w:space="0" w:color="auto"/>
        <w:bottom w:val="none" w:sz="0" w:space="0" w:color="auto"/>
        <w:right w:val="none" w:sz="0" w:space="0" w:color="auto"/>
      </w:divBdr>
    </w:div>
    <w:div w:id="454561508">
      <w:bodyDiv w:val="1"/>
      <w:marLeft w:val="0"/>
      <w:marRight w:val="0"/>
      <w:marTop w:val="0"/>
      <w:marBottom w:val="0"/>
      <w:divBdr>
        <w:top w:val="none" w:sz="0" w:space="0" w:color="auto"/>
        <w:left w:val="none" w:sz="0" w:space="0" w:color="auto"/>
        <w:bottom w:val="none" w:sz="0" w:space="0" w:color="auto"/>
        <w:right w:val="none" w:sz="0" w:space="0" w:color="auto"/>
      </w:divBdr>
    </w:div>
    <w:div w:id="507141569">
      <w:bodyDiv w:val="1"/>
      <w:marLeft w:val="0"/>
      <w:marRight w:val="0"/>
      <w:marTop w:val="0"/>
      <w:marBottom w:val="0"/>
      <w:divBdr>
        <w:top w:val="none" w:sz="0" w:space="0" w:color="auto"/>
        <w:left w:val="none" w:sz="0" w:space="0" w:color="auto"/>
        <w:bottom w:val="none" w:sz="0" w:space="0" w:color="auto"/>
        <w:right w:val="none" w:sz="0" w:space="0" w:color="auto"/>
      </w:divBdr>
    </w:div>
    <w:div w:id="570702855">
      <w:bodyDiv w:val="1"/>
      <w:marLeft w:val="0"/>
      <w:marRight w:val="0"/>
      <w:marTop w:val="0"/>
      <w:marBottom w:val="0"/>
      <w:divBdr>
        <w:top w:val="none" w:sz="0" w:space="0" w:color="auto"/>
        <w:left w:val="none" w:sz="0" w:space="0" w:color="auto"/>
        <w:bottom w:val="none" w:sz="0" w:space="0" w:color="auto"/>
        <w:right w:val="none" w:sz="0" w:space="0" w:color="auto"/>
      </w:divBdr>
    </w:div>
    <w:div w:id="848829732">
      <w:bodyDiv w:val="1"/>
      <w:marLeft w:val="0"/>
      <w:marRight w:val="0"/>
      <w:marTop w:val="0"/>
      <w:marBottom w:val="0"/>
      <w:divBdr>
        <w:top w:val="none" w:sz="0" w:space="0" w:color="auto"/>
        <w:left w:val="none" w:sz="0" w:space="0" w:color="auto"/>
        <w:bottom w:val="none" w:sz="0" w:space="0" w:color="auto"/>
        <w:right w:val="none" w:sz="0" w:space="0" w:color="auto"/>
      </w:divBdr>
    </w:div>
    <w:div w:id="860044635">
      <w:bodyDiv w:val="1"/>
      <w:marLeft w:val="0"/>
      <w:marRight w:val="0"/>
      <w:marTop w:val="0"/>
      <w:marBottom w:val="0"/>
      <w:divBdr>
        <w:top w:val="none" w:sz="0" w:space="0" w:color="auto"/>
        <w:left w:val="none" w:sz="0" w:space="0" w:color="auto"/>
        <w:bottom w:val="none" w:sz="0" w:space="0" w:color="auto"/>
        <w:right w:val="none" w:sz="0" w:space="0" w:color="auto"/>
      </w:divBdr>
    </w:div>
    <w:div w:id="971593211">
      <w:bodyDiv w:val="1"/>
      <w:marLeft w:val="0"/>
      <w:marRight w:val="0"/>
      <w:marTop w:val="0"/>
      <w:marBottom w:val="0"/>
      <w:divBdr>
        <w:top w:val="none" w:sz="0" w:space="0" w:color="auto"/>
        <w:left w:val="none" w:sz="0" w:space="0" w:color="auto"/>
        <w:bottom w:val="none" w:sz="0" w:space="0" w:color="auto"/>
        <w:right w:val="none" w:sz="0" w:space="0" w:color="auto"/>
      </w:divBdr>
    </w:div>
    <w:div w:id="974987939">
      <w:bodyDiv w:val="1"/>
      <w:marLeft w:val="0"/>
      <w:marRight w:val="0"/>
      <w:marTop w:val="0"/>
      <w:marBottom w:val="0"/>
      <w:divBdr>
        <w:top w:val="none" w:sz="0" w:space="0" w:color="auto"/>
        <w:left w:val="none" w:sz="0" w:space="0" w:color="auto"/>
        <w:bottom w:val="none" w:sz="0" w:space="0" w:color="auto"/>
        <w:right w:val="none" w:sz="0" w:space="0" w:color="auto"/>
      </w:divBdr>
      <w:divsChild>
        <w:div w:id="2112511805">
          <w:marLeft w:val="480"/>
          <w:marRight w:val="0"/>
          <w:marTop w:val="0"/>
          <w:marBottom w:val="0"/>
          <w:divBdr>
            <w:top w:val="none" w:sz="0" w:space="0" w:color="auto"/>
            <w:left w:val="none" w:sz="0" w:space="0" w:color="auto"/>
            <w:bottom w:val="none" w:sz="0" w:space="0" w:color="auto"/>
            <w:right w:val="none" w:sz="0" w:space="0" w:color="auto"/>
          </w:divBdr>
          <w:divsChild>
            <w:div w:id="743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42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1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hyperlink" Target="http://www.nzier.org.nz" TargetMode="External"/><Relationship Id="rId2" Type="http://schemas.openxmlformats.org/officeDocument/2006/relationships/hyperlink" Target="http://www.nzier.org.nz" TargetMode="External"/><Relationship Id="rId1" Type="http://schemas.openxmlformats.org/officeDocument/2006/relationships/hyperlink" Target="mailto:econ@nzier.org.nz" TargetMode="External"/><Relationship Id="rId4"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stats.govt.nz/information-releases/national-population-estimates-at-30-september-202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J 2013 Theme">
  <a:themeElements>
    <a:clrScheme name="NZIER Colour Palette Brand Colours">
      <a:dk1>
        <a:srgbClr val="30353F"/>
      </a:dk1>
      <a:lt1>
        <a:srgbClr val="FFFFFF"/>
      </a:lt1>
      <a:dk2>
        <a:srgbClr val="000000"/>
      </a:dk2>
      <a:lt2>
        <a:srgbClr val="FFFFFF"/>
      </a:lt2>
      <a:accent1>
        <a:srgbClr val="0094C5"/>
      </a:accent1>
      <a:accent2>
        <a:srgbClr val="E5006D"/>
      </a:accent2>
      <a:accent3>
        <a:srgbClr val="2C2276"/>
      </a:accent3>
      <a:accent4>
        <a:srgbClr val="7B1244"/>
      </a:accent4>
      <a:accent5>
        <a:srgbClr val="AFCA0B"/>
      </a:accent5>
      <a:accent6>
        <a:srgbClr val="3AAA35"/>
      </a:accent6>
      <a:hlink>
        <a:srgbClr val="0094C5"/>
      </a:hlink>
      <a:folHlink>
        <a:srgbClr val="9D9D9D"/>
      </a:folHlink>
    </a:clrScheme>
    <a:fontScheme name="MJ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7593EF2C167E104D96E1C6DDA03981100052535EA59D3AAC45B0961778F1E879F1" ma:contentTypeVersion="48" ma:contentTypeDescription="Create a new document." ma:contentTypeScope="" ma:versionID="02ef0554a3c124bca1792fb44c865e2b">
  <xsd:schema xmlns:xsd="http://www.w3.org/2001/XMLSchema" xmlns:xs="http://www.w3.org/2001/XMLSchema" xmlns:p="http://schemas.microsoft.com/office/2006/metadata/properties" xmlns:ns2="4f9c820c-e7e2-444d-97ee-45f2b3485c1d" xmlns:ns3="3c0fc738-43e6-44bc-8831-8ec3c4d0d4da" xmlns:ns4="18866d32-ba0e-43ff-a7a4-c5b2633156d4" xmlns:ns5="5e7812cd-94f3-46ad-9f94-f1b53aec8606" targetNamespace="http://schemas.microsoft.com/office/2006/metadata/properties" ma:root="true" ma:fieldsID="22ed5016f6f994e06f8fefb2d9070904" ns2:_="" ns3:_="" ns4:_="" ns5:_="">
    <xsd:import namespace="4f9c820c-e7e2-444d-97ee-45f2b3485c1d"/>
    <xsd:import namespace="3c0fc738-43e6-44bc-8831-8ec3c4d0d4da"/>
    <xsd:import namespace="18866d32-ba0e-43ff-a7a4-c5b2633156d4"/>
    <xsd:import namespace="5e7812cd-94f3-46ad-9f94-f1b53aec8606"/>
    <xsd:element name="properties">
      <xsd:complexType>
        <xsd:sequence>
          <xsd:element name="documentManagement">
            <xsd:complexType>
              <xsd:all>
                <xsd:element ref="ns2:DocumentType" minOccurs="0"/>
                <xsd:element ref="ns2:Narrative" minOccurs="0"/>
                <xsd:element ref="ns2:RelatedPeople" minOccurs="0"/>
                <xsd:element ref="ns2:Activity" minOccurs="0"/>
                <xsd:element ref="ns2:Subactivity" minOccurs="0"/>
                <xsd:element ref="ns2:Project" minOccurs="0"/>
                <xsd:element ref="ns2:CategoryName" minOccurs="0"/>
                <xsd:element ref="ns2:CategoryValue" minOccurs="0"/>
                <xsd:element ref="ns2:BusinessValue" minOccurs="0"/>
                <xsd:element ref="ns2:Subtype" minOccurs="0"/>
                <xsd:element ref="ns2:FunctionGroup"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Function" minOccurs="0"/>
                <xsd:element ref="ns3:JobNo" minOccurs="0"/>
                <xsd:element ref="ns3:ProposalNo" minOccurs="0"/>
                <xsd:element ref="ns3:Case"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5:SharedWithUsers" minOccurs="0"/>
                <xsd:element ref="ns5:SharedWithDetails" minOccurs="0"/>
                <xsd:element ref="ns4:MediaServiceAutoKeyPoints" minOccurs="0"/>
                <xsd:element ref="ns4:MediaServiceKeyPoints" minOccurs="0"/>
                <xsd:element ref="ns4:lcf76f155ced4ddcb4097134ff3c332f" minOccurs="0"/>
                <xsd:element ref="ns5:TaxCatchAll" minOccurs="0"/>
                <xsd:element ref="ns4:MediaServiceObjectDetectorVersion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literature"/>
          <xsd:enumeration value="MEETING related"/>
          <xsd:enumeration value="MEMO, Filenote, Email"/>
          <xsd:enumeration value="MODEL, Calculation"/>
          <xsd:enumeration value="DATA"/>
          <xsd:enumeration value="PHOTO, Image or Multi-media"/>
          <xsd:enumeration value="PRESENTATION"/>
          <xsd:enumeration value="PUBLICATION, membership"/>
          <xsd:enumeration value="PUBLICATION, PG"/>
          <xsd:enumeration value="REPORT, Client report"/>
          <xsd:enumeration value="PROPOSAL, Memo-style proposal"/>
          <xsd:enumeration value="RULES, Policy, procedure"/>
          <xsd:enumeration value="TEMPLATE, Checklist or Form"/>
        </xsd:restriction>
      </xsd:simpleType>
    </xsd:element>
    <xsd:element name="Narrative" ma:index="9" nillable="true" ma:displayName="Narrative" ma:internalName="Narrative" ma:readOnly="false">
      <xsd:simpleType>
        <xsd:restriction base="dms:Note">
          <xsd:maxLength value="255"/>
        </xsd:restriction>
      </xsd:simpleType>
    </xsd:element>
    <xsd:element name="RelatedPeople" ma:index="10" nillable="true" ma:displayName="Related Peopl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vity" ma:index="11" nillable="true" ma:displayName="Activity" ma:default="NonGovernment" ma:format="Dropdown" ma:internalName="Activity">
      <xsd:simpleType>
        <xsd:union memberTypes="dms:Text">
          <xsd:simpleType>
            <xsd:restriction base="dms:Choice">
              <xsd:enumeration value="NonGovernment"/>
            </xsd:restriction>
          </xsd:simpleType>
        </xsd:union>
      </xsd:simpleType>
    </xsd:element>
    <xsd:element name="Subactivity" ma:index="12" nillable="true" ma:displayName="Subactivity" ma:format="Dropdown" ma:hidden="true" ma:internalName="Subactivity" ma:readOnly="false">
      <xsd:simpleType>
        <xsd:union memberTypes="dms:Text">
          <xsd:simpleType>
            <xsd:restriction base="dms:Choice">
              <xsd:enumeration value="Project management"/>
              <xsd:enumeration value="Data"/>
              <xsd:enumeration value="Modelling"/>
              <xsd:enumeration value="Literature"/>
              <xsd:enumeration value="Draft deliverables"/>
              <xsd:enumeration value="Final deliverables"/>
            </xsd:restriction>
          </xsd:simpleType>
        </xsd:union>
      </xsd:simpleType>
    </xsd:element>
    <xsd:element name="Project" ma:index="13" nillable="true" ma:displayName="Project" ma:hidden="true" ma:internalName="Project" ma:readOnly="false">
      <xsd:simpleType>
        <xsd:restriction base="dms:Text">
          <xsd:maxLength value="255"/>
        </xsd:restriction>
      </xsd:simpleType>
    </xsd:element>
    <xsd:element name="CategoryName" ma:index="14" nillable="true" ma:displayName="Category Name" ma:hidden="true" ma:internalName="CategoryName" ma:readOnly="false">
      <xsd:simpleType>
        <xsd:restriction base="dms:Text">
          <xsd:maxLength value="255"/>
        </xsd:restriction>
      </xsd:simpleType>
    </xsd:element>
    <xsd:element name="CategoryValue" ma:index="15" nillable="true" ma:displayName="Category Value" ma:hidden="true" ma:internalName="CategoryValue" ma:readOnly="false">
      <xsd:simpleType>
        <xsd:restriction base="dms:Text">
          <xsd:maxLength value="255"/>
        </xsd:restriction>
      </xsd:simpleType>
    </xsd:element>
    <xsd:element name="BusinessValue" ma:index="16" nillable="true" ma:displayName="Business Value" ma:default="Normal" ma:format="Dropdown" ma:hidden="true" ma:internalName="BusinessValue" ma:readOnly="false">
      <xsd:simpleType>
        <xsd:restriction base="dms:Choice">
          <xsd:enumeration value="Normal"/>
          <xsd:enumeration value="Long Term Value"/>
          <xsd:enumeration value="Housekeeping"/>
          <xsd:enumeration value="Deleted"/>
        </xsd:restriction>
      </xsd:simpleType>
    </xsd:element>
    <xsd:element name="Subtype" ma:index="17" nillable="true" ma:displayName="Subtype" ma:format="Dropdown" ma:hidden="true" ma:internalName="Subtype" ma:readOnly="false">
      <xsd:simpleType>
        <xsd:restriction base="dms:Choice">
          <xsd:enumeration value="Policy"/>
          <xsd:enumeration value="Process"/>
          <xsd:enumeration value="Procedure"/>
          <xsd:enumeration value="Guideline"/>
          <xsd:enumeration value="Form"/>
          <xsd:enumeration value="Template"/>
          <xsd:enumeration value="Workflow Diagram"/>
        </xsd:restriction>
      </xsd:simpleType>
    </xsd:element>
    <xsd:element name="FunctionGroup" ma:index="18" nillable="true" ma:displayName="Function Group" ma:default="Not yet defined" ma:format="RadioButtons" ma:hidden="true" ma:internalName="FunctionGroup" ma:readOnly="false">
      <xsd:simpleType>
        <xsd:union memberTypes="dms:Text">
          <xsd:simpleType>
            <xsd:restriction base="dms:Choice">
              <xsd:enumeration value="Not yet defined"/>
            </xsd:restriction>
          </xsd:simpleType>
        </xsd:union>
      </xsd:simpleType>
    </xsd:element>
    <xsd:element name="PRAType" ma:index="19" nillable="true" ma:displayName="PRAType" ma:default="Doc" ma:indexed="true" ma:internalName="PRAType">
      <xsd:simpleType>
        <xsd:restriction base="dms:Text">
          <xsd:maxLength value="255"/>
        </xsd:restriction>
      </xsd:simpleType>
    </xsd:element>
    <xsd:element name="PRADate1" ma:index="20" nillable="true" ma:displayName="PRADate1" ma:format="DateOnly" ma:hidden="true" ma:internalName="PRADate1" ma:readOnly="false">
      <xsd:simpleType>
        <xsd:restriction base="dms:DateTime"/>
      </xsd:simpleType>
    </xsd:element>
    <xsd:element name="PRADate2" ma:index="21" nillable="true" ma:displayName="PRADate2" ma:format="DateOnly" ma:hidden="true" ma:internalName="PRADate2" ma:readOnly="false">
      <xsd:simpleType>
        <xsd:restriction base="dms:DateTime"/>
      </xsd:simpleType>
    </xsd:element>
    <xsd:element name="PRADate3" ma:index="22" nillable="true" ma:displayName="PRADate3" ma:format="DateOnly" ma:hidden="true" ma:internalName="PRADate3" ma:readOnly="false">
      <xsd:simpleType>
        <xsd:restriction base="dms:DateTime"/>
      </xsd:simpleType>
    </xsd:element>
    <xsd:element name="PRADateDisposal" ma:index="23" nillable="true" ma:displayName="PRADateDisposal" ma:format="DateOnly" ma:hidden="true" ma:internalName="PRADateDisposal" ma:readOnly="false">
      <xsd:simpleType>
        <xsd:restriction base="dms:DateTime"/>
      </xsd:simpleType>
    </xsd:element>
    <xsd:element name="PRADateTrigger" ma:index="24" nillable="true" ma:displayName="PRADateTrigger" ma:format="DateOnly" ma:hidden="true" ma:internalName="PRADateTrigger" ma:readOnly="false">
      <xsd:simpleType>
        <xsd:restriction base="dms:DateTime"/>
      </xsd:simpleType>
    </xsd:element>
    <xsd:element name="PRAText1" ma:index="25" nillable="true" ma:displayName="PRAText1" ma:hidden="true" ma:internalName="PRAText1" ma:readOnly="false">
      <xsd:simpleType>
        <xsd:restriction base="dms:Text">
          <xsd:maxLength value="255"/>
        </xsd:restriction>
      </xsd:simpleType>
    </xsd:element>
    <xsd:element name="PRAText2" ma:index="26" nillable="true" ma:displayName="PRAText2" ma:hidden="true" ma:internalName="PRAText2" ma:readOnly="false">
      <xsd:simpleType>
        <xsd:restriction base="dms:Text">
          <xsd:maxLength value="255"/>
        </xsd:restriction>
      </xsd:simpleType>
    </xsd:element>
    <xsd:element name="PRAText3" ma:index="27" nillable="true" ma:displayName="PRAText3" ma:hidden="true" ma:internalName="PRAText3" ma:readOnly="false">
      <xsd:simpleType>
        <xsd:restriction base="dms:Text">
          <xsd:maxLength value="255"/>
        </xsd:restriction>
      </xsd:simpleType>
    </xsd:element>
    <xsd:element name="PRAText4" ma:index="28" nillable="true" ma:displayName="PRAText4" ma:hidden="true" ma:internalName="PRAText4" ma:readOnly="false">
      <xsd:simpleType>
        <xsd:restriction base="dms:Text">
          <xsd:maxLength value="255"/>
        </xsd:restriction>
      </xsd:simpleType>
    </xsd:element>
    <xsd:element name="PRAText5" ma:index="29" nillable="true" ma:displayName="PRAText5" ma:hidden="true" ma:internalName="PRAText5" ma:readOnly="false">
      <xsd:simpleType>
        <xsd:restriction base="dms:Text">
          <xsd:maxLength value="255"/>
        </xsd:restriction>
      </xsd:simpleType>
    </xsd:element>
    <xsd:element name="AggregationStatus" ma:index="30"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Function" ma:index="31" nillable="true" ma:displayName="Function" ma:default="Projects" ma:format="RadioButtons" ma:hidden="true" ma:internalName="Function" ma:readOnly="false">
      <xsd:simpleType>
        <xsd:union memberTypes="dms:Text">
          <xsd:simpleType>
            <xsd:restriction base="dms:Choice">
              <xsd:enumeration value="Project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c0fc738-43e6-44bc-8831-8ec3c4d0d4da" elementFormDefault="qualified">
    <xsd:import namespace="http://schemas.microsoft.com/office/2006/documentManagement/types"/>
    <xsd:import namespace="http://schemas.microsoft.com/office/infopath/2007/PartnerControls"/>
    <xsd:element name="JobNo" ma:index="32" nillable="true" ma:displayName="Job Number" ma:hidden="true" ma:internalName="JobNo" ma:readOnly="false">
      <xsd:simpleType>
        <xsd:restriction base="dms:Text">
          <xsd:maxLength value="255"/>
        </xsd:restriction>
      </xsd:simpleType>
    </xsd:element>
    <xsd:element name="ProposalNo" ma:index="33" nillable="true" ma:displayName="Proposal Number" ma:hidden="true" ma:internalName="ProposalNo" ma:readOnly="false">
      <xsd:simpleType>
        <xsd:restriction base="dms:Text">
          <xsd:maxLength value="255"/>
        </xsd:restriction>
      </xsd:simpleType>
    </xsd:element>
    <xsd:element name="Case" ma:index="34" nillable="true" ma:displayName="Client Name" ma:hidden="true" ma:internalName="Cas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866d32-ba0e-43ff-a7a4-c5b2633156d4"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f437effa-7c25-4ff4-a1f2-fa53010363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812cd-94f3-46ad-9f94-f1b53aec8606" elementFormDefault="qualified">
    <xsd:import namespace="http://schemas.microsoft.com/office/2006/documentManagement/types"/>
    <xsd:import namespace="http://schemas.microsoft.com/office/infopath/2007/PartnerControls"/>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element name="TaxCatchAll" ma:index="49" nillable="true" ma:displayName="Taxonomy Catch All Column" ma:hidden="true" ma:list="{94ad1281-ce62-41ac-b046-410e312a3d14}" ma:internalName="TaxCatchAll" ma:showField="CatchAllData" ma:web="5e7812cd-94f3-46ad-9f94-f1b53aec8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Phase 2</Subactivity>
    <BusinessValue xmlns="4f9c820c-e7e2-444d-97ee-45f2b3485c1d">Normal</BusinessValue>
    <PRADateDisposal xmlns="4f9c820c-e7e2-444d-97ee-45f2b3485c1d" xsi:nil="true"/>
    <PRADate3 xmlns="4f9c820c-e7e2-444d-97ee-45f2b3485c1d" xsi:nil="true"/>
    <PRAText5 xmlns="4f9c820c-e7e2-444d-97ee-45f2b3485c1d" xsi:nil="true"/>
    <Activity xmlns="4f9c820c-e7e2-444d-97ee-45f2b3485c1d">NonGovernment</Activity>
    <AggregationStatus xmlns="4f9c820c-e7e2-444d-97ee-45f2b3485c1d">Normal</AggregationStatus>
    <CategoryValue xmlns="4f9c820c-e7e2-444d-97ee-45f2b3485c1d">Reports</CategoryValue>
    <Subtype xmlns="4f9c820c-e7e2-444d-97ee-45f2b3485c1d" xsi:nil="true"/>
    <PRADate2 xmlns="4f9c820c-e7e2-444d-97ee-45f2b3485c1d" xsi:nil="true"/>
    <PRAText1 xmlns="4f9c820c-e7e2-444d-97ee-45f2b3485c1d" xsi:nil="true"/>
    <PRAText4 xmlns="4f9c820c-e7e2-444d-97ee-45f2b3485c1d" xsi:nil="true"/>
    <Project xmlns="4f9c820c-e7e2-444d-97ee-45f2b3485c1d">Alcohol levy evaluation</Project>
    <FunctionGroup xmlns="4f9c820c-e7e2-444d-97ee-45f2b3485c1d">Not yet defined</FunctionGroup>
    <Function xmlns="4f9c820c-e7e2-444d-97ee-45f2b3485c1d">Projects</Function>
    <RelatedPeople xmlns="4f9c820c-e7e2-444d-97ee-45f2b3485c1d">
      <UserInfo>
        <DisplayName/>
        <AccountId xsi:nil="true"/>
        <AccountType/>
      </UserInfo>
    </RelatedPeople>
    <PRAType xmlns="4f9c820c-e7e2-444d-97ee-45f2b3485c1d">Doc</PRAType>
    <PRADate1 xmlns="4f9c820c-e7e2-444d-97ee-45f2b3485c1d" xsi:nil="true"/>
    <DocumentType xmlns="4f9c820c-e7e2-444d-97ee-45f2b3485c1d">REPORT, Client report</DocumentType>
    <PRAText3 xmlns="4f9c820c-e7e2-444d-97ee-45f2b3485c1d" xsi:nil="true"/>
    <Narrative xmlns="4f9c820c-e7e2-444d-97ee-45f2b3485c1d">Naming convention: NZIER report to (client), Title of report, date</Narrative>
    <CategoryName xmlns="4f9c820c-e7e2-444d-97ee-45f2b3485c1d">Client Work</CategoryName>
    <PRADateTrigger xmlns="4f9c820c-e7e2-444d-97ee-45f2b3485c1d" xsi:nil="true"/>
    <PRAText2 xmlns="4f9c820c-e7e2-444d-97ee-45f2b3485c1d" xsi:nil="true"/>
    <Case xmlns="3c0fc738-43e6-44bc-8831-8ec3c4d0d4da">Allen and Clarke</Case>
    <lcf76f155ced4ddcb4097134ff3c332f xmlns="18866d32-ba0e-43ff-a7a4-c5b2633156d4">
      <Terms xmlns="http://schemas.microsoft.com/office/infopath/2007/PartnerControls"/>
    </lcf76f155ced4ddcb4097134ff3c332f>
    <ProposalNo xmlns="3c0fc738-43e6-44bc-8831-8ec3c4d0d4da" xsi:nil="true"/>
    <TaxCatchAll xmlns="5e7812cd-94f3-46ad-9f94-f1b53aec8606" xsi:nil="true"/>
    <JobNo xmlns="3c0fc738-43e6-44bc-8831-8ec3c4d0d4da">15049</JobNo>
    <SharedWithUsers xmlns="5e7812cd-94f3-46ad-9f94-f1b53aec8606">
      <UserInfo>
        <DisplayName>Daniel Hamill</DisplayName>
        <AccountId>1073</AccountId>
        <AccountType/>
      </UserInfo>
      <UserInfo>
        <DisplayName>Sarah Spring</DisplayName>
        <AccountId>16</AccountId>
        <AccountType/>
      </UserInfo>
      <UserInfo>
        <DisplayName>Sarah Hogan</DisplayName>
        <AccountId>168</AccountId>
        <AccountType/>
      </UserInfo>
      <UserInfo>
        <DisplayName>Todd Krieble</DisplayName>
        <AccountId>37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B2978-F8D0-4BCA-9C34-989EA720450B}">
  <ds:schemaRefs>
    <ds:schemaRef ds:uri="http://schemas.microsoft.com/sharepoint/v3/contenttype/forms"/>
  </ds:schemaRefs>
</ds:datastoreItem>
</file>

<file path=customXml/itemProps2.xml><?xml version="1.0" encoding="utf-8"?>
<ds:datastoreItem xmlns:ds="http://schemas.openxmlformats.org/officeDocument/2006/customXml" ds:itemID="{1D474812-C657-4F22-91DC-2BB6F4343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3c0fc738-43e6-44bc-8831-8ec3c4d0d4da"/>
    <ds:schemaRef ds:uri="18866d32-ba0e-43ff-a7a4-c5b2633156d4"/>
    <ds:schemaRef ds:uri="5e7812cd-94f3-46ad-9f94-f1b53aec8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7E32D-BF47-4423-85F6-361EFB100BE1}">
  <ds:schemaRefs>
    <ds:schemaRef ds:uri="http://schemas.microsoft.com/office/2006/metadata/properties"/>
    <ds:schemaRef ds:uri="http://schemas.microsoft.com/office/infopath/2007/PartnerControls"/>
    <ds:schemaRef ds:uri="4f9c820c-e7e2-444d-97ee-45f2b3485c1d"/>
    <ds:schemaRef ds:uri="3c0fc738-43e6-44bc-8831-8ec3c4d0d4da"/>
    <ds:schemaRef ds:uri="18866d32-ba0e-43ff-a7a4-c5b2633156d4"/>
    <ds:schemaRef ds:uri="5e7812cd-94f3-46ad-9f94-f1b53aec8606"/>
  </ds:schemaRefs>
</ds:datastoreItem>
</file>

<file path=customXml/itemProps4.xml><?xml version="1.0" encoding="utf-8"?>
<ds:datastoreItem xmlns:ds="http://schemas.openxmlformats.org/officeDocument/2006/customXml" ds:itemID="{57CB268C-2DD7-48B1-AC1C-6430B684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138</Pages>
  <Words>83852</Words>
  <Characters>477961</Characters>
  <Application>Microsoft Office Word</Application>
  <DocSecurity>0</DocSecurity>
  <Lines>3983</Lines>
  <Paragraphs>1121</Paragraphs>
  <ScaleCrop>false</ScaleCrop>
  <HeadingPairs>
    <vt:vector size="2" baseType="variant">
      <vt:variant>
        <vt:lpstr>Title</vt:lpstr>
      </vt:variant>
      <vt:variant>
        <vt:i4>1</vt:i4>
      </vt:variant>
    </vt:vector>
  </HeadingPairs>
  <TitlesOfParts>
    <vt:vector size="1" baseType="lpstr">
      <vt:lpstr>Costs of alcohol harms in New Zealand: Updating the evidence with recent research</vt:lpstr>
    </vt:vector>
  </TitlesOfParts>
  <Company/>
  <LinksUpToDate>false</LinksUpToDate>
  <CharactersWithSpaces>560692</CharactersWithSpaces>
  <SharedDoc>false</SharedDoc>
  <HLinks>
    <vt:vector size="900" baseType="variant">
      <vt:variant>
        <vt:i4>1900594</vt:i4>
      </vt:variant>
      <vt:variant>
        <vt:i4>902</vt:i4>
      </vt:variant>
      <vt:variant>
        <vt:i4>0</vt:i4>
      </vt:variant>
      <vt:variant>
        <vt:i4>5</vt:i4>
      </vt:variant>
      <vt:variant>
        <vt:lpwstr/>
      </vt:variant>
      <vt:variant>
        <vt:lpwstr>_Toc160622185</vt:lpwstr>
      </vt:variant>
      <vt:variant>
        <vt:i4>1900594</vt:i4>
      </vt:variant>
      <vt:variant>
        <vt:i4>896</vt:i4>
      </vt:variant>
      <vt:variant>
        <vt:i4>0</vt:i4>
      </vt:variant>
      <vt:variant>
        <vt:i4>5</vt:i4>
      </vt:variant>
      <vt:variant>
        <vt:lpwstr/>
      </vt:variant>
      <vt:variant>
        <vt:lpwstr>_Toc160622184</vt:lpwstr>
      </vt:variant>
      <vt:variant>
        <vt:i4>1900594</vt:i4>
      </vt:variant>
      <vt:variant>
        <vt:i4>890</vt:i4>
      </vt:variant>
      <vt:variant>
        <vt:i4>0</vt:i4>
      </vt:variant>
      <vt:variant>
        <vt:i4>5</vt:i4>
      </vt:variant>
      <vt:variant>
        <vt:lpwstr/>
      </vt:variant>
      <vt:variant>
        <vt:lpwstr>_Toc160622183</vt:lpwstr>
      </vt:variant>
      <vt:variant>
        <vt:i4>1900594</vt:i4>
      </vt:variant>
      <vt:variant>
        <vt:i4>884</vt:i4>
      </vt:variant>
      <vt:variant>
        <vt:i4>0</vt:i4>
      </vt:variant>
      <vt:variant>
        <vt:i4>5</vt:i4>
      </vt:variant>
      <vt:variant>
        <vt:lpwstr/>
      </vt:variant>
      <vt:variant>
        <vt:lpwstr>_Toc160622182</vt:lpwstr>
      </vt:variant>
      <vt:variant>
        <vt:i4>1900594</vt:i4>
      </vt:variant>
      <vt:variant>
        <vt:i4>878</vt:i4>
      </vt:variant>
      <vt:variant>
        <vt:i4>0</vt:i4>
      </vt:variant>
      <vt:variant>
        <vt:i4>5</vt:i4>
      </vt:variant>
      <vt:variant>
        <vt:lpwstr/>
      </vt:variant>
      <vt:variant>
        <vt:lpwstr>_Toc160622181</vt:lpwstr>
      </vt:variant>
      <vt:variant>
        <vt:i4>1900594</vt:i4>
      </vt:variant>
      <vt:variant>
        <vt:i4>872</vt:i4>
      </vt:variant>
      <vt:variant>
        <vt:i4>0</vt:i4>
      </vt:variant>
      <vt:variant>
        <vt:i4>5</vt:i4>
      </vt:variant>
      <vt:variant>
        <vt:lpwstr/>
      </vt:variant>
      <vt:variant>
        <vt:lpwstr>_Toc160622180</vt:lpwstr>
      </vt:variant>
      <vt:variant>
        <vt:i4>1179698</vt:i4>
      </vt:variant>
      <vt:variant>
        <vt:i4>866</vt:i4>
      </vt:variant>
      <vt:variant>
        <vt:i4>0</vt:i4>
      </vt:variant>
      <vt:variant>
        <vt:i4>5</vt:i4>
      </vt:variant>
      <vt:variant>
        <vt:lpwstr/>
      </vt:variant>
      <vt:variant>
        <vt:lpwstr>_Toc160622179</vt:lpwstr>
      </vt:variant>
      <vt:variant>
        <vt:i4>1179698</vt:i4>
      </vt:variant>
      <vt:variant>
        <vt:i4>860</vt:i4>
      </vt:variant>
      <vt:variant>
        <vt:i4>0</vt:i4>
      </vt:variant>
      <vt:variant>
        <vt:i4>5</vt:i4>
      </vt:variant>
      <vt:variant>
        <vt:lpwstr/>
      </vt:variant>
      <vt:variant>
        <vt:lpwstr>_Toc160622178</vt:lpwstr>
      </vt:variant>
      <vt:variant>
        <vt:i4>1179698</vt:i4>
      </vt:variant>
      <vt:variant>
        <vt:i4>854</vt:i4>
      </vt:variant>
      <vt:variant>
        <vt:i4>0</vt:i4>
      </vt:variant>
      <vt:variant>
        <vt:i4>5</vt:i4>
      </vt:variant>
      <vt:variant>
        <vt:lpwstr/>
      </vt:variant>
      <vt:variant>
        <vt:lpwstr>_Toc160622177</vt:lpwstr>
      </vt:variant>
      <vt:variant>
        <vt:i4>1179698</vt:i4>
      </vt:variant>
      <vt:variant>
        <vt:i4>848</vt:i4>
      </vt:variant>
      <vt:variant>
        <vt:i4>0</vt:i4>
      </vt:variant>
      <vt:variant>
        <vt:i4>5</vt:i4>
      </vt:variant>
      <vt:variant>
        <vt:lpwstr/>
      </vt:variant>
      <vt:variant>
        <vt:lpwstr>_Toc160622176</vt:lpwstr>
      </vt:variant>
      <vt:variant>
        <vt:i4>1179698</vt:i4>
      </vt:variant>
      <vt:variant>
        <vt:i4>842</vt:i4>
      </vt:variant>
      <vt:variant>
        <vt:i4>0</vt:i4>
      </vt:variant>
      <vt:variant>
        <vt:i4>5</vt:i4>
      </vt:variant>
      <vt:variant>
        <vt:lpwstr/>
      </vt:variant>
      <vt:variant>
        <vt:lpwstr>_Toc160622175</vt:lpwstr>
      </vt:variant>
      <vt:variant>
        <vt:i4>1179698</vt:i4>
      </vt:variant>
      <vt:variant>
        <vt:i4>836</vt:i4>
      </vt:variant>
      <vt:variant>
        <vt:i4>0</vt:i4>
      </vt:variant>
      <vt:variant>
        <vt:i4>5</vt:i4>
      </vt:variant>
      <vt:variant>
        <vt:lpwstr/>
      </vt:variant>
      <vt:variant>
        <vt:lpwstr>_Toc160622174</vt:lpwstr>
      </vt:variant>
      <vt:variant>
        <vt:i4>1179698</vt:i4>
      </vt:variant>
      <vt:variant>
        <vt:i4>830</vt:i4>
      </vt:variant>
      <vt:variant>
        <vt:i4>0</vt:i4>
      </vt:variant>
      <vt:variant>
        <vt:i4>5</vt:i4>
      </vt:variant>
      <vt:variant>
        <vt:lpwstr/>
      </vt:variant>
      <vt:variant>
        <vt:lpwstr>_Toc160622173</vt:lpwstr>
      </vt:variant>
      <vt:variant>
        <vt:i4>1179698</vt:i4>
      </vt:variant>
      <vt:variant>
        <vt:i4>824</vt:i4>
      </vt:variant>
      <vt:variant>
        <vt:i4>0</vt:i4>
      </vt:variant>
      <vt:variant>
        <vt:i4>5</vt:i4>
      </vt:variant>
      <vt:variant>
        <vt:lpwstr/>
      </vt:variant>
      <vt:variant>
        <vt:lpwstr>_Toc160622172</vt:lpwstr>
      </vt:variant>
      <vt:variant>
        <vt:i4>1179698</vt:i4>
      </vt:variant>
      <vt:variant>
        <vt:i4>818</vt:i4>
      </vt:variant>
      <vt:variant>
        <vt:i4>0</vt:i4>
      </vt:variant>
      <vt:variant>
        <vt:i4>5</vt:i4>
      </vt:variant>
      <vt:variant>
        <vt:lpwstr/>
      </vt:variant>
      <vt:variant>
        <vt:lpwstr>_Toc160622171</vt:lpwstr>
      </vt:variant>
      <vt:variant>
        <vt:i4>1179698</vt:i4>
      </vt:variant>
      <vt:variant>
        <vt:i4>812</vt:i4>
      </vt:variant>
      <vt:variant>
        <vt:i4>0</vt:i4>
      </vt:variant>
      <vt:variant>
        <vt:i4>5</vt:i4>
      </vt:variant>
      <vt:variant>
        <vt:lpwstr/>
      </vt:variant>
      <vt:variant>
        <vt:lpwstr>_Toc160622170</vt:lpwstr>
      </vt:variant>
      <vt:variant>
        <vt:i4>1245234</vt:i4>
      </vt:variant>
      <vt:variant>
        <vt:i4>806</vt:i4>
      </vt:variant>
      <vt:variant>
        <vt:i4>0</vt:i4>
      </vt:variant>
      <vt:variant>
        <vt:i4>5</vt:i4>
      </vt:variant>
      <vt:variant>
        <vt:lpwstr/>
      </vt:variant>
      <vt:variant>
        <vt:lpwstr>_Toc160622169</vt:lpwstr>
      </vt:variant>
      <vt:variant>
        <vt:i4>1245234</vt:i4>
      </vt:variant>
      <vt:variant>
        <vt:i4>800</vt:i4>
      </vt:variant>
      <vt:variant>
        <vt:i4>0</vt:i4>
      </vt:variant>
      <vt:variant>
        <vt:i4>5</vt:i4>
      </vt:variant>
      <vt:variant>
        <vt:lpwstr/>
      </vt:variant>
      <vt:variant>
        <vt:lpwstr>_Toc160622168</vt:lpwstr>
      </vt:variant>
      <vt:variant>
        <vt:i4>1245234</vt:i4>
      </vt:variant>
      <vt:variant>
        <vt:i4>794</vt:i4>
      </vt:variant>
      <vt:variant>
        <vt:i4>0</vt:i4>
      </vt:variant>
      <vt:variant>
        <vt:i4>5</vt:i4>
      </vt:variant>
      <vt:variant>
        <vt:lpwstr/>
      </vt:variant>
      <vt:variant>
        <vt:lpwstr>_Toc160622167</vt:lpwstr>
      </vt:variant>
      <vt:variant>
        <vt:i4>1245234</vt:i4>
      </vt:variant>
      <vt:variant>
        <vt:i4>788</vt:i4>
      </vt:variant>
      <vt:variant>
        <vt:i4>0</vt:i4>
      </vt:variant>
      <vt:variant>
        <vt:i4>5</vt:i4>
      </vt:variant>
      <vt:variant>
        <vt:lpwstr/>
      </vt:variant>
      <vt:variant>
        <vt:lpwstr>_Toc160622166</vt:lpwstr>
      </vt:variant>
      <vt:variant>
        <vt:i4>1245234</vt:i4>
      </vt:variant>
      <vt:variant>
        <vt:i4>782</vt:i4>
      </vt:variant>
      <vt:variant>
        <vt:i4>0</vt:i4>
      </vt:variant>
      <vt:variant>
        <vt:i4>5</vt:i4>
      </vt:variant>
      <vt:variant>
        <vt:lpwstr/>
      </vt:variant>
      <vt:variant>
        <vt:lpwstr>_Toc160622165</vt:lpwstr>
      </vt:variant>
      <vt:variant>
        <vt:i4>1245234</vt:i4>
      </vt:variant>
      <vt:variant>
        <vt:i4>776</vt:i4>
      </vt:variant>
      <vt:variant>
        <vt:i4>0</vt:i4>
      </vt:variant>
      <vt:variant>
        <vt:i4>5</vt:i4>
      </vt:variant>
      <vt:variant>
        <vt:lpwstr/>
      </vt:variant>
      <vt:variant>
        <vt:lpwstr>_Toc160622164</vt:lpwstr>
      </vt:variant>
      <vt:variant>
        <vt:i4>1245234</vt:i4>
      </vt:variant>
      <vt:variant>
        <vt:i4>770</vt:i4>
      </vt:variant>
      <vt:variant>
        <vt:i4>0</vt:i4>
      </vt:variant>
      <vt:variant>
        <vt:i4>5</vt:i4>
      </vt:variant>
      <vt:variant>
        <vt:lpwstr/>
      </vt:variant>
      <vt:variant>
        <vt:lpwstr>_Toc160622163</vt:lpwstr>
      </vt:variant>
      <vt:variant>
        <vt:i4>1245234</vt:i4>
      </vt:variant>
      <vt:variant>
        <vt:i4>764</vt:i4>
      </vt:variant>
      <vt:variant>
        <vt:i4>0</vt:i4>
      </vt:variant>
      <vt:variant>
        <vt:i4>5</vt:i4>
      </vt:variant>
      <vt:variant>
        <vt:lpwstr/>
      </vt:variant>
      <vt:variant>
        <vt:lpwstr>_Toc160622162</vt:lpwstr>
      </vt:variant>
      <vt:variant>
        <vt:i4>1245234</vt:i4>
      </vt:variant>
      <vt:variant>
        <vt:i4>758</vt:i4>
      </vt:variant>
      <vt:variant>
        <vt:i4>0</vt:i4>
      </vt:variant>
      <vt:variant>
        <vt:i4>5</vt:i4>
      </vt:variant>
      <vt:variant>
        <vt:lpwstr/>
      </vt:variant>
      <vt:variant>
        <vt:lpwstr>_Toc160622161</vt:lpwstr>
      </vt:variant>
      <vt:variant>
        <vt:i4>1245234</vt:i4>
      </vt:variant>
      <vt:variant>
        <vt:i4>752</vt:i4>
      </vt:variant>
      <vt:variant>
        <vt:i4>0</vt:i4>
      </vt:variant>
      <vt:variant>
        <vt:i4>5</vt:i4>
      </vt:variant>
      <vt:variant>
        <vt:lpwstr/>
      </vt:variant>
      <vt:variant>
        <vt:lpwstr>_Toc160622160</vt:lpwstr>
      </vt:variant>
      <vt:variant>
        <vt:i4>1048626</vt:i4>
      </vt:variant>
      <vt:variant>
        <vt:i4>746</vt:i4>
      </vt:variant>
      <vt:variant>
        <vt:i4>0</vt:i4>
      </vt:variant>
      <vt:variant>
        <vt:i4>5</vt:i4>
      </vt:variant>
      <vt:variant>
        <vt:lpwstr/>
      </vt:variant>
      <vt:variant>
        <vt:lpwstr>_Toc160622159</vt:lpwstr>
      </vt:variant>
      <vt:variant>
        <vt:i4>1048626</vt:i4>
      </vt:variant>
      <vt:variant>
        <vt:i4>740</vt:i4>
      </vt:variant>
      <vt:variant>
        <vt:i4>0</vt:i4>
      </vt:variant>
      <vt:variant>
        <vt:i4>5</vt:i4>
      </vt:variant>
      <vt:variant>
        <vt:lpwstr/>
      </vt:variant>
      <vt:variant>
        <vt:lpwstr>_Toc160622158</vt:lpwstr>
      </vt:variant>
      <vt:variant>
        <vt:i4>1048626</vt:i4>
      </vt:variant>
      <vt:variant>
        <vt:i4>734</vt:i4>
      </vt:variant>
      <vt:variant>
        <vt:i4>0</vt:i4>
      </vt:variant>
      <vt:variant>
        <vt:i4>5</vt:i4>
      </vt:variant>
      <vt:variant>
        <vt:lpwstr/>
      </vt:variant>
      <vt:variant>
        <vt:lpwstr>_Toc160622157</vt:lpwstr>
      </vt:variant>
      <vt:variant>
        <vt:i4>1048626</vt:i4>
      </vt:variant>
      <vt:variant>
        <vt:i4>728</vt:i4>
      </vt:variant>
      <vt:variant>
        <vt:i4>0</vt:i4>
      </vt:variant>
      <vt:variant>
        <vt:i4>5</vt:i4>
      </vt:variant>
      <vt:variant>
        <vt:lpwstr/>
      </vt:variant>
      <vt:variant>
        <vt:lpwstr>_Toc160622156</vt:lpwstr>
      </vt:variant>
      <vt:variant>
        <vt:i4>1048626</vt:i4>
      </vt:variant>
      <vt:variant>
        <vt:i4>722</vt:i4>
      </vt:variant>
      <vt:variant>
        <vt:i4>0</vt:i4>
      </vt:variant>
      <vt:variant>
        <vt:i4>5</vt:i4>
      </vt:variant>
      <vt:variant>
        <vt:lpwstr/>
      </vt:variant>
      <vt:variant>
        <vt:lpwstr>_Toc160622155</vt:lpwstr>
      </vt:variant>
      <vt:variant>
        <vt:i4>1048626</vt:i4>
      </vt:variant>
      <vt:variant>
        <vt:i4>716</vt:i4>
      </vt:variant>
      <vt:variant>
        <vt:i4>0</vt:i4>
      </vt:variant>
      <vt:variant>
        <vt:i4>5</vt:i4>
      </vt:variant>
      <vt:variant>
        <vt:lpwstr/>
      </vt:variant>
      <vt:variant>
        <vt:lpwstr>_Toc160622154</vt:lpwstr>
      </vt:variant>
      <vt:variant>
        <vt:i4>1048626</vt:i4>
      </vt:variant>
      <vt:variant>
        <vt:i4>710</vt:i4>
      </vt:variant>
      <vt:variant>
        <vt:i4>0</vt:i4>
      </vt:variant>
      <vt:variant>
        <vt:i4>5</vt:i4>
      </vt:variant>
      <vt:variant>
        <vt:lpwstr/>
      </vt:variant>
      <vt:variant>
        <vt:lpwstr>_Toc160622153</vt:lpwstr>
      </vt:variant>
      <vt:variant>
        <vt:i4>1048626</vt:i4>
      </vt:variant>
      <vt:variant>
        <vt:i4>704</vt:i4>
      </vt:variant>
      <vt:variant>
        <vt:i4>0</vt:i4>
      </vt:variant>
      <vt:variant>
        <vt:i4>5</vt:i4>
      </vt:variant>
      <vt:variant>
        <vt:lpwstr/>
      </vt:variant>
      <vt:variant>
        <vt:lpwstr>_Toc160622152</vt:lpwstr>
      </vt:variant>
      <vt:variant>
        <vt:i4>1048626</vt:i4>
      </vt:variant>
      <vt:variant>
        <vt:i4>698</vt:i4>
      </vt:variant>
      <vt:variant>
        <vt:i4>0</vt:i4>
      </vt:variant>
      <vt:variant>
        <vt:i4>5</vt:i4>
      </vt:variant>
      <vt:variant>
        <vt:lpwstr/>
      </vt:variant>
      <vt:variant>
        <vt:lpwstr>_Toc160622151</vt:lpwstr>
      </vt:variant>
      <vt:variant>
        <vt:i4>1048626</vt:i4>
      </vt:variant>
      <vt:variant>
        <vt:i4>692</vt:i4>
      </vt:variant>
      <vt:variant>
        <vt:i4>0</vt:i4>
      </vt:variant>
      <vt:variant>
        <vt:i4>5</vt:i4>
      </vt:variant>
      <vt:variant>
        <vt:lpwstr/>
      </vt:variant>
      <vt:variant>
        <vt:lpwstr>_Toc160622150</vt:lpwstr>
      </vt:variant>
      <vt:variant>
        <vt:i4>1114162</vt:i4>
      </vt:variant>
      <vt:variant>
        <vt:i4>686</vt:i4>
      </vt:variant>
      <vt:variant>
        <vt:i4>0</vt:i4>
      </vt:variant>
      <vt:variant>
        <vt:i4>5</vt:i4>
      </vt:variant>
      <vt:variant>
        <vt:lpwstr/>
      </vt:variant>
      <vt:variant>
        <vt:lpwstr>_Toc160622149</vt:lpwstr>
      </vt:variant>
      <vt:variant>
        <vt:i4>1114162</vt:i4>
      </vt:variant>
      <vt:variant>
        <vt:i4>680</vt:i4>
      </vt:variant>
      <vt:variant>
        <vt:i4>0</vt:i4>
      </vt:variant>
      <vt:variant>
        <vt:i4>5</vt:i4>
      </vt:variant>
      <vt:variant>
        <vt:lpwstr/>
      </vt:variant>
      <vt:variant>
        <vt:lpwstr>_Toc160622148</vt:lpwstr>
      </vt:variant>
      <vt:variant>
        <vt:i4>1114162</vt:i4>
      </vt:variant>
      <vt:variant>
        <vt:i4>674</vt:i4>
      </vt:variant>
      <vt:variant>
        <vt:i4>0</vt:i4>
      </vt:variant>
      <vt:variant>
        <vt:i4>5</vt:i4>
      </vt:variant>
      <vt:variant>
        <vt:lpwstr/>
      </vt:variant>
      <vt:variant>
        <vt:lpwstr>_Toc160622147</vt:lpwstr>
      </vt:variant>
      <vt:variant>
        <vt:i4>1114162</vt:i4>
      </vt:variant>
      <vt:variant>
        <vt:i4>668</vt:i4>
      </vt:variant>
      <vt:variant>
        <vt:i4>0</vt:i4>
      </vt:variant>
      <vt:variant>
        <vt:i4>5</vt:i4>
      </vt:variant>
      <vt:variant>
        <vt:lpwstr/>
      </vt:variant>
      <vt:variant>
        <vt:lpwstr>_Toc160622146</vt:lpwstr>
      </vt:variant>
      <vt:variant>
        <vt:i4>1114162</vt:i4>
      </vt:variant>
      <vt:variant>
        <vt:i4>662</vt:i4>
      </vt:variant>
      <vt:variant>
        <vt:i4>0</vt:i4>
      </vt:variant>
      <vt:variant>
        <vt:i4>5</vt:i4>
      </vt:variant>
      <vt:variant>
        <vt:lpwstr/>
      </vt:variant>
      <vt:variant>
        <vt:lpwstr>_Toc160622145</vt:lpwstr>
      </vt:variant>
      <vt:variant>
        <vt:i4>1114162</vt:i4>
      </vt:variant>
      <vt:variant>
        <vt:i4>656</vt:i4>
      </vt:variant>
      <vt:variant>
        <vt:i4>0</vt:i4>
      </vt:variant>
      <vt:variant>
        <vt:i4>5</vt:i4>
      </vt:variant>
      <vt:variant>
        <vt:lpwstr/>
      </vt:variant>
      <vt:variant>
        <vt:lpwstr>_Toc160622144</vt:lpwstr>
      </vt:variant>
      <vt:variant>
        <vt:i4>1114162</vt:i4>
      </vt:variant>
      <vt:variant>
        <vt:i4>650</vt:i4>
      </vt:variant>
      <vt:variant>
        <vt:i4>0</vt:i4>
      </vt:variant>
      <vt:variant>
        <vt:i4>5</vt:i4>
      </vt:variant>
      <vt:variant>
        <vt:lpwstr/>
      </vt:variant>
      <vt:variant>
        <vt:lpwstr>_Toc160622143</vt:lpwstr>
      </vt:variant>
      <vt:variant>
        <vt:i4>1114162</vt:i4>
      </vt:variant>
      <vt:variant>
        <vt:i4>644</vt:i4>
      </vt:variant>
      <vt:variant>
        <vt:i4>0</vt:i4>
      </vt:variant>
      <vt:variant>
        <vt:i4>5</vt:i4>
      </vt:variant>
      <vt:variant>
        <vt:lpwstr/>
      </vt:variant>
      <vt:variant>
        <vt:lpwstr>_Toc160622142</vt:lpwstr>
      </vt:variant>
      <vt:variant>
        <vt:i4>1114162</vt:i4>
      </vt:variant>
      <vt:variant>
        <vt:i4>638</vt:i4>
      </vt:variant>
      <vt:variant>
        <vt:i4>0</vt:i4>
      </vt:variant>
      <vt:variant>
        <vt:i4>5</vt:i4>
      </vt:variant>
      <vt:variant>
        <vt:lpwstr/>
      </vt:variant>
      <vt:variant>
        <vt:lpwstr>_Toc160622141</vt:lpwstr>
      </vt:variant>
      <vt:variant>
        <vt:i4>1114162</vt:i4>
      </vt:variant>
      <vt:variant>
        <vt:i4>632</vt:i4>
      </vt:variant>
      <vt:variant>
        <vt:i4>0</vt:i4>
      </vt:variant>
      <vt:variant>
        <vt:i4>5</vt:i4>
      </vt:variant>
      <vt:variant>
        <vt:lpwstr/>
      </vt:variant>
      <vt:variant>
        <vt:lpwstr>_Toc160622140</vt:lpwstr>
      </vt:variant>
      <vt:variant>
        <vt:i4>1441842</vt:i4>
      </vt:variant>
      <vt:variant>
        <vt:i4>626</vt:i4>
      </vt:variant>
      <vt:variant>
        <vt:i4>0</vt:i4>
      </vt:variant>
      <vt:variant>
        <vt:i4>5</vt:i4>
      </vt:variant>
      <vt:variant>
        <vt:lpwstr/>
      </vt:variant>
      <vt:variant>
        <vt:lpwstr>_Toc160622139</vt:lpwstr>
      </vt:variant>
      <vt:variant>
        <vt:i4>1441842</vt:i4>
      </vt:variant>
      <vt:variant>
        <vt:i4>620</vt:i4>
      </vt:variant>
      <vt:variant>
        <vt:i4>0</vt:i4>
      </vt:variant>
      <vt:variant>
        <vt:i4>5</vt:i4>
      </vt:variant>
      <vt:variant>
        <vt:lpwstr/>
      </vt:variant>
      <vt:variant>
        <vt:lpwstr>_Toc160622138</vt:lpwstr>
      </vt:variant>
      <vt:variant>
        <vt:i4>1441842</vt:i4>
      </vt:variant>
      <vt:variant>
        <vt:i4>614</vt:i4>
      </vt:variant>
      <vt:variant>
        <vt:i4>0</vt:i4>
      </vt:variant>
      <vt:variant>
        <vt:i4>5</vt:i4>
      </vt:variant>
      <vt:variant>
        <vt:lpwstr/>
      </vt:variant>
      <vt:variant>
        <vt:lpwstr>_Toc160622137</vt:lpwstr>
      </vt:variant>
      <vt:variant>
        <vt:i4>1441842</vt:i4>
      </vt:variant>
      <vt:variant>
        <vt:i4>608</vt:i4>
      </vt:variant>
      <vt:variant>
        <vt:i4>0</vt:i4>
      </vt:variant>
      <vt:variant>
        <vt:i4>5</vt:i4>
      </vt:variant>
      <vt:variant>
        <vt:lpwstr/>
      </vt:variant>
      <vt:variant>
        <vt:lpwstr>_Toc160622136</vt:lpwstr>
      </vt:variant>
      <vt:variant>
        <vt:i4>1441842</vt:i4>
      </vt:variant>
      <vt:variant>
        <vt:i4>602</vt:i4>
      </vt:variant>
      <vt:variant>
        <vt:i4>0</vt:i4>
      </vt:variant>
      <vt:variant>
        <vt:i4>5</vt:i4>
      </vt:variant>
      <vt:variant>
        <vt:lpwstr/>
      </vt:variant>
      <vt:variant>
        <vt:lpwstr>_Toc160622135</vt:lpwstr>
      </vt:variant>
      <vt:variant>
        <vt:i4>1441842</vt:i4>
      </vt:variant>
      <vt:variant>
        <vt:i4>596</vt:i4>
      </vt:variant>
      <vt:variant>
        <vt:i4>0</vt:i4>
      </vt:variant>
      <vt:variant>
        <vt:i4>5</vt:i4>
      </vt:variant>
      <vt:variant>
        <vt:lpwstr/>
      </vt:variant>
      <vt:variant>
        <vt:lpwstr>_Toc160622134</vt:lpwstr>
      </vt:variant>
      <vt:variant>
        <vt:i4>1441842</vt:i4>
      </vt:variant>
      <vt:variant>
        <vt:i4>590</vt:i4>
      </vt:variant>
      <vt:variant>
        <vt:i4>0</vt:i4>
      </vt:variant>
      <vt:variant>
        <vt:i4>5</vt:i4>
      </vt:variant>
      <vt:variant>
        <vt:lpwstr/>
      </vt:variant>
      <vt:variant>
        <vt:lpwstr>_Toc160622133</vt:lpwstr>
      </vt:variant>
      <vt:variant>
        <vt:i4>1441842</vt:i4>
      </vt:variant>
      <vt:variant>
        <vt:i4>584</vt:i4>
      </vt:variant>
      <vt:variant>
        <vt:i4>0</vt:i4>
      </vt:variant>
      <vt:variant>
        <vt:i4>5</vt:i4>
      </vt:variant>
      <vt:variant>
        <vt:lpwstr/>
      </vt:variant>
      <vt:variant>
        <vt:lpwstr>_Toc160622132</vt:lpwstr>
      </vt:variant>
      <vt:variant>
        <vt:i4>1441842</vt:i4>
      </vt:variant>
      <vt:variant>
        <vt:i4>578</vt:i4>
      </vt:variant>
      <vt:variant>
        <vt:i4>0</vt:i4>
      </vt:variant>
      <vt:variant>
        <vt:i4>5</vt:i4>
      </vt:variant>
      <vt:variant>
        <vt:lpwstr/>
      </vt:variant>
      <vt:variant>
        <vt:lpwstr>_Toc160622131</vt:lpwstr>
      </vt:variant>
      <vt:variant>
        <vt:i4>1441842</vt:i4>
      </vt:variant>
      <vt:variant>
        <vt:i4>572</vt:i4>
      </vt:variant>
      <vt:variant>
        <vt:i4>0</vt:i4>
      </vt:variant>
      <vt:variant>
        <vt:i4>5</vt:i4>
      </vt:variant>
      <vt:variant>
        <vt:lpwstr/>
      </vt:variant>
      <vt:variant>
        <vt:lpwstr>_Toc160622130</vt:lpwstr>
      </vt:variant>
      <vt:variant>
        <vt:i4>1507378</vt:i4>
      </vt:variant>
      <vt:variant>
        <vt:i4>566</vt:i4>
      </vt:variant>
      <vt:variant>
        <vt:i4>0</vt:i4>
      </vt:variant>
      <vt:variant>
        <vt:i4>5</vt:i4>
      </vt:variant>
      <vt:variant>
        <vt:lpwstr/>
      </vt:variant>
      <vt:variant>
        <vt:lpwstr>_Toc160622129</vt:lpwstr>
      </vt:variant>
      <vt:variant>
        <vt:i4>1507378</vt:i4>
      </vt:variant>
      <vt:variant>
        <vt:i4>560</vt:i4>
      </vt:variant>
      <vt:variant>
        <vt:i4>0</vt:i4>
      </vt:variant>
      <vt:variant>
        <vt:i4>5</vt:i4>
      </vt:variant>
      <vt:variant>
        <vt:lpwstr/>
      </vt:variant>
      <vt:variant>
        <vt:lpwstr>_Toc160622128</vt:lpwstr>
      </vt:variant>
      <vt:variant>
        <vt:i4>1507378</vt:i4>
      </vt:variant>
      <vt:variant>
        <vt:i4>554</vt:i4>
      </vt:variant>
      <vt:variant>
        <vt:i4>0</vt:i4>
      </vt:variant>
      <vt:variant>
        <vt:i4>5</vt:i4>
      </vt:variant>
      <vt:variant>
        <vt:lpwstr/>
      </vt:variant>
      <vt:variant>
        <vt:lpwstr>_Toc160622127</vt:lpwstr>
      </vt:variant>
      <vt:variant>
        <vt:i4>1507378</vt:i4>
      </vt:variant>
      <vt:variant>
        <vt:i4>548</vt:i4>
      </vt:variant>
      <vt:variant>
        <vt:i4>0</vt:i4>
      </vt:variant>
      <vt:variant>
        <vt:i4>5</vt:i4>
      </vt:variant>
      <vt:variant>
        <vt:lpwstr/>
      </vt:variant>
      <vt:variant>
        <vt:lpwstr>_Toc160622126</vt:lpwstr>
      </vt:variant>
      <vt:variant>
        <vt:i4>1507378</vt:i4>
      </vt:variant>
      <vt:variant>
        <vt:i4>542</vt:i4>
      </vt:variant>
      <vt:variant>
        <vt:i4>0</vt:i4>
      </vt:variant>
      <vt:variant>
        <vt:i4>5</vt:i4>
      </vt:variant>
      <vt:variant>
        <vt:lpwstr/>
      </vt:variant>
      <vt:variant>
        <vt:lpwstr>_Toc160622125</vt:lpwstr>
      </vt:variant>
      <vt:variant>
        <vt:i4>1507378</vt:i4>
      </vt:variant>
      <vt:variant>
        <vt:i4>533</vt:i4>
      </vt:variant>
      <vt:variant>
        <vt:i4>0</vt:i4>
      </vt:variant>
      <vt:variant>
        <vt:i4>5</vt:i4>
      </vt:variant>
      <vt:variant>
        <vt:lpwstr/>
      </vt:variant>
      <vt:variant>
        <vt:lpwstr>_Toc160622124</vt:lpwstr>
      </vt:variant>
      <vt:variant>
        <vt:i4>1507378</vt:i4>
      </vt:variant>
      <vt:variant>
        <vt:i4>527</vt:i4>
      </vt:variant>
      <vt:variant>
        <vt:i4>0</vt:i4>
      </vt:variant>
      <vt:variant>
        <vt:i4>5</vt:i4>
      </vt:variant>
      <vt:variant>
        <vt:lpwstr/>
      </vt:variant>
      <vt:variant>
        <vt:lpwstr>_Toc160622123</vt:lpwstr>
      </vt:variant>
      <vt:variant>
        <vt:i4>1507378</vt:i4>
      </vt:variant>
      <vt:variant>
        <vt:i4>521</vt:i4>
      </vt:variant>
      <vt:variant>
        <vt:i4>0</vt:i4>
      </vt:variant>
      <vt:variant>
        <vt:i4>5</vt:i4>
      </vt:variant>
      <vt:variant>
        <vt:lpwstr/>
      </vt:variant>
      <vt:variant>
        <vt:lpwstr>_Toc160622122</vt:lpwstr>
      </vt:variant>
      <vt:variant>
        <vt:i4>1507378</vt:i4>
      </vt:variant>
      <vt:variant>
        <vt:i4>515</vt:i4>
      </vt:variant>
      <vt:variant>
        <vt:i4>0</vt:i4>
      </vt:variant>
      <vt:variant>
        <vt:i4>5</vt:i4>
      </vt:variant>
      <vt:variant>
        <vt:lpwstr/>
      </vt:variant>
      <vt:variant>
        <vt:lpwstr>_Toc160622121</vt:lpwstr>
      </vt:variant>
      <vt:variant>
        <vt:i4>1507378</vt:i4>
      </vt:variant>
      <vt:variant>
        <vt:i4>509</vt:i4>
      </vt:variant>
      <vt:variant>
        <vt:i4>0</vt:i4>
      </vt:variant>
      <vt:variant>
        <vt:i4>5</vt:i4>
      </vt:variant>
      <vt:variant>
        <vt:lpwstr/>
      </vt:variant>
      <vt:variant>
        <vt:lpwstr>_Toc160622120</vt:lpwstr>
      </vt:variant>
      <vt:variant>
        <vt:i4>1310770</vt:i4>
      </vt:variant>
      <vt:variant>
        <vt:i4>503</vt:i4>
      </vt:variant>
      <vt:variant>
        <vt:i4>0</vt:i4>
      </vt:variant>
      <vt:variant>
        <vt:i4>5</vt:i4>
      </vt:variant>
      <vt:variant>
        <vt:lpwstr/>
      </vt:variant>
      <vt:variant>
        <vt:lpwstr>_Toc160622119</vt:lpwstr>
      </vt:variant>
      <vt:variant>
        <vt:i4>1310770</vt:i4>
      </vt:variant>
      <vt:variant>
        <vt:i4>497</vt:i4>
      </vt:variant>
      <vt:variant>
        <vt:i4>0</vt:i4>
      </vt:variant>
      <vt:variant>
        <vt:i4>5</vt:i4>
      </vt:variant>
      <vt:variant>
        <vt:lpwstr/>
      </vt:variant>
      <vt:variant>
        <vt:lpwstr>_Toc160622118</vt:lpwstr>
      </vt:variant>
      <vt:variant>
        <vt:i4>1310770</vt:i4>
      </vt:variant>
      <vt:variant>
        <vt:i4>491</vt:i4>
      </vt:variant>
      <vt:variant>
        <vt:i4>0</vt:i4>
      </vt:variant>
      <vt:variant>
        <vt:i4>5</vt:i4>
      </vt:variant>
      <vt:variant>
        <vt:lpwstr/>
      </vt:variant>
      <vt:variant>
        <vt:lpwstr>_Toc160622117</vt:lpwstr>
      </vt:variant>
      <vt:variant>
        <vt:i4>1310770</vt:i4>
      </vt:variant>
      <vt:variant>
        <vt:i4>485</vt:i4>
      </vt:variant>
      <vt:variant>
        <vt:i4>0</vt:i4>
      </vt:variant>
      <vt:variant>
        <vt:i4>5</vt:i4>
      </vt:variant>
      <vt:variant>
        <vt:lpwstr/>
      </vt:variant>
      <vt:variant>
        <vt:lpwstr>_Toc160622116</vt:lpwstr>
      </vt:variant>
      <vt:variant>
        <vt:i4>1310770</vt:i4>
      </vt:variant>
      <vt:variant>
        <vt:i4>479</vt:i4>
      </vt:variant>
      <vt:variant>
        <vt:i4>0</vt:i4>
      </vt:variant>
      <vt:variant>
        <vt:i4>5</vt:i4>
      </vt:variant>
      <vt:variant>
        <vt:lpwstr/>
      </vt:variant>
      <vt:variant>
        <vt:lpwstr>_Toc160622115</vt:lpwstr>
      </vt:variant>
      <vt:variant>
        <vt:i4>1310770</vt:i4>
      </vt:variant>
      <vt:variant>
        <vt:i4>473</vt:i4>
      </vt:variant>
      <vt:variant>
        <vt:i4>0</vt:i4>
      </vt:variant>
      <vt:variant>
        <vt:i4>5</vt:i4>
      </vt:variant>
      <vt:variant>
        <vt:lpwstr/>
      </vt:variant>
      <vt:variant>
        <vt:lpwstr>_Toc160622114</vt:lpwstr>
      </vt:variant>
      <vt:variant>
        <vt:i4>1310770</vt:i4>
      </vt:variant>
      <vt:variant>
        <vt:i4>467</vt:i4>
      </vt:variant>
      <vt:variant>
        <vt:i4>0</vt:i4>
      </vt:variant>
      <vt:variant>
        <vt:i4>5</vt:i4>
      </vt:variant>
      <vt:variant>
        <vt:lpwstr/>
      </vt:variant>
      <vt:variant>
        <vt:lpwstr>_Toc160622113</vt:lpwstr>
      </vt:variant>
      <vt:variant>
        <vt:i4>1310770</vt:i4>
      </vt:variant>
      <vt:variant>
        <vt:i4>461</vt:i4>
      </vt:variant>
      <vt:variant>
        <vt:i4>0</vt:i4>
      </vt:variant>
      <vt:variant>
        <vt:i4>5</vt:i4>
      </vt:variant>
      <vt:variant>
        <vt:lpwstr/>
      </vt:variant>
      <vt:variant>
        <vt:lpwstr>_Toc160622112</vt:lpwstr>
      </vt:variant>
      <vt:variant>
        <vt:i4>1310770</vt:i4>
      </vt:variant>
      <vt:variant>
        <vt:i4>455</vt:i4>
      </vt:variant>
      <vt:variant>
        <vt:i4>0</vt:i4>
      </vt:variant>
      <vt:variant>
        <vt:i4>5</vt:i4>
      </vt:variant>
      <vt:variant>
        <vt:lpwstr/>
      </vt:variant>
      <vt:variant>
        <vt:lpwstr>_Toc160622111</vt:lpwstr>
      </vt:variant>
      <vt:variant>
        <vt:i4>1310770</vt:i4>
      </vt:variant>
      <vt:variant>
        <vt:i4>449</vt:i4>
      </vt:variant>
      <vt:variant>
        <vt:i4>0</vt:i4>
      </vt:variant>
      <vt:variant>
        <vt:i4>5</vt:i4>
      </vt:variant>
      <vt:variant>
        <vt:lpwstr/>
      </vt:variant>
      <vt:variant>
        <vt:lpwstr>_Toc160622110</vt:lpwstr>
      </vt:variant>
      <vt:variant>
        <vt:i4>1376306</vt:i4>
      </vt:variant>
      <vt:variant>
        <vt:i4>443</vt:i4>
      </vt:variant>
      <vt:variant>
        <vt:i4>0</vt:i4>
      </vt:variant>
      <vt:variant>
        <vt:i4>5</vt:i4>
      </vt:variant>
      <vt:variant>
        <vt:lpwstr/>
      </vt:variant>
      <vt:variant>
        <vt:lpwstr>_Toc160622109</vt:lpwstr>
      </vt:variant>
      <vt:variant>
        <vt:i4>1376306</vt:i4>
      </vt:variant>
      <vt:variant>
        <vt:i4>437</vt:i4>
      </vt:variant>
      <vt:variant>
        <vt:i4>0</vt:i4>
      </vt:variant>
      <vt:variant>
        <vt:i4>5</vt:i4>
      </vt:variant>
      <vt:variant>
        <vt:lpwstr/>
      </vt:variant>
      <vt:variant>
        <vt:lpwstr>_Toc160622108</vt:lpwstr>
      </vt:variant>
      <vt:variant>
        <vt:i4>1376306</vt:i4>
      </vt:variant>
      <vt:variant>
        <vt:i4>431</vt:i4>
      </vt:variant>
      <vt:variant>
        <vt:i4>0</vt:i4>
      </vt:variant>
      <vt:variant>
        <vt:i4>5</vt:i4>
      </vt:variant>
      <vt:variant>
        <vt:lpwstr/>
      </vt:variant>
      <vt:variant>
        <vt:lpwstr>_Toc160622107</vt:lpwstr>
      </vt:variant>
      <vt:variant>
        <vt:i4>1376306</vt:i4>
      </vt:variant>
      <vt:variant>
        <vt:i4>425</vt:i4>
      </vt:variant>
      <vt:variant>
        <vt:i4>0</vt:i4>
      </vt:variant>
      <vt:variant>
        <vt:i4>5</vt:i4>
      </vt:variant>
      <vt:variant>
        <vt:lpwstr/>
      </vt:variant>
      <vt:variant>
        <vt:lpwstr>_Toc160622106</vt:lpwstr>
      </vt:variant>
      <vt:variant>
        <vt:i4>1376306</vt:i4>
      </vt:variant>
      <vt:variant>
        <vt:i4>416</vt:i4>
      </vt:variant>
      <vt:variant>
        <vt:i4>0</vt:i4>
      </vt:variant>
      <vt:variant>
        <vt:i4>5</vt:i4>
      </vt:variant>
      <vt:variant>
        <vt:lpwstr/>
      </vt:variant>
      <vt:variant>
        <vt:lpwstr>_Toc160622105</vt:lpwstr>
      </vt:variant>
      <vt:variant>
        <vt:i4>1376306</vt:i4>
      </vt:variant>
      <vt:variant>
        <vt:i4>410</vt:i4>
      </vt:variant>
      <vt:variant>
        <vt:i4>0</vt:i4>
      </vt:variant>
      <vt:variant>
        <vt:i4>5</vt:i4>
      </vt:variant>
      <vt:variant>
        <vt:lpwstr/>
      </vt:variant>
      <vt:variant>
        <vt:lpwstr>_Toc160622104</vt:lpwstr>
      </vt:variant>
      <vt:variant>
        <vt:i4>1376306</vt:i4>
      </vt:variant>
      <vt:variant>
        <vt:i4>404</vt:i4>
      </vt:variant>
      <vt:variant>
        <vt:i4>0</vt:i4>
      </vt:variant>
      <vt:variant>
        <vt:i4>5</vt:i4>
      </vt:variant>
      <vt:variant>
        <vt:lpwstr/>
      </vt:variant>
      <vt:variant>
        <vt:lpwstr>_Toc160622103</vt:lpwstr>
      </vt:variant>
      <vt:variant>
        <vt:i4>1376306</vt:i4>
      </vt:variant>
      <vt:variant>
        <vt:i4>398</vt:i4>
      </vt:variant>
      <vt:variant>
        <vt:i4>0</vt:i4>
      </vt:variant>
      <vt:variant>
        <vt:i4>5</vt:i4>
      </vt:variant>
      <vt:variant>
        <vt:lpwstr/>
      </vt:variant>
      <vt:variant>
        <vt:lpwstr>_Toc160622102</vt:lpwstr>
      </vt:variant>
      <vt:variant>
        <vt:i4>1376306</vt:i4>
      </vt:variant>
      <vt:variant>
        <vt:i4>392</vt:i4>
      </vt:variant>
      <vt:variant>
        <vt:i4>0</vt:i4>
      </vt:variant>
      <vt:variant>
        <vt:i4>5</vt:i4>
      </vt:variant>
      <vt:variant>
        <vt:lpwstr/>
      </vt:variant>
      <vt:variant>
        <vt:lpwstr>_Toc160622101</vt:lpwstr>
      </vt:variant>
      <vt:variant>
        <vt:i4>1376306</vt:i4>
      </vt:variant>
      <vt:variant>
        <vt:i4>386</vt:i4>
      </vt:variant>
      <vt:variant>
        <vt:i4>0</vt:i4>
      </vt:variant>
      <vt:variant>
        <vt:i4>5</vt:i4>
      </vt:variant>
      <vt:variant>
        <vt:lpwstr/>
      </vt:variant>
      <vt:variant>
        <vt:lpwstr>_Toc160622100</vt:lpwstr>
      </vt:variant>
      <vt:variant>
        <vt:i4>1835059</vt:i4>
      </vt:variant>
      <vt:variant>
        <vt:i4>380</vt:i4>
      </vt:variant>
      <vt:variant>
        <vt:i4>0</vt:i4>
      </vt:variant>
      <vt:variant>
        <vt:i4>5</vt:i4>
      </vt:variant>
      <vt:variant>
        <vt:lpwstr/>
      </vt:variant>
      <vt:variant>
        <vt:lpwstr>_Toc160622099</vt:lpwstr>
      </vt:variant>
      <vt:variant>
        <vt:i4>1835059</vt:i4>
      </vt:variant>
      <vt:variant>
        <vt:i4>371</vt:i4>
      </vt:variant>
      <vt:variant>
        <vt:i4>0</vt:i4>
      </vt:variant>
      <vt:variant>
        <vt:i4>5</vt:i4>
      </vt:variant>
      <vt:variant>
        <vt:lpwstr/>
      </vt:variant>
      <vt:variant>
        <vt:lpwstr>_Toc160622098</vt:lpwstr>
      </vt:variant>
      <vt:variant>
        <vt:i4>1835059</vt:i4>
      </vt:variant>
      <vt:variant>
        <vt:i4>365</vt:i4>
      </vt:variant>
      <vt:variant>
        <vt:i4>0</vt:i4>
      </vt:variant>
      <vt:variant>
        <vt:i4>5</vt:i4>
      </vt:variant>
      <vt:variant>
        <vt:lpwstr/>
      </vt:variant>
      <vt:variant>
        <vt:lpwstr>_Toc160622097</vt:lpwstr>
      </vt:variant>
      <vt:variant>
        <vt:i4>1835059</vt:i4>
      </vt:variant>
      <vt:variant>
        <vt:i4>359</vt:i4>
      </vt:variant>
      <vt:variant>
        <vt:i4>0</vt:i4>
      </vt:variant>
      <vt:variant>
        <vt:i4>5</vt:i4>
      </vt:variant>
      <vt:variant>
        <vt:lpwstr/>
      </vt:variant>
      <vt:variant>
        <vt:lpwstr>_Toc160622096</vt:lpwstr>
      </vt:variant>
      <vt:variant>
        <vt:i4>1835059</vt:i4>
      </vt:variant>
      <vt:variant>
        <vt:i4>353</vt:i4>
      </vt:variant>
      <vt:variant>
        <vt:i4>0</vt:i4>
      </vt:variant>
      <vt:variant>
        <vt:i4>5</vt:i4>
      </vt:variant>
      <vt:variant>
        <vt:lpwstr/>
      </vt:variant>
      <vt:variant>
        <vt:lpwstr>_Toc160622095</vt:lpwstr>
      </vt:variant>
      <vt:variant>
        <vt:i4>1835059</vt:i4>
      </vt:variant>
      <vt:variant>
        <vt:i4>347</vt:i4>
      </vt:variant>
      <vt:variant>
        <vt:i4>0</vt:i4>
      </vt:variant>
      <vt:variant>
        <vt:i4>5</vt:i4>
      </vt:variant>
      <vt:variant>
        <vt:lpwstr/>
      </vt:variant>
      <vt:variant>
        <vt:lpwstr>_Toc160622094</vt:lpwstr>
      </vt:variant>
      <vt:variant>
        <vt:i4>1835059</vt:i4>
      </vt:variant>
      <vt:variant>
        <vt:i4>341</vt:i4>
      </vt:variant>
      <vt:variant>
        <vt:i4>0</vt:i4>
      </vt:variant>
      <vt:variant>
        <vt:i4>5</vt:i4>
      </vt:variant>
      <vt:variant>
        <vt:lpwstr/>
      </vt:variant>
      <vt:variant>
        <vt:lpwstr>_Toc160622093</vt:lpwstr>
      </vt:variant>
      <vt:variant>
        <vt:i4>1835059</vt:i4>
      </vt:variant>
      <vt:variant>
        <vt:i4>335</vt:i4>
      </vt:variant>
      <vt:variant>
        <vt:i4>0</vt:i4>
      </vt:variant>
      <vt:variant>
        <vt:i4>5</vt:i4>
      </vt:variant>
      <vt:variant>
        <vt:lpwstr/>
      </vt:variant>
      <vt:variant>
        <vt:lpwstr>_Toc160622092</vt:lpwstr>
      </vt:variant>
      <vt:variant>
        <vt:i4>1835059</vt:i4>
      </vt:variant>
      <vt:variant>
        <vt:i4>329</vt:i4>
      </vt:variant>
      <vt:variant>
        <vt:i4>0</vt:i4>
      </vt:variant>
      <vt:variant>
        <vt:i4>5</vt:i4>
      </vt:variant>
      <vt:variant>
        <vt:lpwstr/>
      </vt:variant>
      <vt:variant>
        <vt:lpwstr>_Toc160622091</vt:lpwstr>
      </vt:variant>
      <vt:variant>
        <vt:i4>1835059</vt:i4>
      </vt:variant>
      <vt:variant>
        <vt:i4>323</vt:i4>
      </vt:variant>
      <vt:variant>
        <vt:i4>0</vt:i4>
      </vt:variant>
      <vt:variant>
        <vt:i4>5</vt:i4>
      </vt:variant>
      <vt:variant>
        <vt:lpwstr/>
      </vt:variant>
      <vt:variant>
        <vt:lpwstr>_Toc160622090</vt:lpwstr>
      </vt:variant>
      <vt:variant>
        <vt:i4>1900595</vt:i4>
      </vt:variant>
      <vt:variant>
        <vt:i4>317</vt:i4>
      </vt:variant>
      <vt:variant>
        <vt:i4>0</vt:i4>
      </vt:variant>
      <vt:variant>
        <vt:i4>5</vt:i4>
      </vt:variant>
      <vt:variant>
        <vt:lpwstr/>
      </vt:variant>
      <vt:variant>
        <vt:lpwstr>_Toc160622089</vt:lpwstr>
      </vt:variant>
      <vt:variant>
        <vt:i4>1900595</vt:i4>
      </vt:variant>
      <vt:variant>
        <vt:i4>311</vt:i4>
      </vt:variant>
      <vt:variant>
        <vt:i4>0</vt:i4>
      </vt:variant>
      <vt:variant>
        <vt:i4>5</vt:i4>
      </vt:variant>
      <vt:variant>
        <vt:lpwstr/>
      </vt:variant>
      <vt:variant>
        <vt:lpwstr>_Toc160622088</vt:lpwstr>
      </vt:variant>
      <vt:variant>
        <vt:i4>1900595</vt:i4>
      </vt:variant>
      <vt:variant>
        <vt:i4>305</vt:i4>
      </vt:variant>
      <vt:variant>
        <vt:i4>0</vt:i4>
      </vt:variant>
      <vt:variant>
        <vt:i4>5</vt:i4>
      </vt:variant>
      <vt:variant>
        <vt:lpwstr/>
      </vt:variant>
      <vt:variant>
        <vt:lpwstr>_Toc160622087</vt:lpwstr>
      </vt:variant>
      <vt:variant>
        <vt:i4>1900595</vt:i4>
      </vt:variant>
      <vt:variant>
        <vt:i4>299</vt:i4>
      </vt:variant>
      <vt:variant>
        <vt:i4>0</vt:i4>
      </vt:variant>
      <vt:variant>
        <vt:i4>5</vt:i4>
      </vt:variant>
      <vt:variant>
        <vt:lpwstr/>
      </vt:variant>
      <vt:variant>
        <vt:lpwstr>_Toc160622086</vt:lpwstr>
      </vt:variant>
      <vt:variant>
        <vt:i4>1900595</vt:i4>
      </vt:variant>
      <vt:variant>
        <vt:i4>293</vt:i4>
      </vt:variant>
      <vt:variant>
        <vt:i4>0</vt:i4>
      </vt:variant>
      <vt:variant>
        <vt:i4>5</vt:i4>
      </vt:variant>
      <vt:variant>
        <vt:lpwstr/>
      </vt:variant>
      <vt:variant>
        <vt:lpwstr>_Toc160622085</vt:lpwstr>
      </vt:variant>
      <vt:variant>
        <vt:i4>1900595</vt:i4>
      </vt:variant>
      <vt:variant>
        <vt:i4>287</vt:i4>
      </vt:variant>
      <vt:variant>
        <vt:i4>0</vt:i4>
      </vt:variant>
      <vt:variant>
        <vt:i4>5</vt:i4>
      </vt:variant>
      <vt:variant>
        <vt:lpwstr/>
      </vt:variant>
      <vt:variant>
        <vt:lpwstr>_Toc160622084</vt:lpwstr>
      </vt:variant>
      <vt:variant>
        <vt:i4>1900595</vt:i4>
      </vt:variant>
      <vt:variant>
        <vt:i4>281</vt:i4>
      </vt:variant>
      <vt:variant>
        <vt:i4>0</vt:i4>
      </vt:variant>
      <vt:variant>
        <vt:i4>5</vt:i4>
      </vt:variant>
      <vt:variant>
        <vt:lpwstr/>
      </vt:variant>
      <vt:variant>
        <vt:lpwstr>_Toc160622083</vt:lpwstr>
      </vt:variant>
      <vt:variant>
        <vt:i4>1900595</vt:i4>
      </vt:variant>
      <vt:variant>
        <vt:i4>275</vt:i4>
      </vt:variant>
      <vt:variant>
        <vt:i4>0</vt:i4>
      </vt:variant>
      <vt:variant>
        <vt:i4>5</vt:i4>
      </vt:variant>
      <vt:variant>
        <vt:lpwstr/>
      </vt:variant>
      <vt:variant>
        <vt:lpwstr>_Toc160622082</vt:lpwstr>
      </vt:variant>
      <vt:variant>
        <vt:i4>1900595</vt:i4>
      </vt:variant>
      <vt:variant>
        <vt:i4>269</vt:i4>
      </vt:variant>
      <vt:variant>
        <vt:i4>0</vt:i4>
      </vt:variant>
      <vt:variant>
        <vt:i4>5</vt:i4>
      </vt:variant>
      <vt:variant>
        <vt:lpwstr/>
      </vt:variant>
      <vt:variant>
        <vt:lpwstr>_Toc160622081</vt:lpwstr>
      </vt:variant>
      <vt:variant>
        <vt:i4>1900595</vt:i4>
      </vt:variant>
      <vt:variant>
        <vt:i4>263</vt:i4>
      </vt:variant>
      <vt:variant>
        <vt:i4>0</vt:i4>
      </vt:variant>
      <vt:variant>
        <vt:i4>5</vt:i4>
      </vt:variant>
      <vt:variant>
        <vt:lpwstr/>
      </vt:variant>
      <vt:variant>
        <vt:lpwstr>_Toc160622080</vt:lpwstr>
      </vt:variant>
      <vt:variant>
        <vt:i4>1179699</vt:i4>
      </vt:variant>
      <vt:variant>
        <vt:i4>257</vt:i4>
      </vt:variant>
      <vt:variant>
        <vt:i4>0</vt:i4>
      </vt:variant>
      <vt:variant>
        <vt:i4>5</vt:i4>
      </vt:variant>
      <vt:variant>
        <vt:lpwstr/>
      </vt:variant>
      <vt:variant>
        <vt:lpwstr>_Toc160622079</vt:lpwstr>
      </vt:variant>
      <vt:variant>
        <vt:i4>1179699</vt:i4>
      </vt:variant>
      <vt:variant>
        <vt:i4>251</vt:i4>
      </vt:variant>
      <vt:variant>
        <vt:i4>0</vt:i4>
      </vt:variant>
      <vt:variant>
        <vt:i4>5</vt:i4>
      </vt:variant>
      <vt:variant>
        <vt:lpwstr/>
      </vt:variant>
      <vt:variant>
        <vt:lpwstr>_Toc160622078</vt:lpwstr>
      </vt:variant>
      <vt:variant>
        <vt:i4>1179699</vt:i4>
      </vt:variant>
      <vt:variant>
        <vt:i4>245</vt:i4>
      </vt:variant>
      <vt:variant>
        <vt:i4>0</vt:i4>
      </vt:variant>
      <vt:variant>
        <vt:i4>5</vt:i4>
      </vt:variant>
      <vt:variant>
        <vt:lpwstr/>
      </vt:variant>
      <vt:variant>
        <vt:lpwstr>_Toc160622077</vt:lpwstr>
      </vt:variant>
      <vt:variant>
        <vt:i4>1179699</vt:i4>
      </vt:variant>
      <vt:variant>
        <vt:i4>239</vt:i4>
      </vt:variant>
      <vt:variant>
        <vt:i4>0</vt:i4>
      </vt:variant>
      <vt:variant>
        <vt:i4>5</vt:i4>
      </vt:variant>
      <vt:variant>
        <vt:lpwstr/>
      </vt:variant>
      <vt:variant>
        <vt:lpwstr>_Toc160622076</vt:lpwstr>
      </vt:variant>
      <vt:variant>
        <vt:i4>1179699</vt:i4>
      </vt:variant>
      <vt:variant>
        <vt:i4>233</vt:i4>
      </vt:variant>
      <vt:variant>
        <vt:i4>0</vt:i4>
      </vt:variant>
      <vt:variant>
        <vt:i4>5</vt:i4>
      </vt:variant>
      <vt:variant>
        <vt:lpwstr/>
      </vt:variant>
      <vt:variant>
        <vt:lpwstr>_Toc160622075</vt:lpwstr>
      </vt:variant>
      <vt:variant>
        <vt:i4>1179699</vt:i4>
      </vt:variant>
      <vt:variant>
        <vt:i4>227</vt:i4>
      </vt:variant>
      <vt:variant>
        <vt:i4>0</vt:i4>
      </vt:variant>
      <vt:variant>
        <vt:i4>5</vt:i4>
      </vt:variant>
      <vt:variant>
        <vt:lpwstr/>
      </vt:variant>
      <vt:variant>
        <vt:lpwstr>_Toc160622074</vt:lpwstr>
      </vt:variant>
      <vt:variant>
        <vt:i4>1179699</vt:i4>
      </vt:variant>
      <vt:variant>
        <vt:i4>221</vt:i4>
      </vt:variant>
      <vt:variant>
        <vt:i4>0</vt:i4>
      </vt:variant>
      <vt:variant>
        <vt:i4>5</vt:i4>
      </vt:variant>
      <vt:variant>
        <vt:lpwstr/>
      </vt:variant>
      <vt:variant>
        <vt:lpwstr>_Toc160622073</vt:lpwstr>
      </vt:variant>
      <vt:variant>
        <vt:i4>1179699</vt:i4>
      </vt:variant>
      <vt:variant>
        <vt:i4>215</vt:i4>
      </vt:variant>
      <vt:variant>
        <vt:i4>0</vt:i4>
      </vt:variant>
      <vt:variant>
        <vt:i4>5</vt:i4>
      </vt:variant>
      <vt:variant>
        <vt:lpwstr/>
      </vt:variant>
      <vt:variant>
        <vt:lpwstr>_Toc160622072</vt:lpwstr>
      </vt:variant>
      <vt:variant>
        <vt:i4>1179699</vt:i4>
      </vt:variant>
      <vt:variant>
        <vt:i4>209</vt:i4>
      </vt:variant>
      <vt:variant>
        <vt:i4>0</vt:i4>
      </vt:variant>
      <vt:variant>
        <vt:i4>5</vt:i4>
      </vt:variant>
      <vt:variant>
        <vt:lpwstr/>
      </vt:variant>
      <vt:variant>
        <vt:lpwstr>_Toc160622071</vt:lpwstr>
      </vt:variant>
      <vt:variant>
        <vt:i4>1179699</vt:i4>
      </vt:variant>
      <vt:variant>
        <vt:i4>203</vt:i4>
      </vt:variant>
      <vt:variant>
        <vt:i4>0</vt:i4>
      </vt:variant>
      <vt:variant>
        <vt:i4>5</vt:i4>
      </vt:variant>
      <vt:variant>
        <vt:lpwstr/>
      </vt:variant>
      <vt:variant>
        <vt:lpwstr>_Toc160622070</vt:lpwstr>
      </vt:variant>
      <vt:variant>
        <vt:i4>1245235</vt:i4>
      </vt:variant>
      <vt:variant>
        <vt:i4>197</vt:i4>
      </vt:variant>
      <vt:variant>
        <vt:i4>0</vt:i4>
      </vt:variant>
      <vt:variant>
        <vt:i4>5</vt:i4>
      </vt:variant>
      <vt:variant>
        <vt:lpwstr/>
      </vt:variant>
      <vt:variant>
        <vt:lpwstr>_Toc160622069</vt:lpwstr>
      </vt:variant>
      <vt:variant>
        <vt:i4>1245235</vt:i4>
      </vt:variant>
      <vt:variant>
        <vt:i4>191</vt:i4>
      </vt:variant>
      <vt:variant>
        <vt:i4>0</vt:i4>
      </vt:variant>
      <vt:variant>
        <vt:i4>5</vt:i4>
      </vt:variant>
      <vt:variant>
        <vt:lpwstr/>
      </vt:variant>
      <vt:variant>
        <vt:lpwstr>_Toc160622068</vt:lpwstr>
      </vt:variant>
      <vt:variant>
        <vt:i4>1245235</vt:i4>
      </vt:variant>
      <vt:variant>
        <vt:i4>185</vt:i4>
      </vt:variant>
      <vt:variant>
        <vt:i4>0</vt:i4>
      </vt:variant>
      <vt:variant>
        <vt:i4>5</vt:i4>
      </vt:variant>
      <vt:variant>
        <vt:lpwstr/>
      </vt:variant>
      <vt:variant>
        <vt:lpwstr>_Toc160622067</vt:lpwstr>
      </vt:variant>
      <vt:variant>
        <vt:i4>1245235</vt:i4>
      </vt:variant>
      <vt:variant>
        <vt:i4>179</vt:i4>
      </vt:variant>
      <vt:variant>
        <vt:i4>0</vt:i4>
      </vt:variant>
      <vt:variant>
        <vt:i4>5</vt:i4>
      </vt:variant>
      <vt:variant>
        <vt:lpwstr/>
      </vt:variant>
      <vt:variant>
        <vt:lpwstr>_Toc160622066</vt:lpwstr>
      </vt:variant>
      <vt:variant>
        <vt:i4>1245235</vt:i4>
      </vt:variant>
      <vt:variant>
        <vt:i4>173</vt:i4>
      </vt:variant>
      <vt:variant>
        <vt:i4>0</vt:i4>
      </vt:variant>
      <vt:variant>
        <vt:i4>5</vt:i4>
      </vt:variant>
      <vt:variant>
        <vt:lpwstr/>
      </vt:variant>
      <vt:variant>
        <vt:lpwstr>_Toc160622065</vt:lpwstr>
      </vt:variant>
      <vt:variant>
        <vt:i4>1245235</vt:i4>
      </vt:variant>
      <vt:variant>
        <vt:i4>167</vt:i4>
      </vt:variant>
      <vt:variant>
        <vt:i4>0</vt:i4>
      </vt:variant>
      <vt:variant>
        <vt:i4>5</vt:i4>
      </vt:variant>
      <vt:variant>
        <vt:lpwstr/>
      </vt:variant>
      <vt:variant>
        <vt:lpwstr>_Toc160622064</vt:lpwstr>
      </vt:variant>
      <vt:variant>
        <vt:i4>1245235</vt:i4>
      </vt:variant>
      <vt:variant>
        <vt:i4>161</vt:i4>
      </vt:variant>
      <vt:variant>
        <vt:i4>0</vt:i4>
      </vt:variant>
      <vt:variant>
        <vt:i4>5</vt:i4>
      </vt:variant>
      <vt:variant>
        <vt:lpwstr/>
      </vt:variant>
      <vt:variant>
        <vt:lpwstr>_Toc160622063</vt:lpwstr>
      </vt:variant>
      <vt:variant>
        <vt:i4>1245235</vt:i4>
      </vt:variant>
      <vt:variant>
        <vt:i4>155</vt:i4>
      </vt:variant>
      <vt:variant>
        <vt:i4>0</vt:i4>
      </vt:variant>
      <vt:variant>
        <vt:i4>5</vt:i4>
      </vt:variant>
      <vt:variant>
        <vt:lpwstr/>
      </vt:variant>
      <vt:variant>
        <vt:lpwstr>_Toc160622062</vt:lpwstr>
      </vt:variant>
      <vt:variant>
        <vt:i4>1245235</vt:i4>
      </vt:variant>
      <vt:variant>
        <vt:i4>149</vt:i4>
      </vt:variant>
      <vt:variant>
        <vt:i4>0</vt:i4>
      </vt:variant>
      <vt:variant>
        <vt:i4>5</vt:i4>
      </vt:variant>
      <vt:variant>
        <vt:lpwstr/>
      </vt:variant>
      <vt:variant>
        <vt:lpwstr>_Toc160622061</vt:lpwstr>
      </vt:variant>
      <vt:variant>
        <vt:i4>1245235</vt:i4>
      </vt:variant>
      <vt:variant>
        <vt:i4>143</vt:i4>
      </vt:variant>
      <vt:variant>
        <vt:i4>0</vt:i4>
      </vt:variant>
      <vt:variant>
        <vt:i4>5</vt:i4>
      </vt:variant>
      <vt:variant>
        <vt:lpwstr/>
      </vt:variant>
      <vt:variant>
        <vt:lpwstr>_Toc160622060</vt:lpwstr>
      </vt:variant>
      <vt:variant>
        <vt:i4>1048627</vt:i4>
      </vt:variant>
      <vt:variant>
        <vt:i4>137</vt:i4>
      </vt:variant>
      <vt:variant>
        <vt:i4>0</vt:i4>
      </vt:variant>
      <vt:variant>
        <vt:i4>5</vt:i4>
      </vt:variant>
      <vt:variant>
        <vt:lpwstr/>
      </vt:variant>
      <vt:variant>
        <vt:lpwstr>_Toc160622059</vt:lpwstr>
      </vt:variant>
      <vt:variant>
        <vt:i4>1048627</vt:i4>
      </vt:variant>
      <vt:variant>
        <vt:i4>131</vt:i4>
      </vt:variant>
      <vt:variant>
        <vt:i4>0</vt:i4>
      </vt:variant>
      <vt:variant>
        <vt:i4>5</vt:i4>
      </vt:variant>
      <vt:variant>
        <vt:lpwstr/>
      </vt:variant>
      <vt:variant>
        <vt:lpwstr>_Toc160622058</vt:lpwstr>
      </vt:variant>
      <vt:variant>
        <vt:i4>1048627</vt:i4>
      </vt:variant>
      <vt:variant>
        <vt:i4>125</vt:i4>
      </vt:variant>
      <vt:variant>
        <vt:i4>0</vt:i4>
      </vt:variant>
      <vt:variant>
        <vt:i4>5</vt:i4>
      </vt:variant>
      <vt:variant>
        <vt:lpwstr/>
      </vt:variant>
      <vt:variant>
        <vt:lpwstr>_Toc160622057</vt:lpwstr>
      </vt:variant>
      <vt:variant>
        <vt:i4>1048627</vt:i4>
      </vt:variant>
      <vt:variant>
        <vt:i4>119</vt:i4>
      </vt:variant>
      <vt:variant>
        <vt:i4>0</vt:i4>
      </vt:variant>
      <vt:variant>
        <vt:i4>5</vt:i4>
      </vt:variant>
      <vt:variant>
        <vt:lpwstr/>
      </vt:variant>
      <vt:variant>
        <vt:lpwstr>_Toc160622056</vt:lpwstr>
      </vt:variant>
      <vt:variant>
        <vt:i4>1048627</vt:i4>
      </vt:variant>
      <vt:variant>
        <vt:i4>113</vt:i4>
      </vt:variant>
      <vt:variant>
        <vt:i4>0</vt:i4>
      </vt:variant>
      <vt:variant>
        <vt:i4>5</vt:i4>
      </vt:variant>
      <vt:variant>
        <vt:lpwstr/>
      </vt:variant>
      <vt:variant>
        <vt:lpwstr>_Toc160622055</vt:lpwstr>
      </vt:variant>
      <vt:variant>
        <vt:i4>1048627</vt:i4>
      </vt:variant>
      <vt:variant>
        <vt:i4>107</vt:i4>
      </vt:variant>
      <vt:variant>
        <vt:i4>0</vt:i4>
      </vt:variant>
      <vt:variant>
        <vt:i4>5</vt:i4>
      </vt:variant>
      <vt:variant>
        <vt:lpwstr/>
      </vt:variant>
      <vt:variant>
        <vt:lpwstr>_Toc160622054</vt:lpwstr>
      </vt:variant>
      <vt:variant>
        <vt:i4>1048627</vt:i4>
      </vt:variant>
      <vt:variant>
        <vt:i4>101</vt:i4>
      </vt:variant>
      <vt:variant>
        <vt:i4>0</vt:i4>
      </vt:variant>
      <vt:variant>
        <vt:i4>5</vt:i4>
      </vt:variant>
      <vt:variant>
        <vt:lpwstr/>
      </vt:variant>
      <vt:variant>
        <vt:lpwstr>_Toc160622053</vt:lpwstr>
      </vt:variant>
      <vt:variant>
        <vt:i4>1048627</vt:i4>
      </vt:variant>
      <vt:variant>
        <vt:i4>95</vt:i4>
      </vt:variant>
      <vt:variant>
        <vt:i4>0</vt:i4>
      </vt:variant>
      <vt:variant>
        <vt:i4>5</vt:i4>
      </vt:variant>
      <vt:variant>
        <vt:lpwstr/>
      </vt:variant>
      <vt:variant>
        <vt:lpwstr>_Toc160622052</vt:lpwstr>
      </vt:variant>
      <vt:variant>
        <vt:i4>1048627</vt:i4>
      </vt:variant>
      <vt:variant>
        <vt:i4>89</vt:i4>
      </vt:variant>
      <vt:variant>
        <vt:i4>0</vt:i4>
      </vt:variant>
      <vt:variant>
        <vt:i4>5</vt:i4>
      </vt:variant>
      <vt:variant>
        <vt:lpwstr/>
      </vt:variant>
      <vt:variant>
        <vt:lpwstr>_Toc160622051</vt:lpwstr>
      </vt:variant>
      <vt:variant>
        <vt:i4>1048627</vt:i4>
      </vt:variant>
      <vt:variant>
        <vt:i4>83</vt:i4>
      </vt:variant>
      <vt:variant>
        <vt:i4>0</vt:i4>
      </vt:variant>
      <vt:variant>
        <vt:i4>5</vt:i4>
      </vt:variant>
      <vt:variant>
        <vt:lpwstr/>
      </vt:variant>
      <vt:variant>
        <vt:lpwstr>_Toc160622050</vt:lpwstr>
      </vt:variant>
      <vt:variant>
        <vt:i4>1114163</vt:i4>
      </vt:variant>
      <vt:variant>
        <vt:i4>77</vt:i4>
      </vt:variant>
      <vt:variant>
        <vt:i4>0</vt:i4>
      </vt:variant>
      <vt:variant>
        <vt:i4>5</vt:i4>
      </vt:variant>
      <vt:variant>
        <vt:lpwstr/>
      </vt:variant>
      <vt:variant>
        <vt:lpwstr>_Toc160622049</vt:lpwstr>
      </vt:variant>
      <vt:variant>
        <vt:i4>1114163</vt:i4>
      </vt:variant>
      <vt:variant>
        <vt:i4>71</vt:i4>
      </vt:variant>
      <vt:variant>
        <vt:i4>0</vt:i4>
      </vt:variant>
      <vt:variant>
        <vt:i4>5</vt:i4>
      </vt:variant>
      <vt:variant>
        <vt:lpwstr/>
      </vt:variant>
      <vt:variant>
        <vt:lpwstr>_Toc160622048</vt:lpwstr>
      </vt:variant>
      <vt:variant>
        <vt:i4>1114163</vt:i4>
      </vt:variant>
      <vt:variant>
        <vt:i4>65</vt:i4>
      </vt:variant>
      <vt:variant>
        <vt:i4>0</vt:i4>
      </vt:variant>
      <vt:variant>
        <vt:i4>5</vt:i4>
      </vt:variant>
      <vt:variant>
        <vt:lpwstr/>
      </vt:variant>
      <vt:variant>
        <vt:lpwstr>_Toc160622047</vt:lpwstr>
      </vt:variant>
      <vt:variant>
        <vt:i4>1114163</vt:i4>
      </vt:variant>
      <vt:variant>
        <vt:i4>59</vt:i4>
      </vt:variant>
      <vt:variant>
        <vt:i4>0</vt:i4>
      </vt:variant>
      <vt:variant>
        <vt:i4>5</vt:i4>
      </vt:variant>
      <vt:variant>
        <vt:lpwstr/>
      </vt:variant>
      <vt:variant>
        <vt:lpwstr>_Toc160622046</vt:lpwstr>
      </vt:variant>
      <vt:variant>
        <vt:i4>1114163</vt:i4>
      </vt:variant>
      <vt:variant>
        <vt:i4>53</vt:i4>
      </vt:variant>
      <vt:variant>
        <vt:i4>0</vt:i4>
      </vt:variant>
      <vt:variant>
        <vt:i4>5</vt:i4>
      </vt:variant>
      <vt:variant>
        <vt:lpwstr/>
      </vt:variant>
      <vt:variant>
        <vt:lpwstr>_Toc160622045</vt:lpwstr>
      </vt:variant>
      <vt:variant>
        <vt:i4>1114163</vt:i4>
      </vt:variant>
      <vt:variant>
        <vt:i4>47</vt:i4>
      </vt:variant>
      <vt:variant>
        <vt:i4>0</vt:i4>
      </vt:variant>
      <vt:variant>
        <vt:i4>5</vt:i4>
      </vt:variant>
      <vt:variant>
        <vt:lpwstr/>
      </vt:variant>
      <vt:variant>
        <vt:lpwstr>_Toc160622044</vt:lpwstr>
      </vt:variant>
      <vt:variant>
        <vt:i4>1114163</vt:i4>
      </vt:variant>
      <vt:variant>
        <vt:i4>41</vt:i4>
      </vt:variant>
      <vt:variant>
        <vt:i4>0</vt:i4>
      </vt:variant>
      <vt:variant>
        <vt:i4>5</vt:i4>
      </vt:variant>
      <vt:variant>
        <vt:lpwstr/>
      </vt:variant>
      <vt:variant>
        <vt:lpwstr>_Toc160622043</vt:lpwstr>
      </vt:variant>
      <vt:variant>
        <vt:i4>1114163</vt:i4>
      </vt:variant>
      <vt:variant>
        <vt:i4>35</vt:i4>
      </vt:variant>
      <vt:variant>
        <vt:i4>0</vt:i4>
      </vt:variant>
      <vt:variant>
        <vt:i4>5</vt:i4>
      </vt:variant>
      <vt:variant>
        <vt:lpwstr/>
      </vt:variant>
      <vt:variant>
        <vt:lpwstr>_Toc160622042</vt:lpwstr>
      </vt:variant>
      <vt:variant>
        <vt:i4>1114163</vt:i4>
      </vt:variant>
      <vt:variant>
        <vt:i4>29</vt:i4>
      </vt:variant>
      <vt:variant>
        <vt:i4>0</vt:i4>
      </vt:variant>
      <vt:variant>
        <vt:i4>5</vt:i4>
      </vt:variant>
      <vt:variant>
        <vt:lpwstr/>
      </vt:variant>
      <vt:variant>
        <vt:lpwstr>_Toc160622041</vt:lpwstr>
      </vt:variant>
      <vt:variant>
        <vt:i4>1114163</vt:i4>
      </vt:variant>
      <vt:variant>
        <vt:i4>23</vt:i4>
      </vt:variant>
      <vt:variant>
        <vt:i4>0</vt:i4>
      </vt:variant>
      <vt:variant>
        <vt:i4>5</vt:i4>
      </vt:variant>
      <vt:variant>
        <vt:lpwstr/>
      </vt:variant>
      <vt:variant>
        <vt:lpwstr>_Toc160622040</vt:lpwstr>
      </vt:variant>
      <vt:variant>
        <vt:i4>8192117</vt:i4>
      </vt:variant>
      <vt:variant>
        <vt:i4>0</vt:i4>
      </vt:variant>
      <vt:variant>
        <vt:i4>0</vt:i4>
      </vt:variant>
      <vt:variant>
        <vt:i4>5</vt:i4>
      </vt:variant>
      <vt:variant>
        <vt:lpwstr>https://www.stats.govt.nz/information-releases/national-population-estimates-at-30-september-2022/</vt:lpwstr>
      </vt:variant>
      <vt:variant>
        <vt:lpwstr/>
      </vt:variant>
      <vt:variant>
        <vt:i4>1507399</vt:i4>
      </vt:variant>
      <vt:variant>
        <vt:i4>9</vt:i4>
      </vt:variant>
      <vt:variant>
        <vt:i4>0</vt:i4>
      </vt:variant>
      <vt:variant>
        <vt:i4>5</vt:i4>
      </vt:variant>
      <vt:variant>
        <vt:lpwstr>http://www.nzier.org.nz/</vt:lpwstr>
      </vt:variant>
      <vt:variant>
        <vt:lpwstr/>
      </vt:variant>
      <vt:variant>
        <vt:i4>1507399</vt:i4>
      </vt:variant>
      <vt:variant>
        <vt:i4>6</vt:i4>
      </vt:variant>
      <vt:variant>
        <vt:i4>0</vt:i4>
      </vt:variant>
      <vt:variant>
        <vt:i4>5</vt:i4>
      </vt:variant>
      <vt:variant>
        <vt:lpwstr>http://www.nzier.org.nz/</vt:lpwstr>
      </vt:variant>
      <vt:variant>
        <vt:lpwstr/>
      </vt:variant>
      <vt:variant>
        <vt:i4>4128852</vt:i4>
      </vt:variant>
      <vt:variant>
        <vt:i4>3</vt:i4>
      </vt:variant>
      <vt:variant>
        <vt:i4>0</vt:i4>
      </vt:variant>
      <vt:variant>
        <vt:i4>5</vt:i4>
      </vt:variant>
      <vt:variant>
        <vt:lpwstr>mailto:econ@nzier.org.nz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Costs of alcohol harms in New Zealand: Updating the evidence with recent research</dc:title>
  <dc:subject/>
  <dc:creator>NZIER</dc:creator>
  <cp:keywords/>
  <dc:description/>
  <cp:lastModifiedBy>Ministry of Health</cp:lastModifiedBy>
  <cp:revision>13</cp:revision>
  <cp:lastPrinted>2024-05-02T04:15:00Z</cp:lastPrinted>
  <dcterms:created xsi:type="dcterms:W3CDTF">2024-05-02T02:22:00Z</dcterms:created>
  <dcterms:modified xsi:type="dcterms:W3CDTF">2024-05-02T04:25:00Z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648662bd27a8b458519ad582bf4c9a443933dcb932bca40a2367b16e717707d1</vt:lpwstr>
  </property>
  <property fmtid="{D5CDD505-2E9C-101B-9397-08002B2CF9AE}" pid="3" name="ContentTypeId">
    <vt:lpwstr>0x0101007593EF2C167E104D96E1C6DDA03981100052535EA59D3AAC45B0961778F1E879F1</vt:lpwstr>
  </property>
  <property fmtid="{D5CDD505-2E9C-101B-9397-08002B2CF9AE}" pid="4" name="MediaServiceImageTags">
    <vt:lpwstr/>
  </property>
  <property fmtid="{D5CDD505-2E9C-101B-9397-08002B2CF9AE}" pid="5" name="ZOTERO_PREF_2">
    <vt:lpwstr>="automaticJournalAbbreviations" value="true"/&gt;&lt;/prefs&gt;&lt;/data&gt;</vt:lpwstr>
  </property>
  <property fmtid="{D5CDD505-2E9C-101B-9397-08002B2CF9AE}" pid="6" name="ZOTERO_PREF_1">
    <vt:lpwstr>&lt;data data-version="3" zotero-version="6.0.30"&gt;&lt;session id="5TmlEWeQ"/&gt;&lt;style id="http://www.zotero.org/styles/chicago-author-date" locale="en-US" hasBibliography="1" bibliographyStyleHasBeenSet="1"/&gt;&lt;prefs&gt;&lt;pref name="fieldType" value="Field"/&gt;&lt;pref name</vt:lpwstr>
  </property>
</Properties>
</file>