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BB7" w14:textId="77777777" w:rsidR="00C05132" w:rsidRDefault="00C05132" w:rsidP="00C05132"/>
    <w:p w14:paraId="11455161" w14:textId="51AD9673" w:rsidR="00C86248" w:rsidRPr="00926083" w:rsidRDefault="00447030" w:rsidP="00926083">
      <w:pPr>
        <w:pStyle w:val="Title"/>
      </w:pPr>
      <w:r w:rsidRPr="00447030">
        <w:t>Government Policy Statement on Health</w:t>
      </w:r>
    </w:p>
    <w:p w14:paraId="2B4FAC6A" w14:textId="6E0063CC" w:rsidR="00C05132" w:rsidRDefault="00447030" w:rsidP="00926083">
      <w:pPr>
        <w:pStyle w:val="Subhead"/>
      </w:pPr>
      <w:r w:rsidRPr="00447030">
        <w:t>2024–2027</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711C8958"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Minist</w:t>
      </w:r>
      <w:r w:rsidR="00672CB8">
        <w:rPr>
          <w:rFonts w:cs="Segoe UI"/>
        </w:rPr>
        <w:t>er</w:t>
      </w:r>
      <w:r w:rsidR="00442C1C" w:rsidRPr="00C05132">
        <w:rPr>
          <w:rFonts w:cs="Segoe UI"/>
        </w:rPr>
        <w:t xml:space="preserve"> of Health. </w:t>
      </w:r>
      <w:r w:rsidR="00447030">
        <w:rPr>
          <w:rFonts w:cs="Segoe UI"/>
        </w:rPr>
        <w:t>2024</w:t>
      </w:r>
      <w:r w:rsidR="00442C1C" w:rsidRPr="00C05132">
        <w:rPr>
          <w:rFonts w:cs="Segoe UI"/>
        </w:rPr>
        <w:t xml:space="preserve">. </w:t>
      </w:r>
      <w:r w:rsidR="00447030" w:rsidRPr="00447030">
        <w:rPr>
          <w:rFonts w:cs="Segoe UI"/>
          <w:i/>
        </w:rPr>
        <w:t>Government Policy Statement on Health</w:t>
      </w:r>
      <w:r w:rsidR="00447030">
        <w:rPr>
          <w:rFonts w:cs="Segoe UI"/>
        </w:rPr>
        <w:t xml:space="preserve"> </w:t>
      </w:r>
      <w:r w:rsidR="00447030" w:rsidRPr="00447030">
        <w:rPr>
          <w:rFonts w:cs="Segoe UI"/>
          <w:i/>
          <w:iCs/>
        </w:rPr>
        <w:t>2024 – 2027.</w:t>
      </w:r>
      <w:r w:rsidR="00442C1C" w:rsidRPr="00447030">
        <w:rPr>
          <w:rFonts w:cs="Segoe UI"/>
          <w:i/>
          <w:iCs/>
        </w:rPr>
        <w:t xml:space="preserve"> </w:t>
      </w:r>
      <w:r w:rsidR="00442C1C" w:rsidRPr="00672CB8">
        <w:rPr>
          <w:rFonts w:cs="Segoe UI"/>
        </w:rPr>
        <w:t>Wellington: Ministry of Health</w:t>
      </w:r>
      <w:r w:rsidR="00442C1C" w:rsidRPr="00447030">
        <w:rPr>
          <w:rFonts w:cs="Segoe UI"/>
          <w:i/>
          <w:iCs/>
        </w:rPr>
        <w:t>.</w:t>
      </w:r>
    </w:p>
    <w:p w14:paraId="7909192E" w14:textId="65CC65DA" w:rsidR="00C86248" w:rsidRDefault="00C86248">
      <w:pPr>
        <w:pStyle w:val="Imprint"/>
      </w:pPr>
      <w:r>
        <w:t xml:space="preserve">Published in </w:t>
      </w:r>
      <w:r w:rsidR="00672CB8">
        <w:t xml:space="preserve">July 2024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2A454627" w:rsidR="00082CD6" w:rsidRPr="00E01279" w:rsidRDefault="00D863D0" w:rsidP="00082CD6">
      <w:pPr>
        <w:pStyle w:val="Imprint"/>
      </w:pPr>
      <w:r w:rsidRPr="00DE235F">
        <w:t>ISBN</w:t>
      </w:r>
      <w:r w:rsidR="00442C1C" w:rsidRPr="00DE235F">
        <w:t xml:space="preserve"> </w:t>
      </w:r>
      <w:r w:rsidR="00075702" w:rsidRPr="00075702">
        <w:t>978-1-991075-76-5</w:t>
      </w:r>
      <w:r w:rsidR="009A42D5" w:rsidRPr="00DE235F">
        <w:t xml:space="preserve"> (print)</w:t>
      </w:r>
      <w:r w:rsidR="009A42D5" w:rsidRPr="00DE235F">
        <w:br/>
        <w:t xml:space="preserve">ISBN </w:t>
      </w:r>
      <w:r w:rsidR="00075702" w:rsidRPr="00075702">
        <w:t>978-1-991075-77-2</w:t>
      </w:r>
      <w:r w:rsidR="009A42D5" w:rsidRPr="00DE235F">
        <w:t xml:space="preserve"> </w:t>
      </w:r>
      <w:r w:rsidRPr="00DE235F">
        <w:t>(</w:t>
      </w:r>
      <w:r w:rsidR="00442C1C" w:rsidRPr="00DE235F">
        <w:t>online</w:t>
      </w:r>
      <w:r w:rsidRPr="00DE235F">
        <w:t>)</w:t>
      </w:r>
      <w:r w:rsidR="00082CD6" w:rsidRPr="00DE235F">
        <w:br/>
        <w:t xml:space="preserve">HP </w:t>
      </w:r>
      <w:r w:rsidR="00075702" w:rsidRPr="00075702">
        <w:t>9076</w:t>
      </w:r>
    </w:p>
    <w:p w14:paraId="48DBDA36" w14:textId="77777777" w:rsidR="00C86248" w:rsidRDefault="008C64C4" w:rsidP="00A63DFF">
      <w:r>
        <w:rPr>
          <w:noProof/>
          <w:lang w:eastAsia="en-NZ"/>
        </w:rPr>
        <w:drawing>
          <wp:inline distT="0" distB="0" distL="0" distR="0" wp14:anchorId="6EF4539D" wp14:editId="43E79597">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0F8774BA" w14:textId="30ED3ECB" w:rsidR="00032C0A" w:rsidRDefault="00447030" w:rsidP="001D3E4E">
      <w:pPr>
        <w:pStyle w:val="Heading1"/>
        <w:spacing w:before="0"/>
      </w:pPr>
      <w:bookmarkStart w:id="1" w:name="_Toc170134099"/>
      <w:bookmarkStart w:id="2" w:name="_Toc405792991"/>
      <w:bookmarkStart w:id="3" w:name="_Toc405793224"/>
      <w:r w:rsidRPr="00447030">
        <w:lastRenderedPageBreak/>
        <w:t>Ministers’ foreword</w:t>
      </w:r>
      <w:bookmarkEnd w:id="1"/>
    </w:p>
    <w:p w14:paraId="402A0A03" w14:textId="231E3F03" w:rsidR="00363713" w:rsidRPr="0084371C" w:rsidRDefault="00363713" w:rsidP="00363713">
      <w:pPr>
        <w:rPr>
          <w:rFonts w:cs="Segoe UI"/>
          <w:szCs w:val="21"/>
        </w:rPr>
      </w:pPr>
      <w:r w:rsidRPr="0084371C">
        <w:rPr>
          <w:rFonts w:cs="Segoe UI"/>
          <w:szCs w:val="21"/>
        </w:rPr>
        <w:t xml:space="preserve">New Zealanders want a health system that is effective and delivers quality care when and where they need it. While our excellent health workforce </w:t>
      </w:r>
      <w:r>
        <w:rPr>
          <w:rFonts w:cs="Segoe UI"/>
          <w:szCs w:val="21"/>
        </w:rPr>
        <w:t>is</w:t>
      </w:r>
      <w:r w:rsidRPr="0084371C">
        <w:rPr>
          <w:rFonts w:cs="Segoe UI"/>
          <w:szCs w:val="21"/>
        </w:rPr>
        <w:t xml:space="preserve"> doing the best they can, our health system is facing a number of significant challenges.</w:t>
      </w:r>
      <w:r>
        <w:rPr>
          <w:rFonts w:cs="Segoe UI"/>
          <w:szCs w:val="21"/>
        </w:rPr>
        <w:t xml:space="preserve"> </w:t>
      </w:r>
      <w:r w:rsidRPr="0084371C">
        <w:rPr>
          <w:rFonts w:cs="Segoe UI"/>
          <w:szCs w:val="21"/>
        </w:rPr>
        <w:t xml:space="preserve">The </w:t>
      </w:r>
      <w:r>
        <w:rPr>
          <w:rFonts w:cs="Segoe UI"/>
          <w:szCs w:val="21"/>
        </w:rPr>
        <w:t>G</w:t>
      </w:r>
      <w:r w:rsidRPr="00473B10">
        <w:rPr>
          <w:rFonts w:cs="Segoe UI"/>
          <w:szCs w:val="21"/>
        </w:rPr>
        <w:t xml:space="preserve">overnment’s vision is </w:t>
      </w:r>
      <w:r w:rsidR="004B5681">
        <w:rPr>
          <w:rFonts w:cs="Segoe UI"/>
          <w:szCs w:val="21"/>
        </w:rPr>
        <w:t xml:space="preserve">to increase life expectancy with quality of life, and </w:t>
      </w:r>
      <w:r w:rsidRPr="00473B10">
        <w:rPr>
          <w:rFonts w:cs="Segoe UI"/>
          <w:szCs w:val="21"/>
        </w:rPr>
        <w:t xml:space="preserve">a health system that provides all New Zealanders with timely access to quality </w:t>
      </w:r>
      <w:r>
        <w:rPr>
          <w:rFonts w:cs="Segoe UI"/>
          <w:szCs w:val="21"/>
        </w:rPr>
        <w:t>health care</w:t>
      </w:r>
      <w:r w:rsidRPr="00473B10">
        <w:rPr>
          <w:rFonts w:cs="Segoe UI"/>
          <w:szCs w:val="21"/>
        </w:rPr>
        <w:t>. To achieve this</w:t>
      </w:r>
      <w:r>
        <w:rPr>
          <w:rFonts w:cs="Segoe UI"/>
          <w:szCs w:val="21"/>
        </w:rPr>
        <w:t>,</w:t>
      </w:r>
      <w:r w:rsidRPr="0084371C">
        <w:rPr>
          <w:rFonts w:cs="Segoe UI"/>
          <w:szCs w:val="21"/>
        </w:rPr>
        <w:t xml:space="preserve"> we have introduced targets for health and mental health that will focus the system on the concrete outcomes it needs to deliver for the people of New Zealand.</w:t>
      </w:r>
    </w:p>
    <w:p w14:paraId="27CEE989" w14:textId="77777777" w:rsidR="00363713" w:rsidRPr="0084371C" w:rsidRDefault="00363713" w:rsidP="00363713">
      <w:pPr>
        <w:rPr>
          <w:rFonts w:cs="Segoe UI"/>
          <w:szCs w:val="21"/>
        </w:rPr>
      </w:pPr>
    </w:p>
    <w:p w14:paraId="47E1FB72" w14:textId="77777777" w:rsidR="00363713" w:rsidRPr="0084371C" w:rsidRDefault="00363713" w:rsidP="00363713">
      <w:pPr>
        <w:rPr>
          <w:rFonts w:cs="Segoe UI"/>
          <w:szCs w:val="21"/>
        </w:rPr>
      </w:pPr>
      <w:r w:rsidRPr="0084371C">
        <w:rPr>
          <w:rFonts w:cs="Segoe UI"/>
          <w:szCs w:val="21"/>
        </w:rPr>
        <w:t>The</w:t>
      </w:r>
      <w:r>
        <w:rPr>
          <w:rFonts w:cs="Segoe UI"/>
          <w:szCs w:val="21"/>
        </w:rPr>
        <w:t xml:space="preserve"> health</w:t>
      </w:r>
      <w:r w:rsidRPr="0084371C">
        <w:rPr>
          <w:rFonts w:cs="Segoe UI"/>
          <w:szCs w:val="21"/>
        </w:rPr>
        <w:t xml:space="preserve"> targets </w:t>
      </w:r>
      <w:r>
        <w:rPr>
          <w:rFonts w:cs="Segoe UI"/>
          <w:szCs w:val="21"/>
        </w:rPr>
        <w:t>focus on</w:t>
      </w:r>
      <w:r w:rsidRPr="0084371C">
        <w:rPr>
          <w:rFonts w:cs="Segoe UI"/>
          <w:szCs w:val="21"/>
        </w:rPr>
        <w:t xml:space="preserve"> faster cancer treatment, improved immunisation rates, shorter stays in emergency departments, shorter wait times for first specialist assessments and shorter wait times for elective treatment.</w:t>
      </w:r>
    </w:p>
    <w:p w14:paraId="4378139D" w14:textId="77777777" w:rsidR="00363713" w:rsidRPr="0084371C" w:rsidRDefault="00363713" w:rsidP="00363713">
      <w:pPr>
        <w:rPr>
          <w:rFonts w:cs="Segoe UI"/>
          <w:szCs w:val="21"/>
        </w:rPr>
      </w:pPr>
    </w:p>
    <w:p w14:paraId="709547A6" w14:textId="77777777" w:rsidR="00363713" w:rsidRPr="00473B10" w:rsidRDefault="00363713" w:rsidP="00363713">
      <w:pPr>
        <w:rPr>
          <w:rFonts w:cs="Segoe UI"/>
          <w:szCs w:val="21"/>
        </w:rPr>
      </w:pPr>
      <w:r w:rsidRPr="007C3346">
        <w:rPr>
          <w:rFonts w:cs="Segoe UI"/>
          <w:szCs w:val="21"/>
        </w:rPr>
        <w:t xml:space="preserve">Mental health, addiction and suicide prevention are </w:t>
      </w:r>
      <w:r>
        <w:rPr>
          <w:rFonts w:cs="Segoe UI"/>
          <w:szCs w:val="21"/>
        </w:rPr>
        <w:t>key</w:t>
      </w:r>
      <w:r w:rsidRPr="007C3346">
        <w:rPr>
          <w:rFonts w:cs="Segoe UI"/>
          <w:szCs w:val="21"/>
        </w:rPr>
        <w:t xml:space="preserve"> priorities for the Government, with the appointment of the first Minister for Mental Health. The mental health and addiction targets focus on faster access to primary and specialist mental health and addiction services, shorter stays in emergency departments for mental health and addiction related presentations, an increase in the mental health and addiction workforce, and </w:t>
      </w:r>
      <w:r>
        <w:rPr>
          <w:rFonts w:cs="Segoe UI"/>
          <w:szCs w:val="21"/>
        </w:rPr>
        <w:t>strengthen the focus on</w:t>
      </w:r>
      <w:r w:rsidRPr="007C3346">
        <w:rPr>
          <w:rFonts w:cs="Segoe UI"/>
          <w:szCs w:val="21"/>
        </w:rPr>
        <w:t xml:space="preserve"> prevention and early intervention.</w:t>
      </w:r>
    </w:p>
    <w:p w14:paraId="29EA8E70" w14:textId="77777777" w:rsidR="00363713" w:rsidRPr="00473B10" w:rsidRDefault="00363713" w:rsidP="00363713">
      <w:pPr>
        <w:rPr>
          <w:rFonts w:cs="Segoe UI"/>
          <w:szCs w:val="21"/>
        </w:rPr>
      </w:pPr>
    </w:p>
    <w:p w14:paraId="26671E27" w14:textId="77777777" w:rsidR="00363713" w:rsidRPr="00473B10" w:rsidRDefault="00363713" w:rsidP="00363713">
      <w:pPr>
        <w:rPr>
          <w:rFonts w:cs="Segoe UI"/>
          <w:szCs w:val="21"/>
        </w:rPr>
      </w:pPr>
      <w:r w:rsidRPr="00473B10">
        <w:rPr>
          <w:rFonts w:cs="Segoe UI"/>
          <w:szCs w:val="21"/>
        </w:rPr>
        <w:t>Th</w:t>
      </w:r>
      <w:r>
        <w:rPr>
          <w:rFonts w:cs="Segoe UI"/>
          <w:szCs w:val="21"/>
        </w:rPr>
        <w:t>is</w:t>
      </w:r>
      <w:r w:rsidRPr="00473B10">
        <w:rPr>
          <w:rFonts w:cs="Segoe UI"/>
          <w:szCs w:val="21"/>
        </w:rPr>
        <w:t xml:space="preserve"> Government Policy Statement </w:t>
      </w:r>
      <w:r>
        <w:rPr>
          <w:rFonts w:cs="Segoe UI"/>
          <w:szCs w:val="21"/>
        </w:rPr>
        <w:t>on</w:t>
      </w:r>
      <w:r w:rsidRPr="00473B10">
        <w:rPr>
          <w:rFonts w:cs="Segoe UI"/>
          <w:szCs w:val="21"/>
        </w:rPr>
        <w:t xml:space="preserve"> Health sets out our objectives and expectations for the health system over the next three years. The objectives and expectations build on the targets and focus on what we want to see across the health system – improved access to health services, more timely access to health services, and </w:t>
      </w:r>
      <w:r>
        <w:rPr>
          <w:rFonts w:cs="Segoe UI"/>
          <w:szCs w:val="21"/>
        </w:rPr>
        <w:t xml:space="preserve">high-quality health </w:t>
      </w:r>
      <w:r w:rsidRPr="00473B10">
        <w:rPr>
          <w:rFonts w:cs="Segoe UI"/>
          <w:szCs w:val="21"/>
        </w:rPr>
        <w:t>services</w:t>
      </w:r>
      <w:r>
        <w:rPr>
          <w:rFonts w:cs="Segoe UI"/>
          <w:szCs w:val="21"/>
        </w:rPr>
        <w:t>.</w:t>
      </w:r>
      <w:r w:rsidRPr="00473B10">
        <w:rPr>
          <w:rFonts w:cs="Segoe UI"/>
          <w:szCs w:val="21"/>
        </w:rPr>
        <w:t xml:space="preserve"> </w:t>
      </w:r>
    </w:p>
    <w:p w14:paraId="5CFC923C" w14:textId="77777777" w:rsidR="00363713" w:rsidRPr="00473B10" w:rsidRDefault="00363713" w:rsidP="00363713">
      <w:pPr>
        <w:rPr>
          <w:rFonts w:cs="Segoe UI"/>
          <w:szCs w:val="21"/>
        </w:rPr>
      </w:pPr>
    </w:p>
    <w:p w14:paraId="6083005B" w14:textId="77777777" w:rsidR="00363713" w:rsidRPr="0084371C" w:rsidRDefault="00363713" w:rsidP="00363713">
      <w:pPr>
        <w:rPr>
          <w:rFonts w:cs="Segoe UI"/>
          <w:szCs w:val="21"/>
        </w:rPr>
      </w:pPr>
      <w:r>
        <w:rPr>
          <w:rFonts w:cs="Segoe UI"/>
          <w:szCs w:val="21"/>
        </w:rPr>
        <w:t xml:space="preserve">To deliver </w:t>
      </w:r>
      <w:r w:rsidRPr="0084371C">
        <w:rPr>
          <w:rFonts w:cs="Segoe UI"/>
          <w:szCs w:val="21"/>
        </w:rPr>
        <w:t xml:space="preserve">services </w:t>
      </w:r>
      <w:r>
        <w:rPr>
          <w:rFonts w:cs="Segoe UI"/>
          <w:szCs w:val="21"/>
        </w:rPr>
        <w:t xml:space="preserve">that </w:t>
      </w:r>
      <w:r w:rsidRPr="0084371C">
        <w:rPr>
          <w:rFonts w:cs="Segoe UI"/>
          <w:szCs w:val="21"/>
        </w:rPr>
        <w:t>people need</w:t>
      </w:r>
      <w:r>
        <w:rPr>
          <w:rFonts w:cs="Segoe UI"/>
          <w:szCs w:val="21"/>
        </w:rPr>
        <w:t>, it is critical</w:t>
      </w:r>
      <w:r w:rsidRPr="00473B10">
        <w:rPr>
          <w:rFonts w:cs="Segoe UI"/>
          <w:szCs w:val="21"/>
        </w:rPr>
        <w:t xml:space="preserve"> for local communities and </w:t>
      </w:r>
      <w:r>
        <w:rPr>
          <w:rFonts w:cs="Segoe UI"/>
          <w:szCs w:val="21"/>
        </w:rPr>
        <w:t>iwi-Māori</w:t>
      </w:r>
      <w:r w:rsidRPr="00852B5B">
        <w:rPr>
          <w:rFonts w:cs="Segoe UI"/>
          <w:szCs w:val="21"/>
        </w:rPr>
        <w:t xml:space="preserve"> to have input into the design and delivery of local services</w:t>
      </w:r>
      <w:r>
        <w:rPr>
          <w:rFonts w:cs="Segoe UI"/>
          <w:szCs w:val="21"/>
        </w:rPr>
        <w:t>. It is</w:t>
      </w:r>
      <w:r w:rsidRPr="00852B5B">
        <w:rPr>
          <w:rFonts w:cs="Segoe UI"/>
          <w:szCs w:val="21"/>
        </w:rPr>
        <w:t xml:space="preserve"> </w:t>
      </w:r>
      <w:r>
        <w:rPr>
          <w:rFonts w:cs="Segoe UI"/>
          <w:szCs w:val="21"/>
        </w:rPr>
        <w:t xml:space="preserve">also important </w:t>
      </w:r>
      <w:r w:rsidRPr="00852B5B">
        <w:rPr>
          <w:rFonts w:cs="Segoe UI"/>
          <w:szCs w:val="21"/>
        </w:rPr>
        <w:t>to</w:t>
      </w:r>
      <w:r>
        <w:rPr>
          <w:rFonts w:cs="Segoe UI"/>
          <w:szCs w:val="21"/>
        </w:rPr>
        <w:t xml:space="preserve"> </w:t>
      </w:r>
      <w:r w:rsidRPr="00852B5B">
        <w:rPr>
          <w:rFonts w:cs="Segoe UI"/>
          <w:szCs w:val="21"/>
        </w:rPr>
        <w:t>embrac</w:t>
      </w:r>
      <w:r>
        <w:rPr>
          <w:rFonts w:cs="Segoe UI"/>
          <w:szCs w:val="21"/>
        </w:rPr>
        <w:t>e</w:t>
      </w:r>
      <w:r w:rsidRPr="00852B5B">
        <w:rPr>
          <w:rFonts w:cs="Segoe UI"/>
          <w:szCs w:val="21"/>
        </w:rPr>
        <w:t xml:space="preserve"> new models and approaches to providing care that leverage technology and innovation to address challenges</w:t>
      </w:r>
      <w:r w:rsidRPr="0084371C">
        <w:rPr>
          <w:rFonts w:cs="Segoe UI"/>
          <w:szCs w:val="21"/>
        </w:rPr>
        <w:t>.</w:t>
      </w:r>
    </w:p>
    <w:p w14:paraId="1CB186DE" w14:textId="77777777" w:rsidR="00363713" w:rsidRPr="0084371C" w:rsidRDefault="00363713" w:rsidP="00363713">
      <w:pPr>
        <w:rPr>
          <w:rFonts w:cs="Segoe UI"/>
          <w:szCs w:val="21"/>
        </w:rPr>
      </w:pPr>
    </w:p>
    <w:p w14:paraId="618FA406" w14:textId="4013E5E5" w:rsidR="00363713" w:rsidRDefault="00363713" w:rsidP="00363713">
      <w:pPr>
        <w:rPr>
          <w:rFonts w:cs="Segoe UI"/>
          <w:szCs w:val="21"/>
        </w:rPr>
      </w:pPr>
      <w:r w:rsidRPr="0084371C">
        <w:rPr>
          <w:rFonts w:cs="Segoe UI"/>
          <w:szCs w:val="21"/>
        </w:rPr>
        <w:t>Th</w:t>
      </w:r>
      <w:r>
        <w:rPr>
          <w:rFonts w:cs="Segoe UI"/>
          <w:szCs w:val="21"/>
        </w:rPr>
        <w:t>is</w:t>
      </w:r>
      <w:r w:rsidRPr="0084371C">
        <w:rPr>
          <w:rFonts w:cs="Segoe UI"/>
          <w:szCs w:val="21"/>
        </w:rPr>
        <w:t xml:space="preserve"> G</w:t>
      </w:r>
      <w:r>
        <w:rPr>
          <w:rFonts w:cs="Segoe UI"/>
          <w:szCs w:val="21"/>
        </w:rPr>
        <w:t>overnment Policy Statement on Health</w:t>
      </w:r>
      <w:r w:rsidRPr="0084371C">
        <w:rPr>
          <w:rFonts w:cs="Segoe UI"/>
          <w:szCs w:val="21"/>
        </w:rPr>
        <w:t xml:space="preserve"> also includes two priorities</w:t>
      </w:r>
      <w:r>
        <w:rPr>
          <w:rFonts w:cs="Segoe UI"/>
          <w:szCs w:val="21"/>
        </w:rPr>
        <w:t xml:space="preserve"> </w:t>
      </w:r>
      <w:r w:rsidRPr="0084371C">
        <w:rPr>
          <w:rFonts w:cs="Segoe UI"/>
          <w:szCs w:val="21"/>
        </w:rPr>
        <w:t>that are essential enablers: workforce and infrastructure. We recognise that</w:t>
      </w:r>
      <w:r>
        <w:rPr>
          <w:rFonts w:cs="Segoe UI"/>
          <w:szCs w:val="21"/>
        </w:rPr>
        <w:t xml:space="preserve"> it is essential to</w:t>
      </w:r>
      <w:r w:rsidRPr="0084371C">
        <w:rPr>
          <w:rFonts w:cs="Segoe UI"/>
          <w:szCs w:val="21"/>
        </w:rPr>
        <w:t xml:space="preserve"> address</w:t>
      </w:r>
      <w:r>
        <w:rPr>
          <w:rFonts w:cs="Segoe UI"/>
          <w:szCs w:val="21"/>
        </w:rPr>
        <w:t xml:space="preserve"> </w:t>
      </w:r>
      <w:r w:rsidRPr="0084371C">
        <w:rPr>
          <w:rFonts w:cs="Segoe UI"/>
          <w:szCs w:val="21"/>
        </w:rPr>
        <w:t>critical health workforce shortages and gaps, along with smart investment to maintain and develop the physical and digital infrastructure t</w:t>
      </w:r>
      <w:r>
        <w:rPr>
          <w:rFonts w:cs="Segoe UI"/>
          <w:szCs w:val="21"/>
        </w:rPr>
        <w:t>hat</w:t>
      </w:r>
      <w:r w:rsidRPr="0084371C">
        <w:rPr>
          <w:rFonts w:cs="Segoe UI"/>
          <w:szCs w:val="21"/>
        </w:rPr>
        <w:t xml:space="preserve"> support</w:t>
      </w:r>
      <w:r>
        <w:rPr>
          <w:rFonts w:cs="Segoe UI"/>
          <w:szCs w:val="21"/>
        </w:rPr>
        <w:t>s</w:t>
      </w:r>
      <w:r w:rsidRPr="0084371C">
        <w:rPr>
          <w:rFonts w:cs="Segoe UI"/>
          <w:szCs w:val="21"/>
        </w:rPr>
        <w:t xml:space="preserve"> an effective health system.</w:t>
      </w:r>
      <w:r>
        <w:rPr>
          <w:rFonts w:cs="Segoe UI"/>
          <w:szCs w:val="21"/>
        </w:rPr>
        <w:t xml:space="preserve"> </w:t>
      </w:r>
      <w:r w:rsidRPr="0084371C">
        <w:rPr>
          <w:rFonts w:cs="Segoe UI"/>
          <w:szCs w:val="21"/>
        </w:rPr>
        <w:t>We acknowledge that some of the expectations will be challenging</w:t>
      </w:r>
      <w:r>
        <w:rPr>
          <w:rFonts w:cs="Segoe UI"/>
          <w:szCs w:val="21"/>
        </w:rPr>
        <w:t xml:space="preserve"> to achieve over a three-year period</w:t>
      </w:r>
      <w:r w:rsidRPr="0084371C">
        <w:rPr>
          <w:rFonts w:cs="Segoe UI"/>
          <w:szCs w:val="21"/>
        </w:rPr>
        <w:t>, but we are committed to achieving better health outcomes for all New Zealanders.</w:t>
      </w:r>
    </w:p>
    <w:p w14:paraId="2E706E92" w14:textId="2BC14FC1" w:rsidR="00447030" w:rsidRPr="0084371C" w:rsidRDefault="00447030" w:rsidP="00447030">
      <w:pPr>
        <w:rPr>
          <w:rFonts w:cs="Segoe UI"/>
          <w:szCs w:val="21"/>
        </w:rPr>
      </w:pPr>
    </w:p>
    <w:p w14:paraId="60E5B179" w14:textId="282843E4" w:rsidR="00C7553D" w:rsidRDefault="00C7553D" w:rsidP="00447030">
      <w:pPr>
        <w:rPr>
          <w:rFonts w:cs="Segoe UI"/>
          <w:szCs w:val="21"/>
        </w:rPr>
      </w:pPr>
    </w:p>
    <w:p w14:paraId="2A4E98C1" w14:textId="45806780" w:rsidR="00447030" w:rsidRDefault="00447030" w:rsidP="00447030">
      <w:pPr>
        <w:rPr>
          <w:rFonts w:cs="Segoe UI"/>
          <w:szCs w:val="21"/>
        </w:rPr>
      </w:pPr>
    </w:p>
    <w:p w14:paraId="043AEA64" w14:textId="5C07AD37" w:rsidR="00B70662" w:rsidRPr="0084371C" w:rsidRDefault="00B70662" w:rsidP="00447030">
      <w:pPr>
        <w:rPr>
          <w:rFonts w:cs="Segoe UI"/>
          <w:szCs w:val="21"/>
        </w:rPr>
      </w:pPr>
    </w:p>
    <w:p w14:paraId="2446E30E" w14:textId="77777777" w:rsidR="00447030" w:rsidRDefault="00447030" w:rsidP="00447030">
      <w:pPr>
        <w:rPr>
          <w:rFonts w:cs="Segoe UI"/>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4040"/>
      </w:tblGrid>
      <w:tr w:rsidR="00447030" w14:paraId="1E046C7C" w14:textId="77777777" w:rsidTr="00C0337C">
        <w:tc>
          <w:tcPr>
            <w:tcW w:w="4508" w:type="dxa"/>
          </w:tcPr>
          <w:p w14:paraId="4E8159BD" w14:textId="77777777" w:rsidR="00447030" w:rsidRDefault="00447030" w:rsidP="00C0337C">
            <w:pPr>
              <w:rPr>
                <w:rFonts w:cs="Segoe UI"/>
                <w:szCs w:val="21"/>
              </w:rPr>
            </w:pPr>
            <w:r w:rsidRPr="0084371C">
              <w:rPr>
                <w:rFonts w:cs="Segoe UI"/>
                <w:szCs w:val="21"/>
              </w:rPr>
              <w:t>Hon Dr Shane</w:t>
            </w:r>
            <w:r>
              <w:rPr>
                <w:rFonts w:cs="Segoe UI"/>
                <w:szCs w:val="21"/>
              </w:rPr>
              <w:t xml:space="preserve"> Reti</w:t>
            </w:r>
          </w:p>
          <w:p w14:paraId="535C96B4" w14:textId="77777777" w:rsidR="00447030" w:rsidRDefault="00447030" w:rsidP="00C0337C">
            <w:pPr>
              <w:rPr>
                <w:rFonts w:cs="Segoe UI"/>
                <w:szCs w:val="21"/>
              </w:rPr>
            </w:pPr>
            <w:r>
              <w:rPr>
                <w:rFonts w:cs="Segoe UI"/>
                <w:szCs w:val="21"/>
              </w:rPr>
              <w:t>Minister of Health</w:t>
            </w:r>
          </w:p>
        </w:tc>
        <w:tc>
          <w:tcPr>
            <w:tcW w:w="4509" w:type="dxa"/>
          </w:tcPr>
          <w:p w14:paraId="220E5893" w14:textId="77777777" w:rsidR="00447030" w:rsidRDefault="00447030" w:rsidP="00C0337C">
            <w:pPr>
              <w:rPr>
                <w:rFonts w:cs="Segoe UI"/>
                <w:szCs w:val="21"/>
              </w:rPr>
            </w:pPr>
            <w:r w:rsidRPr="0084371C">
              <w:rPr>
                <w:rFonts w:cs="Segoe UI"/>
                <w:szCs w:val="21"/>
              </w:rPr>
              <w:t>Hon Matt Doocey</w:t>
            </w:r>
          </w:p>
          <w:p w14:paraId="1B68C96F" w14:textId="77777777" w:rsidR="00447030" w:rsidRDefault="00447030" w:rsidP="00C0337C">
            <w:pPr>
              <w:rPr>
                <w:rFonts w:cs="Segoe UI"/>
                <w:szCs w:val="21"/>
              </w:rPr>
            </w:pPr>
            <w:r w:rsidRPr="0084371C">
              <w:rPr>
                <w:rFonts w:cs="Segoe UI"/>
                <w:szCs w:val="21"/>
              </w:rPr>
              <w:t>Minister for Mental Health</w:t>
            </w:r>
          </w:p>
        </w:tc>
      </w:tr>
    </w:tbl>
    <w:p w14:paraId="3C70FAF9" w14:textId="77777777" w:rsidR="00D662F8" w:rsidRDefault="00D662F8" w:rsidP="0046362D"/>
    <w:p w14:paraId="5558ECEF" w14:textId="77777777" w:rsidR="00571223" w:rsidRDefault="00571223" w:rsidP="0046362D">
      <w:pPr>
        <w:sectPr w:rsidR="00571223" w:rsidSect="001D3E4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648D4F84" w14:textId="77777777" w:rsidR="00C86248" w:rsidRDefault="00C86248" w:rsidP="00025A6F">
      <w:pPr>
        <w:pStyle w:val="IntroHead"/>
      </w:pPr>
      <w:r>
        <w:lastRenderedPageBreak/>
        <w:t>Contents</w:t>
      </w:r>
      <w:bookmarkEnd w:id="2"/>
      <w:bookmarkEnd w:id="3"/>
    </w:p>
    <w:p w14:paraId="13FF5B32" w14:textId="0E89EC8E" w:rsidR="0056189F" w:rsidRDefault="0056189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70134099" w:history="1">
        <w:r w:rsidRPr="009E22BB">
          <w:rPr>
            <w:rStyle w:val="Hyperlink"/>
            <w:noProof/>
          </w:rPr>
          <w:t>Ministers’ foreword</w:t>
        </w:r>
        <w:r>
          <w:rPr>
            <w:noProof/>
            <w:webHidden/>
          </w:rPr>
          <w:tab/>
        </w:r>
        <w:r>
          <w:rPr>
            <w:noProof/>
            <w:webHidden/>
          </w:rPr>
          <w:fldChar w:fldCharType="begin"/>
        </w:r>
        <w:r>
          <w:rPr>
            <w:noProof/>
            <w:webHidden/>
          </w:rPr>
          <w:instrText xml:space="preserve"> PAGEREF _Toc170134099 \h </w:instrText>
        </w:r>
        <w:r>
          <w:rPr>
            <w:noProof/>
            <w:webHidden/>
          </w:rPr>
        </w:r>
        <w:r>
          <w:rPr>
            <w:noProof/>
            <w:webHidden/>
          </w:rPr>
          <w:fldChar w:fldCharType="separate"/>
        </w:r>
        <w:r>
          <w:rPr>
            <w:noProof/>
            <w:webHidden/>
          </w:rPr>
          <w:t>iii</w:t>
        </w:r>
        <w:r>
          <w:rPr>
            <w:noProof/>
            <w:webHidden/>
          </w:rPr>
          <w:fldChar w:fldCharType="end"/>
        </w:r>
      </w:hyperlink>
    </w:p>
    <w:p w14:paraId="465A3A45" w14:textId="446BEC38" w:rsidR="0056189F" w:rsidRDefault="00000000">
      <w:pPr>
        <w:pStyle w:val="TOC1"/>
        <w:rPr>
          <w:rFonts w:asciiTheme="minorHAnsi" w:eastAsiaTheme="minorEastAsia" w:hAnsiTheme="minorHAnsi" w:cstheme="minorBidi"/>
          <w:noProof/>
          <w:sz w:val="22"/>
          <w:szCs w:val="22"/>
          <w:lang w:eastAsia="en-NZ"/>
        </w:rPr>
      </w:pPr>
      <w:hyperlink w:anchor="_Toc170134100" w:history="1">
        <w:r w:rsidR="0056189F" w:rsidRPr="009E22BB">
          <w:rPr>
            <w:rStyle w:val="Hyperlink"/>
            <w:noProof/>
          </w:rPr>
          <w:t>Introduction</w:t>
        </w:r>
        <w:r w:rsidR="0056189F">
          <w:rPr>
            <w:noProof/>
            <w:webHidden/>
          </w:rPr>
          <w:tab/>
        </w:r>
        <w:r w:rsidR="0056189F">
          <w:rPr>
            <w:noProof/>
            <w:webHidden/>
          </w:rPr>
          <w:fldChar w:fldCharType="begin"/>
        </w:r>
        <w:r w:rsidR="0056189F">
          <w:rPr>
            <w:noProof/>
            <w:webHidden/>
          </w:rPr>
          <w:instrText xml:space="preserve"> PAGEREF _Toc170134100 \h </w:instrText>
        </w:r>
        <w:r w:rsidR="0056189F">
          <w:rPr>
            <w:noProof/>
            <w:webHidden/>
          </w:rPr>
        </w:r>
        <w:r w:rsidR="0056189F">
          <w:rPr>
            <w:noProof/>
            <w:webHidden/>
          </w:rPr>
          <w:fldChar w:fldCharType="separate"/>
        </w:r>
        <w:r w:rsidR="0056189F">
          <w:rPr>
            <w:noProof/>
            <w:webHidden/>
          </w:rPr>
          <w:t>1</w:t>
        </w:r>
        <w:r w:rsidR="0056189F">
          <w:rPr>
            <w:noProof/>
            <w:webHidden/>
          </w:rPr>
          <w:fldChar w:fldCharType="end"/>
        </w:r>
      </w:hyperlink>
    </w:p>
    <w:p w14:paraId="0E7A503F" w14:textId="4D15B4B4" w:rsidR="0056189F" w:rsidRDefault="00000000">
      <w:pPr>
        <w:pStyle w:val="TOC2"/>
        <w:rPr>
          <w:rFonts w:asciiTheme="minorHAnsi" w:eastAsiaTheme="minorEastAsia" w:hAnsiTheme="minorHAnsi" w:cstheme="minorBidi"/>
          <w:noProof/>
          <w:szCs w:val="22"/>
          <w:lang w:eastAsia="en-NZ"/>
        </w:rPr>
      </w:pPr>
      <w:hyperlink w:anchor="_Toc170134101" w:history="1">
        <w:r w:rsidR="0056189F" w:rsidRPr="009E22BB">
          <w:rPr>
            <w:rStyle w:val="Hyperlink"/>
            <w:noProof/>
          </w:rPr>
          <w:t>Purpose of the Government Policy Statement on Health</w:t>
        </w:r>
        <w:r w:rsidR="0056189F">
          <w:rPr>
            <w:noProof/>
            <w:webHidden/>
          </w:rPr>
          <w:tab/>
        </w:r>
        <w:r w:rsidR="0056189F">
          <w:rPr>
            <w:noProof/>
            <w:webHidden/>
          </w:rPr>
          <w:fldChar w:fldCharType="begin"/>
        </w:r>
        <w:r w:rsidR="0056189F">
          <w:rPr>
            <w:noProof/>
            <w:webHidden/>
          </w:rPr>
          <w:instrText xml:space="preserve"> PAGEREF _Toc170134101 \h </w:instrText>
        </w:r>
        <w:r w:rsidR="0056189F">
          <w:rPr>
            <w:noProof/>
            <w:webHidden/>
          </w:rPr>
        </w:r>
        <w:r w:rsidR="0056189F">
          <w:rPr>
            <w:noProof/>
            <w:webHidden/>
          </w:rPr>
          <w:fldChar w:fldCharType="separate"/>
        </w:r>
        <w:r w:rsidR="0056189F">
          <w:rPr>
            <w:noProof/>
            <w:webHidden/>
          </w:rPr>
          <w:t>1</w:t>
        </w:r>
        <w:r w:rsidR="0056189F">
          <w:rPr>
            <w:noProof/>
            <w:webHidden/>
          </w:rPr>
          <w:fldChar w:fldCharType="end"/>
        </w:r>
      </w:hyperlink>
    </w:p>
    <w:p w14:paraId="056538F0" w14:textId="384D8149" w:rsidR="0056189F" w:rsidRDefault="00000000">
      <w:pPr>
        <w:pStyle w:val="TOC2"/>
        <w:rPr>
          <w:rFonts w:asciiTheme="minorHAnsi" w:eastAsiaTheme="minorEastAsia" w:hAnsiTheme="minorHAnsi" w:cstheme="minorBidi"/>
          <w:noProof/>
          <w:szCs w:val="22"/>
          <w:lang w:eastAsia="en-NZ"/>
        </w:rPr>
      </w:pPr>
      <w:hyperlink w:anchor="_Toc170134102" w:history="1">
        <w:r w:rsidR="0056189F" w:rsidRPr="009E22BB">
          <w:rPr>
            <w:rStyle w:val="Hyperlink"/>
            <w:noProof/>
          </w:rPr>
          <w:t>The Government’s vision for health in New Zealand</w:t>
        </w:r>
        <w:r w:rsidR="0056189F">
          <w:rPr>
            <w:noProof/>
            <w:webHidden/>
          </w:rPr>
          <w:tab/>
        </w:r>
        <w:r w:rsidR="0056189F">
          <w:rPr>
            <w:noProof/>
            <w:webHidden/>
          </w:rPr>
          <w:fldChar w:fldCharType="begin"/>
        </w:r>
        <w:r w:rsidR="0056189F">
          <w:rPr>
            <w:noProof/>
            <w:webHidden/>
          </w:rPr>
          <w:instrText xml:space="preserve"> PAGEREF _Toc170134102 \h </w:instrText>
        </w:r>
        <w:r w:rsidR="0056189F">
          <w:rPr>
            <w:noProof/>
            <w:webHidden/>
          </w:rPr>
        </w:r>
        <w:r w:rsidR="0056189F">
          <w:rPr>
            <w:noProof/>
            <w:webHidden/>
          </w:rPr>
          <w:fldChar w:fldCharType="separate"/>
        </w:r>
        <w:r w:rsidR="0056189F">
          <w:rPr>
            <w:noProof/>
            <w:webHidden/>
          </w:rPr>
          <w:t>3</w:t>
        </w:r>
        <w:r w:rsidR="0056189F">
          <w:rPr>
            <w:noProof/>
            <w:webHidden/>
          </w:rPr>
          <w:fldChar w:fldCharType="end"/>
        </w:r>
      </w:hyperlink>
    </w:p>
    <w:p w14:paraId="1745FD92" w14:textId="017E5B75" w:rsidR="0056189F" w:rsidRDefault="00000000">
      <w:pPr>
        <w:pStyle w:val="TOC2"/>
        <w:rPr>
          <w:rFonts w:asciiTheme="minorHAnsi" w:eastAsiaTheme="minorEastAsia" w:hAnsiTheme="minorHAnsi" w:cstheme="minorBidi"/>
          <w:noProof/>
          <w:szCs w:val="22"/>
          <w:lang w:eastAsia="en-NZ"/>
        </w:rPr>
      </w:pPr>
      <w:hyperlink w:anchor="_Toc170134103" w:history="1">
        <w:r w:rsidR="0056189F" w:rsidRPr="009E22BB">
          <w:rPr>
            <w:rStyle w:val="Hyperlink"/>
            <w:noProof/>
          </w:rPr>
          <w:t>Priority areas for action over the next three years</w:t>
        </w:r>
        <w:r w:rsidR="0056189F">
          <w:rPr>
            <w:noProof/>
            <w:webHidden/>
          </w:rPr>
          <w:tab/>
        </w:r>
        <w:r w:rsidR="0056189F">
          <w:rPr>
            <w:noProof/>
            <w:webHidden/>
          </w:rPr>
          <w:fldChar w:fldCharType="begin"/>
        </w:r>
        <w:r w:rsidR="0056189F">
          <w:rPr>
            <w:noProof/>
            <w:webHidden/>
          </w:rPr>
          <w:instrText xml:space="preserve"> PAGEREF _Toc170134103 \h </w:instrText>
        </w:r>
        <w:r w:rsidR="0056189F">
          <w:rPr>
            <w:noProof/>
            <w:webHidden/>
          </w:rPr>
        </w:r>
        <w:r w:rsidR="0056189F">
          <w:rPr>
            <w:noProof/>
            <w:webHidden/>
          </w:rPr>
          <w:fldChar w:fldCharType="separate"/>
        </w:r>
        <w:r w:rsidR="0056189F">
          <w:rPr>
            <w:noProof/>
            <w:webHidden/>
          </w:rPr>
          <w:t>6</w:t>
        </w:r>
        <w:r w:rsidR="0056189F">
          <w:rPr>
            <w:noProof/>
            <w:webHidden/>
          </w:rPr>
          <w:fldChar w:fldCharType="end"/>
        </w:r>
      </w:hyperlink>
    </w:p>
    <w:p w14:paraId="731D8E39" w14:textId="014D1215" w:rsidR="0056189F" w:rsidRDefault="00000000">
      <w:pPr>
        <w:pStyle w:val="TOC2"/>
        <w:rPr>
          <w:rFonts w:asciiTheme="minorHAnsi" w:eastAsiaTheme="minorEastAsia" w:hAnsiTheme="minorHAnsi" w:cstheme="minorBidi"/>
          <w:noProof/>
          <w:szCs w:val="22"/>
          <w:lang w:eastAsia="en-NZ"/>
        </w:rPr>
      </w:pPr>
      <w:hyperlink w:anchor="_Toc170134104" w:history="1">
        <w:r w:rsidR="0056189F" w:rsidRPr="009E22BB">
          <w:rPr>
            <w:rStyle w:val="Hyperlink"/>
            <w:noProof/>
          </w:rPr>
          <w:t>Government health priorities for Māori and other populations</w:t>
        </w:r>
        <w:r w:rsidR="0056189F">
          <w:rPr>
            <w:noProof/>
            <w:webHidden/>
          </w:rPr>
          <w:tab/>
        </w:r>
        <w:r w:rsidR="0056189F">
          <w:rPr>
            <w:noProof/>
            <w:webHidden/>
          </w:rPr>
          <w:fldChar w:fldCharType="begin"/>
        </w:r>
        <w:r w:rsidR="0056189F">
          <w:rPr>
            <w:noProof/>
            <w:webHidden/>
          </w:rPr>
          <w:instrText xml:space="preserve"> PAGEREF _Toc170134104 \h </w:instrText>
        </w:r>
        <w:r w:rsidR="0056189F">
          <w:rPr>
            <w:noProof/>
            <w:webHidden/>
          </w:rPr>
        </w:r>
        <w:r w:rsidR="0056189F">
          <w:rPr>
            <w:noProof/>
            <w:webHidden/>
          </w:rPr>
          <w:fldChar w:fldCharType="separate"/>
        </w:r>
        <w:r w:rsidR="0056189F">
          <w:rPr>
            <w:noProof/>
            <w:webHidden/>
          </w:rPr>
          <w:t>8</w:t>
        </w:r>
        <w:r w:rsidR="0056189F">
          <w:rPr>
            <w:noProof/>
            <w:webHidden/>
          </w:rPr>
          <w:fldChar w:fldCharType="end"/>
        </w:r>
      </w:hyperlink>
    </w:p>
    <w:p w14:paraId="4FE605C9" w14:textId="60F40297" w:rsidR="0056189F" w:rsidRDefault="00000000">
      <w:pPr>
        <w:pStyle w:val="TOC2"/>
        <w:rPr>
          <w:rFonts w:asciiTheme="minorHAnsi" w:eastAsiaTheme="minorEastAsia" w:hAnsiTheme="minorHAnsi" w:cstheme="minorBidi"/>
          <w:noProof/>
          <w:szCs w:val="22"/>
          <w:lang w:eastAsia="en-NZ"/>
        </w:rPr>
      </w:pPr>
      <w:hyperlink w:anchor="_Toc170134105" w:history="1">
        <w:r w:rsidR="0056189F" w:rsidRPr="009E22BB">
          <w:rPr>
            <w:rStyle w:val="Hyperlink"/>
            <w:noProof/>
          </w:rPr>
          <w:t>Financial sustainability</w:t>
        </w:r>
        <w:r w:rsidR="0056189F">
          <w:rPr>
            <w:noProof/>
            <w:webHidden/>
          </w:rPr>
          <w:tab/>
        </w:r>
        <w:r w:rsidR="0056189F">
          <w:rPr>
            <w:noProof/>
            <w:webHidden/>
          </w:rPr>
          <w:fldChar w:fldCharType="begin"/>
        </w:r>
        <w:r w:rsidR="0056189F">
          <w:rPr>
            <w:noProof/>
            <w:webHidden/>
          </w:rPr>
          <w:instrText xml:space="preserve"> PAGEREF _Toc170134105 \h </w:instrText>
        </w:r>
        <w:r w:rsidR="0056189F">
          <w:rPr>
            <w:noProof/>
            <w:webHidden/>
          </w:rPr>
        </w:r>
        <w:r w:rsidR="0056189F">
          <w:rPr>
            <w:noProof/>
            <w:webHidden/>
          </w:rPr>
          <w:fldChar w:fldCharType="separate"/>
        </w:r>
        <w:r w:rsidR="0056189F">
          <w:rPr>
            <w:noProof/>
            <w:webHidden/>
          </w:rPr>
          <w:t>10</w:t>
        </w:r>
        <w:r w:rsidR="0056189F">
          <w:rPr>
            <w:noProof/>
            <w:webHidden/>
          </w:rPr>
          <w:fldChar w:fldCharType="end"/>
        </w:r>
      </w:hyperlink>
    </w:p>
    <w:p w14:paraId="4678CB35" w14:textId="0F13E561" w:rsidR="0056189F" w:rsidRDefault="00000000">
      <w:pPr>
        <w:pStyle w:val="TOC1"/>
        <w:rPr>
          <w:rFonts w:asciiTheme="minorHAnsi" w:eastAsiaTheme="minorEastAsia" w:hAnsiTheme="minorHAnsi" w:cstheme="minorBidi"/>
          <w:noProof/>
          <w:sz w:val="22"/>
          <w:szCs w:val="22"/>
          <w:lang w:eastAsia="en-NZ"/>
        </w:rPr>
      </w:pPr>
      <w:hyperlink w:anchor="_Toc170134106" w:history="1">
        <w:r w:rsidR="0056189F" w:rsidRPr="009E22BB">
          <w:rPr>
            <w:rStyle w:val="Hyperlink"/>
            <w:noProof/>
            <w:lang w:eastAsia="en-NZ"/>
          </w:rPr>
          <w:t>Priority area 1: Access</w:t>
        </w:r>
        <w:r w:rsidR="0056189F">
          <w:rPr>
            <w:noProof/>
            <w:webHidden/>
          </w:rPr>
          <w:tab/>
        </w:r>
        <w:r w:rsidR="0056189F">
          <w:rPr>
            <w:noProof/>
            <w:webHidden/>
          </w:rPr>
          <w:fldChar w:fldCharType="begin"/>
        </w:r>
        <w:r w:rsidR="0056189F">
          <w:rPr>
            <w:noProof/>
            <w:webHidden/>
          </w:rPr>
          <w:instrText xml:space="preserve"> PAGEREF _Toc170134106 \h </w:instrText>
        </w:r>
        <w:r w:rsidR="0056189F">
          <w:rPr>
            <w:noProof/>
            <w:webHidden/>
          </w:rPr>
        </w:r>
        <w:r w:rsidR="0056189F">
          <w:rPr>
            <w:noProof/>
            <w:webHidden/>
          </w:rPr>
          <w:fldChar w:fldCharType="separate"/>
        </w:r>
        <w:r w:rsidR="0056189F">
          <w:rPr>
            <w:noProof/>
            <w:webHidden/>
          </w:rPr>
          <w:t>13</w:t>
        </w:r>
        <w:r w:rsidR="0056189F">
          <w:rPr>
            <w:noProof/>
            <w:webHidden/>
          </w:rPr>
          <w:fldChar w:fldCharType="end"/>
        </w:r>
      </w:hyperlink>
    </w:p>
    <w:p w14:paraId="23188C45" w14:textId="5FE06F6F" w:rsidR="0056189F" w:rsidRDefault="00000000">
      <w:pPr>
        <w:pStyle w:val="TOC2"/>
        <w:rPr>
          <w:rFonts w:asciiTheme="minorHAnsi" w:eastAsiaTheme="minorEastAsia" w:hAnsiTheme="minorHAnsi" w:cstheme="minorBidi"/>
          <w:noProof/>
          <w:szCs w:val="22"/>
          <w:lang w:eastAsia="en-NZ"/>
        </w:rPr>
      </w:pPr>
      <w:hyperlink w:anchor="_Toc170134107" w:history="1">
        <w:r w:rsidR="0056189F" w:rsidRPr="009E22BB">
          <w:rPr>
            <w:rStyle w:val="Hyperlink"/>
            <w:noProof/>
          </w:rPr>
          <w:t>Changes expected over the next three years</w:t>
        </w:r>
        <w:r w:rsidR="0056189F">
          <w:rPr>
            <w:noProof/>
            <w:webHidden/>
          </w:rPr>
          <w:tab/>
        </w:r>
        <w:r w:rsidR="0056189F">
          <w:rPr>
            <w:noProof/>
            <w:webHidden/>
          </w:rPr>
          <w:fldChar w:fldCharType="begin"/>
        </w:r>
        <w:r w:rsidR="0056189F">
          <w:rPr>
            <w:noProof/>
            <w:webHidden/>
          </w:rPr>
          <w:instrText xml:space="preserve"> PAGEREF _Toc170134107 \h </w:instrText>
        </w:r>
        <w:r w:rsidR="0056189F">
          <w:rPr>
            <w:noProof/>
            <w:webHidden/>
          </w:rPr>
        </w:r>
        <w:r w:rsidR="0056189F">
          <w:rPr>
            <w:noProof/>
            <w:webHidden/>
          </w:rPr>
          <w:fldChar w:fldCharType="separate"/>
        </w:r>
        <w:r w:rsidR="0056189F">
          <w:rPr>
            <w:noProof/>
            <w:webHidden/>
          </w:rPr>
          <w:t>13</w:t>
        </w:r>
        <w:r w:rsidR="0056189F">
          <w:rPr>
            <w:noProof/>
            <w:webHidden/>
          </w:rPr>
          <w:fldChar w:fldCharType="end"/>
        </w:r>
      </w:hyperlink>
    </w:p>
    <w:p w14:paraId="7FC9E8A3" w14:textId="3D7C4832" w:rsidR="0056189F" w:rsidRDefault="00000000">
      <w:pPr>
        <w:pStyle w:val="TOC2"/>
        <w:rPr>
          <w:rFonts w:asciiTheme="minorHAnsi" w:eastAsiaTheme="minorEastAsia" w:hAnsiTheme="minorHAnsi" w:cstheme="minorBidi"/>
          <w:noProof/>
          <w:szCs w:val="22"/>
          <w:lang w:eastAsia="en-NZ"/>
        </w:rPr>
      </w:pPr>
      <w:hyperlink w:anchor="_Toc170134108" w:history="1">
        <w:r w:rsidR="0056189F" w:rsidRPr="009E22BB">
          <w:rPr>
            <w:rStyle w:val="Hyperlink"/>
            <w:noProof/>
          </w:rPr>
          <w:t>Objectives and expectations for the next three years</w:t>
        </w:r>
        <w:r w:rsidR="0056189F">
          <w:rPr>
            <w:noProof/>
            <w:webHidden/>
          </w:rPr>
          <w:tab/>
        </w:r>
        <w:r w:rsidR="0056189F">
          <w:rPr>
            <w:noProof/>
            <w:webHidden/>
          </w:rPr>
          <w:fldChar w:fldCharType="begin"/>
        </w:r>
        <w:r w:rsidR="0056189F">
          <w:rPr>
            <w:noProof/>
            <w:webHidden/>
          </w:rPr>
          <w:instrText xml:space="preserve"> PAGEREF _Toc170134108 \h </w:instrText>
        </w:r>
        <w:r w:rsidR="0056189F">
          <w:rPr>
            <w:noProof/>
            <w:webHidden/>
          </w:rPr>
        </w:r>
        <w:r w:rsidR="0056189F">
          <w:rPr>
            <w:noProof/>
            <w:webHidden/>
          </w:rPr>
          <w:fldChar w:fldCharType="separate"/>
        </w:r>
        <w:r w:rsidR="0056189F">
          <w:rPr>
            <w:noProof/>
            <w:webHidden/>
          </w:rPr>
          <w:t>14</w:t>
        </w:r>
        <w:r w:rsidR="0056189F">
          <w:rPr>
            <w:noProof/>
            <w:webHidden/>
          </w:rPr>
          <w:fldChar w:fldCharType="end"/>
        </w:r>
      </w:hyperlink>
    </w:p>
    <w:p w14:paraId="7FEEB08B" w14:textId="693FE440" w:rsidR="0056189F" w:rsidRDefault="00000000">
      <w:pPr>
        <w:pStyle w:val="TOC2"/>
        <w:rPr>
          <w:rFonts w:asciiTheme="minorHAnsi" w:eastAsiaTheme="minorEastAsia" w:hAnsiTheme="minorHAnsi" w:cstheme="minorBidi"/>
          <w:noProof/>
          <w:szCs w:val="22"/>
          <w:lang w:eastAsia="en-NZ"/>
        </w:rPr>
      </w:pPr>
      <w:hyperlink w:anchor="_Toc170134109" w:history="1">
        <w:r w:rsidR="0056189F" w:rsidRPr="009E22BB">
          <w:rPr>
            <w:rStyle w:val="Hyperlink"/>
            <w:noProof/>
          </w:rPr>
          <w:t>Measuring success</w:t>
        </w:r>
        <w:r w:rsidR="0056189F">
          <w:rPr>
            <w:noProof/>
            <w:webHidden/>
          </w:rPr>
          <w:tab/>
        </w:r>
        <w:r w:rsidR="0056189F">
          <w:rPr>
            <w:noProof/>
            <w:webHidden/>
          </w:rPr>
          <w:fldChar w:fldCharType="begin"/>
        </w:r>
        <w:r w:rsidR="0056189F">
          <w:rPr>
            <w:noProof/>
            <w:webHidden/>
          </w:rPr>
          <w:instrText xml:space="preserve"> PAGEREF _Toc170134109 \h </w:instrText>
        </w:r>
        <w:r w:rsidR="0056189F">
          <w:rPr>
            <w:noProof/>
            <w:webHidden/>
          </w:rPr>
        </w:r>
        <w:r w:rsidR="0056189F">
          <w:rPr>
            <w:noProof/>
            <w:webHidden/>
          </w:rPr>
          <w:fldChar w:fldCharType="separate"/>
        </w:r>
        <w:r w:rsidR="0056189F">
          <w:rPr>
            <w:noProof/>
            <w:webHidden/>
          </w:rPr>
          <w:t>16</w:t>
        </w:r>
        <w:r w:rsidR="0056189F">
          <w:rPr>
            <w:noProof/>
            <w:webHidden/>
          </w:rPr>
          <w:fldChar w:fldCharType="end"/>
        </w:r>
      </w:hyperlink>
    </w:p>
    <w:p w14:paraId="02F7C41A" w14:textId="0DECF1E0" w:rsidR="0056189F" w:rsidRDefault="00000000">
      <w:pPr>
        <w:pStyle w:val="TOC1"/>
        <w:rPr>
          <w:rFonts w:asciiTheme="minorHAnsi" w:eastAsiaTheme="minorEastAsia" w:hAnsiTheme="minorHAnsi" w:cstheme="minorBidi"/>
          <w:noProof/>
          <w:sz w:val="22"/>
          <w:szCs w:val="22"/>
          <w:lang w:eastAsia="en-NZ"/>
        </w:rPr>
      </w:pPr>
      <w:hyperlink w:anchor="_Toc170134110" w:history="1">
        <w:r w:rsidR="0056189F" w:rsidRPr="009E22BB">
          <w:rPr>
            <w:rStyle w:val="Hyperlink"/>
            <w:noProof/>
          </w:rPr>
          <w:t>Priority area 2: Timeliness</w:t>
        </w:r>
        <w:r w:rsidR="0056189F">
          <w:rPr>
            <w:noProof/>
            <w:webHidden/>
          </w:rPr>
          <w:tab/>
        </w:r>
        <w:r w:rsidR="0056189F">
          <w:rPr>
            <w:noProof/>
            <w:webHidden/>
          </w:rPr>
          <w:fldChar w:fldCharType="begin"/>
        </w:r>
        <w:r w:rsidR="0056189F">
          <w:rPr>
            <w:noProof/>
            <w:webHidden/>
          </w:rPr>
          <w:instrText xml:space="preserve"> PAGEREF _Toc170134110 \h </w:instrText>
        </w:r>
        <w:r w:rsidR="0056189F">
          <w:rPr>
            <w:noProof/>
            <w:webHidden/>
          </w:rPr>
        </w:r>
        <w:r w:rsidR="0056189F">
          <w:rPr>
            <w:noProof/>
            <w:webHidden/>
          </w:rPr>
          <w:fldChar w:fldCharType="separate"/>
        </w:r>
        <w:r w:rsidR="0056189F">
          <w:rPr>
            <w:noProof/>
            <w:webHidden/>
          </w:rPr>
          <w:t>17</w:t>
        </w:r>
        <w:r w:rsidR="0056189F">
          <w:rPr>
            <w:noProof/>
            <w:webHidden/>
          </w:rPr>
          <w:fldChar w:fldCharType="end"/>
        </w:r>
      </w:hyperlink>
    </w:p>
    <w:p w14:paraId="762AD9CE" w14:textId="57DADC9B" w:rsidR="0056189F" w:rsidRDefault="00000000">
      <w:pPr>
        <w:pStyle w:val="TOC2"/>
        <w:rPr>
          <w:rFonts w:asciiTheme="minorHAnsi" w:eastAsiaTheme="minorEastAsia" w:hAnsiTheme="minorHAnsi" w:cstheme="minorBidi"/>
          <w:noProof/>
          <w:szCs w:val="22"/>
          <w:lang w:eastAsia="en-NZ"/>
        </w:rPr>
      </w:pPr>
      <w:hyperlink w:anchor="_Toc170134111" w:history="1">
        <w:r w:rsidR="0056189F" w:rsidRPr="009E22BB">
          <w:rPr>
            <w:rStyle w:val="Hyperlink"/>
            <w:noProof/>
          </w:rPr>
          <w:t>Changes expected over the next three years</w:t>
        </w:r>
        <w:r w:rsidR="0056189F">
          <w:rPr>
            <w:noProof/>
            <w:webHidden/>
          </w:rPr>
          <w:tab/>
        </w:r>
        <w:r w:rsidR="0056189F">
          <w:rPr>
            <w:noProof/>
            <w:webHidden/>
          </w:rPr>
          <w:fldChar w:fldCharType="begin"/>
        </w:r>
        <w:r w:rsidR="0056189F">
          <w:rPr>
            <w:noProof/>
            <w:webHidden/>
          </w:rPr>
          <w:instrText xml:space="preserve"> PAGEREF _Toc170134111 \h </w:instrText>
        </w:r>
        <w:r w:rsidR="0056189F">
          <w:rPr>
            <w:noProof/>
            <w:webHidden/>
          </w:rPr>
        </w:r>
        <w:r w:rsidR="0056189F">
          <w:rPr>
            <w:noProof/>
            <w:webHidden/>
          </w:rPr>
          <w:fldChar w:fldCharType="separate"/>
        </w:r>
        <w:r w:rsidR="0056189F">
          <w:rPr>
            <w:noProof/>
            <w:webHidden/>
          </w:rPr>
          <w:t>17</w:t>
        </w:r>
        <w:r w:rsidR="0056189F">
          <w:rPr>
            <w:noProof/>
            <w:webHidden/>
          </w:rPr>
          <w:fldChar w:fldCharType="end"/>
        </w:r>
      </w:hyperlink>
    </w:p>
    <w:p w14:paraId="64F2B52A" w14:textId="119BD37B" w:rsidR="0056189F" w:rsidRDefault="00000000">
      <w:pPr>
        <w:pStyle w:val="TOC2"/>
        <w:rPr>
          <w:rFonts w:asciiTheme="minorHAnsi" w:eastAsiaTheme="minorEastAsia" w:hAnsiTheme="minorHAnsi" w:cstheme="minorBidi"/>
          <w:noProof/>
          <w:szCs w:val="22"/>
          <w:lang w:eastAsia="en-NZ"/>
        </w:rPr>
      </w:pPr>
      <w:hyperlink w:anchor="_Toc170134112" w:history="1">
        <w:r w:rsidR="0056189F" w:rsidRPr="009E22BB">
          <w:rPr>
            <w:rStyle w:val="Hyperlink"/>
            <w:noProof/>
          </w:rPr>
          <w:t>Objectives and expectations for the next three years</w:t>
        </w:r>
        <w:r w:rsidR="0056189F">
          <w:rPr>
            <w:noProof/>
            <w:webHidden/>
          </w:rPr>
          <w:tab/>
        </w:r>
        <w:r w:rsidR="0056189F">
          <w:rPr>
            <w:noProof/>
            <w:webHidden/>
          </w:rPr>
          <w:fldChar w:fldCharType="begin"/>
        </w:r>
        <w:r w:rsidR="0056189F">
          <w:rPr>
            <w:noProof/>
            <w:webHidden/>
          </w:rPr>
          <w:instrText xml:space="preserve"> PAGEREF _Toc170134112 \h </w:instrText>
        </w:r>
        <w:r w:rsidR="0056189F">
          <w:rPr>
            <w:noProof/>
            <w:webHidden/>
          </w:rPr>
        </w:r>
        <w:r w:rsidR="0056189F">
          <w:rPr>
            <w:noProof/>
            <w:webHidden/>
          </w:rPr>
          <w:fldChar w:fldCharType="separate"/>
        </w:r>
        <w:r w:rsidR="0056189F">
          <w:rPr>
            <w:noProof/>
            <w:webHidden/>
          </w:rPr>
          <w:t>18</w:t>
        </w:r>
        <w:r w:rsidR="0056189F">
          <w:rPr>
            <w:noProof/>
            <w:webHidden/>
          </w:rPr>
          <w:fldChar w:fldCharType="end"/>
        </w:r>
      </w:hyperlink>
    </w:p>
    <w:p w14:paraId="4E1CEA71" w14:textId="3D5EB705" w:rsidR="0056189F" w:rsidRDefault="00000000">
      <w:pPr>
        <w:pStyle w:val="TOC2"/>
        <w:rPr>
          <w:rFonts w:asciiTheme="minorHAnsi" w:eastAsiaTheme="minorEastAsia" w:hAnsiTheme="minorHAnsi" w:cstheme="minorBidi"/>
          <w:noProof/>
          <w:szCs w:val="22"/>
          <w:lang w:eastAsia="en-NZ"/>
        </w:rPr>
      </w:pPr>
      <w:hyperlink w:anchor="_Toc170134113" w:history="1">
        <w:r w:rsidR="0056189F" w:rsidRPr="009E22BB">
          <w:rPr>
            <w:rStyle w:val="Hyperlink"/>
            <w:noProof/>
          </w:rPr>
          <w:t>Measuring success</w:t>
        </w:r>
        <w:r w:rsidR="0056189F">
          <w:rPr>
            <w:noProof/>
            <w:webHidden/>
          </w:rPr>
          <w:tab/>
        </w:r>
        <w:r w:rsidR="0056189F">
          <w:rPr>
            <w:noProof/>
            <w:webHidden/>
          </w:rPr>
          <w:fldChar w:fldCharType="begin"/>
        </w:r>
        <w:r w:rsidR="0056189F">
          <w:rPr>
            <w:noProof/>
            <w:webHidden/>
          </w:rPr>
          <w:instrText xml:space="preserve"> PAGEREF _Toc170134113 \h </w:instrText>
        </w:r>
        <w:r w:rsidR="0056189F">
          <w:rPr>
            <w:noProof/>
            <w:webHidden/>
          </w:rPr>
        </w:r>
        <w:r w:rsidR="0056189F">
          <w:rPr>
            <w:noProof/>
            <w:webHidden/>
          </w:rPr>
          <w:fldChar w:fldCharType="separate"/>
        </w:r>
        <w:r w:rsidR="0056189F">
          <w:rPr>
            <w:noProof/>
            <w:webHidden/>
          </w:rPr>
          <w:t>19</w:t>
        </w:r>
        <w:r w:rsidR="0056189F">
          <w:rPr>
            <w:noProof/>
            <w:webHidden/>
          </w:rPr>
          <w:fldChar w:fldCharType="end"/>
        </w:r>
      </w:hyperlink>
    </w:p>
    <w:p w14:paraId="465AD741" w14:textId="6F716797" w:rsidR="0056189F" w:rsidRDefault="00000000">
      <w:pPr>
        <w:pStyle w:val="TOC1"/>
        <w:rPr>
          <w:rFonts w:asciiTheme="minorHAnsi" w:eastAsiaTheme="minorEastAsia" w:hAnsiTheme="minorHAnsi" w:cstheme="minorBidi"/>
          <w:noProof/>
          <w:sz w:val="22"/>
          <w:szCs w:val="22"/>
          <w:lang w:eastAsia="en-NZ"/>
        </w:rPr>
      </w:pPr>
      <w:hyperlink w:anchor="_Toc170134114" w:history="1">
        <w:r w:rsidR="0056189F" w:rsidRPr="009E22BB">
          <w:rPr>
            <w:rStyle w:val="Hyperlink"/>
            <w:noProof/>
          </w:rPr>
          <w:t>Priority area 3: Quality</w:t>
        </w:r>
        <w:r w:rsidR="0056189F">
          <w:rPr>
            <w:noProof/>
            <w:webHidden/>
          </w:rPr>
          <w:tab/>
        </w:r>
        <w:r w:rsidR="0056189F">
          <w:rPr>
            <w:noProof/>
            <w:webHidden/>
          </w:rPr>
          <w:fldChar w:fldCharType="begin"/>
        </w:r>
        <w:r w:rsidR="0056189F">
          <w:rPr>
            <w:noProof/>
            <w:webHidden/>
          </w:rPr>
          <w:instrText xml:space="preserve"> PAGEREF _Toc170134114 \h </w:instrText>
        </w:r>
        <w:r w:rsidR="0056189F">
          <w:rPr>
            <w:noProof/>
            <w:webHidden/>
          </w:rPr>
        </w:r>
        <w:r w:rsidR="0056189F">
          <w:rPr>
            <w:noProof/>
            <w:webHidden/>
          </w:rPr>
          <w:fldChar w:fldCharType="separate"/>
        </w:r>
        <w:r w:rsidR="0056189F">
          <w:rPr>
            <w:noProof/>
            <w:webHidden/>
          </w:rPr>
          <w:t>20</w:t>
        </w:r>
        <w:r w:rsidR="0056189F">
          <w:rPr>
            <w:noProof/>
            <w:webHidden/>
          </w:rPr>
          <w:fldChar w:fldCharType="end"/>
        </w:r>
      </w:hyperlink>
    </w:p>
    <w:p w14:paraId="2600A92A" w14:textId="285BB02E" w:rsidR="0056189F" w:rsidRDefault="00000000">
      <w:pPr>
        <w:pStyle w:val="TOC2"/>
        <w:rPr>
          <w:rFonts w:asciiTheme="minorHAnsi" w:eastAsiaTheme="minorEastAsia" w:hAnsiTheme="minorHAnsi" w:cstheme="minorBidi"/>
          <w:noProof/>
          <w:szCs w:val="22"/>
          <w:lang w:eastAsia="en-NZ"/>
        </w:rPr>
      </w:pPr>
      <w:hyperlink w:anchor="_Toc170134115" w:history="1">
        <w:r w:rsidR="0056189F" w:rsidRPr="009E22BB">
          <w:rPr>
            <w:rStyle w:val="Hyperlink"/>
            <w:noProof/>
          </w:rPr>
          <w:t>Changes expected over the next three years</w:t>
        </w:r>
        <w:r w:rsidR="0056189F">
          <w:rPr>
            <w:noProof/>
            <w:webHidden/>
          </w:rPr>
          <w:tab/>
        </w:r>
        <w:r w:rsidR="0056189F">
          <w:rPr>
            <w:noProof/>
            <w:webHidden/>
          </w:rPr>
          <w:fldChar w:fldCharType="begin"/>
        </w:r>
        <w:r w:rsidR="0056189F">
          <w:rPr>
            <w:noProof/>
            <w:webHidden/>
          </w:rPr>
          <w:instrText xml:space="preserve"> PAGEREF _Toc170134115 \h </w:instrText>
        </w:r>
        <w:r w:rsidR="0056189F">
          <w:rPr>
            <w:noProof/>
            <w:webHidden/>
          </w:rPr>
        </w:r>
        <w:r w:rsidR="0056189F">
          <w:rPr>
            <w:noProof/>
            <w:webHidden/>
          </w:rPr>
          <w:fldChar w:fldCharType="separate"/>
        </w:r>
        <w:r w:rsidR="0056189F">
          <w:rPr>
            <w:noProof/>
            <w:webHidden/>
          </w:rPr>
          <w:t>21</w:t>
        </w:r>
        <w:r w:rsidR="0056189F">
          <w:rPr>
            <w:noProof/>
            <w:webHidden/>
          </w:rPr>
          <w:fldChar w:fldCharType="end"/>
        </w:r>
      </w:hyperlink>
    </w:p>
    <w:p w14:paraId="02666DDA" w14:textId="4B4F079D" w:rsidR="0056189F" w:rsidRDefault="00000000">
      <w:pPr>
        <w:pStyle w:val="TOC2"/>
        <w:rPr>
          <w:rFonts w:asciiTheme="minorHAnsi" w:eastAsiaTheme="minorEastAsia" w:hAnsiTheme="minorHAnsi" w:cstheme="minorBidi"/>
          <w:noProof/>
          <w:szCs w:val="22"/>
          <w:lang w:eastAsia="en-NZ"/>
        </w:rPr>
      </w:pPr>
      <w:hyperlink w:anchor="_Toc170134116" w:history="1">
        <w:r w:rsidR="0056189F" w:rsidRPr="009E22BB">
          <w:rPr>
            <w:rStyle w:val="Hyperlink"/>
            <w:noProof/>
          </w:rPr>
          <w:t>Objectives and expectations for the next three years</w:t>
        </w:r>
        <w:r w:rsidR="0056189F">
          <w:rPr>
            <w:noProof/>
            <w:webHidden/>
          </w:rPr>
          <w:tab/>
        </w:r>
        <w:r w:rsidR="0056189F">
          <w:rPr>
            <w:noProof/>
            <w:webHidden/>
          </w:rPr>
          <w:fldChar w:fldCharType="begin"/>
        </w:r>
        <w:r w:rsidR="0056189F">
          <w:rPr>
            <w:noProof/>
            <w:webHidden/>
          </w:rPr>
          <w:instrText xml:space="preserve"> PAGEREF _Toc170134116 \h </w:instrText>
        </w:r>
        <w:r w:rsidR="0056189F">
          <w:rPr>
            <w:noProof/>
            <w:webHidden/>
          </w:rPr>
        </w:r>
        <w:r w:rsidR="0056189F">
          <w:rPr>
            <w:noProof/>
            <w:webHidden/>
          </w:rPr>
          <w:fldChar w:fldCharType="separate"/>
        </w:r>
        <w:r w:rsidR="0056189F">
          <w:rPr>
            <w:noProof/>
            <w:webHidden/>
          </w:rPr>
          <w:t>22</w:t>
        </w:r>
        <w:r w:rsidR="0056189F">
          <w:rPr>
            <w:noProof/>
            <w:webHidden/>
          </w:rPr>
          <w:fldChar w:fldCharType="end"/>
        </w:r>
      </w:hyperlink>
    </w:p>
    <w:p w14:paraId="2E910383" w14:textId="28C1CBF1" w:rsidR="0056189F" w:rsidRDefault="00000000">
      <w:pPr>
        <w:pStyle w:val="TOC2"/>
        <w:rPr>
          <w:rFonts w:asciiTheme="minorHAnsi" w:eastAsiaTheme="minorEastAsia" w:hAnsiTheme="minorHAnsi" w:cstheme="minorBidi"/>
          <w:noProof/>
          <w:szCs w:val="22"/>
          <w:lang w:eastAsia="en-NZ"/>
        </w:rPr>
      </w:pPr>
      <w:hyperlink w:anchor="_Toc170134117" w:history="1">
        <w:r w:rsidR="0056189F" w:rsidRPr="009E22BB">
          <w:rPr>
            <w:rStyle w:val="Hyperlink"/>
            <w:noProof/>
          </w:rPr>
          <w:t>Measuring success</w:t>
        </w:r>
        <w:r w:rsidR="0056189F">
          <w:rPr>
            <w:noProof/>
            <w:webHidden/>
          </w:rPr>
          <w:tab/>
        </w:r>
        <w:r w:rsidR="0056189F">
          <w:rPr>
            <w:noProof/>
            <w:webHidden/>
          </w:rPr>
          <w:fldChar w:fldCharType="begin"/>
        </w:r>
        <w:r w:rsidR="0056189F">
          <w:rPr>
            <w:noProof/>
            <w:webHidden/>
          </w:rPr>
          <w:instrText xml:space="preserve"> PAGEREF _Toc170134117 \h </w:instrText>
        </w:r>
        <w:r w:rsidR="0056189F">
          <w:rPr>
            <w:noProof/>
            <w:webHidden/>
          </w:rPr>
        </w:r>
        <w:r w:rsidR="0056189F">
          <w:rPr>
            <w:noProof/>
            <w:webHidden/>
          </w:rPr>
          <w:fldChar w:fldCharType="separate"/>
        </w:r>
        <w:r w:rsidR="0056189F">
          <w:rPr>
            <w:noProof/>
            <w:webHidden/>
          </w:rPr>
          <w:t>23</w:t>
        </w:r>
        <w:r w:rsidR="0056189F">
          <w:rPr>
            <w:noProof/>
            <w:webHidden/>
          </w:rPr>
          <w:fldChar w:fldCharType="end"/>
        </w:r>
      </w:hyperlink>
    </w:p>
    <w:p w14:paraId="0C407EBB" w14:textId="2BFA0D47" w:rsidR="0056189F" w:rsidRDefault="00000000">
      <w:pPr>
        <w:pStyle w:val="TOC1"/>
        <w:rPr>
          <w:rFonts w:asciiTheme="minorHAnsi" w:eastAsiaTheme="minorEastAsia" w:hAnsiTheme="minorHAnsi" w:cstheme="minorBidi"/>
          <w:noProof/>
          <w:sz w:val="22"/>
          <w:szCs w:val="22"/>
          <w:lang w:eastAsia="en-NZ"/>
        </w:rPr>
      </w:pPr>
      <w:hyperlink w:anchor="_Toc170134118" w:history="1">
        <w:r w:rsidR="0056189F" w:rsidRPr="009E22BB">
          <w:rPr>
            <w:rStyle w:val="Hyperlink"/>
            <w:noProof/>
          </w:rPr>
          <w:t>Priority area 4: Workforce</w:t>
        </w:r>
        <w:r w:rsidR="0056189F">
          <w:rPr>
            <w:noProof/>
            <w:webHidden/>
          </w:rPr>
          <w:tab/>
        </w:r>
        <w:r w:rsidR="0056189F">
          <w:rPr>
            <w:noProof/>
            <w:webHidden/>
          </w:rPr>
          <w:fldChar w:fldCharType="begin"/>
        </w:r>
        <w:r w:rsidR="0056189F">
          <w:rPr>
            <w:noProof/>
            <w:webHidden/>
          </w:rPr>
          <w:instrText xml:space="preserve"> PAGEREF _Toc170134118 \h </w:instrText>
        </w:r>
        <w:r w:rsidR="0056189F">
          <w:rPr>
            <w:noProof/>
            <w:webHidden/>
          </w:rPr>
        </w:r>
        <w:r w:rsidR="0056189F">
          <w:rPr>
            <w:noProof/>
            <w:webHidden/>
          </w:rPr>
          <w:fldChar w:fldCharType="separate"/>
        </w:r>
        <w:r w:rsidR="0056189F">
          <w:rPr>
            <w:noProof/>
            <w:webHidden/>
          </w:rPr>
          <w:t>24</w:t>
        </w:r>
        <w:r w:rsidR="0056189F">
          <w:rPr>
            <w:noProof/>
            <w:webHidden/>
          </w:rPr>
          <w:fldChar w:fldCharType="end"/>
        </w:r>
      </w:hyperlink>
    </w:p>
    <w:p w14:paraId="214A70A7" w14:textId="05780E78" w:rsidR="0056189F" w:rsidRDefault="00000000">
      <w:pPr>
        <w:pStyle w:val="TOC2"/>
        <w:rPr>
          <w:rFonts w:asciiTheme="minorHAnsi" w:eastAsiaTheme="minorEastAsia" w:hAnsiTheme="minorHAnsi" w:cstheme="minorBidi"/>
          <w:noProof/>
          <w:szCs w:val="22"/>
          <w:lang w:eastAsia="en-NZ"/>
        </w:rPr>
      </w:pPr>
      <w:hyperlink w:anchor="_Toc170134119" w:history="1">
        <w:r w:rsidR="0056189F" w:rsidRPr="009E22BB">
          <w:rPr>
            <w:rStyle w:val="Hyperlink"/>
            <w:noProof/>
          </w:rPr>
          <w:t>Changes expected over the next three years</w:t>
        </w:r>
        <w:r w:rsidR="0056189F">
          <w:rPr>
            <w:noProof/>
            <w:webHidden/>
          </w:rPr>
          <w:tab/>
        </w:r>
        <w:r w:rsidR="0056189F">
          <w:rPr>
            <w:noProof/>
            <w:webHidden/>
          </w:rPr>
          <w:fldChar w:fldCharType="begin"/>
        </w:r>
        <w:r w:rsidR="0056189F">
          <w:rPr>
            <w:noProof/>
            <w:webHidden/>
          </w:rPr>
          <w:instrText xml:space="preserve"> PAGEREF _Toc170134119 \h </w:instrText>
        </w:r>
        <w:r w:rsidR="0056189F">
          <w:rPr>
            <w:noProof/>
            <w:webHidden/>
          </w:rPr>
        </w:r>
        <w:r w:rsidR="0056189F">
          <w:rPr>
            <w:noProof/>
            <w:webHidden/>
          </w:rPr>
          <w:fldChar w:fldCharType="separate"/>
        </w:r>
        <w:r w:rsidR="0056189F">
          <w:rPr>
            <w:noProof/>
            <w:webHidden/>
          </w:rPr>
          <w:t>25</w:t>
        </w:r>
        <w:r w:rsidR="0056189F">
          <w:rPr>
            <w:noProof/>
            <w:webHidden/>
          </w:rPr>
          <w:fldChar w:fldCharType="end"/>
        </w:r>
      </w:hyperlink>
    </w:p>
    <w:p w14:paraId="3FD06A4B" w14:textId="5068D8FD" w:rsidR="0056189F" w:rsidRDefault="00000000">
      <w:pPr>
        <w:pStyle w:val="TOC2"/>
        <w:rPr>
          <w:rFonts w:asciiTheme="minorHAnsi" w:eastAsiaTheme="minorEastAsia" w:hAnsiTheme="minorHAnsi" w:cstheme="minorBidi"/>
          <w:noProof/>
          <w:szCs w:val="22"/>
          <w:lang w:eastAsia="en-NZ"/>
        </w:rPr>
      </w:pPr>
      <w:hyperlink w:anchor="_Toc170134120" w:history="1">
        <w:r w:rsidR="0056189F" w:rsidRPr="009E22BB">
          <w:rPr>
            <w:rStyle w:val="Hyperlink"/>
            <w:noProof/>
          </w:rPr>
          <w:t>Objectives and expectations for the next three years</w:t>
        </w:r>
        <w:r w:rsidR="0056189F">
          <w:rPr>
            <w:noProof/>
            <w:webHidden/>
          </w:rPr>
          <w:tab/>
        </w:r>
        <w:r w:rsidR="0056189F">
          <w:rPr>
            <w:noProof/>
            <w:webHidden/>
          </w:rPr>
          <w:fldChar w:fldCharType="begin"/>
        </w:r>
        <w:r w:rsidR="0056189F">
          <w:rPr>
            <w:noProof/>
            <w:webHidden/>
          </w:rPr>
          <w:instrText xml:space="preserve"> PAGEREF _Toc170134120 \h </w:instrText>
        </w:r>
        <w:r w:rsidR="0056189F">
          <w:rPr>
            <w:noProof/>
            <w:webHidden/>
          </w:rPr>
        </w:r>
        <w:r w:rsidR="0056189F">
          <w:rPr>
            <w:noProof/>
            <w:webHidden/>
          </w:rPr>
          <w:fldChar w:fldCharType="separate"/>
        </w:r>
        <w:r w:rsidR="0056189F">
          <w:rPr>
            <w:noProof/>
            <w:webHidden/>
          </w:rPr>
          <w:t>26</w:t>
        </w:r>
        <w:r w:rsidR="0056189F">
          <w:rPr>
            <w:noProof/>
            <w:webHidden/>
          </w:rPr>
          <w:fldChar w:fldCharType="end"/>
        </w:r>
      </w:hyperlink>
    </w:p>
    <w:p w14:paraId="398A9EDB" w14:textId="60124482" w:rsidR="0056189F" w:rsidRDefault="00000000">
      <w:pPr>
        <w:pStyle w:val="TOC2"/>
        <w:rPr>
          <w:rFonts w:asciiTheme="minorHAnsi" w:eastAsiaTheme="minorEastAsia" w:hAnsiTheme="minorHAnsi" w:cstheme="minorBidi"/>
          <w:noProof/>
          <w:szCs w:val="22"/>
          <w:lang w:eastAsia="en-NZ"/>
        </w:rPr>
      </w:pPr>
      <w:hyperlink w:anchor="_Toc170134121" w:history="1">
        <w:r w:rsidR="0056189F" w:rsidRPr="009E22BB">
          <w:rPr>
            <w:rStyle w:val="Hyperlink"/>
            <w:noProof/>
          </w:rPr>
          <w:t>Measuring success</w:t>
        </w:r>
        <w:r w:rsidR="0056189F">
          <w:rPr>
            <w:noProof/>
            <w:webHidden/>
          </w:rPr>
          <w:tab/>
        </w:r>
        <w:r w:rsidR="0056189F">
          <w:rPr>
            <w:noProof/>
            <w:webHidden/>
          </w:rPr>
          <w:fldChar w:fldCharType="begin"/>
        </w:r>
        <w:r w:rsidR="0056189F">
          <w:rPr>
            <w:noProof/>
            <w:webHidden/>
          </w:rPr>
          <w:instrText xml:space="preserve"> PAGEREF _Toc170134121 \h </w:instrText>
        </w:r>
        <w:r w:rsidR="0056189F">
          <w:rPr>
            <w:noProof/>
            <w:webHidden/>
          </w:rPr>
        </w:r>
        <w:r w:rsidR="0056189F">
          <w:rPr>
            <w:noProof/>
            <w:webHidden/>
          </w:rPr>
          <w:fldChar w:fldCharType="separate"/>
        </w:r>
        <w:r w:rsidR="0056189F">
          <w:rPr>
            <w:noProof/>
            <w:webHidden/>
          </w:rPr>
          <w:t>27</w:t>
        </w:r>
        <w:r w:rsidR="0056189F">
          <w:rPr>
            <w:noProof/>
            <w:webHidden/>
          </w:rPr>
          <w:fldChar w:fldCharType="end"/>
        </w:r>
      </w:hyperlink>
    </w:p>
    <w:p w14:paraId="15FD08B5" w14:textId="1DFAD091" w:rsidR="0056189F" w:rsidRDefault="00000000">
      <w:pPr>
        <w:pStyle w:val="TOC1"/>
        <w:rPr>
          <w:rFonts w:asciiTheme="minorHAnsi" w:eastAsiaTheme="minorEastAsia" w:hAnsiTheme="minorHAnsi" w:cstheme="minorBidi"/>
          <w:noProof/>
          <w:sz w:val="22"/>
          <w:szCs w:val="22"/>
          <w:lang w:eastAsia="en-NZ"/>
        </w:rPr>
      </w:pPr>
      <w:hyperlink w:anchor="_Toc170134122" w:history="1">
        <w:r w:rsidR="0056189F" w:rsidRPr="009E22BB">
          <w:rPr>
            <w:rStyle w:val="Hyperlink"/>
            <w:noProof/>
          </w:rPr>
          <w:t>Priority area 5: Infrastructure</w:t>
        </w:r>
        <w:r w:rsidR="0056189F">
          <w:rPr>
            <w:noProof/>
            <w:webHidden/>
          </w:rPr>
          <w:tab/>
        </w:r>
        <w:r w:rsidR="0056189F">
          <w:rPr>
            <w:noProof/>
            <w:webHidden/>
          </w:rPr>
          <w:fldChar w:fldCharType="begin"/>
        </w:r>
        <w:r w:rsidR="0056189F">
          <w:rPr>
            <w:noProof/>
            <w:webHidden/>
          </w:rPr>
          <w:instrText xml:space="preserve"> PAGEREF _Toc170134122 \h </w:instrText>
        </w:r>
        <w:r w:rsidR="0056189F">
          <w:rPr>
            <w:noProof/>
            <w:webHidden/>
          </w:rPr>
        </w:r>
        <w:r w:rsidR="0056189F">
          <w:rPr>
            <w:noProof/>
            <w:webHidden/>
          </w:rPr>
          <w:fldChar w:fldCharType="separate"/>
        </w:r>
        <w:r w:rsidR="0056189F">
          <w:rPr>
            <w:noProof/>
            <w:webHidden/>
          </w:rPr>
          <w:t>28</w:t>
        </w:r>
        <w:r w:rsidR="0056189F">
          <w:rPr>
            <w:noProof/>
            <w:webHidden/>
          </w:rPr>
          <w:fldChar w:fldCharType="end"/>
        </w:r>
      </w:hyperlink>
    </w:p>
    <w:p w14:paraId="2743D6BB" w14:textId="05183CE2" w:rsidR="0056189F" w:rsidRDefault="00000000">
      <w:pPr>
        <w:pStyle w:val="TOC2"/>
        <w:rPr>
          <w:rFonts w:asciiTheme="minorHAnsi" w:eastAsiaTheme="minorEastAsia" w:hAnsiTheme="minorHAnsi" w:cstheme="minorBidi"/>
          <w:noProof/>
          <w:szCs w:val="22"/>
          <w:lang w:eastAsia="en-NZ"/>
        </w:rPr>
      </w:pPr>
      <w:hyperlink w:anchor="_Toc170134123" w:history="1">
        <w:r w:rsidR="0056189F" w:rsidRPr="009E22BB">
          <w:rPr>
            <w:rStyle w:val="Hyperlink"/>
            <w:noProof/>
          </w:rPr>
          <w:t>Changes expected over the next three years</w:t>
        </w:r>
        <w:r w:rsidR="0056189F">
          <w:rPr>
            <w:noProof/>
            <w:webHidden/>
          </w:rPr>
          <w:tab/>
        </w:r>
        <w:r w:rsidR="0056189F">
          <w:rPr>
            <w:noProof/>
            <w:webHidden/>
          </w:rPr>
          <w:fldChar w:fldCharType="begin"/>
        </w:r>
        <w:r w:rsidR="0056189F">
          <w:rPr>
            <w:noProof/>
            <w:webHidden/>
          </w:rPr>
          <w:instrText xml:space="preserve"> PAGEREF _Toc170134123 \h </w:instrText>
        </w:r>
        <w:r w:rsidR="0056189F">
          <w:rPr>
            <w:noProof/>
            <w:webHidden/>
          </w:rPr>
        </w:r>
        <w:r w:rsidR="0056189F">
          <w:rPr>
            <w:noProof/>
            <w:webHidden/>
          </w:rPr>
          <w:fldChar w:fldCharType="separate"/>
        </w:r>
        <w:r w:rsidR="0056189F">
          <w:rPr>
            <w:noProof/>
            <w:webHidden/>
          </w:rPr>
          <w:t>28</w:t>
        </w:r>
        <w:r w:rsidR="0056189F">
          <w:rPr>
            <w:noProof/>
            <w:webHidden/>
          </w:rPr>
          <w:fldChar w:fldCharType="end"/>
        </w:r>
      </w:hyperlink>
    </w:p>
    <w:p w14:paraId="709188A4" w14:textId="55AFC0CA" w:rsidR="0056189F" w:rsidRDefault="00000000">
      <w:pPr>
        <w:pStyle w:val="TOC2"/>
        <w:rPr>
          <w:rFonts w:asciiTheme="minorHAnsi" w:eastAsiaTheme="minorEastAsia" w:hAnsiTheme="minorHAnsi" w:cstheme="minorBidi"/>
          <w:noProof/>
          <w:szCs w:val="22"/>
          <w:lang w:eastAsia="en-NZ"/>
        </w:rPr>
      </w:pPr>
      <w:hyperlink w:anchor="_Toc170134124" w:history="1">
        <w:r w:rsidR="0056189F" w:rsidRPr="009E22BB">
          <w:rPr>
            <w:rStyle w:val="Hyperlink"/>
            <w:noProof/>
          </w:rPr>
          <w:t>Objectives and expectations for the next three years</w:t>
        </w:r>
        <w:r w:rsidR="0056189F">
          <w:rPr>
            <w:noProof/>
            <w:webHidden/>
          </w:rPr>
          <w:tab/>
        </w:r>
        <w:r w:rsidR="0056189F">
          <w:rPr>
            <w:noProof/>
            <w:webHidden/>
          </w:rPr>
          <w:fldChar w:fldCharType="begin"/>
        </w:r>
        <w:r w:rsidR="0056189F">
          <w:rPr>
            <w:noProof/>
            <w:webHidden/>
          </w:rPr>
          <w:instrText xml:space="preserve"> PAGEREF _Toc170134124 \h </w:instrText>
        </w:r>
        <w:r w:rsidR="0056189F">
          <w:rPr>
            <w:noProof/>
            <w:webHidden/>
          </w:rPr>
        </w:r>
        <w:r w:rsidR="0056189F">
          <w:rPr>
            <w:noProof/>
            <w:webHidden/>
          </w:rPr>
          <w:fldChar w:fldCharType="separate"/>
        </w:r>
        <w:r w:rsidR="0056189F">
          <w:rPr>
            <w:noProof/>
            <w:webHidden/>
          </w:rPr>
          <w:t>29</w:t>
        </w:r>
        <w:r w:rsidR="0056189F">
          <w:rPr>
            <w:noProof/>
            <w:webHidden/>
          </w:rPr>
          <w:fldChar w:fldCharType="end"/>
        </w:r>
      </w:hyperlink>
    </w:p>
    <w:p w14:paraId="1A33EB13" w14:textId="65F1AA30" w:rsidR="0056189F" w:rsidRDefault="00000000">
      <w:pPr>
        <w:pStyle w:val="TOC2"/>
        <w:rPr>
          <w:rFonts w:asciiTheme="minorHAnsi" w:eastAsiaTheme="minorEastAsia" w:hAnsiTheme="minorHAnsi" w:cstheme="minorBidi"/>
          <w:noProof/>
          <w:szCs w:val="22"/>
          <w:lang w:eastAsia="en-NZ"/>
        </w:rPr>
      </w:pPr>
      <w:hyperlink w:anchor="_Toc170134125" w:history="1">
        <w:r w:rsidR="0056189F" w:rsidRPr="009E22BB">
          <w:rPr>
            <w:rStyle w:val="Hyperlink"/>
            <w:noProof/>
          </w:rPr>
          <w:t>Measuring success</w:t>
        </w:r>
        <w:r w:rsidR="0056189F">
          <w:rPr>
            <w:noProof/>
            <w:webHidden/>
          </w:rPr>
          <w:tab/>
        </w:r>
        <w:r w:rsidR="0056189F">
          <w:rPr>
            <w:noProof/>
            <w:webHidden/>
          </w:rPr>
          <w:fldChar w:fldCharType="begin"/>
        </w:r>
        <w:r w:rsidR="0056189F">
          <w:rPr>
            <w:noProof/>
            <w:webHidden/>
          </w:rPr>
          <w:instrText xml:space="preserve"> PAGEREF _Toc170134125 \h </w:instrText>
        </w:r>
        <w:r w:rsidR="0056189F">
          <w:rPr>
            <w:noProof/>
            <w:webHidden/>
          </w:rPr>
        </w:r>
        <w:r w:rsidR="0056189F">
          <w:rPr>
            <w:noProof/>
            <w:webHidden/>
          </w:rPr>
          <w:fldChar w:fldCharType="separate"/>
        </w:r>
        <w:r w:rsidR="0056189F">
          <w:rPr>
            <w:noProof/>
            <w:webHidden/>
          </w:rPr>
          <w:t>30</w:t>
        </w:r>
        <w:r w:rsidR="0056189F">
          <w:rPr>
            <w:noProof/>
            <w:webHidden/>
          </w:rPr>
          <w:fldChar w:fldCharType="end"/>
        </w:r>
      </w:hyperlink>
    </w:p>
    <w:p w14:paraId="54CDF62B" w14:textId="7A828650" w:rsidR="0056189F" w:rsidRDefault="00000000">
      <w:pPr>
        <w:pStyle w:val="TOC1"/>
        <w:rPr>
          <w:rFonts w:asciiTheme="minorHAnsi" w:eastAsiaTheme="minorEastAsia" w:hAnsiTheme="minorHAnsi" w:cstheme="minorBidi"/>
          <w:noProof/>
          <w:sz w:val="22"/>
          <w:szCs w:val="22"/>
          <w:lang w:eastAsia="en-NZ"/>
        </w:rPr>
      </w:pPr>
      <w:hyperlink w:anchor="_Toc170134126" w:history="1">
        <w:r w:rsidR="0056189F" w:rsidRPr="009E22BB">
          <w:rPr>
            <w:rStyle w:val="Hyperlink"/>
            <w:noProof/>
          </w:rPr>
          <w:t>Technical appendices</w:t>
        </w:r>
        <w:r w:rsidR="0056189F">
          <w:rPr>
            <w:noProof/>
            <w:webHidden/>
          </w:rPr>
          <w:tab/>
        </w:r>
        <w:r w:rsidR="0056189F">
          <w:rPr>
            <w:noProof/>
            <w:webHidden/>
          </w:rPr>
          <w:fldChar w:fldCharType="begin"/>
        </w:r>
        <w:r w:rsidR="0056189F">
          <w:rPr>
            <w:noProof/>
            <w:webHidden/>
          </w:rPr>
          <w:instrText xml:space="preserve"> PAGEREF _Toc170134126 \h </w:instrText>
        </w:r>
        <w:r w:rsidR="0056189F">
          <w:rPr>
            <w:noProof/>
            <w:webHidden/>
          </w:rPr>
        </w:r>
        <w:r w:rsidR="0056189F">
          <w:rPr>
            <w:noProof/>
            <w:webHidden/>
          </w:rPr>
          <w:fldChar w:fldCharType="separate"/>
        </w:r>
        <w:r w:rsidR="0056189F">
          <w:rPr>
            <w:noProof/>
            <w:webHidden/>
          </w:rPr>
          <w:t>31</w:t>
        </w:r>
        <w:r w:rsidR="0056189F">
          <w:rPr>
            <w:noProof/>
            <w:webHidden/>
          </w:rPr>
          <w:fldChar w:fldCharType="end"/>
        </w:r>
      </w:hyperlink>
    </w:p>
    <w:p w14:paraId="7C69A749" w14:textId="691F5107" w:rsidR="0056189F" w:rsidRDefault="00000000">
      <w:pPr>
        <w:pStyle w:val="TOC2"/>
        <w:rPr>
          <w:rFonts w:asciiTheme="minorHAnsi" w:eastAsiaTheme="minorEastAsia" w:hAnsiTheme="minorHAnsi" w:cstheme="minorBidi"/>
          <w:noProof/>
          <w:szCs w:val="22"/>
          <w:lang w:eastAsia="en-NZ"/>
        </w:rPr>
      </w:pPr>
      <w:hyperlink w:anchor="_Toc170134127" w:history="1">
        <w:r w:rsidR="0056189F" w:rsidRPr="009E22BB">
          <w:rPr>
            <w:rStyle w:val="Hyperlink"/>
            <w:noProof/>
          </w:rPr>
          <w:t>Appendix 1: Roles and responsibilities in the health system</w:t>
        </w:r>
        <w:r w:rsidR="0056189F">
          <w:rPr>
            <w:noProof/>
            <w:webHidden/>
          </w:rPr>
          <w:tab/>
        </w:r>
        <w:r w:rsidR="0056189F">
          <w:rPr>
            <w:noProof/>
            <w:webHidden/>
          </w:rPr>
          <w:fldChar w:fldCharType="begin"/>
        </w:r>
        <w:r w:rsidR="0056189F">
          <w:rPr>
            <w:noProof/>
            <w:webHidden/>
          </w:rPr>
          <w:instrText xml:space="preserve"> PAGEREF _Toc170134127 \h </w:instrText>
        </w:r>
        <w:r w:rsidR="0056189F">
          <w:rPr>
            <w:noProof/>
            <w:webHidden/>
          </w:rPr>
        </w:r>
        <w:r w:rsidR="0056189F">
          <w:rPr>
            <w:noProof/>
            <w:webHidden/>
          </w:rPr>
          <w:fldChar w:fldCharType="separate"/>
        </w:r>
        <w:r w:rsidR="0056189F">
          <w:rPr>
            <w:noProof/>
            <w:webHidden/>
          </w:rPr>
          <w:t>32</w:t>
        </w:r>
        <w:r w:rsidR="0056189F">
          <w:rPr>
            <w:noProof/>
            <w:webHidden/>
          </w:rPr>
          <w:fldChar w:fldCharType="end"/>
        </w:r>
      </w:hyperlink>
    </w:p>
    <w:p w14:paraId="7C438949" w14:textId="3C5F48C2" w:rsidR="0056189F" w:rsidRDefault="00000000">
      <w:pPr>
        <w:pStyle w:val="TOC2"/>
        <w:rPr>
          <w:rFonts w:asciiTheme="minorHAnsi" w:eastAsiaTheme="minorEastAsia" w:hAnsiTheme="minorHAnsi" w:cstheme="minorBidi"/>
          <w:noProof/>
          <w:szCs w:val="22"/>
          <w:lang w:eastAsia="en-NZ"/>
        </w:rPr>
      </w:pPr>
      <w:hyperlink w:anchor="_Toc170134128" w:history="1">
        <w:r w:rsidR="0056189F" w:rsidRPr="009E22BB">
          <w:rPr>
            <w:rStyle w:val="Hyperlink"/>
            <w:noProof/>
          </w:rPr>
          <w:t>Appendix 2: Government Policy Statement on Health (GPS) measures</w:t>
        </w:r>
        <w:r w:rsidR="0056189F">
          <w:rPr>
            <w:noProof/>
            <w:webHidden/>
          </w:rPr>
          <w:tab/>
        </w:r>
        <w:r w:rsidR="0056189F">
          <w:rPr>
            <w:noProof/>
            <w:webHidden/>
          </w:rPr>
          <w:fldChar w:fldCharType="begin"/>
        </w:r>
        <w:r w:rsidR="0056189F">
          <w:rPr>
            <w:noProof/>
            <w:webHidden/>
          </w:rPr>
          <w:instrText xml:space="preserve"> PAGEREF _Toc170134128 \h </w:instrText>
        </w:r>
        <w:r w:rsidR="0056189F">
          <w:rPr>
            <w:noProof/>
            <w:webHidden/>
          </w:rPr>
        </w:r>
        <w:r w:rsidR="0056189F">
          <w:rPr>
            <w:noProof/>
            <w:webHidden/>
          </w:rPr>
          <w:fldChar w:fldCharType="separate"/>
        </w:r>
        <w:r w:rsidR="0056189F">
          <w:rPr>
            <w:noProof/>
            <w:webHidden/>
          </w:rPr>
          <w:t>33</w:t>
        </w:r>
        <w:r w:rsidR="0056189F">
          <w:rPr>
            <w:noProof/>
            <w:webHidden/>
          </w:rPr>
          <w:fldChar w:fldCharType="end"/>
        </w:r>
      </w:hyperlink>
    </w:p>
    <w:p w14:paraId="133A9219" w14:textId="45F6B9C5" w:rsidR="00C86248" w:rsidRDefault="0056189F">
      <w:r>
        <w:rPr>
          <w:rFonts w:ascii="Segoe UI Semibold" w:hAnsi="Segoe UI Semibold"/>
          <w:b/>
          <w:sz w:val="24"/>
        </w:rPr>
        <w:fldChar w:fldCharType="end"/>
      </w:r>
    </w:p>
    <w:p w14:paraId="49038387" w14:textId="77777777" w:rsidR="003A5FEA" w:rsidRDefault="003A5FEA" w:rsidP="001D3E4E">
      <w:pPr>
        <w:pStyle w:val="TOC1"/>
        <w:keepNext/>
      </w:pPr>
      <w:r>
        <w:lastRenderedPageBreak/>
        <w:t>List of Figures</w:t>
      </w:r>
    </w:p>
    <w:p w14:paraId="09A67FD0" w14:textId="0CE6E2F3" w:rsidR="0056189F" w:rsidRDefault="0056189F">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70134129" w:history="1">
        <w:r w:rsidRPr="008A5014">
          <w:rPr>
            <w:rStyle w:val="Hyperlink"/>
            <w:noProof/>
          </w:rPr>
          <w:t>Figure 1: The GPS’s position in the system architecture for direction setting, planning and monitoring</w:t>
        </w:r>
        <w:r>
          <w:rPr>
            <w:noProof/>
            <w:webHidden/>
          </w:rPr>
          <w:tab/>
        </w:r>
        <w:r>
          <w:rPr>
            <w:noProof/>
            <w:webHidden/>
          </w:rPr>
          <w:fldChar w:fldCharType="begin"/>
        </w:r>
        <w:r>
          <w:rPr>
            <w:noProof/>
            <w:webHidden/>
          </w:rPr>
          <w:instrText xml:space="preserve"> PAGEREF _Toc170134129 \h </w:instrText>
        </w:r>
        <w:r>
          <w:rPr>
            <w:noProof/>
            <w:webHidden/>
          </w:rPr>
        </w:r>
        <w:r>
          <w:rPr>
            <w:noProof/>
            <w:webHidden/>
          </w:rPr>
          <w:fldChar w:fldCharType="separate"/>
        </w:r>
        <w:r>
          <w:rPr>
            <w:noProof/>
            <w:webHidden/>
          </w:rPr>
          <w:t>2</w:t>
        </w:r>
        <w:r>
          <w:rPr>
            <w:noProof/>
            <w:webHidden/>
          </w:rPr>
          <w:fldChar w:fldCharType="end"/>
        </w:r>
      </w:hyperlink>
    </w:p>
    <w:p w14:paraId="53821119" w14:textId="4F0C236F" w:rsidR="0056189F" w:rsidRDefault="00000000">
      <w:pPr>
        <w:pStyle w:val="TOC3"/>
        <w:rPr>
          <w:rFonts w:asciiTheme="minorHAnsi" w:eastAsiaTheme="minorEastAsia" w:hAnsiTheme="minorHAnsi" w:cstheme="minorBidi"/>
          <w:noProof/>
          <w:sz w:val="22"/>
          <w:szCs w:val="22"/>
          <w:lang w:eastAsia="en-NZ"/>
        </w:rPr>
      </w:pPr>
      <w:hyperlink w:anchor="_Toc170134130" w:history="1">
        <w:r w:rsidR="0056189F" w:rsidRPr="008A5014">
          <w:rPr>
            <w:rStyle w:val="Hyperlink"/>
            <w:noProof/>
          </w:rPr>
          <w:t>Figure 2: Strategic Monitoring Framework</w:t>
        </w:r>
        <w:r w:rsidR="0056189F">
          <w:rPr>
            <w:noProof/>
            <w:webHidden/>
          </w:rPr>
          <w:tab/>
        </w:r>
        <w:r w:rsidR="0056189F">
          <w:rPr>
            <w:noProof/>
            <w:webHidden/>
          </w:rPr>
          <w:fldChar w:fldCharType="begin"/>
        </w:r>
        <w:r w:rsidR="0056189F">
          <w:rPr>
            <w:noProof/>
            <w:webHidden/>
          </w:rPr>
          <w:instrText xml:space="preserve"> PAGEREF _Toc170134130 \h </w:instrText>
        </w:r>
        <w:r w:rsidR="0056189F">
          <w:rPr>
            <w:noProof/>
            <w:webHidden/>
          </w:rPr>
        </w:r>
        <w:r w:rsidR="0056189F">
          <w:rPr>
            <w:noProof/>
            <w:webHidden/>
          </w:rPr>
          <w:fldChar w:fldCharType="separate"/>
        </w:r>
        <w:r w:rsidR="0056189F">
          <w:rPr>
            <w:noProof/>
            <w:webHidden/>
          </w:rPr>
          <w:t>37</w:t>
        </w:r>
        <w:r w:rsidR="0056189F">
          <w:rPr>
            <w:noProof/>
            <w:webHidden/>
          </w:rPr>
          <w:fldChar w:fldCharType="end"/>
        </w:r>
      </w:hyperlink>
    </w:p>
    <w:p w14:paraId="05CC63FD" w14:textId="3FD6D14F" w:rsidR="003A5FEA" w:rsidRDefault="0056189F" w:rsidP="003A5FEA">
      <w:r>
        <w:fldChar w:fldCharType="end"/>
      </w:r>
    </w:p>
    <w:p w14:paraId="0D248541" w14:textId="77777777" w:rsidR="002B76A7" w:rsidRDefault="002B76A7" w:rsidP="002B76A7">
      <w:pPr>
        <w:pStyle w:val="TOC1"/>
        <w:keepNext/>
      </w:pPr>
      <w:r>
        <w:t>List of Tables</w:t>
      </w:r>
    </w:p>
    <w:p w14:paraId="5299A3B8" w14:textId="2F9DEA0E" w:rsidR="0056189F" w:rsidRDefault="0056189F">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70134133" w:history="1">
        <w:r w:rsidRPr="00715F0A">
          <w:rPr>
            <w:rStyle w:val="Hyperlink"/>
            <w:noProof/>
          </w:rPr>
          <w:t xml:space="preserve">Table 1: </w:t>
        </w:r>
        <w:r w:rsidRPr="00715F0A">
          <w:rPr>
            <w:rStyle w:val="Hyperlink"/>
            <w:bCs/>
            <w:noProof/>
          </w:rPr>
          <w:t>Summary table of GPS measures</w:t>
        </w:r>
        <w:r>
          <w:rPr>
            <w:noProof/>
            <w:webHidden/>
          </w:rPr>
          <w:tab/>
        </w:r>
        <w:r>
          <w:rPr>
            <w:noProof/>
            <w:webHidden/>
          </w:rPr>
          <w:fldChar w:fldCharType="begin"/>
        </w:r>
        <w:r>
          <w:rPr>
            <w:noProof/>
            <w:webHidden/>
          </w:rPr>
          <w:instrText xml:space="preserve"> PAGEREF _Toc170134133 \h </w:instrText>
        </w:r>
        <w:r>
          <w:rPr>
            <w:noProof/>
            <w:webHidden/>
          </w:rPr>
        </w:r>
        <w:r>
          <w:rPr>
            <w:noProof/>
            <w:webHidden/>
          </w:rPr>
          <w:fldChar w:fldCharType="separate"/>
        </w:r>
        <w:r>
          <w:rPr>
            <w:noProof/>
            <w:webHidden/>
          </w:rPr>
          <w:t>38</w:t>
        </w:r>
        <w:r>
          <w:rPr>
            <w:noProof/>
            <w:webHidden/>
          </w:rPr>
          <w:fldChar w:fldCharType="end"/>
        </w:r>
      </w:hyperlink>
    </w:p>
    <w:p w14:paraId="6B2AA3AE" w14:textId="28286705" w:rsidR="0056189F" w:rsidRDefault="00000000">
      <w:pPr>
        <w:pStyle w:val="TOC3"/>
        <w:rPr>
          <w:rFonts w:asciiTheme="minorHAnsi" w:eastAsiaTheme="minorEastAsia" w:hAnsiTheme="minorHAnsi" w:cstheme="minorBidi"/>
          <w:noProof/>
          <w:sz w:val="22"/>
          <w:szCs w:val="22"/>
          <w:lang w:eastAsia="en-NZ"/>
        </w:rPr>
      </w:pPr>
      <w:hyperlink w:anchor="_Toc170134134" w:history="1">
        <w:r w:rsidR="0056189F" w:rsidRPr="00715F0A">
          <w:rPr>
            <w:rStyle w:val="Hyperlink"/>
            <w:noProof/>
          </w:rPr>
          <w:t>Table 2: Summary tables of annual performance milestones for health and mental health targets</w:t>
        </w:r>
        <w:r w:rsidR="0056189F">
          <w:rPr>
            <w:noProof/>
            <w:webHidden/>
          </w:rPr>
          <w:tab/>
        </w:r>
        <w:r w:rsidR="0056189F">
          <w:rPr>
            <w:noProof/>
            <w:webHidden/>
          </w:rPr>
          <w:fldChar w:fldCharType="begin"/>
        </w:r>
        <w:r w:rsidR="0056189F">
          <w:rPr>
            <w:noProof/>
            <w:webHidden/>
          </w:rPr>
          <w:instrText xml:space="preserve"> PAGEREF _Toc170134134 \h </w:instrText>
        </w:r>
        <w:r w:rsidR="0056189F">
          <w:rPr>
            <w:noProof/>
            <w:webHidden/>
          </w:rPr>
        </w:r>
        <w:r w:rsidR="0056189F">
          <w:rPr>
            <w:noProof/>
            <w:webHidden/>
          </w:rPr>
          <w:fldChar w:fldCharType="separate"/>
        </w:r>
        <w:r w:rsidR="0056189F">
          <w:rPr>
            <w:noProof/>
            <w:webHidden/>
          </w:rPr>
          <w:t>50</w:t>
        </w:r>
        <w:r w:rsidR="0056189F">
          <w:rPr>
            <w:noProof/>
            <w:webHidden/>
          </w:rPr>
          <w:fldChar w:fldCharType="end"/>
        </w:r>
      </w:hyperlink>
    </w:p>
    <w:p w14:paraId="4A6797B1" w14:textId="5DD6423F" w:rsidR="002B76A7" w:rsidRDefault="0056189F" w:rsidP="003A5FEA">
      <w:r>
        <w:rPr>
          <w:sz w:val="20"/>
        </w:rPr>
        <w:fldChar w:fldCharType="end"/>
      </w:r>
    </w:p>
    <w:p w14:paraId="03333094" w14:textId="77777777" w:rsidR="001D3E4E" w:rsidRDefault="001D3E4E" w:rsidP="003A5FEA">
      <w:pPr>
        <w:sectPr w:rsidR="001D3E4E" w:rsidSect="0078658E">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p>
    <w:p w14:paraId="7F838428" w14:textId="2F895BEE" w:rsidR="009A42D5" w:rsidRPr="00C7553D" w:rsidRDefault="00447030" w:rsidP="00C7553D">
      <w:pPr>
        <w:pStyle w:val="Heading1"/>
        <w:spacing w:before="0"/>
      </w:pPr>
      <w:bookmarkStart w:id="4" w:name="_bookmark4"/>
      <w:bookmarkStart w:id="5" w:name="_Toc170134100"/>
      <w:bookmarkEnd w:id="4"/>
      <w:r w:rsidRPr="00C7553D">
        <w:lastRenderedPageBreak/>
        <w:t>Introduction</w:t>
      </w:r>
      <w:bookmarkEnd w:id="5"/>
    </w:p>
    <w:p w14:paraId="43988BCF" w14:textId="1AB307CF" w:rsidR="00447030" w:rsidRPr="00C7553D" w:rsidRDefault="00447030" w:rsidP="00C7553D">
      <w:pPr>
        <w:pStyle w:val="Heading2"/>
      </w:pPr>
      <w:bookmarkStart w:id="6" w:name="_Toc170134101"/>
      <w:r w:rsidRPr="00C7553D">
        <w:t>Purpose of the Government Policy Statement on Health</w:t>
      </w:r>
      <w:bookmarkEnd w:id="6"/>
    </w:p>
    <w:p w14:paraId="74841C35" w14:textId="77777777" w:rsidR="00363713" w:rsidRDefault="00363713" w:rsidP="00363713">
      <w:pPr>
        <w:rPr>
          <w:rFonts w:cs="Segoe UI"/>
          <w:szCs w:val="21"/>
        </w:rPr>
      </w:pPr>
      <w:r w:rsidRPr="00CF25F9">
        <w:rPr>
          <w:rFonts w:cs="Segoe UI"/>
          <w:szCs w:val="21"/>
        </w:rPr>
        <w:t xml:space="preserve">The Government Policy Statement on Health (GPS) sets </w:t>
      </w:r>
      <w:r>
        <w:rPr>
          <w:rFonts w:cs="Segoe UI"/>
          <w:szCs w:val="21"/>
        </w:rPr>
        <w:t xml:space="preserve">out </w:t>
      </w:r>
      <w:r w:rsidRPr="00CF25F9">
        <w:rPr>
          <w:rFonts w:cs="Segoe UI"/>
          <w:szCs w:val="21"/>
        </w:rPr>
        <w:t>the Government’s priorities</w:t>
      </w:r>
      <w:r>
        <w:rPr>
          <w:rFonts w:cs="Segoe UI"/>
          <w:szCs w:val="21"/>
        </w:rPr>
        <w:t xml:space="preserve"> and objectives</w:t>
      </w:r>
      <w:r w:rsidRPr="00CF25F9">
        <w:rPr>
          <w:rFonts w:cs="Segoe UI"/>
          <w:szCs w:val="21"/>
        </w:rPr>
        <w:t xml:space="preserve"> for the publicly funded health sector in New Zealand</w:t>
      </w:r>
      <w:r>
        <w:rPr>
          <w:rFonts w:cs="Segoe UI"/>
          <w:szCs w:val="21"/>
        </w:rPr>
        <w:t xml:space="preserve"> for the three years from 1 July 2024 to 30 June 2027.</w:t>
      </w:r>
      <w:r w:rsidRPr="00CF25F9">
        <w:rPr>
          <w:rFonts w:cs="Segoe UI"/>
          <w:szCs w:val="21"/>
        </w:rPr>
        <w:t xml:space="preserve"> It is a public statement of what </w:t>
      </w:r>
      <w:r>
        <w:rPr>
          <w:rFonts w:cs="Segoe UI"/>
          <w:szCs w:val="21"/>
        </w:rPr>
        <w:t>the G</w:t>
      </w:r>
      <w:r w:rsidRPr="00CF25F9">
        <w:rPr>
          <w:rFonts w:cs="Segoe UI"/>
          <w:szCs w:val="21"/>
        </w:rPr>
        <w:t xml:space="preserve">overnment expects the health </w:t>
      </w:r>
      <w:r>
        <w:rPr>
          <w:rFonts w:cs="Segoe UI"/>
          <w:szCs w:val="21"/>
        </w:rPr>
        <w:t>system</w:t>
      </w:r>
      <w:r w:rsidRPr="00CF25F9">
        <w:rPr>
          <w:rFonts w:cs="Segoe UI"/>
          <w:szCs w:val="21"/>
        </w:rPr>
        <w:t xml:space="preserve"> to deliver and achieve</w:t>
      </w:r>
      <w:r>
        <w:rPr>
          <w:rFonts w:cs="Segoe UI"/>
          <w:szCs w:val="21"/>
        </w:rPr>
        <w:t xml:space="preserve"> over this period</w:t>
      </w:r>
      <w:r w:rsidRPr="00CF25F9">
        <w:rPr>
          <w:rFonts w:cs="Segoe UI"/>
          <w:szCs w:val="21"/>
        </w:rPr>
        <w:t>, and</w:t>
      </w:r>
      <w:r>
        <w:rPr>
          <w:rFonts w:cs="Segoe UI"/>
          <w:szCs w:val="21"/>
        </w:rPr>
        <w:t xml:space="preserve"> sets out</w:t>
      </w:r>
      <w:r w:rsidRPr="00CF25F9">
        <w:rPr>
          <w:rFonts w:cs="Segoe UI"/>
          <w:szCs w:val="21"/>
        </w:rPr>
        <w:t xml:space="preserve"> how progress will be measured</w:t>
      </w:r>
      <w:r>
        <w:rPr>
          <w:rFonts w:cs="Segoe UI"/>
          <w:szCs w:val="21"/>
        </w:rPr>
        <w:t>,</w:t>
      </w:r>
      <w:r w:rsidRPr="00CF25F9">
        <w:rPr>
          <w:rFonts w:cs="Segoe UI"/>
          <w:szCs w:val="21"/>
        </w:rPr>
        <w:t xml:space="preserve"> monitored</w:t>
      </w:r>
      <w:r>
        <w:rPr>
          <w:rFonts w:cs="Segoe UI"/>
          <w:szCs w:val="21"/>
        </w:rPr>
        <w:t xml:space="preserve"> and reported on</w:t>
      </w:r>
      <w:r w:rsidRPr="00CF25F9">
        <w:rPr>
          <w:rFonts w:cs="Segoe UI"/>
          <w:szCs w:val="21"/>
        </w:rPr>
        <w:t>.</w:t>
      </w:r>
    </w:p>
    <w:p w14:paraId="0B3B14FE" w14:textId="77777777" w:rsidR="00363713" w:rsidRDefault="00363713" w:rsidP="00363713">
      <w:pPr>
        <w:rPr>
          <w:rFonts w:cs="Segoe UI"/>
          <w:szCs w:val="21"/>
        </w:rPr>
      </w:pPr>
    </w:p>
    <w:p w14:paraId="74A111F0" w14:textId="77777777" w:rsidR="00363713" w:rsidRDefault="00363713" w:rsidP="00363713">
      <w:pPr>
        <w:rPr>
          <w:rFonts w:cs="Segoe UI"/>
          <w:szCs w:val="21"/>
        </w:rPr>
      </w:pPr>
      <w:r w:rsidRPr="002D0800">
        <w:rPr>
          <w:rFonts w:cs="Segoe UI"/>
          <w:szCs w:val="21"/>
        </w:rPr>
        <w:t>In line with the requirements set out in the Pae Ora (Healthy Futures) Act 2022 (Pae Ora Act), the GPS</w:t>
      </w:r>
      <w:r>
        <w:rPr>
          <w:rFonts w:cs="Segoe UI"/>
          <w:szCs w:val="21"/>
        </w:rPr>
        <w:t xml:space="preserve"> sets</w:t>
      </w:r>
      <w:r w:rsidRPr="002D0800">
        <w:rPr>
          <w:rFonts w:cs="Segoe UI"/>
          <w:szCs w:val="21"/>
        </w:rPr>
        <w:t xml:space="preserve"> the Government’s priorities for </w:t>
      </w:r>
      <w:r>
        <w:rPr>
          <w:rFonts w:cs="Segoe UI"/>
          <w:szCs w:val="21"/>
        </w:rPr>
        <w:t>improving health outcomes for all New Zealanders, including those with the highest need. This includes priorities for the</w:t>
      </w:r>
      <w:r w:rsidRPr="002D0800">
        <w:rPr>
          <w:rFonts w:cs="Segoe UI"/>
          <w:szCs w:val="21"/>
        </w:rPr>
        <w:t xml:space="preserve"> </w:t>
      </w:r>
      <w:r>
        <w:rPr>
          <w:rFonts w:cs="Segoe UI"/>
          <w:szCs w:val="21"/>
        </w:rPr>
        <w:t xml:space="preserve">population groups consistent with </w:t>
      </w:r>
      <w:r w:rsidRPr="001011EF">
        <w:rPr>
          <w:rFonts w:cs="Segoe UI"/>
          <w:szCs w:val="21"/>
        </w:rPr>
        <w:t>the</w:t>
      </w:r>
      <w:r>
        <w:rPr>
          <w:rFonts w:cs="Segoe UI"/>
          <w:szCs w:val="21"/>
        </w:rPr>
        <w:t xml:space="preserve"> Pae Ora Act</w:t>
      </w:r>
      <w:r w:rsidDel="00415035">
        <w:rPr>
          <w:rFonts w:cs="Segoe UI"/>
          <w:szCs w:val="21"/>
        </w:rPr>
        <w:t xml:space="preserve"> </w:t>
      </w:r>
      <w:r>
        <w:rPr>
          <w:rFonts w:cs="Segoe UI"/>
          <w:szCs w:val="21"/>
        </w:rPr>
        <w:t>health strategies:</w:t>
      </w:r>
      <w:r w:rsidDel="007303EA">
        <w:rPr>
          <w:rFonts w:cs="Segoe UI"/>
          <w:szCs w:val="21"/>
        </w:rPr>
        <w:t xml:space="preserve"> </w:t>
      </w:r>
      <w:r w:rsidRPr="002D0800">
        <w:rPr>
          <w:rFonts w:cs="Segoe UI"/>
          <w:szCs w:val="21"/>
        </w:rPr>
        <w:t xml:space="preserve">Māori, Pacific peoples, disabled people, women, and people living </w:t>
      </w:r>
      <w:r>
        <w:rPr>
          <w:rFonts w:cs="Segoe UI"/>
          <w:szCs w:val="21"/>
        </w:rPr>
        <w:t>in rural communities</w:t>
      </w:r>
      <w:r w:rsidRPr="002D0800">
        <w:rPr>
          <w:rFonts w:cs="Segoe UI"/>
          <w:szCs w:val="21"/>
        </w:rPr>
        <w:t xml:space="preserve">. </w:t>
      </w:r>
      <w:r>
        <w:rPr>
          <w:rFonts w:cs="Segoe UI"/>
          <w:szCs w:val="21"/>
        </w:rPr>
        <w:t xml:space="preserve">In improving health outcomes for all New Zealanders health entities also need to ensure they engage with, and their services are appropriate for, diverse groups of New Zealanders, including ethnic communities and rainbow populations. </w:t>
      </w:r>
    </w:p>
    <w:p w14:paraId="623A10D5" w14:textId="77777777" w:rsidR="00363713" w:rsidRDefault="00363713" w:rsidP="00363713">
      <w:pPr>
        <w:rPr>
          <w:rFonts w:cs="Segoe UI"/>
          <w:szCs w:val="21"/>
        </w:rPr>
      </w:pPr>
    </w:p>
    <w:p w14:paraId="68A4A3E7" w14:textId="30DF90C2" w:rsidR="00363713" w:rsidRDefault="00363713" w:rsidP="00363713">
      <w:pPr>
        <w:rPr>
          <w:rFonts w:cs="Segoe UI"/>
        </w:rPr>
      </w:pPr>
      <w:r w:rsidRPr="5600DA2C">
        <w:rPr>
          <w:rFonts w:cs="Segoe UI"/>
        </w:rPr>
        <w:t xml:space="preserve">The Government is committed to improving the health and wellbeing of Māori by continuing to implement </w:t>
      </w:r>
      <w:hyperlink r:id="rId26" w:history="1">
        <w:r w:rsidRPr="00AE33AD">
          <w:rPr>
            <w:rStyle w:val="Hyperlink"/>
          </w:rPr>
          <w:t>Pae Tū: Hauora Māori Strategy</w:t>
        </w:r>
      </w:hyperlink>
      <w:r w:rsidRPr="00504E04">
        <w:rPr>
          <w:rStyle w:val="Hyperlink"/>
          <w:b w:val="0"/>
          <w:bCs/>
        </w:rPr>
        <w:t>, and</w:t>
      </w:r>
      <w:r w:rsidRPr="00AE33AD">
        <w:rPr>
          <w:rStyle w:val="Hyperlink"/>
        </w:rPr>
        <w:t xml:space="preserve"> </w:t>
      </w:r>
      <w:hyperlink r:id="rId27" w:history="1">
        <w:r w:rsidRPr="00AE33AD">
          <w:rPr>
            <w:rStyle w:val="Hyperlink"/>
          </w:rPr>
          <w:t>Whakamaua: Māori Health Action Plan 2020–2025</w:t>
        </w:r>
      </w:hyperlink>
      <w:r w:rsidRPr="000376E2">
        <w:rPr>
          <w:rFonts w:cs="Segoe UI"/>
          <w:b/>
          <w:bCs/>
          <w:i/>
        </w:rPr>
        <w:t xml:space="preserve"> </w:t>
      </w:r>
      <w:r>
        <w:t>in a pathway to consolidating and further focusing Māori health outcomes</w:t>
      </w:r>
      <w:r w:rsidRPr="5600DA2C">
        <w:rPr>
          <w:rFonts w:cs="Segoe UI"/>
        </w:rPr>
        <w:t xml:space="preserve">. </w:t>
      </w:r>
    </w:p>
    <w:p w14:paraId="309D7FA2" w14:textId="77777777" w:rsidR="00447030" w:rsidRDefault="00447030" w:rsidP="00447030">
      <w:pPr>
        <w:rPr>
          <w:rFonts w:cs="Segoe UI"/>
        </w:rPr>
      </w:pPr>
    </w:p>
    <w:p w14:paraId="73F4BE3C" w14:textId="77777777" w:rsidR="00010BA2" w:rsidRDefault="00010BA2" w:rsidP="00010BA2">
      <w:pPr>
        <w:rPr>
          <w:rFonts w:cs="Segoe UI"/>
          <w:szCs w:val="21"/>
        </w:rPr>
      </w:pPr>
      <w:r>
        <w:rPr>
          <w:rFonts w:cs="Segoe UI"/>
          <w:szCs w:val="21"/>
        </w:rPr>
        <w:t xml:space="preserve">The Pae Ora </w:t>
      </w:r>
      <w:r w:rsidRPr="001011EF">
        <w:rPr>
          <w:rFonts w:cs="Segoe UI"/>
          <w:szCs w:val="21"/>
        </w:rPr>
        <w:t xml:space="preserve">Act </w:t>
      </w:r>
      <w:r>
        <w:rPr>
          <w:rFonts w:cs="Segoe UI"/>
          <w:szCs w:val="21"/>
        </w:rPr>
        <w:t xml:space="preserve">strategies set out a longer-term direction over a 10-year horizon, and inform the priorities and expectations for the GPS from the views of communities. The GPS communicates what the Government will be delivering over the next three years, while the New Zealand Health Plan sets out how this will be delivered. </w:t>
      </w:r>
    </w:p>
    <w:p w14:paraId="0F32F3BE" w14:textId="77777777" w:rsidR="00010BA2" w:rsidRDefault="00010BA2" w:rsidP="00010BA2">
      <w:pPr>
        <w:rPr>
          <w:rFonts w:cs="Segoe UI"/>
          <w:szCs w:val="21"/>
        </w:rPr>
      </w:pPr>
    </w:p>
    <w:p w14:paraId="30BD81E3" w14:textId="77777777" w:rsidR="00010BA2" w:rsidRDefault="00010BA2" w:rsidP="00010BA2">
      <w:pPr>
        <w:rPr>
          <w:rFonts w:cs="Segoe UI"/>
        </w:rPr>
      </w:pPr>
      <w:r w:rsidRPr="60FF85DB">
        <w:rPr>
          <w:rFonts w:cs="Segoe UI"/>
        </w:rPr>
        <w:t>Four health entities must give effect to the GPS: Health New Zealand</w:t>
      </w:r>
      <w:r>
        <w:rPr>
          <w:rFonts w:cs="Segoe UI"/>
        </w:rPr>
        <w:t xml:space="preserve">, </w:t>
      </w:r>
      <w:r w:rsidRPr="60FF85DB">
        <w:rPr>
          <w:rFonts w:cs="Segoe UI"/>
        </w:rPr>
        <w:t>Health Quality and Safety Commission</w:t>
      </w:r>
      <w:r>
        <w:rPr>
          <w:rFonts w:cs="Segoe UI"/>
        </w:rPr>
        <w:t xml:space="preserve"> (HQSC)</w:t>
      </w:r>
      <w:r w:rsidRPr="60FF85DB">
        <w:rPr>
          <w:rFonts w:cs="Segoe UI"/>
        </w:rPr>
        <w:t>, Phar</w:t>
      </w:r>
      <w:r>
        <w:rPr>
          <w:rFonts w:cs="Segoe UI"/>
        </w:rPr>
        <w:t>maceutical Management Agency (Pharmac),</w:t>
      </w:r>
      <w:r w:rsidRPr="60FF85DB">
        <w:rPr>
          <w:rFonts w:cs="Segoe UI"/>
        </w:rPr>
        <w:t xml:space="preserve"> and New Zealand Blood and Organ Service</w:t>
      </w:r>
      <w:r>
        <w:rPr>
          <w:rFonts w:cs="Segoe UI"/>
        </w:rPr>
        <w:t xml:space="preserve"> (NZBOS)</w:t>
      </w:r>
      <w:r w:rsidRPr="60FF85DB">
        <w:rPr>
          <w:rFonts w:cs="Segoe UI"/>
        </w:rPr>
        <w:t xml:space="preserve">. The roles and responsibilities </w:t>
      </w:r>
      <w:r w:rsidRPr="7D79C996">
        <w:rPr>
          <w:rFonts w:cs="Segoe UI"/>
        </w:rPr>
        <w:t>of</w:t>
      </w:r>
      <w:r w:rsidRPr="60FF85DB">
        <w:rPr>
          <w:rFonts w:cs="Segoe UI"/>
        </w:rPr>
        <w:t xml:space="preserve"> these health entities, and other key agencies</w:t>
      </w:r>
      <w:r>
        <w:rPr>
          <w:rFonts w:cs="Segoe UI"/>
        </w:rPr>
        <w:t>,</w:t>
      </w:r>
      <w:r w:rsidRPr="60FF85DB">
        <w:rPr>
          <w:rFonts w:cs="Segoe UI"/>
        </w:rPr>
        <w:t xml:space="preserve"> are set out in </w:t>
      </w:r>
      <w:r w:rsidRPr="00010BA2">
        <w:rPr>
          <w:rFonts w:cs="Segoe UI"/>
          <w:bCs/>
        </w:rPr>
        <w:t>Appendix 1</w:t>
      </w:r>
      <w:r w:rsidRPr="60FF85DB">
        <w:rPr>
          <w:rFonts w:cs="Segoe UI"/>
        </w:rPr>
        <w:t>.</w:t>
      </w:r>
    </w:p>
    <w:p w14:paraId="712CAE57" w14:textId="77777777" w:rsidR="00010BA2" w:rsidRDefault="00010BA2" w:rsidP="00010BA2">
      <w:pPr>
        <w:rPr>
          <w:rFonts w:cs="Segoe UI"/>
          <w:szCs w:val="21"/>
        </w:rPr>
      </w:pPr>
    </w:p>
    <w:p w14:paraId="3B91396E" w14:textId="77777777" w:rsidR="00C7553D" w:rsidRDefault="00010BA2" w:rsidP="00447030">
      <w:pPr>
        <w:rPr>
          <w:rFonts w:cs="Segoe UI"/>
          <w:szCs w:val="21"/>
        </w:rPr>
        <w:sectPr w:rsidR="00C7553D" w:rsidSect="00447030">
          <w:footerReference w:type="even" r:id="rId28"/>
          <w:footerReference w:type="default" r:id="rId29"/>
          <w:pgSz w:w="11907" w:h="16840" w:code="9"/>
          <w:pgMar w:top="1418" w:right="1701" w:bottom="1134" w:left="1843" w:header="284" w:footer="425" w:gutter="284"/>
          <w:pgNumType w:start="1"/>
          <w:cols w:space="720"/>
        </w:sectPr>
      </w:pPr>
      <w:bookmarkStart w:id="7" w:name="_Hlk165899522"/>
      <w:r>
        <w:rPr>
          <w:rFonts w:cs="Segoe UI"/>
          <w:szCs w:val="21"/>
        </w:rPr>
        <w:t xml:space="preserve">The GPS sets parameters for the New Zealand Health Plan, </w:t>
      </w:r>
      <w:r w:rsidRPr="00776E2D">
        <w:t xml:space="preserve">a </w:t>
      </w:r>
      <w:r>
        <w:t>three</w:t>
      </w:r>
      <w:r w:rsidRPr="00776E2D">
        <w:t xml:space="preserve">-year costed plan for the delivery of publicly funded </w:t>
      </w:r>
      <w:r>
        <w:t xml:space="preserve">health </w:t>
      </w:r>
      <w:r w:rsidRPr="00776E2D">
        <w:t>services</w:t>
      </w:r>
      <w:r>
        <w:t xml:space="preserve"> by Health New Zealand. The GPS </w:t>
      </w:r>
      <w:r w:rsidRPr="00CF25F9">
        <w:rPr>
          <w:rFonts w:cs="Segoe UI"/>
          <w:szCs w:val="21"/>
        </w:rPr>
        <w:t xml:space="preserve">forms an important part of how Ministers, Parliament and the public will hold </w:t>
      </w:r>
      <w:r>
        <w:rPr>
          <w:rFonts w:cs="Segoe UI"/>
          <w:szCs w:val="21"/>
        </w:rPr>
        <w:t>Health New Zealand</w:t>
      </w:r>
      <w:r w:rsidRPr="00CF25F9">
        <w:rPr>
          <w:rFonts w:cs="Segoe UI"/>
          <w:szCs w:val="21"/>
        </w:rPr>
        <w:t xml:space="preserve"> to account</w:t>
      </w:r>
      <w:r>
        <w:rPr>
          <w:rFonts w:cs="Segoe UI"/>
          <w:szCs w:val="21"/>
        </w:rPr>
        <w:t xml:space="preserve"> for its performance.</w:t>
      </w:r>
      <w:bookmarkEnd w:id="7"/>
    </w:p>
    <w:p w14:paraId="595AE69F" w14:textId="751F3527" w:rsidR="00447030" w:rsidRDefault="00447030" w:rsidP="00447030">
      <w:pPr>
        <w:pStyle w:val="Figure"/>
      </w:pPr>
      <w:bookmarkStart w:id="8" w:name="_Toc170134129"/>
      <w:r>
        <w:lastRenderedPageBreak/>
        <w:t xml:space="preserve">Figure </w:t>
      </w:r>
      <w:fldSimple w:instr=" SEQ Figure \* ARABIC ">
        <w:r w:rsidR="00D0364A">
          <w:rPr>
            <w:noProof/>
          </w:rPr>
          <w:t>1</w:t>
        </w:r>
      </w:fldSimple>
      <w:r>
        <w:t xml:space="preserve">: </w:t>
      </w:r>
      <w:r w:rsidRPr="00447030">
        <w:t>The GPS’s position in the system architecture for direction setting, planning and monitoring</w:t>
      </w:r>
      <w:bookmarkEnd w:id="8"/>
    </w:p>
    <w:p w14:paraId="556AA9DA" w14:textId="68A8D776" w:rsidR="00363713" w:rsidRDefault="00363713" w:rsidP="00447030">
      <w:pPr>
        <w:rPr>
          <w:rFonts w:cs="Segoe UI"/>
          <w:szCs w:val="21"/>
        </w:rPr>
      </w:pPr>
      <w:r>
        <w:rPr>
          <w:noProof/>
        </w:rPr>
        <w:drawing>
          <wp:inline distT="0" distB="0" distL="0" distR="0" wp14:anchorId="7F1E38FC" wp14:editId="684B58ED">
            <wp:extent cx="5078361" cy="3364523"/>
            <wp:effectExtent l="0" t="0" r="8255" b="7620"/>
            <wp:docPr id="4" name="Picture 4" descr="Ongoing: monitoring; Every three years: Government Policy Statement and NZ Health Plan; and Every 5-10 years: Health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going: monitoring; Every three years: Government Policy Statement and NZ Health Plan; and Every 5-10 years: Health strategies"/>
                    <pic:cNvPicPr/>
                  </pic:nvPicPr>
                  <pic:blipFill rotWithShape="1">
                    <a:blip r:embed="rId30">
                      <a:extLst>
                        <a:ext uri="{28A0092B-C50C-407E-A947-70E740481C1C}">
                          <a14:useLocalDpi xmlns:a14="http://schemas.microsoft.com/office/drawing/2010/main" val="0"/>
                        </a:ext>
                      </a:extLst>
                    </a:blip>
                    <a:srcRect l="16567" t="15429" r="17728" b="7216"/>
                    <a:stretch/>
                  </pic:blipFill>
                  <pic:spPr bwMode="auto">
                    <a:xfrm>
                      <a:off x="0" y="0"/>
                      <a:ext cx="5161506" cy="3419609"/>
                    </a:xfrm>
                    <a:prstGeom prst="rect">
                      <a:avLst/>
                    </a:prstGeom>
                    <a:ln>
                      <a:noFill/>
                    </a:ln>
                    <a:extLst>
                      <a:ext uri="{53640926-AAD7-44D8-BBD7-CCE9431645EC}">
                        <a14:shadowObscured xmlns:a14="http://schemas.microsoft.com/office/drawing/2010/main"/>
                      </a:ext>
                    </a:extLst>
                  </pic:spPr>
                </pic:pic>
              </a:graphicData>
            </a:graphic>
          </wp:inline>
        </w:drawing>
      </w:r>
    </w:p>
    <w:p w14:paraId="2465DB19" w14:textId="77777777" w:rsidR="00363713" w:rsidRDefault="00363713" w:rsidP="00447030">
      <w:pPr>
        <w:rPr>
          <w:rFonts w:cs="Segoe UI"/>
          <w:szCs w:val="21"/>
        </w:rPr>
      </w:pPr>
    </w:p>
    <w:p w14:paraId="39523839" w14:textId="77777777" w:rsidR="00363713" w:rsidRDefault="00363713" w:rsidP="00363713">
      <w:pPr>
        <w:rPr>
          <w:rFonts w:cs="Segoe UI"/>
          <w:szCs w:val="21"/>
        </w:rPr>
      </w:pPr>
      <w:bookmarkStart w:id="9" w:name="_Toc159407472"/>
    </w:p>
    <w:p w14:paraId="2243AC83" w14:textId="17711D21" w:rsidR="00363713" w:rsidRDefault="00363713" w:rsidP="00363713">
      <w:pPr>
        <w:rPr>
          <w:rFonts w:cs="Segoe UI"/>
          <w:szCs w:val="21"/>
        </w:rPr>
      </w:pPr>
      <w:r w:rsidRPr="00317823">
        <w:rPr>
          <w:rFonts w:cs="Segoe UI"/>
          <w:szCs w:val="21"/>
        </w:rPr>
        <w:t>The GPS mandates the Government’s Minimum Service Coverage Expectations for publicly funded health services for eligible people</w:t>
      </w:r>
      <w:r>
        <w:rPr>
          <w:rFonts w:cs="Segoe UI"/>
          <w:szCs w:val="21"/>
        </w:rPr>
        <w:t xml:space="preserve">, available on the Ministry of Health’s website: </w:t>
      </w:r>
      <w:hyperlink r:id="rId31" w:history="1">
        <w:r w:rsidRPr="00010BA2">
          <w:rPr>
            <w:rStyle w:val="Hyperlink"/>
            <w:rFonts w:cs="Segoe UI"/>
            <w:b w:val="0"/>
            <w:bCs/>
            <w:szCs w:val="21"/>
          </w:rPr>
          <w:t>health.govt.nz/accountability-arrangements</w:t>
        </w:r>
      </w:hyperlink>
      <w:r>
        <w:rPr>
          <w:rFonts w:cs="Segoe UI"/>
          <w:szCs w:val="21"/>
        </w:rPr>
        <w:t>.</w:t>
      </w:r>
      <w:r w:rsidRPr="004D22A3" w:rsidDel="00CD1B09">
        <w:rPr>
          <w:rFonts w:cs="Segoe UI"/>
          <w:szCs w:val="21"/>
        </w:rPr>
        <w:t xml:space="preserve"> </w:t>
      </w:r>
      <w:r>
        <w:rPr>
          <w:rFonts w:cs="Segoe UI"/>
          <w:szCs w:val="21"/>
        </w:rPr>
        <w:t>T</w:t>
      </w:r>
      <w:r w:rsidRPr="00317823">
        <w:rPr>
          <w:rFonts w:cs="Segoe UI"/>
          <w:szCs w:val="21"/>
        </w:rPr>
        <w:t xml:space="preserve">hose minimum service coverage expectations are maintained. The GPS also confirms ongoing expectations for the health sector </w:t>
      </w:r>
      <w:r>
        <w:rPr>
          <w:rFonts w:cs="Segoe UI"/>
          <w:szCs w:val="21"/>
        </w:rPr>
        <w:t>already set by legislation,</w:t>
      </w:r>
      <w:r w:rsidRPr="00317823">
        <w:rPr>
          <w:rFonts w:cs="Segoe UI"/>
          <w:szCs w:val="21"/>
        </w:rPr>
        <w:t xml:space="preserve"> Cabinet or through ministerial decisions as well as key New Zealand </w:t>
      </w:r>
      <w:r>
        <w:rPr>
          <w:rFonts w:cs="Segoe UI"/>
          <w:szCs w:val="21"/>
        </w:rPr>
        <w:t>s</w:t>
      </w:r>
      <w:r w:rsidRPr="00317823">
        <w:rPr>
          <w:rFonts w:cs="Segoe UI"/>
          <w:szCs w:val="21"/>
        </w:rPr>
        <w:t xml:space="preserve">tandards </w:t>
      </w:r>
      <w:r>
        <w:rPr>
          <w:rFonts w:cs="Segoe UI"/>
          <w:szCs w:val="21"/>
        </w:rPr>
        <w:t xml:space="preserve">that </w:t>
      </w:r>
      <w:r w:rsidRPr="00317823">
        <w:rPr>
          <w:rFonts w:cs="Segoe UI"/>
          <w:szCs w:val="21"/>
        </w:rPr>
        <w:t>apply to health</w:t>
      </w:r>
      <w:r>
        <w:rPr>
          <w:rFonts w:cs="Segoe UI"/>
          <w:szCs w:val="21"/>
        </w:rPr>
        <w:t xml:space="preserve"> care</w:t>
      </w:r>
      <w:r w:rsidRPr="00317823">
        <w:rPr>
          <w:rFonts w:cs="Segoe UI"/>
          <w:szCs w:val="21"/>
        </w:rPr>
        <w:t>.</w:t>
      </w:r>
    </w:p>
    <w:p w14:paraId="5C0B9D98" w14:textId="77777777" w:rsidR="009E6853" w:rsidRDefault="009E6853" w:rsidP="00C7553D">
      <w:r>
        <w:br w:type="page"/>
      </w:r>
    </w:p>
    <w:p w14:paraId="61BBC3FB" w14:textId="5894B5B4" w:rsidR="00447030" w:rsidRPr="00CF25F9" w:rsidRDefault="00447030" w:rsidP="00447030">
      <w:pPr>
        <w:pStyle w:val="Heading2"/>
      </w:pPr>
      <w:bookmarkStart w:id="10" w:name="_Toc170134102"/>
      <w:r>
        <w:lastRenderedPageBreak/>
        <w:t>The Government’s vision for health in New Zealand</w:t>
      </w:r>
      <w:bookmarkEnd w:id="9"/>
      <w:bookmarkEnd w:id="10"/>
    </w:p>
    <w:p w14:paraId="7D7E22F5" w14:textId="77777777" w:rsidR="00363713" w:rsidRDefault="00363713" w:rsidP="00363713">
      <w:pPr>
        <w:rPr>
          <w:rFonts w:cs="Segoe UI"/>
          <w:szCs w:val="21"/>
        </w:rPr>
      </w:pPr>
      <w:r>
        <w:rPr>
          <w:rFonts w:cs="Segoe UI"/>
          <w:szCs w:val="21"/>
        </w:rPr>
        <w:t xml:space="preserve">The core purpose of the health system is to protect, promote, and improve the health and wellbeing of New Zealanders. </w:t>
      </w:r>
    </w:p>
    <w:p w14:paraId="6B0FFF5F" w14:textId="77777777" w:rsidR="00363713" w:rsidRDefault="00363713" w:rsidP="00363713">
      <w:pPr>
        <w:rPr>
          <w:rFonts w:cs="Segoe UI"/>
          <w:szCs w:val="21"/>
        </w:rPr>
      </w:pPr>
    </w:p>
    <w:p w14:paraId="5FC4CEC7" w14:textId="77777777" w:rsidR="00363713" w:rsidRDefault="00363713" w:rsidP="00363713">
      <w:pPr>
        <w:rPr>
          <w:rFonts w:cs="Segoe UI"/>
          <w:b/>
          <w:bCs/>
          <w:szCs w:val="21"/>
        </w:rPr>
      </w:pPr>
      <w:r>
        <w:rPr>
          <w:rFonts w:cs="Segoe UI"/>
          <w:szCs w:val="21"/>
        </w:rPr>
        <w:t xml:space="preserve">The </w:t>
      </w:r>
      <w:r w:rsidRPr="0036719F">
        <w:rPr>
          <w:rFonts w:cs="Segoe UI"/>
          <w:szCs w:val="21"/>
        </w:rPr>
        <w:t xml:space="preserve">long-term vision for </w:t>
      </w:r>
      <w:r>
        <w:rPr>
          <w:rFonts w:cs="Segoe UI"/>
          <w:szCs w:val="21"/>
        </w:rPr>
        <w:t xml:space="preserve">health and wellbeing is </w:t>
      </w:r>
      <w:r w:rsidRPr="00860EDE">
        <w:rPr>
          <w:rFonts w:cs="Segoe UI"/>
          <w:b/>
          <w:bCs/>
          <w:szCs w:val="21"/>
        </w:rPr>
        <w:t>to achieve longer life expectancy and improved quality of life</w:t>
      </w:r>
      <w:r>
        <w:rPr>
          <w:rFonts w:cs="Segoe UI"/>
          <w:b/>
          <w:bCs/>
          <w:szCs w:val="21"/>
        </w:rPr>
        <w:t xml:space="preserve"> for all New Zealanders. </w:t>
      </w:r>
    </w:p>
    <w:p w14:paraId="1C3D9E75" w14:textId="77777777" w:rsidR="00363713" w:rsidRDefault="00363713" w:rsidP="00363713">
      <w:pPr>
        <w:rPr>
          <w:rFonts w:cs="Segoe UI"/>
          <w:b/>
          <w:bCs/>
          <w:szCs w:val="21"/>
        </w:rPr>
      </w:pPr>
    </w:p>
    <w:p w14:paraId="02F4B324" w14:textId="77777777" w:rsidR="00363713" w:rsidRDefault="00363713" w:rsidP="00363713">
      <w:pPr>
        <w:rPr>
          <w:rFonts w:cs="Segoe UI"/>
          <w:szCs w:val="21"/>
        </w:rPr>
      </w:pPr>
      <w:r>
        <w:rPr>
          <w:rFonts w:cs="Segoe UI"/>
          <w:szCs w:val="21"/>
        </w:rPr>
        <w:t xml:space="preserve">The Government is focused on </w:t>
      </w:r>
      <w:r>
        <w:rPr>
          <w:rFonts w:cs="Segoe UI"/>
          <w:b/>
          <w:bCs/>
          <w:szCs w:val="21"/>
        </w:rPr>
        <w:t xml:space="preserve">achieving </w:t>
      </w:r>
      <w:r w:rsidRPr="001F75A6">
        <w:rPr>
          <w:rFonts w:cs="Segoe UI"/>
          <w:b/>
          <w:bCs/>
          <w:szCs w:val="21"/>
        </w:rPr>
        <w:t xml:space="preserve">timely access to quality </w:t>
      </w:r>
      <w:r>
        <w:rPr>
          <w:rFonts w:cs="Segoe UI"/>
          <w:b/>
          <w:bCs/>
          <w:szCs w:val="21"/>
        </w:rPr>
        <w:t>health care</w:t>
      </w:r>
      <w:r w:rsidRPr="00694EB6">
        <w:rPr>
          <w:rFonts w:cs="Segoe UI"/>
          <w:szCs w:val="21"/>
        </w:rPr>
        <w:t>.</w:t>
      </w:r>
      <w:r>
        <w:rPr>
          <w:rFonts w:cs="Segoe UI"/>
          <w:szCs w:val="21"/>
        </w:rPr>
        <w:t xml:space="preserve"> This includes both mental and physical health.</w:t>
      </w:r>
    </w:p>
    <w:p w14:paraId="00892E3E" w14:textId="77777777" w:rsidR="00363713" w:rsidRDefault="00363713" w:rsidP="00363713">
      <w:pPr>
        <w:rPr>
          <w:rFonts w:cs="Segoe UI"/>
          <w:szCs w:val="21"/>
        </w:rPr>
      </w:pPr>
    </w:p>
    <w:p w14:paraId="29BFC2EA" w14:textId="77777777" w:rsidR="00363713" w:rsidRDefault="00363713" w:rsidP="00363713">
      <w:pPr>
        <w:rPr>
          <w:rFonts w:cs="Segoe UI"/>
          <w:szCs w:val="21"/>
        </w:rPr>
      </w:pPr>
      <w:r>
        <w:rPr>
          <w:rFonts w:cs="Segoe UI"/>
          <w:szCs w:val="21"/>
        </w:rPr>
        <w:t xml:space="preserve">The Government has identified five health targets and five mental health and addiction targets to ensure a focus on action. The five health targets are: </w:t>
      </w:r>
    </w:p>
    <w:p w14:paraId="3CA552EF" w14:textId="77777777" w:rsidR="00363713" w:rsidRPr="00C8641A" w:rsidRDefault="00363713" w:rsidP="00363713">
      <w:pPr>
        <w:pStyle w:val="Bullet"/>
        <w:rPr>
          <w:lang w:eastAsia="en-NZ"/>
        </w:rPr>
      </w:pPr>
      <w:r w:rsidRPr="00C8641A">
        <w:rPr>
          <w:b/>
          <w:lang w:eastAsia="en-NZ"/>
        </w:rPr>
        <w:t xml:space="preserve">Faster cancer treatment </w:t>
      </w:r>
      <w:r w:rsidRPr="00C8641A">
        <w:rPr>
          <w:lang w:eastAsia="en-NZ"/>
        </w:rPr>
        <w:t>– 90</w:t>
      </w:r>
      <w:r>
        <w:rPr>
          <w:lang w:eastAsia="en-NZ"/>
        </w:rPr>
        <w:t>%</w:t>
      </w:r>
      <w:r w:rsidRPr="00C8641A">
        <w:rPr>
          <w:lang w:eastAsia="en-NZ"/>
        </w:rPr>
        <w:t xml:space="preserve"> of patients to receive cancer management within 31 days of the decision to treat.</w:t>
      </w:r>
    </w:p>
    <w:p w14:paraId="2D6B6FE8" w14:textId="77777777" w:rsidR="00363713" w:rsidRPr="00C8641A" w:rsidRDefault="00363713" w:rsidP="00363713">
      <w:pPr>
        <w:pStyle w:val="Bullet"/>
        <w:rPr>
          <w:lang w:eastAsia="en-NZ"/>
        </w:rPr>
      </w:pPr>
      <w:r w:rsidRPr="00C8641A">
        <w:rPr>
          <w:b/>
          <w:lang w:eastAsia="en-NZ"/>
        </w:rPr>
        <w:t xml:space="preserve">Improved immunisation for children </w:t>
      </w:r>
      <w:r w:rsidRPr="00C8641A">
        <w:rPr>
          <w:lang w:eastAsia="en-NZ"/>
        </w:rPr>
        <w:t>–</w:t>
      </w:r>
      <w:r w:rsidRPr="00C8641A">
        <w:rPr>
          <w:b/>
          <w:lang w:eastAsia="en-NZ"/>
        </w:rPr>
        <w:t xml:space="preserve"> </w:t>
      </w:r>
      <w:r w:rsidRPr="00C8641A">
        <w:rPr>
          <w:lang w:eastAsia="en-NZ"/>
        </w:rPr>
        <w:t>95</w:t>
      </w:r>
      <w:r>
        <w:rPr>
          <w:lang w:eastAsia="en-NZ"/>
        </w:rPr>
        <w:t>%</w:t>
      </w:r>
      <w:r w:rsidRPr="00C8641A">
        <w:rPr>
          <w:lang w:eastAsia="en-NZ"/>
        </w:rPr>
        <w:t xml:space="preserve"> of children to be fully immunised at 24 months of age.</w:t>
      </w:r>
    </w:p>
    <w:p w14:paraId="0DB0E79C" w14:textId="77777777" w:rsidR="00363713" w:rsidRPr="00C8641A" w:rsidRDefault="00363713" w:rsidP="00363713">
      <w:pPr>
        <w:pStyle w:val="Bullet"/>
        <w:rPr>
          <w:lang w:eastAsia="en-NZ"/>
        </w:rPr>
      </w:pPr>
      <w:r w:rsidRPr="00C8641A">
        <w:rPr>
          <w:b/>
          <w:lang w:eastAsia="en-NZ"/>
        </w:rPr>
        <w:t xml:space="preserve">Shorter stays in emergency departments </w:t>
      </w:r>
      <w:r w:rsidRPr="00C8641A">
        <w:rPr>
          <w:lang w:eastAsia="en-NZ"/>
        </w:rPr>
        <w:t>– 95</w:t>
      </w:r>
      <w:r>
        <w:rPr>
          <w:lang w:eastAsia="en-NZ"/>
        </w:rPr>
        <w:t>%</w:t>
      </w:r>
      <w:r w:rsidRPr="00C8641A">
        <w:rPr>
          <w:lang w:eastAsia="en-NZ"/>
        </w:rPr>
        <w:t xml:space="preserve"> of patients to be admitted, discharged, or transferred from an </w:t>
      </w:r>
      <w:r>
        <w:rPr>
          <w:lang w:eastAsia="en-NZ"/>
        </w:rPr>
        <w:t>emergency department</w:t>
      </w:r>
      <w:r w:rsidRPr="00C8641A">
        <w:rPr>
          <w:lang w:eastAsia="en-NZ"/>
        </w:rPr>
        <w:t xml:space="preserve"> within six hours.</w:t>
      </w:r>
    </w:p>
    <w:p w14:paraId="56B1F45B" w14:textId="71A240F1" w:rsidR="00363713" w:rsidRDefault="00363713" w:rsidP="00363713">
      <w:pPr>
        <w:pStyle w:val="Bullet"/>
        <w:rPr>
          <w:lang w:eastAsia="en-NZ"/>
        </w:rPr>
      </w:pPr>
      <w:r w:rsidRPr="00C8641A">
        <w:rPr>
          <w:b/>
          <w:lang w:eastAsia="en-NZ"/>
        </w:rPr>
        <w:t xml:space="preserve">Shorter wait times for first specialist assessment </w:t>
      </w:r>
      <w:r w:rsidRPr="00C8641A">
        <w:rPr>
          <w:lang w:eastAsia="en-NZ"/>
        </w:rPr>
        <w:t>– 95</w:t>
      </w:r>
      <w:r>
        <w:rPr>
          <w:lang w:eastAsia="en-NZ"/>
        </w:rPr>
        <w:t>%</w:t>
      </w:r>
      <w:r w:rsidRPr="00C8641A">
        <w:rPr>
          <w:lang w:eastAsia="en-NZ"/>
        </w:rPr>
        <w:t xml:space="preserve"> of patients to wait less than four months for a </w:t>
      </w:r>
      <w:r>
        <w:rPr>
          <w:lang w:eastAsia="en-NZ"/>
        </w:rPr>
        <w:t>first specialist assessment</w:t>
      </w:r>
      <w:r w:rsidRPr="00C8641A">
        <w:rPr>
          <w:lang w:eastAsia="en-NZ"/>
        </w:rPr>
        <w:t>.</w:t>
      </w:r>
    </w:p>
    <w:p w14:paraId="78A25390" w14:textId="5B5D1C0A" w:rsidR="00363713" w:rsidRDefault="00363713" w:rsidP="00363713">
      <w:pPr>
        <w:pStyle w:val="Bullet"/>
      </w:pPr>
      <w:r w:rsidRPr="00C8641A">
        <w:rPr>
          <w:b/>
          <w:lang w:eastAsia="en-NZ"/>
        </w:rPr>
        <w:t>Shorter wait times for treatment</w:t>
      </w:r>
      <w:r w:rsidRPr="00C8641A">
        <w:rPr>
          <w:lang w:eastAsia="en-NZ"/>
        </w:rPr>
        <w:t xml:space="preserve"> – 95</w:t>
      </w:r>
      <w:r>
        <w:rPr>
          <w:lang w:eastAsia="en-NZ"/>
        </w:rPr>
        <w:t>%</w:t>
      </w:r>
      <w:r w:rsidRPr="00C8641A">
        <w:rPr>
          <w:lang w:eastAsia="en-NZ"/>
        </w:rPr>
        <w:t xml:space="preserve"> of patients to wait less than four months for elective treatment.</w:t>
      </w:r>
    </w:p>
    <w:p w14:paraId="1E098267" w14:textId="77777777" w:rsidR="00363713" w:rsidRPr="00C8641A" w:rsidRDefault="00363713" w:rsidP="00363713"/>
    <w:p w14:paraId="390EEFBF" w14:textId="77777777" w:rsidR="00363713" w:rsidRDefault="00363713" w:rsidP="00363713">
      <w:pPr>
        <w:rPr>
          <w:rFonts w:cs="Segoe UI"/>
          <w:szCs w:val="21"/>
        </w:rPr>
      </w:pPr>
      <w:r>
        <w:rPr>
          <w:rFonts w:cs="Segoe UI"/>
          <w:szCs w:val="21"/>
        </w:rPr>
        <w:t xml:space="preserve">The five mental health and addiction targets are: </w:t>
      </w:r>
    </w:p>
    <w:p w14:paraId="0D104D6E" w14:textId="3EB890C2" w:rsidR="00363713" w:rsidRPr="00EB4E4C" w:rsidRDefault="00363713" w:rsidP="00363713">
      <w:pPr>
        <w:pStyle w:val="Bullet"/>
        <w:rPr>
          <w:lang w:eastAsia="en-NZ"/>
        </w:rPr>
      </w:pPr>
      <w:r w:rsidRPr="00363713">
        <w:rPr>
          <w:b/>
          <w:bCs/>
          <w:lang w:eastAsia="en-NZ"/>
        </w:rPr>
        <w:t>Faster access to specialist mental health and addiction services</w:t>
      </w:r>
      <w:r w:rsidRPr="00EB4E4C">
        <w:rPr>
          <w:lang w:eastAsia="en-NZ"/>
        </w:rPr>
        <w:t xml:space="preserve"> – 80% of people accessing specialist mental health and addiction services are seen within three weeks</w:t>
      </w:r>
      <w:r>
        <w:rPr>
          <w:lang w:eastAsia="en-NZ"/>
        </w:rPr>
        <w:t>.</w:t>
      </w:r>
    </w:p>
    <w:p w14:paraId="45771CAC" w14:textId="77777777" w:rsidR="00363713" w:rsidRPr="00EB4E4C" w:rsidRDefault="00363713" w:rsidP="00363713">
      <w:pPr>
        <w:pStyle w:val="Bullet"/>
        <w:rPr>
          <w:lang w:eastAsia="en-NZ"/>
        </w:rPr>
      </w:pPr>
      <w:r w:rsidRPr="00EB4E4C">
        <w:rPr>
          <w:b/>
          <w:bCs/>
          <w:lang w:eastAsia="en-NZ"/>
        </w:rPr>
        <w:t>Faster access to primary mental health and addiction services</w:t>
      </w:r>
      <w:r w:rsidRPr="00EB4E4C">
        <w:rPr>
          <w:lang w:eastAsia="en-NZ"/>
        </w:rPr>
        <w:t xml:space="preserve"> – 80% of people accessing primary mental health and addiction services through the Access and Choice programme are seen within one week</w:t>
      </w:r>
      <w:r>
        <w:rPr>
          <w:lang w:eastAsia="en-NZ"/>
        </w:rPr>
        <w:t>.</w:t>
      </w:r>
    </w:p>
    <w:p w14:paraId="0593D6AB" w14:textId="77777777" w:rsidR="00363713" w:rsidRPr="00EB4E4C" w:rsidRDefault="00363713" w:rsidP="00363713">
      <w:pPr>
        <w:pStyle w:val="Bullet"/>
        <w:rPr>
          <w:lang w:eastAsia="en-NZ"/>
        </w:rPr>
      </w:pPr>
      <w:r w:rsidRPr="00EB4E4C">
        <w:rPr>
          <w:b/>
          <w:bCs/>
          <w:lang w:eastAsia="en-NZ"/>
        </w:rPr>
        <w:t>Shorter mental health and addiction-related stays in emergency departments</w:t>
      </w:r>
      <w:r w:rsidRPr="00EB4E4C">
        <w:rPr>
          <w:lang w:eastAsia="en-NZ"/>
        </w:rPr>
        <w:t xml:space="preserve"> – 95% of mental health and addiction-related emergency department presentations are admitted, discharged, or transferred from an emergency department within six hours</w:t>
      </w:r>
      <w:r>
        <w:rPr>
          <w:lang w:eastAsia="en-NZ"/>
        </w:rPr>
        <w:t>.</w:t>
      </w:r>
    </w:p>
    <w:p w14:paraId="139F0BFB" w14:textId="77777777" w:rsidR="00363713" w:rsidRPr="00EB4E4C" w:rsidRDefault="00363713" w:rsidP="00363713">
      <w:pPr>
        <w:pStyle w:val="Bullet"/>
        <w:rPr>
          <w:lang w:eastAsia="en-NZ"/>
        </w:rPr>
      </w:pPr>
      <w:r w:rsidRPr="00EB4E4C">
        <w:rPr>
          <w:b/>
          <w:bCs/>
          <w:lang w:eastAsia="en-NZ"/>
        </w:rPr>
        <w:t>Increased mental health and addiction workforce development</w:t>
      </w:r>
      <w:r w:rsidRPr="00EB4E4C">
        <w:rPr>
          <w:lang w:eastAsia="en-NZ"/>
        </w:rPr>
        <w:t xml:space="preserve"> – train 500 mental health and addiction professionals each year</w:t>
      </w:r>
      <w:r>
        <w:rPr>
          <w:lang w:eastAsia="en-NZ"/>
        </w:rPr>
        <w:t>.</w:t>
      </w:r>
    </w:p>
    <w:p w14:paraId="579B55F4" w14:textId="77777777" w:rsidR="00363713" w:rsidRDefault="00363713" w:rsidP="00363713">
      <w:pPr>
        <w:pStyle w:val="Bullet"/>
        <w:rPr>
          <w:lang w:eastAsia="en-NZ"/>
        </w:rPr>
      </w:pPr>
      <w:r w:rsidRPr="00EB4E4C">
        <w:rPr>
          <w:b/>
          <w:bCs/>
          <w:lang w:eastAsia="en-NZ"/>
        </w:rPr>
        <w:t>Strengthened focus on prevention and early intervention</w:t>
      </w:r>
      <w:r w:rsidRPr="00EB4E4C">
        <w:rPr>
          <w:lang w:eastAsia="en-NZ"/>
        </w:rPr>
        <w:t xml:space="preserve"> – 25% of mental health and addiction investment is allocated towards prevention and early intervention</w:t>
      </w:r>
      <w:r>
        <w:rPr>
          <w:lang w:eastAsia="en-NZ"/>
        </w:rPr>
        <w:t>.</w:t>
      </w:r>
    </w:p>
    <w:p w14:paraId="33C79C62" w14:textId="77777777" w:rsidR="00363713" w:rsidRPr="00867EDB" w:rsidRDefault="00363713" w:rsidP="00363713">
      <w:r w:rsidRPr="00F550C4">
        <w:rPr>
          <w:noProof/>
          <w:lang w:eastAsia="en-NZ"/>
        </w:rPr>
        <w:lastRenderedPageBreak/>
        <mc:AlternateContent>
          <mc:Choice Requires="wps">
            <w:drawing>
              <wp:anchor distT="45720" distB="45720" distL="114300" distR="114300" simplePos="0" relativeHeight="251658240" behindDoc="0" locked="0" layoutInCell="1" allowOverlap="1" wp14:anchorId="0BC72303" wp14:editId="47939B1D">
                <wp:simplePos x="0" y="0"/>
                <wp:positionH relativeFrom="column">
                  <wp:posOffset>20320</wp:posOffset>
                </wp:positionH>
                <wp:positionV relativeFrom="paragraph">
                  <wp:posOffset>547370</wp:posOffset>
                </wp:positionV>
                <wp:extent cx="5207000" cy="1404620"/>
                <wp:effectExtent l="0" t="0" r="1270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404620"/>
                        </a:xfrm>
                        <a:prstGeom prst="rect">
                          <a:avLst/>
                        </a:prstGeom>
                        <a:noFill/>
                        <a:ln w="19050">
                          <a:solidFill>
                            <a:srgbClr val="000000"/>
                          </a:solidFill>
                          <a:miter lim="800000"/>
                          <a:headEnd/>
                          <a:tailEnd/>
                        </a:ln>
                      </wps:spPr>
                      <wps:txbx>
                        <w:txbxContent>
                          <w:p w14:paraId="67E3CD61" w14:textId="77777777" w:rsidR="00C7553D" w:rsidRPr="00C34DDB" w:rsidRDefault="00C7553D" w:rsidP="00363713">
                            <w:pPr>
                              <w:spacing w:after="120" w:line="257" w:lineRule="auto"/>
                              <w:rPr>
                                <w:b/>
                                <w:bCs/>
                              </w:rPr>
                            </w:pPr>
                            <w:r w:rsidRPr="00C34DDB">
                              <w:rPr>
                                <w:b/>
                                <w:bCs/>
                              </w:rPr>
                              <w:t xml:space="preserve">Milestones for health targets and mental health and addiction targets </w:t>
                            </w:r>
                          </w:p>
                          <w:p w14:paraId="294AE3B9" w14:textId="6BB3B4A6" w:rsidR="00C7553D" w:rsidRDefault="00C7553D" w:rsidP="00363713">
                            <w:r w:rsidRPr="00363713">
                              <w:t>The Minister of Health and Minister for Mental Health set performance milestones for each target to further focus efforts towards progress. These will be adjusted and updated by Ministers as expectations are reviewed and current progress is assessed.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72303" id="_x0000_t202" coordsize="21600,21600" o:spt="202" path="m,l,21600r21600,l21600,xe">
                <v:stroke joinstyle="miter"/>
                <v:path gradientshapeok="t" o:connecttype="rect"/>
              </v:shapetype>
              <v:shape id="Text Box 217" o:spid="_x0000_s1026" type="#_x0000_t202" style="position:absolute;margin-left:1.6pt;margin-top:43.1pt;width:410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" filled="f" strokeweight="1.5pt">
                <v:textbox style="mso-fit-shape-to-text:t">
                  <w:txbxContent>
                    <w:p w14:paraId="67E3CD61" w14:textId="77777777" w:rsidR="00C7553D" w:rsidRPr="00C34DDB" w:rsidRDefault="00C7553D" w:rsidP="00363713">
                      <w:pPr>
                        <w:spacing w:after="120" w:line="257" w:lineRule="auto"/>
                        <w:rPr>
                          <w:b/>
                          <w:bCs/>
                        </w:rPr>
                      </w:pPr>
                      <w:r w:rsidRPr="00C34DDB">
                        <w:rPr>
                          <w:b/>
                          <w:bCs/>
                        </w:rPr>
                        <w:t xml:space="preserve">Milestones for health targets and mental health and addiction targets </w:t>
                      </w:r>
                    </w:p>
                    <w:p w14:paraId="294AE3B9" w14:textId="6BB3B4A6" w:rsidR="00C7553D" w:rsidRDefault="00C7553D" w:rsidP="00363713">
                      <w:r w:rsidRPr="00363713">
                        <w:t>The Minister of Health and Minister for Mental Health set performance milestones for each target to further focus efforts towards progress. These will be adjusted and updated by Ministers as expectations are reviewed and current progress is assessed.</w:t>
                      </w:r>
                    </w:p>
                  </w:txbxContent>
                </v:textbox>
                <w10:wrap type="square"/>
              </v:shape>
            </w:pict>
          </mc:Fallback>
        </mc:AlternateContent>
      </w:r>
      <w:r w:rsidRPr="00867EDB">
        <w:t xml:space="preserve">The two sets of targets address obvious health needs and bring urgency and accountability </w:t>
      </w:r>
      <w:r>
        <w:t xml:space="preserve">to </w:t>
      </w:r>
      <w:r w:rsidRPr="00867EDB">
        <w:t xml:space="preserve">the health system. </w:t>
      </w:r>
    </w:p>
    <w:p w14:paraId="6DC7A0E8" w14:textId="72D10629" w:rsidR="00447030" w:rsidRDefault="00447030" w:rsidP="00447030">
      <w:pPr>
        <w:rPr>
          <w:lang w:eastAsia="en-NZ"/>
        </w:rPr>
      </w:pPr>
    </w:p>
    <w:p w14:paraId="371945C8" w14:textId="35C673DE" w:rsidR="00363713" w:rsidRDefault="00363713" w:rsidP="00363713">
      <w:pPr>
        <w:rPr>
          <w:rFonts w:cs="Segoe UI"/>
          <w:szCs w:val="21"/>
        </w:rPr>
      </w:pPr>
      <w:bookmarkStart w:id="11" w:name="_Hlk169502065"/>
      <w:r>
        <w:rPr>
          <w:rFonts w:cs="Segoe UI"/>
          <w:szCs w:val="21"/>
        </w:rPr>
        <w:t>The Government is particularly focused on accelerating action to address</w:t>
      </w:r>
      <w:r w:rsidRPr="0087319E">
        <w:rPr>
          <w:rFonts w:cs="Segoe UI"/>
          <w:b/>
          <w:szCs w:val="21"/>
        </w:rPr>
        <w:t xml:space="preserve"> five non-</w:t>
      </w:r>
      <w:bookmarkEnd w:id="11"/>
      <w:r w:rsidRPr="0087319E">
        <w:rPr>
          <w:rFonts w:cs="Segoe UI"/>
          <w:b/>
          <w:szCs w:val="21"/>
        </w:rPr>
        <w:t>communicable diseases</w:t>
      </w:r>
      <w:r>
        <w:rPr>
          <w:rFonts w:cs="Segoe UI"/>
          <w:b/>
          <w:szCs w:val="21"/>
        </w:rPr>
        <w:t>:</w:t>
      </w:r>
      <w:r w:rsidRPr="0087319E" w:rsidDel="002A7565">
        <w:rPr>
          <w:rFonts w:cs="Segoe UI"/>
          <w:b/>
          <w:szCs w:val="21"/>
        </w:rPr>
        <w:t xml:space="preserve"> </w:t>
      </w:r>
      <w:r w:rsidRPr="0087319E">
        <w:rPr>
          <w:rFonts w:cs="Segoe UI"/>
          <w:b/>
          <w:szCs w:val="21"/>
        </w:rPr>
        <w:t xml:space="preserve">cancer, </w:t>
      </w:r>
      <w:r w:rsidR="00BA4103">
        <w:rPr>
          <w:rFonts w:cs="Segoe UI"/>
          <w:b/>
          <w:szCs w:val="21"/>
        </w:rPr>
        <w:t xml:space="preserve">cardiovascular </w:t>
      </w:r>
      <w:r w:rsidR="00BA4103" w:rsidRPr="0087319E">
        <w:rPr>
          <w:rFonts w:cs="Segoe UI"/>
          <w:b/>
          <w:szCs w:val="21"/>
        </w:rPr>
        <w:t>disease</w:t>
      </w:r>
      <w:r w:rsidRPr="0087319E">
        <w:rPr>
          <w:rFonts w:cs="Segoe UI"/>
          <w:b/>
          <w:szCs w:val="21"/>
        </w:rPr>
        <w:t xml:space="preserve">, respiratory disease, </w:t>
      </w:r>
      <w:r w:rsidR="00144071" w:rsidRPr="0087319E">
        <w:rPr>
          <w:rFonts w:cs="Segoe UI"/>
          <w:b/>
          <w:szCs w:val="21"/>
        </w:rPr>
        <w:t>diabetes</w:t>
      </w:r>
      <w:r w:rsidR="00144071">
        <w:rPr>
          <w:rFonts w:cs="Segoe UI"/>
          <w:b/>
          <w:szCs w:val="21"/>
        </w:rPr>
        <w:t xml:space="preserve"> </w:t>
      </w:r>
      <w:r w:rsidRPr="0087319E">
        <w:rPr>
          <w:rFonts w:cs="Segoe UI"/>
          <w:b/>
          <w:szCs w:val="21"/>
        </w:rPr>
        <w:t>and poor mental health</w:t>
      </w:r>
      <w:r>
        <w:rPr>
          <w:rFonts w:cs="Segoe UI"/>
          <w:szCs w:val="21"/>
        </w:rPr>
        <w:t>.</w:t>
      </w:r>
      <w:r w:rsidRPr="00C0011C">
        <w:rPr>
          <w:rFonts w:cs="Segoe UI"/>
          <w:szCs w:val="21"/>
          <w:vertAlign w:val="superscript"/>
        </w:rPr>
        <w:footnoteReference w:id="2"/>
      </w:r>
      <w:r>
        <w:rPr>
          <w:rFonts w:cs="Segoe UI"/>
          <w:szCs w:val="21"/>
        </w:rPr>
        <w:t xml:space="preserve"> Together, these conditions account for around 80% of deaths from non-communicable diseases in New Zealand and considerable health loss experienced by New Zealanders. Prioritising work to prevent and reduce the impact of these significant non-communicable diseases aligns with Goal 3, target 3.4, of the United Nations Sustainable Development Goals</w:t>
      </w:r>
      <w:r w:rsidDel="00C0011C">
        <w:rPr>
          <w:rFonts w:cs="Segoe UI"/>
          <w:szCs w:val="21"/>
        </w:rPr>
        <w:t xml:space="preserve"> </w:t>
      </w:r>
      <w:r>
        <w:rPr>
          <w:rFonts w:cs="Segoe UI"/>
          <w:szCs w:val="21"/>
        </w:rPr>
        <w:t xml:space="preserve">(to reduce the pre-mature mortality from non-communicable diseases through improved prevention and treatment), and the World Health Organization’s </w:t>
      </w:r>
      <w:r w:rsidRPr="00C24655">
        <w:rPr>
          <w:rFonts w:cs="Segoe UI"/>
          <w:szCs w:val="21"/>
        </w:rPr>
        <w:t>Global Action Plan for the Prevention and Control of Noncommunicable Diseases</w:t>
      </w:r>
      <w:r>
        <w:rPr>
          <w:rFonts w:cs="Segoe UI"/>
          <w:szCs w:val="21"/>
        </w:rPr>
        <w:t xml:space="preserve">. </w:t>
      </w:r>
    </w:p>
    <w:p w14:paraId="5F96E059" w14:textId="77777777" w:rsidR="00363713" w:rsidRDefault="00363713" w:rsidP="00363713">
      <w:pPr>
        <w:spacing w:line="257" w:lineRule="auto"/>
        <w:rPr>
          <w:rFonts w:cs="Segoe UI"/>
          <w:szCs w:val="21"/>
        </w:rPr>
      </w:pPr>
    </w:p>
    <w:p w14:paraId="3A29963E" w14:textId="77777777" w:rsidR="00363713" w:rsidRDefault="00363713" w:rsidP="00363713">
      <w:pPr>
        <w:spacing w:line="257" w:lineRule="auto"/>
        <w:rPr>
          <w:rFonts w:cs="Segoe UI"/>
          <w:szCs w:val="21"/>
        </w:rPr>
      </w:pPr>
      <w:r w:rsidRPr="002D0800">
        <w:rPr>
          <w:rFonts w:cs="Segoe UI"/>
          <w:szCs w:val="21"/>
        </w:rPr>
        <w:t>Improved prevention of these non-communicable diseases will be achieved through addressing five modifiable risk factors</w:t>
      </w:r>
      <w:r>
        <w:rPr>
          <w:rFonts w:cs="Segoe UI"/>
          <w:szCs w:val="21"/>
        </w:rPr>
        <w:t>:</w:t>
      </w:r>
      <w:r w:rsidRPr="002D0800" w:rsidDel="00DB2F2D">
        <w:rPr>
          <w:rFonts w:cs="Segoe UI"/>
          <w:szCs w:val="21"/>
        </w:rPr>
        <w:t xml:space="preserve"> </w:t>
      </w:r>
      <w:r w:rsidRPr="002D0800">
        <w:rPr>
          <w:rFonts w:cs="Segoe UI"/>
          <w:szCs w:val="21"/>
        </w:rPr>
        <w:t>alcohol</w:t>
      </w:r>
      <w:r>
        <w:rPr>
          <w:rFonts w:cs="Segoe UI"/>
          <w:szCs w:val="21"/>
        </w:rPr>
        <w:t>, tobacco</w:t>
      </w:r>
      <w:r w:rsidRPr="002D0800">
        <w:rPr>
          <w:rFonts w:cs="Segoe UI"/>
          <w:szCs w:val="21"/>
        </w:rPr>
        <w:t>, poor nutrition, physical inactivity, and adverse social and environmental factors</w:t>
      </w:r>
      <w:r>
        <w:rPr>
          <w:rFonts w:cs="Segoe UI"/>
          <w:szCs w:val="21"/>
        </w:rPr>
        <w:t xml:space="preserve">. </w:t>
      </w:r>
    </w:p>
    <w:p w14:paraId="68758F2E" w14:textId="77777777" w:rsidR="00363713" w:rsidRDefault="00363713" w:rsidP="00363713">
      <w:pPr>
        <w:spacing w:line="257" w:lineRule="auto"/>
        <w:rPr>
          <w:rFonts w:cs="Segoe UI"/>
          <w:szCs w:val="21"/>
        </w:rPr>
      </w:pPr>
    </w:p>
    <w:p w14:paraId="0102BC92" w14:textId="77777777" w:rsidR="00363713" w:rsidRDefault="00363713" w:rsidP="00363713">
      <w:pPr>
        <w:spacing w:line="257" w:lineRule="auto"/>
        <w:rPr>
          <w:rFonts w:cs="Segoe UI"/>
          <w:szCs w:val="21"/>
        </w:rPr>
      </w:pPr>
      <w:r w:rsidRPr="5600DA2C">
        <w:rPr>
          <w:rFonts w:cs="Segoe UI"/>
        </w:rPr>
        <w:t>Mental health</w:t>
      </w:r>
      <w:r>
        <w:rPr>
          <w:rFonts w:cs="Segoe UI"/>
        </w:rPr>
        <w:t>, addiction and suicide prevention are</w:t>
      </w:r>
      <w:r w:rsidRPr="5600DA2C">
        <w:rPr>
          <w:rFonts w:cs="Segoe UI"/>
        </w:rPr>
        <w:t xml:space="preserve"> also </w:t>
      </w:r>
      <w:r>
        <w:rPr>
          <w:rFonts w:cs="Segoe UI"/>
        </w:rPr>
        <w:t>key</w:t>
      </w:r>
      <w:r w:rsidRPr="5600DA2C">
        <w:rPr>
          <w:rFonts w:cs="Segoe UI"/>
        </w:rPr>
        <w:t xml:space="preserve"> </w:t>
      </w:r>
      <w:r>
        <w:rPr>
          <w:rFonts w:cs="Segoe UI"/>
        </w:rPr>
        <w:t>areas of focus</w:t>
      </w:r>
      <w:r w:rsidRPr="5600DA2C">
        <w:rPr>
          <w:rFonts w:cs="Segoe UI"/>
        </w:rPr>
        <w:t xml:space="preserve"> for the Government, with the appointment of the first Minister for Mental Health and </w:t>
      </w:r>
      <w:r>
        <w:rPr>
          <w:rFonts w:cs="Segoe UI"/>
        </w:rPr>
        <w:t xml:space="preserve">are supported by specific </w:t>
      </w:r>
      <w:r w:rsidRPr="5600DA2C">
        <w:rPr>
          <w:rFonts w:cs="Segoe UI"/>
        </w:rPr>
        <w:t xml:space="preserve">targets </w:t>
      </w:r>
      <w:r>
        <w:rPr>
          <w:rFonts w:cs="Segoe UI"/>
        </w:rPr>
        <w:t xml:space="preserve">for mental health and addiction. </w:t>
      </w:r>
      <w:r w:rsidRPr="007C3346">
        <w:rPr>
          <w:rFonts w:cs="Segoe UI"/>
        </w:rPr>
        <w:t>Over the next three years there will be</w:t>
      </w:r>
      <w:r w:rsidRPr="00C050E9">
        <w:rPr>
          <w:rFonts w:cs="Segoe UI"/>
          <w:szCs w:val="21"/>
        </w:rPr>
        <w:t xml:space="preserve"> a focus on </w:t>
      </w:r>
      <w:r>
        <w:rPr>
          <w:rFonts w:cs="Segoe UI"/>
          <w:szCs w:val="21"/>
        </w:rPr>
        <w:t xml:space="preserve">four priorities for mental health: </w:t>
      </w:r>
      <w:r w:rsidRPr="00C050E9">
        <w:rPr>
          <w:rFonts w:cs="Segoe UI"/>
          <w:szCs w:val="21"/>
        </w:rPr>
        <w:t xml:space="preserve"> </w:t>
      </w:r>
    </w:p>
    <w:p w14:paraId="6108CCE2" w14:textId="77777777" w:rsidR="00363713" w:rsidRDefault="00363713" w:rsidP="00363713">
      <w:pPr>
        <w:pStyle w:val="Bullet"/>
      </w:pPr>
      <w:r w:rsidRPr="00A2222E">
        <w:t>increas</w:t>
      </w:r>
      <w:r>
        <w:t>e</w:t>
      </w:r>
      <w:r w:rsidRPr="00A2222E">
        <w:t xml:space="preserve"> access to mental health and addiction support</w:t>
      </w:r>
      <w:r>
        <w:t xml:space="preserve"> </w:t>
      </w:r>
    </w:p>
    <w:p w14:paraId="29A8DB83" w14:textId="77777777" w:rsidR="00363713" w:rsidRDefault="00363713" w:rsidP="00363713">
      <w:pPr>
        <w:pStyle w:val="Bullet"/>
      </w:pPr>
      <w:r w:rsidRPr="00A2222E">
        <w:t>grow the mental health and addiction workforce</w:t>
      </w:r>
    </w:p>
    <w:p w14:paraId="4DF9F4A0" w14:textId="77777777" w:rsidR="00363713" w:rsidRDefault="00363713" w:rsidP="00363713">
      <w:pPr>
        <w:pStyle w:val="Bullet"/>
      </w:pPr>
      <w:r w:rsidRPr="00A2222E">
        <w:t>strengthen the focus on prevention and early intervention</w:t>
      </w:r>
    </w:p>
    <w:p w14:paraId="092A7545" w14:textId="77777777" w:rsidR="00363713" w:rsidRPr="00F87A0B" w:rsidRDefault="00363713" w:rsidP="00363713">
      <w:pPr>
        <w:pStyle w:val="Bullet"/>
      </w:pPr>
      <w:r w:rsidRPr="00A2222E">
        <w:t>improv</w:t>
      </w:r>
      <w:r>
        <w:t>e</w:t>
      </w:r>
      <w:r w:rsidRPr="00A2222E">
        <w:t xml:space="preserve"> the effectiveness of mental health and addiction support.</w:t>
      </w:r>
    </w:p>
    <w:p w14:paraId="3E746D21" w14:textId="77777777" w:rsidR="00447030" w:rsidRPr="007A5D53" w:rsidRDefault="00447030" w:rsidP="00447030">
      <w:pPr>
        <w:pStyle w:val="Heading3"/>
      </w:pPr>
      <w:r>
        <w:t>We have heard from the public</w:t>
      </w:r>
      <w:r w:rsidDel="00A31E54">
        <w:t xml:space="preserve"> </w:t>
      </w:r>
      <w:r>
        <w:t>that improvement is needed</w:t>
      </w:r>
    </w:p>
    <w:p w14:paraId="4D88DDCF" w14:textId="77777777" w:rsidR="00363713" w:rsidRDefault="00363713" w:rsidP="00363713">
      <w:bookmarkStart w:id="12" w:name="_Hlk163026714"/>
      <w:r>
        <w:rPr>
          <w:rFonts w:cs="Segoe UI"/>
          <w:szCs w:val="21"/>
        </w:rPr>
        <w:t>In 2022–23, the Ministry of Health - Manatū Hauora (Ministry of Health) engaged with the public and health sector as part of developing the suite of strategies required under the Pae Ora Act. This included over 140 in-person events as well as digital engagements. We heard that:</w:t>
      </w:r>
    </w:p>
    <w:p w14:paraId="16B236F4" w14:textId="77777777" w:rsidR="00363713" w:rsidRPr="001B0CF7" w:rsidRDefault="00363713" w:rsidP="00363713">
      <w:pPr>
        <w:pStyle w:val="Bullet"/>
      </w:pPr>
      <w:r w:rsidRPr="001B0CF7">
        <w:rPr>
          <w:b/>
          <w:bCs/>
        </w:rPr>
        <w:t>Access to health services need</w:t>
      </w:r>
      <w:r>
        <w:rPr>
          <w:b/>
          <w:bCs/>
        </w:rPr>
        <w:t>s</w:t>
      </w:r>
      <w:r w:rsidRPr="001B0CF7">
        <w:rPr>
          <w:b/>
          <w:bCs/>
        </w:rPr>
        <w:t xml:space="preserve"> to be improved</w:t>
      </w:r>
      <w:r>
        <w:rPr>
          <w:b/>
          <w:bCs/>
        </w:rPr>
        <w:t>.</w:t>
      </w:r>
      <w:r w:rsidRPr="001B0CF7">
        <w:t xml:space="preserve"> </w:t>
      </w:r>
      <w:r>
        <w:t>P</w:t>
      </w:r>
      <w:r w:rsidRPr="001B0CF7">
        <w:t>eople described significant barriers to access, includ</w:t>
      </w:r>
      <w:r>
        <w:t>ing</w:t>
      </w:r>
      <w:r w:rsidRPr="001B0CF7">
        <w:t xml:space="preserve"> availability, cost, transport and timeliness. P</w:t>
      </w:r>
      <w:r>
        <w:t>eople</w:t>
      </w:r>
      <w:r w:rsidRPr="001B0CF7">
        <w:t xml:space="preserve"> </w:t>
      </w:r>
      <w:r>
        <w:t>needed</w:t>
      </w:r>
      <w:r w:rsidRPr="001B0CF7">
        <w:t xml:space="preserve"> the health system to be easier to navigate</w:t>
      </w:r>
      <w:r>
        <w:t>, and barriers</w:t>
      </w:r>
      <w:r w:rsidDel="00E83E3F">
        <w:t xml:space="preserve"> </w:t>
      </w:r>
      <w:r>
        <w:t>removed</w:t>
      </w:r>
      <w:r w:rsidRPr="001B0CF7">
        <w:t>.</w:t>
      </w:r>
    </w:p>
    <w:p w14:paraId="4DF2DF91" w14:textId="77777777" w:rsidR="00363713" w:rsidRDefault="00363713" w:rsidP="00363713">
      <w:pPr>
        <w:pStyle w:val="Bullet"/>
      </w:pPr>
      <w:r>
        <w:rPr>
          <w:b/>
          <w:bCs/>
        </w:rPr>
        <w:lastRenderedPageBreak/>
        <w:t>People wanted models of care that respond to communities’ needs.</w:t>
      </w:r>
      <w:r w:rsidRPr="001B0CF7">
        <w:t xml:space="preserve"> </w:t>
      </w:r>
      <w:r>
        <w:t>P</w:t>
      </w:r>
      <w:r w:rsidRPr="001B0CF7">
        <w:t xml:space="preserve">eople </w:t>
      </w:r>
      <w:r>
        <w:t xml:space="preserve">wanted the system to support more </w:t>
      </w:r>
      <w:r w:rsidRPr="001B0CF7">
        <w:t xml:space="preserve">flexible and community-led solutions, such as those </w:t>
      </w:r>
      <w:r>
        <w:t>that were used in responding</w:t>
      </w:r>
      <w:r w:rsidRPr="001B0CF7">
        <w:t xml:space="preserve"> to COVID-19</w:t>
      </w:r>
      <w:r>
        <w:t xml:space="preserve"> pandemic</w:t>
      </w:r>
      <w:r w:rsidRPr="001B0CF7">
        <w:t xml:space="preserve"> and Cyclone Gabrielle. </w:t>
      </w:r>
      <w:r>
        <w:t>Local input into what is provided, and where,</w:t>
      </w:r>
      <w:r w:rsidRPr="00AB060A">
        <w:t xml:space="preserve"> </w:t>
      </w:r>
      <w:r>
        <w:t>was seen as being vital to ensure the options and services are effective in meeting communities’ needs.</w:t>
      </w:r>
    </w:p>
    <w:p w14:paraId="7977AEF7" w14:textId="77777777" w:rsidR="00363713" w:rsidRPr="001B0CF7" w:rsidRDefault="00363713" w:rsidP="00363713">
      <w:pPr>
        <w:pStyle w:val="Bullet"/>
      </w:pPr>
      <w:r w:rsidRPr="001B0CF7">
        <w:rPr>
          <w:b/>
          <w:bCs/>
        </w:rPr>
        <w:t>Voice</w:t>
      </w:r>
      <w:r>
        <w:rPr>
          <w:b/>
          <w:bCs/>
        </w:rPr>
        <w:t>s</w:t>
      </w:r>
      <w:r w:rsidRPr="001B0CF7">
        <w:rPr>
          <w:b/>
          <w:bCs/>
        </w:rPr>
        <w:t xml:space="preserve"> of people, </w:t>
      </w:r>
      <w:r>
        <w:rPr>
          <w:b/>
          <w:bCs/>
        </w:rPr>
        <w:t>families</w:t>
      </w:r>
      <w:r w:rsidRPr="001B0CF7">
        <w:rPr>
          <w:b/>
          <w:bCs/>
        </w:rPr>
        <w:t>, whānau</w:t>
      </w:r>
      <w:r>
        <w:rPr>
          <w:b/>
          <w:bCs/>
        </w:rPr>
        <w:t>,</w:t>
      </w:r>
      <w:r w:rsidRPr="001B0CF7">
        <w:rPr>
          <w:b/>
          <w:bCs/>
        </w:rPr>
        <w:t xml:space="preserve"> and communities</w:t>
      </w:r>
      <w:r>
        <w:rPr>
          <w:b/>
          <w:bCs/>
        </w:rPr>
        <w:t xml:space="preserve"> are key to changing health care.</w:t>
      </w:r>
      <w:r w:rsidRPr="001B0CF7">
        <w:t xml:space="preserve"> </w:t>
      </w:r>
      <w:r>
        <w:t>P</w:t>
      </w:r>
      <w:r w:rsidRPr="001B0CF7">
        <w:t>eople want</w:t>
      </w:r>
      <w:r>
        <w:t>ed</w:t>
      </w:r>
      <w:r w:rsidRPr="001B0CF7">
        <w:t xml:space="preserve"> their views heard</w:t>
      </w:r>
      <w:r>
        <w:t xml:space="preserve"> and</w:t>
      </w:r>
      <w:r w:rsidRPr="001B0CF7">
        <w:t xml:space="preserve"> respected by health professionals and decision makers.</w:t>
      </w:r>
      <w:r>
        <w:t xml:space="preserve"> This included ensuring the voices of populations with higher needs are listened to and people with lived experience can support the health sector to improve their practices. People wanted greater community leadership in health sector decision making, especially from those communities with high health needs.</w:t>
      </w:r>
    </w:p>
    <w:p w14:paraId="7F802C24" w14:textId="77777777" w:rsidR="00363713" w:rsidRPr="001B0CF7" w:rsidRDefault="00363713" w:rsidP="00363713">
      <w:pPr>
        <w:pStyle w:val="Bullet"/>
      </w:pPr>
      <w:r w:rsidRPr="001B0CF7">
        <w:rPr>
          <w:b/>
          <w:bCs/>
        </w:rPr>
        <w:t xml:space="preserve">Workforce capability and capacity </w:t>
      </w:r>
      <w:r>
        <w:rPr>
          <w:b/>
          <w:bCs/>
        </w:rPr>
        <w:t>needs to improve.</w:t>
      </w:r>
      <w:r w:rsidRPr="001B0CF7">
        <w:t xml:space="preserve"> </w:t>
      </w:r>
      <w:r>
        <w:t xml:space="preserve">Long-term </w:t>
      </w:r>
      <w:r w:rsidRPr="001B0CF7">
        <w:t>workforce shortages</w:t>
      </w:r>
      <w:r>
        <w:t xml:space="preserve"> can put people’s health outcomes at risk, especially those with the highest health needs, as well as the wellbeing of the workforce</w:t>
      </w:r>
      <w:r w:rsidRPr="001B0CF7">
        <w:t xml:space="preserve">. </w:t>
      </w:r>
      <w:r>
        <w:t>People wanted a health workforce that listens to them and treats them with respect, works together to prevent and treat issues, and is representative of New Zealand.</w:t>
      </w:r>
    </w:p>
    <w:p w14:paraId="732A6F5D" w14:textId="4863504B" w:rsidR="00363713" w:rsidRDefault="00363713" w:rsidP="00363713">
      <w:pPr>
        <w:pStyle w:val="Bullet"/>
      </w:pPr>
      <w:r w:rsidRPr="00923652">
        <w:rPr>
          <w:b/>
          <w:bCs/>
        </w:rPr>
        <w:t xml:space="preserve">Changing mindsets is crucial to </w:t>
      </w:r>
      <w:r>
        <w:rPr>
          <w:b/>
          <w:bCs/>
        </w:rPr>
        <w:t>improving</w:t>
      </w:r>
      <w:r w:rsidRPr="00923652">
        <w:rPr>
          <w:b/>
          <w:bCs/>
        </w:rPr>
        <w:t xml:space="preserve"> outcomes</w:t>
      </w:r>
      <w:r>
        <w:rPr>
          <w:b/>
          <w:bCs/>
        </w:rPr>
        <w:t>.</w:t>
      </w:r>
      <w:r w:rsidRPr="00923652">
        <w:t xml:space="preserve"> </w:t>
      </w:r>
      <w:r>
        <w:t xml:space="preserve">A range of people, including those receiving health care, emphasised the need to ensure all people are treated fairly and with respect by recognising that different people with different levels of need require different approaches and resources, </w:t>
      </w:r>
      <w:r w:rsidR="00070BA7">
        <w:t xml:space="preserve">and </w:t>
      </w:r>
      <w:r w:rsidR="00A0196F">
        <w:t xml:space="preserve">the need to </w:t>
      </w:r>
      <w:r>
        <w:t>empower local community leadership and foster culturally safe environments</w:t>
      </w:r>
      <w:r w:rsidRPr="00923652">
        <w:t xml:space="preserve">. </w:t>
      </w:r>
      <w:r>
        <w:t xml:space="preserve">This is critical for improving outcomes </w:t>
      </w:r>
      <w:r w:rsidRPr="00923652">
        <w:t>for</w:t>
      </w:r>
      <w:r>
        <w:t xml:space="preserve"> populations with higher needs including</w:t>
      </w:r>
      <w:r w:rsidRPr="00923652">
        <w:t xml:space="preserve"> Māori, Pacific </w:t>
      </w:r>
      <w:r>
        <w:t>p</w:t>
      </w:r>
      <w:r w:rsidRPr="00923652">
        <w:t>eople</w:t>
      </w:r>
      <w:r>
        <w:t>s</w:t>
      </w:r>
      <w:r w:rsidRPr="00923652">
        <w:t>, disabled people</w:t>
      </w:r>
      <w:r>
        <w:t>,</w:t>
      </w:r>
      <w:r w:rsidRPr="00923652">
        <w:t xml:space="preserve"> </w:t>
      </w:r>
      <w:r>
        <w:t xml:space="preserve">and </w:t>
      </w:r>
      <w:r w:rsidRPr="00923652">
        <w:t>women</w:t>
      </w:r>
      <w:r>
        <w:t>, among others</w:t>
      </w:r>
      <w:r w:rsidRPr="00923652">
        <w:t xml:space="preserve">. </w:t>
      </w:r>
    </w:p>
    <w:p w14:paraId="7B433E31" w14:textId="563DE7E2" w:rsidR="00447030" w:rsidRDefault="00363713" w:rsidP="00363713">
      <w:pPr>
        <w:pStyle w:val="Bullet"/>
      </w:pPr>
      <w:r w:rsidRPr="006C3D6D">
        <w:rPr>
          <w:b/>
          <w:bCs/>
        </w:rPr>
        <w:t xml:space="preserve">Cross-agency partnerships are needed to address the </w:t>
      </w:r>
      <w:r>
        <w:rPr>
          <w:b/>
          <w:bCs/>
        </w:rPr>
        <w:t>broader</w:t>
      </w:r>
      <w:r w:rsidRPr="006C3D6D">
        <w:rPr>
          <w:b/>
          <w:bCs/>
        </w:rPr>
        <w:t xml:space="preserve"> determinants of health and wellbeing. </w:t>
      </w:r>
      <w:r>
        <w:t>T</w:t>
      </w:r>
      <w:r w:rsidRPr="00C0011C">
        <w:t xml:space="preserve">here were concerns the </w:t>
      </w:r>
      <w:r>
        <w:t xml:space="preserve">health </w:t>
      </w:r>
      <w:r w:rsidRPr="00C0011C">
        <w:t>system does not do enough to support</w:t>
      </w:r>
      <w:r>
        <w:t xml:space="preserve"> broader determinants of health</w:t>
      </w:r>
      <w:r w:rsidRPr="00C0011C">
        <w:t xml:space="preserve">. Working in partnership to address the inequitable impact of other social, economic or environmental factors on health outcomes is essential if we are to shift </w:t>
      </w:r>
      <w:r>
        <w:t>health outcomes</w:t>
      </w:r>
      <w:r w:rsidRPr="00C0011C">
        <w:t>.</w:t>
      </w:r>
    </w:p>
    <w:p w14:paraId="7B99B616" w14:textId="77777777" w:rsidR="00447030" w:rsidRPr="003870AA" w:rsidRDefault="00447030" w:rsidP="00EE4CC0">
      <w:pPr>
        <w:pStyle w:val="Heading3"/>
      </w:pPr>
      <w:r>
        <w:t>The health strategies set the long-term direction for the health system</w:t>
      </w:r>
    </w:p>
    <w:p w14:paraId="088D73DB" w14:textId="7B3BB6E8" w:rsidR="00363713" w:rsidRDefault="00363713" w:rsidP="00363713">
      <w:pPr>
        <w:rPr>
          <w:rFonts w:cs="Segoe UI"/>
          <w:szCs w:val="21"/>
        </w:rPr>
      </w:pPr>
      <w:r>
        <w:rPr>
          <w:rFonts w:cs="Segoe UI"/>
          <w:szCs w:val="21"/>
        </w:rPr>
        <w:t xml:space="preserve">The health strategies provide the direction to guide health entities in protecting, promoting, and improving specific health outcomes. They set out the opportunities and changes needed to improve </w:t>
      </w:r>
      <w:r w:rsidR="0096341F">
        <w:rPr>
          <w:rFonts w:cs="Segoe UI"/>
          <w:szCs w:val="21"/>
        </w:rPr>
        <w:t xml:space="preserve">New </w:t>
      </w:r>
      <w:r>
        <w:rPr>
          <w:rFonts w:cs="Segoe UI"/>
          <w:szCs w:val="21"/>
        </w:rPr>
        <w:t>Zealand’s health outcomes over the next 5–10 years.</w:t>
      </w:r>
    </w:p>
    <w:p w14:paraId="35A251BB" w14:textId="77777777" w:rsidR="00363713" w:rsidRDefault="00363713" w:rsidP="00363713">
      <w:pPr>
        <w:rPr>
          <w:rFonts w:cs="Segoe UI"/>
          <w:szCs w:val="21"/>
        </w:rPr>
      </w:pPr>
    </w:p>
    <w:p w14:paraId="2F263D1D" w14:textId="77777777" w:rsidR="00363713" w:rsidRDefault="00363713" w:rsidP="00363713">
      <w:pPr>
        <w:rPr>
          <w:rFonts w:cs="Segoe UI"/>
          <w:szCs w:val="21"/>
        </w:rPr>
      </w:pPr>
      <w:r>
        <w:rPr>
          <w:rFonts w:cs="Segoe UI"/>
          <w:szCs w:val="21"/>
        </w:rPr>
        <w:t>In July 2023, six health strategies were published that provide direction for health in New Zealand over a 10-year horizon:</w:t>
      </w:r>
    </w:p>
    <w:p w14:paraId="690354A1" w14:textId="20BD7563" w:rsidR="00363713" w:rsidRPr="00C7553D" w:rsidRDefault="00000000" w:rsidP="00363713">
      <w:pPr>
        <w:pStyle w:val="Bullet"/>
        <w:rPr>
          <w:rStyle w:val="Hyperlink"/>
        </w:rPr>
      </w:pPr>
      <w:hyperlink r:id="rId32" w:history="1">
        <w:r w:rsidR="00363713" w:rsidRPr="00C7553D">
          <w:rPr>
            <w:rStyle w:val="Hyperlink"/>
          </w:rPr>
          <w:t>New Zealand Health Strategy</w:t>
        </w:r>
      </w:hyperlink>
    </w:p>
    <w:p w14:paraId="3FD28F30" w14:textId="4B841190" w:rsidR="00363713" w:rsidRPr="00C7553D" w:rsidRDefault="00000000" w:rsidP="00363713">
      <w:pPr>
        <w:pStyle w:val="Bullet"/>
        <w:rPr>
          <w:rStyle w:val="Hyperlink"/>
        </w:rPr>
      </w:pPr>
      <w:hyperlink r:id="rId33" w:history="1">
        <w:r w:rsidR="00363713" w:rsidRPr="00C7553D">
          <w:rPr>
            <w:rStyle w:val="Hyperlink"/>
          </w:rPr>
          <w:t>Pae Tū: Hauora Māori Strategy</w:t>
        </w:r>
      </w:hyperlink>
    </w:p>
    <w:p w14:paraId="0BCBF118" w14:textId="0E3EF35E" w:rsidR="00363713" w:rsidRPr="00C7553D" w:rsidRDefault="00000000" w:rsidP="00363713">
      <w:pPr>
        <w:pStyle w:val="Bullet"/>
        <w:rPr>
          <w:rStyle w:val="Hyperlink"/>
        </w:rPr>
      </w:pPr>
      <w:hyperlink r:id="rId34" w:history="1">
        <w:r w:rsidR="00363713" w:rsidRPr="00C7553D">
          <w:rPr>
            <w:rStyle w:val="Hyperlink"/>
          </w:rPr>
          <w:t>Te Mana Ola: The Pacific Health Strategy</w:t>
        </w:r>
      </w:hyperlink>
    </w:p>
    <w:p w14:paraId="29ECD23A" w14:textId="2F3B6329" w:rsidR="00363713" w:rsidRPr="00C7553D" w:rsidRDefault="00000000" w:rsidP="00363713">
      <w:pPr>
        <w:pStyle w:val="Bullet"/>
        <w:rPr>
          <w:rStyle w:val="Hyperlink"/>
        </w:rPr>
      </w:pPr>
      <w:hyperlink r:id="rId35" w:history="1">
        <w:r w:rsidR="00363713" w:rsidRPr="00C7553D">
          <w:rPr>
            <w:rStyle w:val="Hyperlink"/>
          </w:rPr>
          <w:t>Health of Disabled People Strategy</w:t>
        </w:r>
      </w:hyperlink>
    </w:p>
    <w:p w14:paraId="7D49D0DC" w14:textId="34346F8C" w:rsidR="00363713" w:rsidRPr="00C7553D" w:rsidRDefault="00000000" w:rsidP="00363713">
      <w:pPr>
        <w:pStyle w:val="Bullet"/>
        <w:rPr>
          <w:rStyle w:val="Hyperlink"/>
        </w:rPr>
      </w:pPr>
      <w:hyperlink r:id="rId36" w:history="1">
        <w:r w:rsidR="00363713" w:rsidRPr="00C7553D">
          <w:rPr>
            <w:rStyle w:val="Hyperlink"/>
          </w:rPr>
          <w:t>Women’s Health Strategy</w:t>
        </w:r>
      </w:hyperlink>
    </w:p>
    <w:p w14:paraId="13DE874E" w14:textId="731D8E9B" w:rsidR="00363713" w:rsidRPr="00C7553D" w:rsidRDefault="00000000" w:rsidP="00363713">
      <w:pPr>
        <w:pStyle w:val="Bullet"/>
        <w:rPr>
          <w:rStyle w:val="Hyperlink"/>
        </w:rPr>
      </w:pPr>
      <w:hyperlink r:id="rId37" w:history="1">
        <w:r w:rsidR="00363713" w:rsidRPr="00C7553D">
          <w:rPr>
            <w:rStyle w:val="Hyperlink"/>
          </w:rPr>
          <w:t>Rural Health Strategy</w:t>
        </w:r>
      </w:hyperlink>
      <w:r w:rsidR="00363713" w:rsidRPr="00C7553D">
        <w:rPr>
          <w:rStyle w:val="Hyperlink"/>
        </w:rPr>
        <w:t>.</w:t>
      </w:r>
    </w:p>
    <w:p w14:paraId="5AF966B8" w14:textId="77777777" w:rsidR="00363713" w:rsidRDefault="00363713" w:rsidP="00363713">
      <w:pPr>
        <w:rPr>
          <w:rFonts w:cs="Segoe UI"/>
          <w:szCs w:val="21"/>
        </w:rPr>
      </w:pPr>
    </w:p>
    <w:p w14:paraId="2CE68134" w14:textId="2E43A6E7" w:rsidR="00363713" w:rsidRDefault="00363713" w:rsidP="00363713">
      <w:pPr>
        <w:rPr>
          <w:rFonts w:cs="Segoe UI"/>
          <w:szCs w:val="21"/>
        </w:rPr>
      </w:pPr>
      <w:r w:rsidRPr="00D273F6">
        <w:rPr>
          <w:rFonts w:cs="Segoe UI"/>
          <w:szCs w:val="21"/>
        </w:rPr>
        <w:t xml:space="preserve">In addition, </w:t>
      </w:r>
      <w:hyperlink r:id="rId38" w:history="1">
        <w:r w:rsidRPr="00C7553D">
          <w:rPr>
            <w:rStyle w:val="Hyperlink"/>
          </w:rPr>
          <w:t>Kia Manawanui Aotearoa – Long-term pathway to mental wellbeing</w:t>
        </w:r>
      </w:hyperlink>
      <w:r w:rsidRPr="00D273F6">
        <w:rPr>
          <w:rFonts w:cs="Segoe UI"/>
          <w:szCs w:val="21"/>
        </w:rPr>
        <w:t xml:space="preserve"> sets the strategic direction </w:t>
      </w:r>
      <w:r>
        <w:rPr>
          <w:rFonts w:cs="Segoe UI"/>
          <w:szCs w:val="21"/>
        </w:rPr>
        <w:t>to</w:t>
      </w:r>
      <w:r w:rsidRPr="00D273F6">
        <w:rPr>
          <w:rFonts w:cs="Segoe UI"/>
          <w:szCs w:val="21"/>
        </w:rPr>
        <w:t xml:space="preserve"> health entities for a whole-of-government and population-based approach to mental health and wellbeing. </w:t>
      </w:r>
      <w:hyperlink r:id="rId39" w:history="1">
        <w:r w:rsidRPr="00C7553D">
          <w:rPr>
            <w:rStyle w:val="Hyperlink"/>
          </w:rPr>
          <w:t>Every Life Matters – He Tapu te Oranga o ia Tangata</w:t>
        </w:r>
      </w:hyperlink>
      <w:r w:rsidRPr="00D273F6">
        <w:rPr>
          <w:rFonts w:cs="Segoe UI"/>
          <w:szCs w:val="21"/>
        </w:rPr>
        <w:t xml:space="preserve"> provides direction on suicide prevention efforts. </w:t>
      </w:r>
    </w:p>
    <w:p w14:paraId="21F771FF" w14:textId="77777777" w:rsidR="00363713" w:rsidRDefault="00363713" w:rsidP="00363713">
      <w:pPr>
        <w:rPr>
          <w:rFonts w:cs="Segoe UI"/>
          <w:szCs w:val="21"/>
        </w:rPr>
      </w:pPr>
    </w:p>
    <w:p w14:paraId="1AF06071" w14:textId="737AAF4A" w:rsidR="00447030" w:rsidRPr="00EF1D96" w:rsidRDefault="00363713" w:rsidP="00447030">
      <w:pPr>
        <w:rPr>
          <w:rFonts w:cs="Segoe UI"/>
          <w:szCs w:val="21"/>
        </w:rPr>
      </w:pPr>
      <w:r w:rsidRPr="001C3213">
        <w:rPr>
          <w:rFonts w:cs="Segoe UI"/>
          <w:szCs w:val="21"/>
        </w:rPr>
        <w:t xml:space="preserve">The GPS sets out </w:t>
      </w:r>
      <w:r>
        <w:rPr>
          <w:rFonts w:cs="Segoe UI"/>
          <w:szCs w:val="21"/>
        </w:rPr>
        <w:t>priority</w:t>
      </w:r>
      <w:r w:rsidRPr="001C3213">
        <w:rPr>
          <w:rFonts w:cs="Segoe UI"/>
          <w:szCs w:val="21"/>
        </w:rPr>
        <w:t xml:space="preserve"> areas for action over the next three years to ensure timely access to quality </w:t>
      </w:r>
      <w:r>
        <w:rPr>
          <w:rFonts w:cs="Segoe UI"/>
          <w:szCs w:val="21"/>
        </w:rPr>
        <w:t>health care</w:t>
      </w:r>
      <w:r w:rsidRPr="001C3213">
        <w:rPr>
          <w:rFonts w:cs="Segoe UI"/>
          <w:szCs w:val="21"/>
        </w:rPr>
        <w:t xml:space="preserve"> and meet immediate health need</w:t>
      </w:r>
      <w:r>
        <w:rPr>
          <w:rFonts w:cs="Segoe UI"/>
          <w:szCs w:val="21"/>
        </w:rPr>
        <w:t>s</w:t>
      </w:r>
      <w:r w:rsidRPr="001C3213">
        <w:rPr>
          <w:rFonts w:cs="Segoe UI"/>
          <w:szCs w:val="21"/>
        </w:rPr>
        <w:t>, while also making progress towards the overall directions set in the health strategies.</w:t>
      </w:r>
      <w:r w:rsidRPr="00D273F6">
        <w:rPr>
          <w:rFonts w:cs="Segoe UI"/>
          <w:szCs w:val="21"/>
        </w:rPr>
        <w:t xml:space="preserve">  </w:t>
      </w:r>
      <w:r w:rsidR="00447030" w:rsidRPr="00D273F6">
        <w:rPr>
          <w:rFonts w:cs="Segoe UI"/>
          <w:szCs w:val="21"/>
        </w:rPr>
        <w:t xml:space="preserve">  </w:t>
      </w:r>
    </w:p>
    <w:p w14:paraId="12B08693" w14:textId="77777777" w:rsidR="00447030" w:rsidRPr="00EE4CC0" w:rsidRDefault="00447030" w:rsidP="00EE4CC0">
      <w:pPr>
        <w:pStyle w:val="Heading2-nonumbering"/>
      </w:pPr>
      <w:bookmarkStart w:id="13" w:name="_Toc159407473"/>
      <w:bookmarkStart w:id="14" w:name="_Toc170134103"/>
      <w:r w:rsidRPr="00EE4CC0">
        <w:t>Priority areas for action over the next three years</w:t>
      </w:r>
      <w:bookmarkEnd w:id="13"/>
      <w:bookmarkEnd w:id="14"/>
    </w:p>
    <w:p w14:paraId="0A411C36" w14:textId="1223E6C2" w:rsidR="00363713" w:rsidRDefault="00363713" w:rsidP="00363713">
      <w:pPr>
        <w:rPr>
          <w:rFonts w:cs="Segoe UI"/>
        </w:rPr>
      </w:pPr>
      <w:r w:rsidRPr="04CB5F73">
        <w:rPr>
          <w:rFonts w:cs="Segoe UI"/>
        </w:rPr>
        <w:t>This GPS sets expectations for improvements to health services over the next three years, while also signalling a shift toward</w:t>
      </w:r>
      <w:r w:rsidR="00AE4A67">
        <w:rPr>
          <w:rFonts w:cs="Segoe UI"/>
        </w:rPr>
        <w:t>s</w:t>
      </w:r>
      <w:r w:rsidRPr="04CB5F73">
        <w:rPr>
          <w:rFonts w:cs="Segoe UI"/>
        </w:rPr>
        <w:t xml:space="preserve"> prevention and early intervention and bringing care closer to home. </w:t>
      </w:r>
    </w:p>
    <w:p w14:paraId="7EE3F5E4" w14:textId="77777777" w:rsidR="00363713" w:rsidRDefault="00363713" w:rsidP="00363713">
      <w:pPr>
        <w:rPr>
          <w:rFonts w:cs="Segoe UI"/>
        </w:rPr>
      </w:pPr>
    </w:p>
    <w:p w14:paraId="0A5D2777" w14:textId="77777777" w:rsidR="00363713" w:rsidRDefault="00363713" w:rsidP="00363713">
      <w:pPr>
        <w:rPr>
          <w:rFonts w:cs="Segoe UI"/>
        </w:rPr>
      </w:pPr>
      <w:r w:rsidRPr="04CB5F73">
        <w:rPr>
          <w:rFonts w:cs="Segoe UI"/>
        </w:rPr>
        <w:t>Given the range of challenges facing the health system, there is a limit to what changes the system can deliver over the next three years.</w:t>
      </w:r>
      <w:r>
        <w:rPr>
          <w:rFonts w:cs="Segoe UI"/>
        </w:rPr>
        <w:t xml:space="preserve"> The changes over the next three years will prioritise key areas that improve health outcomes while being feasible within resources and system capability. </w:t>
      </w:r>
    </w:p>
    <w:p w14:paraId="09409DD8" w14:textId="77777777" w:rsidR="00447030" w:rsidRPr="007A5D53" w:rsidRDefault="00447030" w:rsidP="00447030">
      <w:pPr>
        <w:pStyle w:val="Heading3-nonumbering"/>
      </w:pPr>
      <w:r>
        <w:t>Timely access to quality health care</w:t>
      </w:r>
    </w:p>
    <w:p w14:paraId="61995702" w14:textId="77777777" w:rsidR="00363713" w:rsidRDefault="00363713" w:rsidP="00363713">
      <w:pPr>
        <w:rPr>
          <w:rFonts w:cs="Segoe UI"/>
          <w:szCs w:val="21"/>
        </w:rPr>
      </w:pPr>
      <w:r>
        <w:rPr>
          <w:rFonts w:cs="Segoe UI"/>
          <w:szCs w:val="21"/>
        </w:rPr>
        <w:t xml:space="preserve">Over the next three years, the focus for the health system will be </w:t>
      </w:r>
      <w:r w:rsidRPr="00116F83">
        <w:rPr>
          <w:rFonts w:cs="Segoe UI"/>
          <w:b/>
          <w:bCs/>
          <w:szCs w:val="21"/>
        </w:rPr>
        <w:t xml:space="preserve">to ensure timely access to quality </w:t>
      </w:r>
      <w:r>
        <w:rPr>
          <w:rFonts w:cs="Segoe UI"/>
          <w:b/>
          <w:bCs/>
          <w:szCs w:val="21"/>
        </w:rPr>
        <w:t>health care</w:t>
      </w:r>
      <w:r>
        <w:rPr>
          <w:rFonts w:cs="Segoe UI"/>
          <w:szCs w:val="21"/>
        </w:rPr>
        <w:t>. Health services must improve their accessibility,</w:t>
      </w:r>
      <w:r>
        <w:rPr>
          <w:rStyle w:val="FootnoteReference"/>
          <w:rFonts w:cs="Segoe UI"/>
          <w:szCs w:val="21"/>
        </w:rPr>
        <w:footnoteReference w:id="3"/>
      </w:r>
      <w:r>
        <w:rPr>
          <w:rFonts w:cs="Segoe UI"/>
          <w:szCs w:val="21"/>
        </w:rPr>
        <w:t xml:space="preserve"> choice of services,</w:t>
      </w:r>
      <w:r w:rsidDel="005C5866">
        <w:rPr>
          <w:rFonts w:cs="Segoe UI"/>
          <w:szCs w:val="21"/>
        </w:rPr>
        <w:t xml:space="preserve"> </w:t>
      </w:r>
      <w:r>
        <w:rPr>
          <w:rFonts w:cs="Segoe UI"/>
          <w:szCs w:val="21"/>
        </w:rPr>
        <w:t>timeliness, and quality, to better meet people’s immediate health needs. This focus is reflected in the health targets and mental health and addiction targets.</w:t>
      </w:r>
    </w:p>
    <w:p w14:paraId="52ABE1C9" w14:textId="77777777" w:rsidR="00363713" w:rsidRDefault="00363713" w:rsidP="00363713">
      <w:pPr>
        <w:keepNext/>
        <w:spacing w:line="257" w:lineRule="auto"/>
        <w:rPr>
          <w:rFonts w:cs="Segoe UI"/>
          <w:szCs w:val="21"/>
        </w:rPr>
      </w:pPr>
    </w:p>
    <w:p w14:paraId="2701B1BD" w14:textId="77777777" w:rsidR="00363713" w:rsidRDefault="00363713" w:rsidP="00363713">
      <w:r>
        <w:t xml:space="preserve">The five priorities have been developed around key drivers of improvement in health outcomes and experiences for all New Zealanders and to support ongoing system stewardship. These priority areas are distinct, but are interconnected and reinforcing. </w:t>
      </w:r>
    </w:p>
    <w:p w14:paraId="070C71B6" w14:textId="77777777" w:rsidR="00363713" w:rsidRDefault="00363713" w:rsidP="00363713"/>
    <w:p w14:paraId="037302A0" w14:textId="77777777" w:rsidR="00363713" w:rsidRDefault="00363713" w:rsidP="00363713">
      <w:r>
        <w:t>Over the next three years, the health system will focus on improvements in three priority areas relating to health services.</w:t>
      </w:r>
    </w:p>
    <w:p w14:paraId="6E386DBE" w14:textId="77777777" w:rsidR="00363713" w:rsidRPr="00C20523" w:rsidRDefault="00363713" w:rsidP="00363713">
      <w:pPr>
        <w:pStyle w:val="Bullet"/>
      </w:pPr>
      <w:r w:rsidRPr="00860715">
        <w:rPr>
          <w:b/>
        </w:rPr>
        <w:t>Access:</w:t>
      </w:r>
      <w:r w:rsidRPr="00C20523">
        <w:t xml:space="preserve"> </w:t>
      </w:r>
      <w:r>
        <w:t>E</w:t>
      </w:r>
      <w:r w:rsidRPr="00C20523">
        <w:t xml:space="preserve">nsuring </w:t>
      </w:r>
      <w:r>
        <w:t xml:space="preserve">that </w:t>
      </w:r>
      <w:r w:rsidRPr="00C20523">
        <w:t>every person</w:t>
      </w:r>
      <w:r>
        <w:t xml:space="preserve"> </w:t>
      </w:r>
      <w:r w:rsidRPr="00C20523">
        <w:t>regardless of where they live in New Zealand, ha</w:t>
      </w:r>
      <w:r>
        <w:t>s</w:t>
      </w:r>
      <w:r w:rsidRPr="00C20523">
        <w:t xml:space="preserve"> </w:t>
      </w:r>
      <w:r>
        <w:t xml:space="preserve">equitable </w:t>
      </w:r>
      <w:r w:rsidRPr="00C20523">
        <w:t xml:space="preserve">access to the </w:t>
      </w:r>
      <w:r>
        <w:t>health care</w:t>
      </w:r>
      <w:r w:rsidRPr="00C20523">
        <w:t xml:space="preserve"> services they need. </w:t>
      </w:r>
    </w:p>
    <w:p w14:paraId="05D70604" w14:textId="77777777" w:rsidR="00363713" w:rsidRPr="00C20523" w:rsidRDefault="00363713" w:rsidP="00363713">
      <w:pPr>
        <w:pStyle w:val="Bullet"/>
      </w:pPr>
      <w:r w:rsidRPr="00860715">
        <w:rPr>
          <w:b/>
        </w:rPr>
        <w:t>Timeliness:</w:t>
      </w:r>
      <w:r w:rsidRPr="00C20523">
        <w:t xml:space="preserve"> </w:t>
      </w:r>
      <w:r>
        <w:t>E</w:t>
      </w:r>
      <w:r w:rsidRPr="00C20523">
        <w:t xml:space="preserve">nsuring </w:t>
      </w:r>
      <w:r>
        <w:t>that</w:t>
      </w:r>
      <w:r w:rsidRPr="00C20523">
        <w:t xml:space="preserve"> </w:t>
      </w:r>
      <w:r>
        <w:t>people</w:t>
      </w:r>
      <w:r w:rsidRPr="00C20523">
        <w:t xml:space="preserve"> can access the </w:t>
      </w:r>
      <w:r>
        <w:t>health care</w:t>
      </w:r>
      <w:r w:rsidRPr="00C20523">
        <w:t xml:space="preserve"> and services they need</w:t>
      </w:r>
      <w:r>
        <w:t>, when they need it</w:t>
      </w:r>
      <w:r w:rsidRPr="00C20523">
        <w:t xml:space="preserve"> </w:t>
      </w:r>
      <w:r>
        <w:t>i</w:t>
      </w:r>
      <w:r w:rsidRPr="00C20523">
        <w:t xml:space="preserve">n a </w:t>
      </w:r>
      <w:r>
        <w:t>prompt</w:t>
      </w:r>
      <w:r w:rsidRPr="00C20523">
        <w:t xml:space="preserve"> and efficient way. </w:t>
      </w:r>
    </w:p>
    <w:p w14:paraId="250E81D3" w14:textId="77777777" w:rsidR="00363713" w:rsidRPr="00D83728" w:rsidRDefault="00363713" w:rsidP="00363713">
      <w:pPr>
        <w:pStyle w:val="Bullet"/>
        <w:rPr>
          <w:rFonts w:cs="Segoe UI"/>
          <w:szCs w:val="21"/>
        </w:rPr>
      </w:pPr>
      <w:r w:rsidRPr="00860715">
        <w:rPr>
          <w:rFonts w:cs="Segoe UI"/>
          <w:b/>
          <w:szCs w:val="21"/>
        </w:rPr>
        <w:t>Quality</w:t>
      </w:r>
      <w:r>
        <w:rPr>
          <w:rFonts w:cs="Segoe UI"/>
          <w:b/>
          <w:szCs w:val="21"/>
        </w:rPr>
        <w:t xml:space="preserve">: </w:t>
      </w:r>
      <w:r>
        <w:rPr>
          <w:rStyle w:val="ui-provider"/>
        </w:rPr>
        <w:t>Ensuring that health care and services delivered in New Zealand are safe, easy to navigate, understandable and welcoming to users, and are continuously improving</w:t>
      </w:r>
      <w:r w:rsidRPr="00C20523">
        <w:rPr>
          <w:rFonts w:cs="Segoe UI"/>
          <w:szCs w:val="21"/>
        </w:rPr>
        <w:t>.</w:t>
      </w:r>
    </w:p>
    <w:p w14:paraId="0B81AA6A" w14:textId="77777777" w:rsidR="00363713" w:rsidRDefault="00363713" w:rsidP="00363713">
      <w:pPr>
        <w:rPr>
          <w:rFonts w:cs="Segoe UI"/>
          <w:szCs w:val="21"/>
        </w:rPr>
      </w:pPr>
    </w:p>
    <w:p w14:paraId="23636C67" w14:textId="77777777" w:rsidR="00C7553D" w:rsidRDefault="00C7553D" w:rsidP="00363713">
      <w:pPr>
        <w:rPr>
          <w:rFonts w:cs="Segoe UI"/>
          <w:szCs w:val="21"/>
        </w:rPr>
        <w:sectPr w:rsidR="00C7553D" w:rsidSect="00647816">
          <w:pgSz w:w="11907" w:h="16840" w:code="9"/>
          <w:pgMar w:top="1418" w:right="1701" w:bottom="1134" w:left="1843" w:header="284" w:footer="425" w:gutter="284"/>
          <w:cols w:space="720"/>
        </w:sectPr>
      </w:pPr>
    </w:p>
    <w:p w14:paraId="3897423C" w14:textId="25F42CB2" w:rsidR="00363713" w:rsidRPr="00C20523" w:rsidRDefault="00363713" w:rsidP="00363713">
      <w:pPr>
        <w:rPr>
          <w:rFonts w:cs="Segoe UI"/>
          <w:szCs w:val="21"/>
        </w:rPr>
      </w:pPr>
      <w:r>
        <w:rPr>
          <w:rFonts w:cs="Segoe UI"/>
          <w:szCs w:val="21"/>
        </w:rPr>
        <w:lastRenderedPageBreak/>
        <w:t>The two other priority areas are critical enablers for improving health services.</w:t>
      </w:r>
      <w:r w:rsidRPr="00C20523">
        <w:rPr>
          <w:rFonts w:cs="Segoe UI"/>
          <w:szCs w:val="21"/>
        </w:rPr>
        <w:t xml:space="preserve"> </w:t>
      </w:r>
    </w:p>
    <w:p w14:paraId="1DD4D5AF" w14:textId="77777777" w:rsidR="00363713" w:rsidRPr="00C20523" w:rsidRDefault="00363713" w:rsidP="00363713">
      <w:pPr>
        <w:pStyle w:val="Bullet"/>
        <w:rPr>
          <w:szCs w:val="21"/>
        </w:rPr>
      </w:pPr>
      <w:r w:rsidRPr="72ACEECD">
        <w:rPr>
          <w:b/>
        </w:rPr>
        <w:t>Workforce:</w:t>
      </w:r>
      <w:r w:rsidRPr="72ACEECD">
        <w:t xml:space="preserve"> </w:t>
      </w:r>
      <w:r>
        <w:t>H</w:t>
      </w:r>
      <w:r w:rsidRPr="72ACEECD">
        <w:t>aving a skilled and culturally capable workforce who are accessible, responsive</w:t>
      </w:r>
      <w:r>
        <w:t>,</w:t>
      </w:r>
      <w:r w:rsidRPr="72ACEECD">
        <w:t xml:space="preserve"> and </w:t>
      </w:r>
      <w:r>
        <w:t>supported</w:t>
      </w:r>
      <w:r w:rsidRPr="72ACEECD">
        <w:t xml:space="preserve"> to deliver safe and effective </w:t>
      </w:r>
      <w:r>
        <w:t>health care</w:t>
      </w:r>
      <w:r w:rsidRPr="72ACEECD">
        <w:t>.</w:t>
      </w:r>
    </w:p>
    <w:p w14:paraId="091664E8" w14:textId="77777777" w:rsidR="00363713" w:rsidRPr="00D83728" w:rsidRDefault="00363713" w:rsidP="00363713">
      <w:pPr>
        <w:pStyle w:val="Bullet"/>
      </w:pPr>
      <w:r w:rsidRPr="00860715">
        <w:rPr>
          <w:b/>
        </w:rPr>
        <w:t>Infrastructure:</w:t>
      </w:r>
      <w:r w:rsidRPr="00C20523">
        <w:t xml:space="preserve"> </w:t>
      </w:r>
      <w:r>
        <w:t>E</w:t>
      </w:r>
      <w:r w:rsidRPr="00C20523">
        <w:t>nsuring t</w:t>
      </w:r>
      <w:r>
        <w:t xml:space="preserve">hat </w:t>
      </w:r>
      <w:r w:rsidRPr="00C20523">
        <w:t xml:space="preserve">the health </w:t>
      </w:r>
      <w:r w:rsidRPr="00864BC3">
        <w:rPr>
          <w:rStyle w:val="ui-provider"/>
        </w:rPr>
        <w:t>system</w:t>
      </w:r>
      <w:r>
        <w:t xml:space="preserve"> is resilient and</w:t>
      </w:r>
      <w:r w:rsidRPr="00C20523">
        <w:t xml:space="preserve"> has the digital and physical infrastructure it needs to meet </w:t>
      </w:r>
      <w:r>
        <w:t>people’s</w:t>
      </w:r>
      <w:r w:rsidRPr="00C20523">
        <w:t xml:space="preserve"> needs now and into the future.</w:t>
      </w:r>
    </w:p>
    <w:p w14:paraId="4B98EBFF" w14:textId="77777777" w:rsidR="00363713" w:rsidRDefault="00363713" w:rsidP="00363713"/>
    <w:p w14:paraId="3B29D2F3" w14:textId="08735538" w:rsidR="00363713" w:rsidRDefault="00363713" w:rsidP="00363713">
      <w:r>
        <w:t xml:space="preserve">The commitment and focus on improving access and timeliness are also reinforced through the health targets. </w:t>
      </w:r>
    </w:p>
    <w:p w14:paraId="5C339C1D" w14:textId="32DA7641" w:rsidR="00EE4CC0" w:rsidRDefault="00363713" w:rsidP="00363713">
      <w:pPr>
        <w:pStyle w:val="Bullet"/>
      </w:pPr>
      <w:r w:rsidRPr="005F11EF">
        <w:rPr>
          <w:b/>
          <w:bCs/>
        </w:rPr>
        <w:t>Targets</w:t>
      </w:r>
      <w:r>
        <w:t xml:space="preserve">: The Government agrees with clinicians that targets save lives, as well as focusing resources and acting as accountability </w:t>
      </w:r>
      <w:r w:rsidRPr="00864BC3">
        <w:rPr>
          <w:rStyle w:val="ui-provider"/>
        </w:rPr>
        <w:t>measures</w:t>
      </w:r>
      <w:r>
        <w:t>.</w:t>
      </w:r>
    </w:p>
    <w:p w14:paraId="42F8EC2A" w14:textId="77777777" w:rsidR="00EE4CC0" w:rsidRDefault="00EE4CC0" w:rsidP="00EE4CC0">
      <w:pPr>
        <w:pStyle w:val="Heading3-nonumbering"/>
      </w:pPr>
      <w:r>
        <w:t xml:space="preserve">Prevention </w:t>
      </w:r>
    </w:p>
    <w:p w14:paraId="6512F22F" w14:textId="77777777" w:rsidR="00363713" w:rsidRDefault="00363713" w:rsidP="00363713">
      <w:r>
        <w:t>Prevention is a focus that needs to sit across all health service delivery. It includes population and public health policies and interventions that prevents illness from occurring, right through to hospital and specialist services that prevent further harms</w:t>
      </w:r>
      <w:r w:rsidRPr="003008BA">
        <w:t>.</w:t>
      </w:r>
      <w:r>
        <w:t xml:space="preserve"> </w:t>
      </w:r>
      <w:r w:rsidRPr="00BC4BD4">
        <w:t>This includes preventing mental health and addiction issues, and preventing suicide, such as by promoting mental wellbeing.</w:t>
      </w:r>
    </w:p>
    <w:p w14:paraId="22E1EF22" w14:textId="77777777" w:rsidR="00363713" w:rsidRDefault="00363713" w:rsidP="00363713"/>
    <w:p w14:paraId="509FC112" w14:textId="77777777" w:rsidR="00363713" w:rsidRDefault="00363713" w:rsidP="00363713">
      <w:r>
        <w:t xml:space="preserve">Aligned to the Government priorities, the health system should accelerate action to prevent and respond to the targets for health and mental health and addiction. It should also be proactive in responding </w:t>
      </w:r>
      <w:r w:rsidRPr="001471CF">
        <w:t>to five non-communicable diseases</w:t>
      </w:r>
      <w:r>
        <w:t>:</w:t>
      </w:r>
      <w:r w:rsidRPr="001471CF">
        <w:t xml:space="preserve"> cancer, cardiovascular disease, respiratory disease, diabetes and poor mental health, and address five modifiable </w:t>
      </w:r>
      <w:r>
        <w:t xml:space="preserve">risk </w:t>
      </w:r>
      <w:r w:rsidRPr="001471CF">
        <w:t>factors</w:t>
      </w:r>
      <w:r>
        <w:t>:</w:t>
      </w:r>
      <w:r w:rsidRPr="001471CF">
        <w:t xml:space="preserve"> alcohol, tobacco, </w:t>
      </w:r>
      <w:r>
        <w:t xml:space="preserve">poor </w:t>
      </w:r>
      <w:r w:rsidRPr="001471CF">
        <w:t xml:space="preserve">nutrition, physical </w:t>
      </w:r>
      <w:r>
        <w:t>in</w:t>
      </w:r>
      <w:r w:rsidRPr="001471CF">
        <w:t>activity, and adverse social and environmental factors</w:t>
      </w:r>
      <w:r>
        <w:t>.</w:t>
      </w:r>
    </w:p>
    <w:p w14:paraId="1BBEA197" w14:textId="77777777" w:rsidR="00363713" w:rsidRDefault="00363713" w:rsidP="00363713"/>
    <w:p w14:paraId="7B49CD5B" w14:textId="77777777" w:rsidR="00363713" w:rsidRDefault="00363713" w:rsidP="00363713">
      <w:r>
        <w:t xml:space="preserve">As a system, and as an initial step towards strengthening prevention efforts, we need to better understand how current investment supports prevention, and how we can strengthen this focus going forward. </w:t>
      </w:r>
    </w:p>
    <w:p w14:paraId="59582267" w14:textId="77777777" w:rsidR="00363713" w:rsidRDefault="00363713" w:rsidP="00363713"/>
    <w:p w14:paraId="252CBD7C" w14:textId="77777777" w:rsidR="00363713" w:rsidRDefault="00363713" w:rsidP="00363713">
      <w:r>
        <w:t>To strengthen prevention in the health system, the Government will:</w:t>
      </w:r>
    </w:p>
    <w:p w14:paraId="33790470" w14:textId="77777777" w:rsidR="00363713" w:rsidRPr="00363713" w:rsidRDefault="00363713" w:rsidP="00363713">
      <w:pPr>
        <w:pStyle w:val="Bullet"/>
      </w:pPr>
      <w:r w:rsidRPr="00363713">
        <w:t>prioritise investment in the health system to support a stronger prevention approach, across all forms of health system intervention</w:t>
      </w:r>
    </w:p>
    <w:p w14:paraId="44AC0B36" w14:textId="77777777" w:rsidR="00363713" w:rsidRPr="00363713" w:rsidRDefault="00363713" w:rsidP="00363713">
      <w:pPr>
        <w:pStyle w:val="Bullet"/>
      </w:pPr>
      <w:r w:rsidRPr="00363713">
        <w:t>continue to support improved health outcomes through a population-needs-based focus, including for groups with the highest health needs: Māori, Pacific peoples, disabled people, women, people living in rural communities, people on low incomes and people with mental health and addiction challenges</w:t>
      </w:r>
    </w:p>
    <w:p w14:paraId="1736FE3F" w14:textId="77777777" w:rsidR="00363713" w:rsidRPr="00363713" w:rsidRDefault="00363713" w:rsidP="00363713">
      <w:pPr>
        <w:pStyle w:val="Bullet"/>
      </w:pPr>
      <w:r w:rsidRPr="00363713">
        <w:t>ensure early access to preventative interventions, including timely access to screening, immunisation, early intervention and wellbeing/lifestyle supports</w:t>
      </w:r>
    </w:p>
    <w:p w14:paraId="33C47261" w14:textId="77777777" w:rsidR="00363713" w:rsidRPr="00363713" w:rsidRDefault="00363713" w:rsidP="00363713">
      <w:pPr>
        <w:pStyle w:val="Bullet"/>
      </w:pPr>
      <w:r w:rsidRPr="00363713">
        <w:t>prioritise investment in children to support a good start to life and to prevent, or lessen, life-long impacts from poor childhood health, which can also reduce future avoidable health costs</w:t>
      </w:r>
    </w:p>
    <w:p w14:paraId="1264D59F" w14:textId="77777777" w:rsidR="00363713" w:rsidRPr="00363713" w:rsidRDefault="00363713" w:rsidP="00363713">
      <w:pPr>
        <w:pStyle w:val="Bullet"/>
      </w:pPr>
      <w:r w:rsidRPr="00363713">
        <w:t xml:space="preserve">prioritise the sustainability and quality of health services for older people. This includes ensuring aged care services and </w:t>
      </w:r>
      <w:r w:rsidRPr="00363713">
        <w:rPr>
          <w:rStyle w:val="ui-provider"/>
        </w:rPr>
        <w:t>funding</w:t>
      </w:r>
      <w:r w:rsidRPr="00363713">
        <w:t xml:space="preserve"> models support older people to live well, age well and have a respectful end of life in age-friendly communities </w:t>
      </w:r>
    </w:p>
    <w:p w14:paraId="4163FB32" w14:textId="77777777" w:rsidR="00363713" w:rsidRPr="00363713" w:rsidRDefault="00363713" w:rsidP="00363713">
      <w:pPr>
        <w:pStyle w:val="Bullet"/>
      </w:pPr>
      <w:r w:rsidRPr="00363713">
        <w:t>shift decision-making and resources in the health system closer to communities</w:t>
      </w:r>
    </w:p>
    <w:p w14:paraId="2642ACAA" w14:textId="33A87D1D" w:rsidR="00EE4CC0" w:rsidRPr="00363713" w:rsidRDefault="00363713" w:rsidP="00363713">
      <w:pPr>
        <w:pStyle w:val="Bullet"/>
      </w:pPr>
      <w:r w:rsidRPr="00363713">
        <w:lastRenderedPageBreak/>
        <w:t>ensure there is appropriate capacity, capability, and infrastructure in place to prevent and respond to future pandemics and other health security threats</w:t>
      </w:r>
      <w:r w:rsidR="00EE4CC0" w:rsidRPr="00363713">
        <w:t>.</w:t>
      </w:r>
    </w:p>
    <w:p w14:paraId="66E6B2E6" w14:textId="77777777" w:rsidR="00EE4CC0" w:rsidRDefault="00EE4CC0" w:rsidP="00EE4CC0">
      <w:pPr>
        <w:pStyle w:val="Heading3-nonumbering"/>
      </w:pPr>
      <w:r>
        <w:t>Partnering to respond to the broader determinants of health</w:t>
      </w:r>
    </w:p>
    <w:p w14:paraId="7A8C4E05" w14:textId="77777777" w:rsidR="00363713" w:rsidRDefault="00363713" w:rsidP="00363713">
      <w:pPr>
        <w:rPr>
          <w:rFonts w:cs="Segoe UI"/>
          <w:szCs w:val="21"/>
        </w:rPr>
      </w:pPr>
      <w:r>
        <w:rPr>
          <w:rFonts w:cs="Segoe UI"/>
          <w:szCs w:val="21"/>
        </w:rPr>
        <w:t xml:space="preserve">Social determinants and environmental factors such as education, employment, income, housing, transport and climate account for the majority of health loss, but when strengthened, these same factors also provide a significant opportunity to improve health outcomes. </w:t>
      </w:r>
    </w:p>
    <w:p w14:paraId="739A09BA" w14:textId="77777777" w:rsidR="00363713" w:rsidRDefault="00363713" w:rsidP="00363713">
      <w:pPr>
        <w:rPr>
          <w:rFonts w:cs="Segoe UI"/>
          <w:bCs/>
          <w:szCs w:val="21"/>
        </w:rPr>
      </w:pPr>
    </w:p>
    <w:p w14:paraId="777424C5" w14:textId="77777777" w:rsidR="00363713" w:rsidRPr="00DE5405" w:rsidRDefault="00363713" w:rsidP="00363713">
      <w:pPr>
        <w:rPr>
          <w:rFonts w:cs="Segoe UI"/>
          <w:szCs w:val="21"/>
        </w:rPr>
      </w:pPr>
      <w:r w:rsidRPr="00DE5405">
        <w:rPr>
          <w:rFonts w:cs="Segoe UI"/>
          <w:szCs w:val="21"/>
        </w:rPr>
        <w:t xml:space="preserve">Access to healthy environments and </w:t>
      </w:r>
      <w:r>
        <w:rPr>
          <w:rFonts w:cs="Segoe UI"/>
          <w:szCs w:val="21"/>
        </w:rPr>
        <w:t xml:space="preserve">addressing </w:t>
      </w:r>
      <w:r w:rsidRPr="00DE5405">
        <w:rPr>
          <w:rFonts w:cs="Segoe UI"/>
          <w:szCs w:val="21"/>
        </w:rPr>
        <w:t>the</w:t>
      </w:r>
      <w:r>
        <w:rPr>
          <w:rFonts w:cs="Segoe UI"/>
          <w:szCs w:val="21"/>
        </w:rPr>
        <w:t xml:space="preserve"> social</w:t>
      </w:r>
      <w:r w:rsidRPr="00DE5405">
        <w:rPr>
          <w:rFonts w:cs="Segoe UI"/>
          <w:szCs w:val="21"/>
        </w:rPr>
        <w:t xml:space="preserve"> determinants of health:</w:t>
      </w:r>
    </w:p>
    <w:p w14:paraId="3DB391AD" w14:textId="5DE0DE8E" w:rsidR="00363713" w:rsidRPr="00DE5405" w:rsidRDefault="00363713" w:rsidP="00363713">
      <w:pPr>
        <w:pStyle w:val="Bullet"/>
        <w:rPr>
          <w:szCs w:val="21"/>
        </w:rPr>
      </w:pPr>
      <w:r w:rsidRPr="0DD16327">
        <w:t xml:space="preserve">reduces expenditure </w:t>
      </w:r>
      <w:r>
        <w:t xml:space="preserve">on </w:t>
      </w:r>
      <w:r w:rsidRPr="0DD16327">
        <w:t>health services, maintains system sustainability, and improves general productivity</w:t>
      </w:r>
    </w:p>
    <w:p w14:paraId="2CE87A48" w14:textId="77777777" w:rsidR="00363713" w:rsidRPr="00174FF7" w:rsidRDefault="00363713" w:rsidP="00363713">
      <w:pPr>
        <w:pStyle w:val="Bullet"/>
      </w:pPr>
      <w:r w:rsidRPr="0DD16327">
        <w:t>keeps people well in their communities and enables them to achieve their aspirations</w:t>
      </w:r>
    </w:p>
    <w:p w14:paraId="6DA7ED3A" w14:textId="4891B899" w:rsidR="00363713" w:rsidRDefault="00363713" w:rsidP="00363713">
      <w:pPr>
        <w:pStyle w:val="Bullet"/>
      </w:pPr>
      <w:r w:rsidRPr="0DD16327">
        <w:t xml:space="preserve">addresses health inequities and progresses the </w:t>
      </w:r>
      <w:r>
        <w:t xml:space="preserve">Government’s </w:t>
      </w:r>
      <w:r w:rsidRPr="0DD16327">
        <w:t>long</w:t>
      </w:r>
      <w:r>
        <w:t>-</w:t>
      </w:r>
      <w:r w:rsidRPr="0DD16327">
        <w:t xml:space="preserve">term vision </w:t>
      </w:r>
      <w:r>
        <w:t>for</w:t>
      </w:r>
      <w:r w:rsidRPr="0DD16327">
        <w:t xml:space="preserve"> health</w:t>
      </w:r>
      <w:r>
        <w:t xml:space="preserve"> in New Zealand</w:t>
      </w:r>
      <w:r w:rsidRPr="0DD16327">
        <w:t>.</w:t>
      </w:r>
    </w:p>
    <w:p w14:paraId="1963B23B" w14:textId="77777777" w:rsidR="00363713" w:rsidRPr="00005564" w:rsidRDefault="00363713" w:rsidP="00363713"/>
    <w:p w14:paraId="0CBA7EE9" w14:textId="300174F9" w:rsidR="00EE4CC0" w:rsidRDefault="00363713" w:rsidP="00EE4CC0">
      <w:r w:rsidRPr="00005564">
        <w:t xml:space="preserve">We will address the social determinants by partnering and influencing across sectors </w:t>
      </w:r>
      <w:r>
        <w:t xml:space="preserve">nationally </w:t>
      </w:r>
      <w:r w:rsidRPr="00005564">
        <w:t xml:space="preserve">and with communities at </w:t>
      </w:r>
      <w:r>
        <w:t>local and</w:t>
      </w:r>
      <w:r w:rsidRPr="00005564">
        <w:t xml:space="preserve"> regional level. This will involve </w:t>
      </w:r>
      <w:r>
        <w:t xml:space="preserve">taking </w:t>
      </w:r>
      <w:r w:rsidRPr="00005564">
        <w:t>stronger action at all levels of the health system</w:t>
      </w:r>
      <w:r>
        <w:t>. At a</w:t>
      </w:r>
      <w:r w:rsidRPr="00005564">
        <w:t xml:space="preserve"> local community</w:t>
      </w:r>
      <w:r>
        <w:t xml:space="preserve"> level, </w:t>
      </w:r>
      <w:r w:rsidRPr="00005564">
        <w:t>local planning processes</w:t>
      </w:r>
      <w:r w:rsidRPr="00005564" w:rsidDel="00CF40F7">
        <w:t xml:space="preserve"> </w:t>
      </w:r>
      <w:r>
        <w:t xml:space="preserve">can </w:t>
      </w:r>
      <w:r w:rsidRPr="00005564">
        <w:t>support action</w:t>
      </w:r>
      <w:r>
        <w:t>s</w:t>
      </w:r>
      <w:r w:rsidRPr="00005564">
        <w:t xml:space="preserve"> to respond to local needs, including with Iwi-Māori Partnership Boards</w:t>
      </w:r>
      <w:r>
        <w:t xml:space="preserve"> (IMPBs)</w:t>
      </w:r>
      <w:r w:rsidRPr="00005564">
        <w:t xml:space="preserve"> where appropriate. At a regional level, this would be enabled through planning and collaboration between the health system and key regional roles, including Regional Public Service Commissioners. Nationally, work to improve the social determinants would be supported by cross-government strategies </w:t>
      </w:r>
      <w:r>
        <w:t xml:space="preserve">and actions, </w:t>
      </w:r>
      <w:r w:rsidRPr="00005564">
        <w:t xml:space="preserve">such as the </w:t>
      </w:r>
      <w:hyperlink r:id="rId40" w:history="1">
        <w:r w:rsidRPr="00C7553D">
          <w:rPr>
            <w:rStyle w:val="Hyperlink"/>
          </w:rPr>
          <w:t>Child and Youth Wellbeing Strategy</w:t>
        </w:r>
      </w:hyperlink>
      <w:r w:rsidRPr="00C7553D">
        <w:rPr>
          <w:rStyle w:val="Hyperlink"/>
        </w:rPr>
        <w:t xml:space="preserve"> and the </w:t>
      </w:r>
      <w:hyperlink r:id="rId41" w:history="1">
        <w:r w:rsidRPr="00C7553D">
          <w:rPr>
            <w:rStyle w:val="Hyperlink"/>
          </w:rPr>
          <w:t>Oranga Tamariki Action Plan</w:t>
        </w:r>
      </w:hyperlink>
      <w:r w:rsidRPr="00005564">
        <w:t xml:space="preserve">, </w:t>
      </w:r>
      <w:r>
        <w:t xml:space="preserve">and </w:t>
      </w:r>
      <w:r w:rsidRPr="00005564">
        <w:t xml:space="preserve">policy development and commissioning that supports </w:t>
      </w:r>
      <w:r>
        <w:t xml:space="preserve">cross-government </w:t>
      </w:r>
      <w:r w:rsidRPr="00005564">
        <w:t xml:space="preserve">collaboration around </w:t>
      </w:r>
      <w:r>
        <w:t>broader social outcomes</w:t>
      </w:r>
      <w:r w:rsidRPr="00005564">
        <w:t xml:space="preserve">. </w:t>
      </w:r>
    </w:p>
    <w:p w14:paraId="4F3501F8" w14:textId="77777777" w:rsidR="00EE4CC0" w:rsidRDefault="00EE4CC0" w:rsidP="00EE4CC0">
      <w:pPr>
        <w:pStyle w:val="Heading2-nonumbering"/>
      </w:pPr>
      <w:bookmarkStart w:id="15" w:name="_Toc170134104"/>
      <w:r w:rsidRPr="00072B73">
        <w:t xml:space="preserve">Government health priorities for Māori </w:t>
      </w:r>
      <w:r>
        <w:t>and other populations</w:t>
      </w:r>
      <w:bookmarkEnd w:id="15"/>
    </w:p>
    <w:p w14:paraId="3F997730" w14:textId="77777777" w:rsidR="00EE4CC0" w:rsidRDefault="00EE4CC0" w:rsidP="00EE4CC0">
      <w:pPr>
        <w:pStyle w:val="Heading3-nonumbering"/>
      </w:pPr>
      <w:r>
        <w:t>Priorities for populations with high health needs</w:t>
      </w:r>
    </w:p>
    <w:p w14:paraId="44B8AF79" w14:textId="77777777" w:rsidR="00813300" w:rsidRPr="009067F5" w:rsidRDefault="00813300" w:rsidP="00813300">
      <w:pPr>
        <w:rPr>
          <w:rFonts w:cs="Segoe UI"/>
          <w:szCs w:val="21"/>
        </w:rPr>
      </w:pPr>
      <w:r w:rsidRPr="00A616F0">
        <w:t>The GPS sets out a visi</w:t>
      </w:r>
      <w:r w:rsidRPr="009067F5">
        <w:rPr>
          <w:rFonts w:cs="Segoe UI"/>
          <w:szCs w:val="21"/>
        </w:rPr>
        <w:t>on to improve health outcomes for populations with the highest needs</w:t>
      </w:r>
      <w:r>
        <w:rPr>
          <w:rFonts w:cs="Segoe UI"/>
          <w:szCs w:val="21"/>
        </w:rPr>
        <w:t>.</w:t>
      </w:r>
      <w:r w:rsidRPr="009067F5">
        <w:rPr>
          <w:rFonts w:cs="Segoe UI"/>
          <w:szCs w:val="21"/>
        </w:rPr>
        <w:t xml:space="preserve"> </w:t>
      </w:r>
      <w:r>
        <w:rPr>
          <w:rFonts w:cs="Segoe UI"/>
          <w:szCs w:val="21"/>
        </w:rPr>
        <w:t xml:space="preserve">This </w:t>
      </w:r>
      <w:r w:rsidRPr="009067F5">
        <w:rPr>
          <w:rFonts w:cs="Segoe UI"/>
          <w:szCs w:val="21"/>
        </w:rPr>
        <w:t>includ</w:t>
      </w:r>
      <w:r>
        <w:rPr>
          <w:rFonts w:cs="Segoe UI"/>
          <w:szCs w:val="21"/>
        </w:rPr>
        <w:t>es</w:t>
      </w:r>
      <w:r w:rsidRPr="009067F5">
        <w:rPr>
          <w:rFonts w:cs="Segoe UI"/>
          <w:szCs w:val="21"/>
        </w:rPr>
        <w:t xml:space="preserve"> the priority populations identified in the Pae Ora Act (</w:t>
      </w:r>
      <w:r>
        <w:rPr>
          <w:rFonts w:cs="Segoe UI"/>
          <w:szCs w:val="21"/>
        </w:rPr>
        <w:t xml:space="preserve">Māori, </w:t>
      </w:r>
      <w:r w:rsidRPr="009067F5">
        <w:rPr>
          <w:rFonts w:cs="Segoe UI"/>
          <w:szCs w:val="21"/>
        </w:rPr>
        <w:t xml:space="preserve">Pacific peoples, disabled people, women and people living in rural </w:t>
      </w:r>
      <w:r>
        <w:rPr>
          <w:rFonts w:cs="Segoe UI"/>
          <w:szCs w:val="21"/>
        </w:rPr>
        <w:t>communities</w:t>
      </w:r>
      <w:r w:rsidRPr="009067F5">
        <w:rPr>
          <w:rFonts w:cs="Segoe UI"/>
          <w:szCs w:val="21"/>
        </w:rPr>
        <w:t xml:space="preserve">), and other groups </w:t>
      </w:r>
      <w:r>
        <w:rPr>
          <w:rFonts w:cs="Segoe UI"/>
          <w:szCs w:val="21"/>
        </w:rPr>
        <w:t>such as</w:t>
      </w:r>
      <w:r w:rsidRPr="009067F5">
        <w:rPr>
          <w:rFonts w:cs="Segoe UI"/>
          <w:szCs w:val="21"/>
        </w:rPr>
        <w:t xml:space="preserve"> </w:t>
      </w:r>
      <w:r>
        <w:rPr>
          <w:rFonts w:cs="Segoe UI"/>
          <w:szCs w:val="21"/>
        </w:rPr>
        <w:t xml:space="preserve">some </w:t>
      </w:r>
      <w:r w:rsidRPr="009067F5">
        <w:rPr>
          <w:rFonts w:cs="Segoe UI"/>
          <w:szCs w:val="21"/>
        </w:rPr>
        <w:t xml:space="preserve">ethnic communities, </w:t>
      </w:r>
      <w:r>
        <w:rPr>
          <w:rFonts w:cs="Segoe UI"/>
          <w:szCs w:val="21"/>
        </w:rPr>
        <w:t xml:space="preserve">people from refugee-backgrounds, </w:t>
      </w:r>
      <w:r w:rsidRPr="009067F5">
        <w:rPr>
          <w:rFonts w:cs="Segoe UI"/>
          <w:szCs w:val="21"/>
        </w:rPr>
        <w:t xml:space="preserve">children and young people </w:t>
      </w:r>
      <w:r>
        <w:rPr>
          <w:rFonts w:cs="Segoe UI"/>
          <w:szCs w:val="21"/>
        </w:rPr>
        <w:t xml:space="preserve">who are, or have been in, </w:t>
      </w:r>
      <w:r w:rsidRPr="009067F5">
        <w:rPr>
          <w:rFonts w:cs="Segoe UI"/>
          <w:szCs w:val="21"/>
        </w:rPr>
        <w:t xml:space="preserve">State care, </w:t>
      </w:r>
      <w:r>
        <w:rPr>
          <w:rFonts w:cs="Segoe UI"/>
          <w:szCs w:val="21"/>
        </w:rPr>
        <w:t xml:space="preserve">people who are homeless </w:t>
      </w:r>
      <w:r w:rsidRPr="009067F5">
        <w:rPr>
          <w:rFonts w:cs="Segoe UI"/>
          <w:szCs w:val="21"/>
        </w:rPr>
        <w:t xml:space="preserve">and rainbow populations. The GPS also responds to health needs of the population across different stages of life, from healthy pregnancies to children and young people, through to healthy ageing. </w:t>
      </w:r>
    </w:p>
    <w:p w14:paraId="7C3095D6" w14:textId="77777777" w:rsidR="00813300" w:rsidRPr="00A616F0" w:rsidRDefault="00813300" w:rsidP="00813300"/>
    <w:p w14:paraId="6EF12D9F" w14:textId="1799CF81" w:rsidR="00813300" w:rsidRDefault="00813300" w:rsidP="00813300">
      <w:r w:rsidRPr="00A616F0">
        <w:lastRenderedPageBreak/>
        <w:t xml:space="preserve">The GPS sets clear expectations for health entities to address the unfair differences in health needs and outcomes across </w:t>
      </w:r>
      <w:r>
        <w:t>New Zealand’s population</w:t>
      </w:r>
      <w:r w:rsidRPr="00A616F0">
        <w:t xml:space="preserve"> groups, consistent with the requirements </w:t>
      </w:r>
      <w:r>
        <w:t xml:space="preserve">set out </w:t>
      </w:r>
      <w:r w:rsidRPr="00A616F0">
        <w:t>in the Pae Ora Act. This includes ensuring groups with the highest need</w:t>
      </w:r>
      <w:r>
        <w:t xml:space="preserve"> </w:t>
      </w:r>
      <w:r w:rsidRPr="00A616F0">
        <w:t xml:space="preserve">are involved in the design and delivery of services, </w:t>
      </w:r>
      <w:r>
        <w:t>so they are effective</w:t>
      </w:r>
      <w:r w:rsidRPr="00A616F0">
        <w:t xml:space="preserve"> for the</w:t>
      </w:r>
      <w:r>
        <w:t>ir communities, such as a local community or population-based ethnic community</w:t>
      </w:r>
      <w:r w:rsidRPr="00A616F0">
        <w:t xml:space="preserve">, </w:t>
      </w:r>
      <w:r>
        <w:t xml:space="preserve">so the population </w:t>
      </w:r>
      <w:r w:rsidR="008748A0">
        <w:t>has</w:t>
      </w:r>
      <w:r w:rsidRPr="00A616F0">
        <w:t xml:space="preserve"> access to a range of services proportion</w:t>
      </w:r>
      <w:r>
        <w:t>al</w:t>
      </w:r>
      <w:r w:rsidRPr="00A616F0">
        <w:t xml:space="preserve"> to their health need. </w:t>
      </w:r>
    </w:p>
    <w:p w14:paraId="357028C5" w14:textId="77777777" w:rsidR="00813300" w:rsidRDefault="00813300" w:rsidP="00813300"/>
    <w:p w14:paraId="2AD8D8B9" w14:textId="77777777" w:rsidR="00813300" w:rsidRDefault="00813300" w:rsidP="00813300">
      <w:r>
        <w:t>Supported by smart investment</w:t>
      </w:r>
      <w:r w:rsidRPr="00A616F0">
        <w:t>, health entities must work with these communities and the wider health and social sector to ensure services are responding to the health needs</w:t>
      </w:r>
      <w:r>
        <w:t xml:space="preserve"> of communities</w:t>
      </w:r>
      <w:r w:rsidRPr="00A616F0">
        <w:t xml:space="preserve">. </w:t>
      </w:r>
    </w:p>
    <w:p w14:paraId="5BFEEBCD" w14:textId="77777777" w:rsidR="00813300" w:rsidRDefault="00813300" w:rsidP="00813300"/>
    <w:p w14:paraId="4AB23EDB" w14:textId="5DA8F2F5" w:rsidR="00EE4CC0" w:rsidRPr="00BB4010" w:rsidRDefault="00813300" w:rsidP="00813300">
      <w:pPr>
        <w:rPr>
          <w:rFonts w:cs="Segoe UI"/>
          <w:szCs w:val="21"/>
        </w:rPr>
      </w:pPr>
      <w:r>
        <w:rPr>
          <w:rFonts w:cs="Segoe UI"/>
          <w:szCs w:val="21"/>
        </w:rPr>
        <w:t xml:space="preserve">The focus on a </w:t>
      </w:r>
      <w:r w:rsidRPr="00FB71E0">
        <w:rPr>
          <w:rFonts w:cs="Segoe UI"/>
          <w:szCs w:val="21"/>
        </w:rPr>
        <w:t xml:space="preserve">social investment approach will </w:t>
      </w:r>
      <w:r>
        <w:rPr>
          <w:rFonts w:cs="Segoe UI"/>
          <w:szCs w:val="21"/>
        </w:rPr>
        <w:t xml:space="preserve">support </w:t>
      </w:r>
      <w:r w:rsidRPr="00FB71E0">
        <w:rPr>
          <w:rFonts w:cs="Segoe UI"/>
          <w:szCs w:val="21"/>
        </w:rPr>
        <w:t>collaborat</w:t>
      </w:r>
      <w:r>
        <w:rPr>
          <w:rFonts w:cs="Segoe UI"/>
          <w:szCs w:val="21"/>
        </w:rPr>
        <w:t xml:space="preserve">ion between </w:t>
      </w:r>
      <w:r w:rsidRPr="00FB71E0">
        <w:rPr>
          <w:rFonts w:cs="Segoe UI"/>
          <w:szCs w:val="21"/>
        </w:rPr>
        <w:t>core health services</w:t>
      </w:r>
      <w:r>
        <w:rPr>
          <w:rFonts w:cs="Segoe UI"/>
          <w:szCs w:val="21"/>
        </w:rPr>
        <w:t xml:space="preserve"> and other supports and services to address</w:t>
      </w:r>
      <w:r w:rsidRPr="00FB71E0">
        <w:rPr>
          <w:rFonts w:cs="Segoe UI"/>
          <w:szCs w:val="21"/>
        </w:rPr>
        <w:t xml:space="preserve"> the social determinants of health </w:t>
      </w:r>
      <w:r>
        <w:rPr>
          <w:rFonts w:cs="Segoe UI"/>
          <w:szCs w:val="21"/>
        </w:rPr>
        <w:t>and</w:t>
      </w:r>
      <w:r w:rsidRPr="00FB71E0">
        <w:rPr>
          <w:rFonts w:cs="Segoe UI"/>
          <w:szCs w:val="21"/>
        </w:rPr>
        <w:t xml:space="preserve"> improve </w:t>
      </w:r>
      <w:r>
        <w:rPr>
          <w:rFonts w:cs="Segoe UI"/>
          <w:szCs w:val="21"/>
        </w:rPr>
        <w:t xml:space="preserve">health </w:t>
      </w:r>
      <w:r w:rsidRPr="00FB71E0">
        <w:rPr>
          <w:rFonts w:cs="Segoe UI"/>
          <w:szCs w:val="21"/>
        </w:rPr>
        <w:t>outcomes</w:t>
      </w:r>
      <w:r>
        <w:rPr>
          <w:rFonts w:cs="Segoe UI"/>
          <w:szCs w:val="21"/>
        </w:rPr>
        <w:t>.</w:t>
      </w:r>
      <w:r w:rsidRPr="00A616F0">
        <w:t xml:space="preserve"> This includes working to address the drivers of the differences in health outcomes that sit outside the health sector, a</w:t>
      </w:r>
      <w:r>
        <w:t>s well as</w:t>
      </w:r>
      <w:r w:rsidRPr="00A616F0">
        <w:t xml:space="preserve"> monitoring and reporting on progress</w:t>
      </w:r>
      <w:r w:rsidR="00EE4CC0" w:rsidRPr="009067F5">
        <w:rPr>
          <w:rFonts w:cs="Segoe UI"/>
          <w:szCs w:val="21"/>
        </w:rPr>
        <w:t>.</w:t>
      </w:r>
      <w:r w:rsidR="00EE4CC0" w:rsidRPr="00FB71E0">
        <w:t xml:space="preserve"> </w:t>
      </w:r>
    </w:p>
    <w:p w14:paraId="33222DA7" w14:textId="77777777" w:rsidR="00EE4CC0" w:rsidRDefault="00EE4CC0" w:rsidP="00EE4CC0">
      <w:pPr>
        <w:pStyle w:val="Heading3-nonumbering"/>
      </w:pPr>
      <w:r>
        <w:t>Priorities for improving Māori health</w:t>
      </w:r>
    </w:p>
    <w:p w14:paraId="3FDF0106" w14:textId="77777777" w:rsidR="00813300" w:rsidRPr="00056FA8" w:rsidRDefault="00813300" w:rsidP="00813300">
      <w:r>
        <w:t>Māori have worse health outcomes than non-Māori across most measures of health, including those related to non-communicable diseases and key modifiable risk factors.</w:t>
      </w:r>
    </w:p>
    <w:p w14:paraId="693713CD" w14:textId="77777777" w:rsidR="00813300" w:rsidRPr="00056FA8" w:rsidRDefault="00813300" w:rsidP="00813300">
      <w:pPr>
        <w:rPr>
          <w:szCs w:val="21"/>
        </w:rPr>
      </w:pPr>
    </w:p>
    <w:p w14:paraId="00FF8A66" w14:textId="5CE900D9" w:rsidR="00813300" w:rsidRPr="00056FA8" w:rsidRDefault="00813300" w:rsidP="00813300">
      <w:pPr>
        <w:rPr>
          <w:szCs w:val="21"/>
        </w:rPr>
      </w:pPr>
      <w:r w:rsidRPr="00056FA8">
        <w:rPr>
          <w:szCs w:val="21"/>
        </w:rPr>
        <w:t xml:space="preserve">The priorities in this GPS are aligned with </w:t>
      </w:r>
      <w:hyperlink r:id="rId42" w:history="1">
        <w:r w:rsidRPr="00C7553D">
          <w:rPr>
            <w:rStyle w:val="Hyperlink"/>
          </w:rPr>
          <w:t>Pae Tū: Hauora Māori Strategy</w:t>
        </w:r>
      </w:hyperlink>
      <w:r w:rsidRPr="00C7553D">
        <w:rPr>
          <w:rStyle w:val="Hyperlink"/>
        </w:rPr>
        <w:t xml:space="preserve"> </w:t>
      </w:r>
      <w:r w:rsidRPr="006F1FDB">
        <w:rPr>
          <w:rStyle w:val="Hyperlink"/>
          <w:b w:val="0"/>
          <w:bCs/>
          <w:color w:val="auto"/>
        </w:rPr>
        <w:t>and</w:t>
      </w:r>
      <w:r w:rsidRPr="00C7553D">
        <w:rPr>
          <w:rStyle w:val="Hyperlink"/>
        </w:rPr>
        <w:t xml:space="preserve"> </w:t>
      </w:r>
      <w:hyperlink r:id="rId43" w:history="1">
        <w:r w:rsidRPr="00C7553D">
          <w:rPr>
            <w:rStyle w:val="Hyperlink"/>
          </w:rPr>
          <w:t>Whakamaua: Māori Health Action Plan 2020–2025</w:t>
        </w:r>
      </w:hyperlink>
      <w:r>
        <w:rPr>
          <w:i/>
          <w:szCs w:val="21"/>
        </w:rPr>
        <w:t xml:space="preserve"> </w:t>
      </w:r>
      <w:r>
        <w:t>in a pathway to consolidating and further focusing Māori health outcomes</w:t>
      </w:r>
      <w:r w:rsidRPr="00A616F0">
        <w:t>.</w:t>
      </w:r>
      <w:r w:rsidRPr="00056FA8">
        <w:rPr>
          <w:szCs w:val="21"/>
        </w:rPr>
        <w:t xml:space="preserve"> These documents provide the guiding framework </w:t>
      </w:r>
      <w:r>
        <w:rPr>
          <w:szCs w:val="21"/>
        </w:rPr>
        <w:t xml:space="preserve">for </w:t>
      </w:r>
      <w:r w:rsidRPr="00056FA8">
        <w:rPr>
          <w:szCs w:val="21"/>
        </w:rPr>
        <w:t xml:space="preserve">health entities </w:t>
      </w:r>
      <w:r>
        <w:rPr>
          <w:szCs w:val="21"/>
        </w:rPr>
        <w:t>to work together</w:t>
      </w:r>
      <w:r w:rsidRPr="00056FA8">
        <w:rPr>
          <w:szCs w:val="21"/>
        </w:rPr>
        <w:t xml:space="preserve"> with Māori to respond to Māori health aspirations and address Māori health needs. Improving Māori health outcomes requires coordinated effort and action across the health system and broader </w:t>
      </w:r>
      <w:r>
        <w:rPr>
          <w:szCs w:val="21"/>
        </w:rPr>
        <w:t>g</w:t>
      </w:r>
      <w:r w:rsidRPr="00056FA8">
        <w:rPr>
          <w:szCs w:val="21"/>
        </w:rPr>
        <w:t>overnment.</w:t>
      </w:r>
    </w:p>
    <w:p w14:paraId="666D263F" w14:textId="77777777" w:rsidR="00813300" w:rsidRPr="00056FA8" w:rsidRDefault="00813300" w:rsidP="00813300">
      <w:pPr>
        <w:rPr>
          <w:szCs w:val="21"/>
        </w:rPr>
      </w:pPr>
    </w:p>
    <w:p w14:paraId="04612BC3" w14:textId="77777777" w:rsidR="00813300" w:rsidRDefault="00813300" w:rsidP="00813300">
      <w:r>
        <w:t>The Government’s vision for Māori health is outcomes-driven and will be achieved by shifting decision-making around resources closer to people and communities, enabling local leadership, collaboration and innovation to meet needs. This will be reinforced with a continued focus on Māori health monitoring at all levels of the system.</w:t>
      </w:r>
    </w:p>
    <w:p w14:paraId="1ED893DC" w14:textId="77777777" w:rsidR="00813300" w:rsidRDefault="00813300" w:rsidP="00813300"/>
    <w:p w14:paraId="75AD255A" w14:textId="77777777" w:rsidR="00813300" w:rsidRDefault="00813300" w:rsidP="00813300">
      <w:r>
        <w:t xml:space="preserve">As government, we will work with our partners to advance Māori health aspirations and enable Māori to live healthier and more independent lives. IMPBs will play an emerging role in this partnership. Over the next three years, IMPBs will play a greater role in supporting high-quality community-led health care. This will be consistent with the Government’s focus on shifting decision-making and resources closer to communities, supported and resourced by Health New Zealand. </w:t>
      </w:r>
    </w:p>
    <w:p w14:paraId="0E7EE403" w14:textId="77777777" w:rsidR="00813300" w:rsidRDefault="00813300" w:rsidP="00813300"/>
    <w:p w14:paraId="34FDF360" w14:textId="77777777" w:rsidR="00813300" w:rsidRDefault="00813300" w:rsidP="00813300">
      <w:r w:rsidRPr="003B517D">
        <w:t xml:space="preserve">The Hauora </w:t>
      </w:r>
      <w:r>
        <w:t>Māori</w:t>
      </w:r>
      <w:r w:rsidRPr="003B517D">
        <w:t xml:space="preserve"> Advisory Committee (HMAC) will provide further guidance around </w:t>
      </w:r>
      <w:r>
        <w:t>Māori</w:t>
      </w:r>
      <w:r w:rsidRPr="003B517D">
        <w:t xml:space="preserve"> health priorities</w:t>
      </w:r>
      <w:r>
        <w:t>. It will also</w:t>
      </w:r>
      <w:r w:rsidRPr="003B517D">
        <w:t xml:space="preserve"> assist monitoring of </w:t>
      </w:r>
      <w:r>
        <w:t>Māori</w:t>
      </w:r>
      <w:r w:rsidRPr="003B517D">
        <w:t xml:space="preserve"> health outcomes and </w:t>
      </w:r>
      <w:r>
        <w:t xml:space="preserve">the </w:t>
      </w:r>
      <w:r w:rsidRPr="003B517D">
        <w:t>cultural and clinical performance</w:t>
      </w:r>
      <w:r w:rsidRPr="00D35A94">
        <w:t xml:space="preserve"> </w:t>
      </w:r>
      <w:r>
        <w:t xml:space="preserve">of the </w:t>
      </w:r>
      <w:r w:rsidRPr="003B517D">
        <w:t>system.</w:t>
      </w:r>
    </w:p>
    <w:p w14:paraId="541913C9" w14:textId="5FC954F7" w:rsidR="00EE4CC0" w:rsidRDefault="00EE4CC0" w:rsidP="00EE4CC0"/>
    <w:p w14:paraId="6118DD3C" w14:textId="77777777" w:rsidR="00EE4CC0" w:rsidRDefault="00EE4CC0" w:rsidP="00EE4CC0">
      <w:pPr>
        <w:pStyle w:val="Heading2-nonumbering"/>
      </w:pPr>
      <w:bookmarkStart w:id="16" w:name="_Toc159407474"/>
      <w:bookmarkStart w:id="17" w:name="_Toc170134105"/>
      <w:r>
        <w:lastRenderedPageBreak/>
        <w:t>Financial sustainability</w:t>
      </w:r>
      <w:bookmarkEnd w:id="16"/>
      <w:bookmarkEnd w:id="17"/>
    </w:p>
    <w:p w14:paraId="72534B59" w14:textId="77777777" w:rsidR="00813300" w:rsidRDefault="00813300" w:rsidP="00813300">
      <w:pPr>
        <w:rPr>
          <w:rFonts w:cs="Segoe UI"/>
          <w:szCs w:val="21"/>
        </w:rPr>
      </w:pPr>
      <w:r>
        <w:rPr>
          <w:rFonts w:cs="Segoe UI"/>
          <w:szCs w:val="21"/>
        </w:rPr>
        <w:t>Over recent years</w:t>
      </w:r>
      <w:r w:rsidRPr="00B5522D">
        <w:rPr>
          <w:rFonts w:cs="Segoe UI"/>
          <w:szCs w:val="21"/>
        </w:rPr>
        <w:t>, Vote Health has remained at a relatively static proportion of G</w:t>
      </w:r>
      <w:r>
        <w:rPr>
          <w:rFonts w:cs="Segoe UI"/>
          <w:szCs w:val="21"/>
        </w:rPr>
        <w:t xml:space="preserve">ross </w:t>
      </w:r>
      <w:r w:rsidRPr="00B5522D">
        <w:rPr>
          <w:rFonts w:cs="Segoe UI"/>
          <w:szCs w:val="21"/>
        </w:rPr>
        <w:t>D</w:t>
      </w:r>
      <w:r>
        <w:rPr>
          <w:rFonts w:cs="Segoe UI"/>
          <w:szCs w:val="21"/>
        </w:rPr>
        <w:t xml:space="preserve">omestic </w:t>
      </w:r>
      <w:r w:rsidRPr="00B5522D">
        <w:rPr>
          <w:rFonts w:cs="Segoe UI"/>
          <w:szCs w:val="21"/>
        </w:rPr>
        <w:t>P</w:t>
      </w:r>
      <w:r>
        <w:rPr>
          <w:rFonts w:cs="Segoe UI"/>
          <w:szCs w:val="21"/>
        </w:rPr>
        <w:t>roduct</w:t>
      </w:r>
      <w:r w:rsidRPr="00B5522D">
        <w:rPr>
          <w:rFonts w:cs="Segoe UI"/>
          <w:szCs w:val="21"/>
        </w:rPr>
        <w:t xml:space="preserve"> (varying </w:t>
      </w:r>
      <w:r w:rsidRPr="00087511">
        <w:rPr>
          <w:rFonts w:cs="Segoe UI"/>
          <w:szCs w:val="21"/>
        </w:rPr>
        <w:t>around 5.3</w:t>
      </w:r>
      <w:r>
        <w:rPr>
          <w:rFonts w:cs="Segoe UI"/>
          <w:szCs w:val="21"/>
        </w:rPr>
        <w:t>–</w:t>
      </w:r>
      <w:r w:rsidRPr="00087511">
        <w:rPr>
          <w:rFonts w:cs="Segoe UI"/>
          <w:szCs w:val="21"/>
        </w:rPr>
        <w:t>5.6% from 2000</w:t>
      </w:r>
      <w:r>
        <w:rPr>
          <w:rFonts w:cs="Segoe UI"/>
          <w:szCs w:val="21"/>
        </w:rPr>
        <w:t>–</w:t>
      </w:r>
      <w:r w:rsidRPr="00087511">
        <w:rPr>
          <w:rFonts w:cs="Segoe UI"/>
          <w:szCs w:val="21"/>
        </w:rPr>
        <w:t xml:space="preserve">2022 and rising to about 6% </w:t>
      </w:r>
      <w:r>
        <w:rPr>
          <w:rFonts w:cs="Segoe UI"/>
          <w:szCs w:val="21"/>
        </w:rPr>
        <w:t xml:space="preserve">after the </w:t>
      </w:r>
      <w:r w:rsidRPr="00087511">
        <w:rPr>
          <w:rFonts w:cs="Segoe UI"/>
          <w:szCs w:val="21"/>
        </w:rPr>
        <w:t>COVID</w:t>
      </w:r>
      <w:r>
        <w:rPr>
          <w:rFonts w:cs="Segoe UI"/>
          <w:szCs w:val="21"/>
        </w:rPr>
        <w:t>-19 pandemic</w:t>
      </w:r>
      <w:r w:rsidRPr="00087511">
        <w:rPr>
          <w:rFonts w:cs="Segoe UI"/>
          <w:szCs w:val="21"/>
        </w:rPr>
        <w:t>).</w:t>
      </w:r>
      <w:r>
        <w:rPr>
          <w:rFonts w:cs="Segoe UI"/>
          <w:szCs w:val="21"/>
        </w:rPr>
        <w:t xml:space="preserve"> </w:t>
      </w:r>
      <w:r w:rsidRPr="00B5522D">
        <w:rPr>
          <w:rFonts w:cs="Segoe UI"/>
          <w:szCs w:val="21"/>
        </w:rPr>
        <w:t xml:space="preserve">The pressure to increase spending on publicly funded </w:t>
      </w:r>
      <w:r>
        <w:rPr>
          <w:rFonts w:cs="Segoe UI"/>
          <w:szCs w:val="21"/>
        </w:rPr>
        <w:t>health care</w:t>
      </w:r>
      <w:r w:rsidRPr="00B5522D">
        <w:rPr>
          <w:rFonts w:cs="Segoe UI"/>
          <w:szCs w:val="21"/>
        </w:rPr>
        <w:t xml:space="preserve"> is expected to continue due to several cost drivers</w:t>
      </w:r>
      <w:r>
        <w:rPr>
          <w:rFonts w:cs="Segoe UI"/>
          <w:szCs w:val="21"/>
        </w:rPr>
        <w:t>. These drivers include the</w:t>
      </w:r>
      <w:r w:rsidRPr="00B5522D">
        <w:rPr>
          <w:rFonts w:cs="Segoe UI"/>
          <w:szCs w:val="21"/>
        </w:rPr>
        <w:t xml:space="preserve"> increasing and more complex demand for health services, changes in technology, the needs of an ageing population, and increases in the cost of delivery of </w:t>
      </w:r>
      <w:r>
        <w:rPr>
          <w:rFonts w:cs="Segoe UI"/>
          <w:szCs w:val="21"/>
        </w:rPr>
        <w:t>health care</w:t>
      </w:r>
      <w:r w:rsidRPr="00B5522D">
        <w:rPr>
          <w:rFonts w:cs="Segoe UI"/>
          <w:szCs w:val="21"/>
        </w:rPr>
        <w:t xml:space="preserve"> due to </w:t>
      </w:r>
      <w:r>
        <w:rPr>
          <w:rFonts w:cs="Segoe UI"/>
          <w:szCs w:val="21"/>
        </w:rPr>
        <w:t xml:space="preserve">a range of </w:t>
      </w:r>
      <w:r w:rsidRPr="00B5522D">
        <w:rPr>
          <w:rFonts w:cs="Segoe UI"/>
          <w:szCs w:val="21"/>
        </w:rPr>
        <w:t>factors</w:t>
      </w:r>
      <w:r>
        <w:rPr>
          <w:rFonts w:cs="Segoe UI"/>
          <w:szCs w:val="21"/>
        </w:rPr>
        <w:t>,</w:t>
      </w:r>
      <w:r w:rsidRPr="00B5522D">
        <w:rPr>
          <w:rFonts w:cs="Segoe UI"/>
          <w:szCs w:val="21"/>
        </w:rPr>
        <w:t xml:space="preserve"> such as inflation. However, there are choices about how health expenditure can be </w:t>
      </w:r>
      <w:r>
        <w:rPr>
          <w:rFonts w:cs="Segoe UI"/>
          <w:szCs w:val="21"/>
        </w:rPr>
        <w:t>used</w:t>
      </w:r>
      <w:r w:rsidRPr="00B5522D">
        <w:rPr>
          <w:rFonts w:cs="Segoe UI"/>
          <w:szCs w:val="21"/>
        </w:rPr>
        <w:t xml:space="preserve"> to manage the long-term affordability of the health system.</w:t>
      </w:r>
    </w:p>
    <w:p w14:paraId="007E9CBB" w14:textId="77777777" w:rsidR="00813300" w:rsidRPr="00B5522D" w:rsidRDefault="00813300" w:rsidP="00813300">
      <w:pPr>
        <w:rPr>
          <w:rFonts w:cs="Segoe UI"/>
          <w:szCs w:val="21"/>
        </w:rPr>
      </w:pPr>
    </w:p>
    <w:p w14:paraId="144F6E1B" w14:textId="77777777" w:rsidR="00813300" w:rsidRDefault="00813300" w:rsidP="00813300">
      <w:pPr>
        <w:rPr>
          <w:rFonts w:cs="Segoe UI"/>
        </w:rPr>
      </w:pPr>
      <w:r>
        <w:rPr>
          <w:rFonts w:cs="Segoe UI"/>
        </w:rPr>
        <w:t>In the long-term, a</w:t>
      </w:r>
      <w:r w:rsidRPr="261830CC">
        <w:rPr>
          <w:rFonts w:cs="Segoe UI"/>
        </w:rPr>
        <w:t xml:space="preserve">chieving a health system that is focused on both prevention, including the determinants of health, and </w:t>
      </w:r>
      <w:r>
        <w:rPr>
          <w:rFonts w:cs="Segoe UI"/>
        </w:rPr>
        <w:t>on</w:t>
      </w:r>
      <w:r w:rsidRPr="261830CC">
        <w:rPr>
          <w:rFonts w:cs="Segoe UI"/>
        </w:rPr>
        <w:t xml:space="preserve"> financial sustainability requires </w:t>
      </w:r>
      <w:r>
        <w:rPr>
          <w:rFonts w:cs="Segoe UI"/>
        </w:rPr>
        <w:t xml:space="preserve">fundamental </w:t>
      </w:r>
      <w:r w:rsidRPr="261830CC">
        <w:rPr>
          <w:rFonts w:cs="Segoe UI"/>
        </w:rPr>
        <w:t xml:space="preserve">changes in the way </w:t>
      </w:r>
      <w:r>
        <w:rPr>
          <w:rFonts w:cs="Segoe UI"/>
        </w:rPr>
        <w:t>that</w:t>
      </w:r>
      <w:r w:rsidRPr="261830CC">
        <w:rPr>
          <w:rFonts w:cs="Segoe UI"/>
        </w:rPr>
        <w:t xml:space="preserve"> funding is used, how services are delivered, and how investment and funding decisions are made and prioritised. </w:t>
      </w:r>
      <w:r w:rsidRPr="00087511">
        <w:rPr>
          <w:rStyle w:val="normaltextrun"/>
          <w:rFonts w:cs="Segoe UI"/>
          <w:shd w:val="clear" w:color="auto" w:fill="FFFFFF"/>
        </w:rPr>
        <w:t xml:space="preserve">The health system needs to </w:t>
      </w:r>
      <w:r>
        <w:rPr>
          <w:rStyle w:val="normaltextrun"/>
          <w:rFonts w:cs="Segoe UI"/>
          <w:shd w:val="clear" w:color="auto" w:fill="FFFFFF"/>
        </w:rPr>
        <w:t xml:space="preserve">increase the use of evidence in decisions about how to get best value for money from existing resources and new investments </w:t>
      </w:r>
      <w:r w:rsidRPr="00087511">
        <w:rPr>
          <w:rStyle w:val="normaltextrun"/>
          <w:rFonts w:cs="Segoe UI"/>
          <w:shd w:val="clear" w:color="auto" w:fill="FFFFFF"/>
        </w:rPr>
        <w:t>to ensure the best use of resources over time. This will include foundational work to understand and urgently address underlying productivity challenges</w:t>
      </w:r>
      <w:r>
        <w:rPr>
          <w:rStyle w:val="normaltextrun"/>
          <w:rFonts w:cs="Segoe UI"/>
          <w:shd w:val="clear" w:color="auto" w:fill="FFFFFF"/>
        </w:rPr>
        <w:t>,</w:t>
      </w:r>
      <w:r w:rsidRPr="00087511">
        <w:rPr>
          <w:rStyle w:val="normaltextrun"/>
          <w:rFonts w:cs="Segoe UI"/>
          <w:shd w:val="clear" w:color="auto" w:fill="FFFFFF"/>
        </w:rPr>
        <w:t xml:space="preserve"> develop frameworks for harnessing innovation and new technology, </w:t>
      </w:r>
      <w:r>
        <w:rPr>
          <w:rStyle w:val="normaltextrun"/>
          <w:rFonts w:cs="Segoe UI"/>
          <w:shd w:val="clear" w:color="auto" w:fill="FFFFFF"/>
        </w:rPr>
        <w:t>and</w:t>
      </w:r>
      <w:r w:rsidRPr="00087511">
        <w:rPr>
          <w:rStyle w:val="normaltextrun"/>
          <w:rFonts w:cs="Segoe UI"/>
          <w:shd w:val="clear" w:color="auto" w:fill="FFFFFF"/>
        </w:rPr>
        <w:t xml:space="preserve"> </w:t>
      </w:r>
      <w:r>
        <w:rPr>
          <w:rStyle w:val="normaltextrun"/>
          <w:rFonts w:cs="Segoe UI"/>
          <w:shd w:val="clear" w:color="auto" w:fill="FFFFFF"/>
        </w:rPr>
        <w:t xml:space="preserve">to </w:t>
      </w:r>
      <w:r w:rsidRPr="00087511">
        <w:rPr>
          <w:rStyle w:val="normaltextrun"/>
          <w:rFonts w:cs="Segoe UI"/>
          <w:shd w:val="clear" w:color="auto" w:fill="FFFFFF"/>
        </w:rPr>
        <w:t>ensur</w:t>
      </w:r>
      <w:r>
        <w:rPr>
          <w:rStyle w:val="normaltextrun"/>
          <w:rFonts w:cs="Segoe UI"/>
          <w:shd w:val="clear" w:color="auto" w:fill="FFFFFF"/>
        </w:rPr>
        <w:t>e</w:t>
      </w:r>
      <w:r w:rsidRPr="00087511">
        <w:rPr>
          <w:rStyle w:val="normaltextrun"/>
          <w:rFonts w:cs="Segoe UI"/>
          <w:shd w:val="clear" w:color="auto" w:fill="FFFFFF"/>
        </w:rPr>
        <w:t xml:space="preserve"> investment and disinvestment </w:t>
      </w:r>
      <w:r>
        <w:rPr>
          <w:rStyle w:val="normaltextrun"/>
          <w:rFonts w:cs="Segoe UI"/>
          <w:shd w:val="clear" w:color="auto" w:fill="FFFFFF"/>
        </w:rPr>
        <w:t>processes</w:t>
      </w:r>
      <w:r w:rsidRPr="00087511">
        <w:rPr>
          <w:rStyle w:val="normaltextrun"/>
          <w:rFonts w:cs="Segoe UI"/>
          <w:shd w:val="clear" w:color="auto" w:fill="FFFFFF"/>
        </w:rPr>
        <w:t xml:space="preserve"> are in place for entities that drive towards </w:t>
      </w:r>
      <w:r>
        <w:rPr>
          <w:rStyle w:val="normaltextrun"/>
          <w:rFonts w:cs="Segoe UI"/>
          <w:shd w:val="clear" w:color="auto" w:fill="FFFFFF"/>
        </w:rPr>
        <w:t>achieving the best value for money</w:t>
      </w:r>
      <w:r w:rsidRPr="00087511">
        <w:rPr>
          <w:rStyle w:val="normaltextrun"/>
          <w:rFonts w:cs="Segoe UI"/>
          <w:shd w:val="clear" w:color="auto" w:fill="FFFFFF"/>
        </w:rPr>
        <w:t>.</w:t>
      </w:r>
    </w:p>
    <w:p w14:paraId="463FAFD1" w14:textId="77777777" w:rsidR="00813300" w:rsidRPr="00B5522D" w:rsidRDefault="00813300" w:rsidP="00813300">
      <w:pPr>
        <w:rPr>
          <w:rStyle w:val="normaltextrun"/>
          <w:rFonts w:cs="Segoe UI"/>
          <w:color w:val="000000"/>
          <w:shd w:val="clear" w:color="auto" w:fill="FFFFFF"/>
        </w:rPr>
      </w:pPr>
    </w:p>
    <w:p w14:paraId="1448B823" w14:textId="77777777" w:rsidR="00813300" w:rsidRDefault="00813300" w:rsidP="00813300">
      <w:pPr>
        <w:rPr>
          <w:rStyle w:val="normaltextrun"/>
          <w:rFonts w:cs="Segoe UI"/>
        </w:rPr>
      </w:pPr>
      <w:r>
        <w:rPr>
          <w:rStyle w:val="normaltextrun"/>
          <w:rFonts w:cs="Segoe UI"/>
        </w:rPr>
        <w:t>In the short term</w:t>
      </w:r>
      <w:r w:rsidRPr="00087511">
        <w:rPr>
          <w:rStyle w:val="normaltextrun"/>
          <w:rFonts w:cs="Segoe UI"/>
        </w:rPr>
        <w:t>, to ensure the health system deliver</w:t>
      </w:r>
      <w:r>
        <w:rPr>
          <w:rStyle w:val="normaltextrun"/>
          <w:rFonts w:cs="Segoe UI"/>
        </w:rPr>
        <w:t>s</w:t>
      </w:r>
      <w:r w:rsidRPr="00087511">
        <w:rPr>
          <w:rStyle w:val="normaltextrun"/>
          <w:rFonts w:cs="Segoe UI"/>
        </w:rPr>
        <w:t xml:space="preserve"> on its commitments within budget and avoids running a financial operating deficit, entities need a strong focus on fiscal responsibility</w:t>
      </w:r>
      <w:r>
        <w:rPr>
          <w:rStyle w:val="normaltextrun"/>
          <w:rFonts w:cs="Segoe UI"/>
        </w:rPr>
        <w:t xml:space="preserve">. </w:t>
      </w:r>
      <w:r w:rsidRPr="00087511">
        <w:rPr>
          <w:rStyle w:val="normaltextrun"/>
          <w:rFonts w:cs="Segoe UI"/>
        </w:rPr>
        <w:t xml:space="preserve">This includes capability improvements in financial management and reporting, cost control and risk management, accurate reporting and accounting of spend against appropriations, and the continued development of improved cost information. Health entities will need to have clear, meaningful measures of financial and non-financial performance that they look at </w:t>
      </w:r>
      <w:r>
        <w:rPr>
          <w:rStyle w:val="normaltextrun"/>
          <w:rFonts w:cs="Segoe UI"/>
        </w:rPr>
        <w:t>as a package</w:t>
      </w:r>
      <w:r w:rsidRPr="00087511">
        <w:rPr>
          <w:rStyle w:val="normaltextrun"/>
          <w:rFonts w:cs="Segoe UI"/>
        </w:rPr>
        <w:t xml:space="preserve"> regularly to understand and manage the sustainability of their activities.</w:t>
      </w:r>
    </w:p>
    <w:p w14:paraId="44CCD25C" w14:textId="77777777" w:rsidR="00813300" w:rsidRPr="00087511" w:rsidRDefault="00813300" w:rsidP="00813300">
      <w:pPr>
        <w:rPr>
          <w:rStyle w:val="normaltextrun"/>
          <w:rFonts w:cs="Segoe UI"/>
        </w:rPr>
      </w:pPr>
    </w:p>
    <w:p w14:paraId="64EACA24" w14:textId="00AEDD61" w:rsidR="00EE4CC0" w:rsidRDefault="00813300" w:rsidP="00813300">
      <w:pPr>
        <w:rPr>
          <w:rFonts w:cs="Segoe UI"/>
        </w:rPr>
      </w:pPr>
      <w:r>
        <w:rPr>
          <w:rStyle w:val="normaltextrun"/>
          <w:rFonts w:cs="Segoe UI"/>
          <w:shd w:val="clear" w:color="auto" w:fill="FFFFFF"/>
        </w:rPr>
        <w:t>There</w:t>
      </w:r>
      <w:r w:rsidRPr="00087511">
        <w:rPr>
          <w:rStyle w:val="normaltextrun"/>
          <w:rFonts w:cs="Segoe UI"/>
          <w:shd w:val="clear" w:color="auto" w:fill="FFFFFF"/>
        </w:rPr>
        <w:t xml:space="preserve"> also needs to be a sustained focus on reducing</w:t>
      </w:r>
      <w:r>
        <w:rPr>
          <w:rStyle w:val="normaltextrun"/>
          <w:rFonts w:cs="Segoe UI"/>
          <w:shd w:val="clear" w:color="auto" w:fill="FFFFFF"/>
        </w:rPr>
        <w:t xml:space="preserve"> unwarranted</w:t>
      </w:r>
      <w:r w:rsidRPr="00087511">
        <w:rPr>
          <w:rStyle w:val="normaltextrun"/>
          <w:rFonts w:cs="Segoe UI"/>
          <w:shd w:val="clear" w:color="auto" w:fill="FFFFFF"/>
        </w:rPr>
        <w:t xml:space="preserve"> performance variation at the district level, including </w:t>
      </w:r>
      <w:r>
        <w:rPr>
          <w:rStyle w:val="normaltextrun"/>
          <w:rFonts w:cs="Segoe UI"/>
          <w:shd w:val="clear" w:color="auto" w:fill="FFFFFF"/>
        </w:rPr>
        <w:t xml:space="preserve">through </w:t>
      </w:r>
      <w:r w:rsidRPr="00087511">
        <w:rPr>
          <w:rStyle w:val="normaltextrun"/>
          <w:rFonts w:cs="Segoe UI"/>
          <w:shd w:val="clear" w:color="auto" w:fill="FFFFFF"/>
        </w:rPr>
        <w:t xml:space="preserve">performance reviews, resource allocation, asset performance and clear plans around outlier performance, managed at the regional level. Nationally, there needs to be improvements in accountability for </w:t>
      </w:r>
      <w:r>
        <w:rPr>
          <w:rStyle w:val="normaltextrun"/>
          <w:rFonts w:cs="Segoe UI"/>
          <w:shd w:val="clear" w:color="auto" w:fill="FFFFFF"/>
        </w:rPr>
        <w:t xml:space="preserve">delivery, </w:t>
      </w:r>
      <w:r w:rsidRPr="00087511">
        <w:rPr>
          <w:rStyle w:val="normaltextrun"/>
          <w:rFonts w:cs="Segoe UI"/>
          <w:shd w:val="clear" w:color="auto" w:fill="FFFFFF"/>
        </w:rPr>
        <w:t xml:space="preserve">resource allocation decisions, including matching workforce and funding to need. </w:t>
      </w:r>
      <w:r w:rsidRPr="00087511">
        <w:rPr>
          <w:rStyle w:val="normaltextrun"/>
          <w:rFonts w:cs="Segoe UI"/>
        </w:rPr>
        <w:t xml:space="preserve">Health New Zealand needs </w:t>
      </w:r>
      <w:r w:rsidRPr="00087511">
        <w:rPr>
          <w:rFonts w:cs="Segoe UI"/>
        </w:rPr>
        <w:t>to ensure that decision-making arrangements for resource allocation and prioritisation are in place with consistency across the system, including</w:t>
      </w:r>
      <w:r>
        <w:rPr>
          <w:rFonts w:cs="Segoe UI"/>
        </w:rPr>
        <w:t>,</w:t>
      </w:r>
      <w:r w:rsidRPr="00087511">
        <w:rPr>
          <w:rFonts w:cs="Segoe UI"/>
        </w:rPr>
        <w:t xml:space="preserve"> where appropriate</w:t>
      </w:r>
      <w:r>
        <w:rPr>
          <w:rFonts w:cs="Segoe UI"/>
        </w:rPr>
        <w:t>,</w:t>
      </w:r>
      <w:r w:rsidRPr="00087511">
        <w:rPr>
          <w:rFonts w:cs="Segoe UI"/>
        </w:rPr>
        <w:t xml:space="preserve"> using </w:t>
      </w:r>
      <w:r>
        <w:rPr>
          <w:rFonts w:cs="Segoe UI"/>
        </w:rPr>
        <w:t xml:space="preserve">the </w:t>
      </w:r>
      <w:r w:rsidRPr="00087511">
        <w:rPr>
          <w:rFonts w:cs="Segoe UI"/>
        </w:rPr>
        <w:t xml:space="preserve">Health Technology Assessment, to ensure </w:t>
      </w:r>
      <w:r>
        <w:rPr>
          <w:rFonts w:cs="Segoe UI"/>
        </w:rPr>
        <w:t xml:space="preserve">investment is </w:t>
      </w:r>
      <w:r w:rsidRPr="00087511">
        <w:rPr>
          <w:rFonts w:cs="Segoe UI"/>
        </w:rPr>
        <w:t>better target</w:t>
      </w:r>
      <w:r>
        <w:rPr>
          <w:rFonts w:cs="Segoe UI"/>
        </w:rPr>
        <w:t>ed</w:t>
      </w:r>
      <w:r w:rsidRPr="00087511">
        <w:rPr>
          <w:rFonts w:cs="Segoe UI"/>
        </w:rPr>
        <w:t xml:space="preserve"> across the system</w:t>
      </w:r>
      <w:r w:rsidR="00EE4CC0" w:rsidRPr="00087511">
        <w:rPr>
          <w:rFonts w:cs="Segoe UI"/>
        </w:rPr>
        <w:t>.</w:t>
      </w:r>
    </w:p>
    <w:bookmarkEnd w:id="12"/>
    <w:p w14:paraId="4F093235" w14:textId="35FE1EBD" w:rsidR="003A3750" w:rsidRDefault="003A3750">
      <w:r>
        <w:br w:type="page"/>
      </w:r>
    </w:p>
    <w:p w14:paraId="49E5117F" w14:textId="77777777" w:rsidR="00EE4CC0" w:rsidRDefault="00EE4CC0" w:rsidP="0075135B">
      <w:pPr>
        <w:pStyle w:val="Heading3-nonumbering"/>
        <w:spacing w:before="0"/>
      </w:pPr>
      <w:bookmarkStart w:id="18" w:name="_Hlk163028455"/>
      <w:r>
        <w:lastRenderedPageBreak/>
        <w:t>Objectives and expectations for the next three years</w:t>
      </w:r>
    </w:p>
    <w:p w14:paraId="73DD1976" w14:textId="77777777" w:rsidR="00EE4CC0" w:rsidRPr="006B6C69" w:rsidRDefault="00EE4CC0" w:rsidP="00EE4CC0">
      <w:pPr>
        <w:rPr>
          <w:lang w:eastAsia="en-NZ"/>
        </w:rPr>
      </w:pPr>
      <w:r>
        <w:t>The objectives and expectations for financial sustainability over the next three years are outlined below with the financial sustainability</w:t>
      </w:r>
      <w:r w:rsidRPr="00156EB9">
        <w:t xml:space="preserve"> measures</w:t>
      </w:r>
      <w:r>
        <w:t xml:space="preserve"> for monitoring provided in</w:t>
      </w:r>
      <w:r w:rsidRPr="00156EB9">
        <w:t xml:space="preserve"> Appendix </w:t>
      </w:r>
      <w:r>
        <w:t xml:space="preserve">2, </w:t>
      </w:r>
      <w:r w:rsidRPr="00156EB9">
        <w:t xml:space="preserve">Table </w:t>
      </w:r>
      <w:r>
        <w:t>1.</w:t>
      </w:r>
    </w:p>
    <w:tbl>
      <w:tblPr>
        <w:tblStyle w:val="TableGrid"/>
        <w:tblpPr w:leftFromText="180" w:rightFromText="180" w:vertAnchor="text" w:horzAnchor="margin" w:tblpY="238"/>
        <w:tblW w:w="821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113" w:type="dxa"/>
          <w:right w:w="57" w:type="dxa"/>
        </w:tblCellMar>
        <w:tblLook w:val="04A0" w:firstRow="1" w:lastRow="0" w:firstColumn="1" w:lastColumn="0" w:noHBand="0" w:noVBand="1"/>
      </w:tblPr>
      <w:tblGrid>
        <w:gridCol w:w="2830"/>
        <w:gridCol w:w="5387"/>
      </w:tblGrid>
      <w:tr w:rsidR="00EE4CC0" w:rsidRPr="00056BA3" w14:paraId="2B01729D" w14:textId="77777777" w:rsidTr="00EE4CC0">
        <w:trPr>
          <w:cantSplit/>
        </w:trPr>
        <w:tc>
          <w:tcPr>
            <w:tcW w:w="2830" w:type="dxa"/>
            <w:tcBorders>
              <w:top w:val="nil"/>
              <w:bottom w:val="nil"/>
            </w:tcBorders>
            <w:shd w:val="clear" w:color="auto" w:fill="D9D9D9" w:themeFill="background1" w:themeFillShade="D9"/>
            <w:vAlign w:val="center"/>
            <w:hideMark/>
          </w:tcPr>
          <w:bookmarkEnd w:id="18"/>
          <w:p w14:paraId="0426CC64" w14:textId="77777777" w:rsidR="00EE4CC0" w:rsidRPr="00056BA3" w:rsidRDefault="00EE4CC0" w:rsidP="00C0337C">
            <w:pPr>
              <w:pStyle w:val="TableText"/>
              <w:keepNext/>
              <w:spacing w:before="80" w:after="80"/>
              <w:rPr>
                <w:rFonts w:cs="Segoe UI"/>
                <w:b/>
                <w:szCs w:val="18"/>
                <w:lang w:eastAsia="en-NZ"/>
              </w:rPr>
            </w:pPr>
            <w:r w:rsidRPr="00056BA3">
              <w:rPr>
                <w:rFonts w:cs="Segoe UI"/>
                <w:b/>
                <w:szCs w:val="18"/>
                <w:lang w:eastAsia="en-NZ"/>
              </w:rPr>
              <w:t>Objective</w:t>
            </w:r>
          </w:p>
        </w:tc>
        <w:tc>
          <w:tcPr>
            <w:tcW w:w="5387" w:type="dxa"/>
            <w:tcBorders>
              <w:top w:val="nil"/>
              <w:bottom w:val="nil"/>
            </w:tcBorders>
            <w:shd w:val="clear" w:color="auto" w:fill="D9D9D9" w:themeFill="background1" w:themeFillShade="D9"/>
            <w:vAlign w:val="center"/>
            <w:hideMark/>
          </w:tcPr>
          <w:p w14:paraId="5F7BCA01" w14:textId="77777777" w:rsidR="00EE4CC0" w:rsidRPr="00056BA3" w:rsidRDefault="00EE4CC0" w:rsidP="00C0337C">
            <w:pPr>
              <w:pStyle w:val="TableText"/>
              <w:keepNext/>
              <w:spacing w:before="80" w:after="80"/>
              <w:rPr>
                <w:rFonts w:cs="Segoe UI"/>
                <w:szCs w:val="18"/>
                <w:lang w:eastAsia="en-NZ"/>
              </w:rPr>
            </w:pPr>
            <w:r w:rsidRPr="00056BA3">
              <w:rPr>
                <w:rFonts w:cs="Segoe UI"/>
                <w:b/>
                <w:szCs w:val="18"/>
                <w:lang w:eastAsia="en-NZ"/>
              </w:rPr>
              <w:t>Expectations</w:t>
            </w:r>
          </w:p>
        </w:tc>
      </w:tr>
      <w:tr w:rsidR="00EE4CC0" w:rsidRPr="004E42FB" w14:paraId="3E8A00E4" w14:textId="77777777" w:rsidTr="00EE4CC0">
        <w:trPr>
          <w:cantSplit/>
        </w:trPr>
        <w:tc>
          <w:tcPr>
            <w:tcW w:w="2830" w:type="dxa"/>
            <w:tcBorders>
              <w:top w:val="nil"/>
            </w:tcBorders>
          </w:tcPr>
          <w:p w14:paraId="7196BA3D" w14:textId="77777777" w:rsidR="00EE4CC0" w:rsidRPr="00714E9B" w:rsidRDefault="00EE4CC0" w:rsidP="00EE4CC0">
            <w:pPr>
              <w:pStyle w:val="TableText"/>
              <w:rPr>
                <w:color w:val="000000"/>
                <w:lang w:eastAsia="en-NZ"/>
              </w:rPr>
            </w:pPr>
            <w:r w:rsidRPr="00714E9B">
              <w:rPr>
                <w:lang w:eastAsia="en-NZ"/>
              </w:rPr>
              <w:t>Deliver the actions set out in the New Zealand Health Plan on time and within budget through improvements in financial management, service reporting, reprioritisation, efficiency and risk mitigation, and cost control</w:t>
            </w:r>
            <w:r>
              <w:rPr>
                <w:lang w:eastAsia="en-NZ"/>
              </w:rPr>
              <w:t>.</w:t>
            </w:r>
          </w:p>
          <w:p w14:paraId="3E73A1C2" w14:textId="77777777" w:rsidR="00EE4CC0" w:rsidRPr="00714E9B" w:rsidRDefault="00EE4CC0" w:rsidP="00EE4CC0">
            <w:pPr>
              <w:pStyle w:val="TableText"/>
              <w:rPr>
                <w:rFonts w:cs="Segoe UI"/>
                <w:lang w:eastAsia="en-NZ"/>
              </w:rPr>
            </w:pPr>
          </w:p>
        </w:tc>
        <w:tc>
          <w:tcPr>
            <w:tcW w:w="5387" w:type="dxa"/>
            <w:tcBorders>
              <w:top w:val="nil"/>
            </w:tcBorders>
          </w:tcPr>
          <w:p w14:paraId="75116305" w14:textId="77777777" w:rsidR="00EE4CC0" w:rsidRPr="00714E9B" w:rsidRDefault="00EE4CC0" w:rsidP="000A0E77">
            <w:pPr>
              <w:pStyle w:val="TableBullet"/>
              <w:framePr w:hSpace="0" w:wrap="auto" w:vAnchor="margin" w:hAnchor="text" w:yAlign="inline"/>
            </w:pPr>
            <w:r w:rsidRPr="00714E9B">
              <w:t>Funding is allocated in line with the GPS and the New Zealand Health Plan (NZHP)</w:t>
            </w:r>
            <w:r>
              <w:t>. A</w:t>
            </w:r>
            <w:r w:rsidRPr="00714E9B">
              <w:t xml:space="preserve">ctions in the NZHP have clear measures and are included and measured in the Health New Zealand performance monitoring framework up to </w:t>
            </w:r>
            <w:r>
              <w:t xml:space="preserve">their </w:t>
            </w:r>
            <w:r w:rsidRPr="00714E9B">
              <w:t>Board level</w:t>
            </w:r>
            <w:r>
              <w:t>.</w:t>
            </w:r>
          </w:p>
          <w:p w14:paraId="3710A4F6" w14:textId="77777777" w:rsidR="00EE4CC0" w:rsidRPr="00714E9B" w:rsidRDefault="00EE4CC0" w:rsidP="000A0E77">
            <w:pPr>
              <w:pStyle w:val="TableBullet"/>
              <w:framePr w:hSpace="0" w:wrap="auto" w:vAnchor="margin" w:hAnchor="text" w:yAlign="inline"/>
            </w:pPr>
            <w:r w:rsidRPr="00714E9B">
              <w:t>H</w:t>
            </w:r>
            <w:r>
              <w:t xml:space="preserve">ealth </w:t>
            </w:r>
            <w:r w:rsidRPr="00714E9B">
              <w:t>N</w:t>
            </w:r>
            <w:r>
              <w:t>ew Zealand</w:t>
            </w:r>
            <w:r w:rsidRPr="00714E9B">
              <w:t xml:space="preserve"> to maintain a focus on achieving financial balance by operating within financial plan and budget assumptions, including appropriated funding levels, and seek joint Ministers’</w:t>
            </w:r>
            <w:r>
              <w:t xml:space="preserve"> (Minister of Health and Minister of Finance)</w:t>
            </w:r>
            <w:r w:rsidRPr="00714E9B">
              <w:t xml:space="preserve"> agreement prior to funding costs in Hospital and Specialist Services from underspends in other appropriations</w:t>
            </w:r>
            <w:r>
              <w:t>.</w:t>
            </w:r>
            <w:r w:rsidRPr="00714E9B">
              <w:t xml:space="preserve"> </w:t>
            </w:r>
          </w:p>
          <w:p w14:paraId="14954BCF" w14:textId="77777777" w:rsidR="00EE4CC0" w:rsidRPr="00714E9B" w:rsidRDefault="00EE4CC0" w:rsidP="000A0E77">
            <w:pPr>
              <w:pStyle w:val="TableBullet"/>
              <w:framePr w:hSpace="0" w:wrap="auto" w:vAnchor="margin" w:hAnchor="text" w:yAlign="inline"/>
            </w:pPr>
            <w:r w:rsidRPr="00714E9B">
              <w:t>H</w:t>
            </w:r>
            <w:r>
              <w:t xml:space="preserve">ealth </w:t>
            </w:r>
            <w:r w:rsidRPr="00714E9B">
              <w:t>N</w:t>
            </w:r>
            <w:r>
              <w:t xml:space="preserve">ew </w:t>
            </w:r>
            <w:r w:rsidRPr="00714E9B">
              <w:t>Z</w:t>
            </w:r>
            <w:r>
              <w:t>ealand</w:t>
            </w:r>
            <w:r w:rsidRPr="00714E9B">
              <w:t xml:space="preserve"> provides monthly and quarterly reporting of financial, workforce and non-financial performance during the financial year against appropriations, output classes and major service areas</w:t>
            </w:r>
            <w:r>
              <w:t xml:space="preserve">. Health New Zealand also </w:t>
            </w:r>
            <w:r w:rsidRPr="00714E9B">
              <w:t>demonstrates an integrated understanding of financial and non-financial performance at increasing depth that meaningfully informs internal and external monitors about performance, delivery and risk</w:t>
            </w:r>
            <w:r>
              <w:t>.</w:t>
            </w:r>
          </w:p>
        </w:tc>
      </w:tr>
      <w:tr w:rsidR="00EE4CC0" w:rsidRPr="004E42FB" w14:paraId="7AA88507" w14:textId="77777777" w:rsidTr="00EE4CC0">
        <w:trPr>
          <w:cantSplit/>
        </w:trPr>
        <w:tc>
          <w:tcPr>
            <w:tcW w:w="2830" w:type="dxa"/>
          </w:tcPr>
          <w:p w14:paraId="4F51099D" w14:textId="77777777" w:rsidR="00EE4CC0" w:rsidRPr="00714E9B" w:rsidRDefault="00EE4CC0" w:rsidP="00EE4CC0">
            <w:pPr>
              <w:pStyle w:val="TableText"/>
              <w:rPr>
                <w:color w:val="000000"/>
                <w:lang w:eastAsia="en-NZ"/>
              </w:rPr>
            </w:pPr>
            <w:r w:rsidRPr="00714E9B">
              <w:rPr>
                <w:lang w:eastAsia="en-NZ"/>
              </w:rPr>
              <w:t>Enable a culture shift from a cost-plus to an evidence-based outcomes-focused approach for all health investment and disinvestment, including consideration of the values and behaviours required system-wide to enable sustainability</w:t>
            </w:r>
            <w:r>
              <w:rPr>
                <w:lang w:eastAsia="en-NZ"/>
              </w:rPr>
              <w:t>.</w:t>
            </w:r>
          </w:p>
          <w:p w14:paraId="72EA9D41" w14:textId="77777777" w:rsidR="00EE4CC0" w:rsidRPr="00714E9B" w:rsidRDefault="00EE4CC0" w:rsidP="00EE4CC0">
            <w:pPr>
              <w:pStyle w:val="TableText"/>
              <w:rPr>
                <w:lang w:eastAsia="en-NZ"/>
              </w:rPr>
            </w:pPr>
          </w:p>
        </w:tc>
        <w:tc>
          <w:tcPr>
            <w:tcW w:w="5387" w:type="dxa"/>
          </w:tcPr>
          <w:p w14:paraId="2D9FC2EC" w14:textId="77777777" w:rsidR="00EE4CC0" w:rsidRPr="00714E9B" w:rsidRDefault="00EE4CC0" w:rsidP="000A0E77">
            <w:pPr>
              <w:pStyle w:val="TableBullet"/>
              <w:framePr w:hSpace="0" w:wrap="auto" w:vAnchor="margin" w:hAnchor="text" w:yAlign="inline"/>
            </w:pPr>
            <w:r w:rsidRPr="00714E9B">
              <w:t>Ensure decision-making arrangements for resource allocation and prioritisation are in place with consistency across the system, including</w:t>
            </w:r>
            <w:r>
              <w:t>,</w:t>
            </w:r>
            <w:r w:rsidRPr="00714E9B">
              <w:t xml:space="preserve"> where appropriate</w:t>
            </w:r>
            <w:r>
              <w:t>,</w:t>
            </w:r>
            <w:r w:rsidRPr="00714E9B">
              <w:t xml:space="preserve"> using </w:t>
            </w:r>
            <w:r>
              <w:t xml:space="preserve">the </w:t>
            </w:r>
            <w:r w:rsidRPr="00714E9B">
              <w:t>Health Technology Assessment</w:t>
            </w:r>
            <w:r>
              <w:t>.</w:t>
            </w:r>
          </w:p>
          <w:p w14:paraId="65059865" w14:textId="77777777" w:rsidR="00EE4CC0" w:rsidRPr="00714E9B" w:rsidRDefault="00EE4CC0" w:rsidP="000A0E77">
            <w:pPr>
              <w:pStyle w:val="TableBullet"/>
              <w:framePr w:hSpace="0" w:wrap="auto" w:vAnchor="margin" w:hAnchor="text" w:yAlign="inline"/>
            </w:pPr>
            <w:r w:rsidRPr="00714E9B">
              <w:t>As part of commissioning activities, H</w:t>
            </w:r>
            <w:r>
              <w:t xml:space="preserve">ealth </w:t>
            </w:r>
            <w:r w:rsidRPr="00714E9B">
              <w:t>N</w:t>
            </w:r>
            <w:r>
              <w:t xml:space="preserve">ew </w:t>
            </w:r>
            <w:r w:rsidRPr="00714E9B">
              <w:t>Z</w:t>
            </w:r>
            <w:r>
              <w:t>ealand</w:t>
            </w:r>
            <w:r w:rsidRPr="00714E9B">
              <w:t xml:space="preserve"> actively reviews all contracts on a rolling basis for alignment with priorities, effectiveness and value for money, with changes made as required including disinvestment where services are not delivering value for money</w:t>
            </w:r>
            <w:r>
              <w:t>.</w:t>
            </w:r>
            <w:r w:rsidRPr="00714E9B">
              <w:t xml:space="preserve"> </w:t>
            </w:r>
          </w:p>
          <w:p w14:paraId="22B45188" w14:textId="77777777" w:rsidR="00EE4CC0" w:rsidRPr="00714E9B" w:rsidRDefault="00EE4CC0" w:rsidP="000A0E77">
            <w:pPr>
              <w:pStyle w:val="TableBullet"/>
              <w:framePr w:hSpace="0" w:wrap="auto" w:vAnchor="margin" w:hAnchor="text" w:yAlign="inline"/>
            </w:pPr>
            <w:r w:rsidRPr="00714E9B">
              <w:t>Produce a plan to reduce unwarranted performance variation in costs, particularly within the Hospital and Specialist Services appropriation, acting on insights generated by baseline reviews and Hospital Roundtable data, by the end of 2025</w:t>
            </w:r>
            <w:r>
              <w:t>.</w:t>
            </w:r>
          </w:p>
        </w:tc>
      </w:tr>
      <w:tr w:rsidR="00EE4CC0" w:rsidRPr="004E42FB" w14:paraId="3526E50B" w14:textId="77777777" w:rsidTr="00EE4CC0">
        <w:trPr>
          <w:cantSplit/>
        </w:trPr>
        <w:tc>
          <w:tcPr>
            <w:tcW w:w="2830" w:type="dxa"/>
            <w:shd w:val="clear" w:color="auto" w:fill="auto"/>
          </w:tcPr>
          <w:p w14:paraId="2E044758" w14:textId="77777777" w:rsidR="00EE4CC0" w:rsidRPr="00714E9B" w:rsidRDefault="00EE4CC0" w:rsidP="00EE4CC0">
            <w:pPr>
              <w:pStyle w:val="TableText"/>
              <w:rPr>
                <w:lang w:eastAsia="en-NZ"/>
              </w:rPr>
            </w:pPr>
            <w:r w:rsidRPr="00714E9B">
              <w:rPr>
                <w:rFonts w:cs="Segoe UI"/>
                <w:lang w:eastAsia="en-NZ"/>
              </w:rPr>
              <w:t>Deliver year-on-year improvements in productivity</w:t>
            </w:r>
            <w:r>
              <w:rPr>
                <w:rFonts w:cs="Segoe UI"/>
                <w:lang w:eastAsia="en-NZ"/>
              </w:rPr>
              <w:t>.</w:t>
            </w:r>
          </w:p>
        </w:tc>
        <w:tc>
          <w:tcPr>
            <w:tcW w:w="5387" w:type="dxa"/>
            <w:shd w:val="clear" w:color="auto" w:fill="auto"/>
          </w:tcPr>
          <w:p w14:paraId="7531C0B9" w14:textId="77777777" w:rsidR="00EE4CC0" w:rsidRPr="00714E9B" w:rsidRDefault="00EE4CC0" w:rsidP="000A0E77">
            <w:pPr>
              <w:pStyle w:val="TableBullet"/>
              <w:framePr w:hSpace="0" w:wrap="auto" w:vAnchor="margin" w:hAnchor="text" w:yAlign="inline"/>
            </w:pPr>
            <w:r w:rsidRPr="00714E9B">
              <w:t>Ensure year-on-year improvements in productivity across appropriations, including annual progress towards reversing H</w:t>
            </w:r>
            <w:r>
              <w:t>ospital and Specialist Services</w:t>
            </w:r>
            <w:r w:rsidRPr="00714E9B">
              <w:t xml:space="preserve"> productivity decline</w:t>
            </w:r>
            <w:r>
              <w:t>.</w:t>
            </w:r>
          </w:p>
          <w:p w14:paraId="10BB7D89" w14:textId="77777777" w:rsidR="00EE4CC0" w:rsidRPr="00714E9B" w:rsidRDefault="00EE4CC0" w:rsidP="000A0E77">
            <w:pPr>
              <w:pStyle w:val="TableBullet"/>
              <w:framePr w:hSpace="0" w:wrap="auto" w:vAnchor="margin" w:hAnchor="text" w:yAlign="inline"/>
            </w:pPr>
            <w:r w:rsidRPr="00714E9B">
              <w:t>Continue developing</w:t>
            </w:r>
            <w:r>
              <w:t>,</w:t>
            </w:r>
            <w:r w:rsidRPr="00714E9B">
              <w:t xml:space="preserve"> and </w:t>
            </w:r>
            <w:r>
              <w:t xml:space="preserve">then </w:t>
            </w:r>
            <w:r w:rsidRPr="00714E9B">
              <w:t>report regularly on</w:t>
            </w:r>
            <w:r>
              <w:t>,</w:t>
            </w:r>
            <w:r w:rsidRPr="00714E9B">
              <w:t xml:space="preserve"> productivity measures that collectively give a picture of system productivity, performance and sustainability</w:t>
            </w:r>
            <w:r>
              <w:t>.</w:t>
            </w:r>
          </w:p>
          <w:p w14:paraId="03CB9BDB" w14:textId="77777777" w:rsidR="00EE4CC0" w:rsidRPr="00714E9B" w:rsidRDefault="00EE4CC0" w:rsidP="000A0E77">
            <w:pPr>
              <w:pStyle w:val="TableBullet"/>
              <w:framePr w:hSpace="0" w:wrap="auto" w:vAnchor="margin" w:hAnchor="text" w:yAlign="inline"/>
            </w:pPr>
            <w:r w:rsidRPr="00714E9B">
              <w:t>Produce a plan for improving productivity over the next three years including key measures, milestones and detailed analysis of drivers</w:t>
            </w:r>
            <w:r>
              <w:t xml:space="preserve"> and </w:t>
            </w:r>
            <w:r w:rsidRPr="00714E9B">
              <w:t>costs</w:t>
            </w:r>
            <w:r>
              <w:t>,</w:t>
            </w:r>
            <w:r w:rsidRPr="00714E9B">
              <w:t xml:space="preserve"> including regional and district variation</w:t>
            </w:r>
            <w:r>
              <w:t>.</w:t>
            </w:r>
          </w:p>
        </w:tc>
      </w:tr>
      <w:tr w:rsidR="00EE4CC0" w:rsidRPr="004E42FB" w14:paraId="2FD0311A" w14:textId="77777777" w:rsidTr="00EE4CC0">
        <w:trPr>
          <w:cantSplit/>
        </w:trPr>
        <w:tc>
          <w:tcPr>
            <w:tcW w:w="2830" w:type="dxa"/>
          </w:tcPr>
          <w:p w14:paraId="302DB196" w14:textId="77777777" w:rsidR="00EE4CC0" w:rsidRPr="00AD56A5" w:rsidRDefault="00EE4CC0" w:rsidP="00EE4CC0">
            <w:pPr>
              <w:pStyle w:val="TableText"/>
              <w:rPr>
                <w:rFonts w:cstheme="minorHAnsi"/>
                <w:color w:val="000000"/>
                <w:lang w:eastAsia="en-NZ"/>
              </w:rPr>
            </w:pPr>
            <w:r w:rsidRPr="00714E9B">
              <w:rPr>
                <w:rFonts w:cstheme="minorHAnsi"/>
                <w:color w:val="000000"/>
                <w:lang w:eastAsia="en-NZ"/>
              </w:rPr>
              <w:lastRenderedPageBreak/>
              <w:t>Improve visibility of expenditure and service delivery for key priorities and population groups by continuing to develop understanding of cost structures and funding flows across all parts of the health system including opportunities to better target funding towards preventative health services and early interventions</w:t>
            </w:r>
            <w:r>
              <w:rPr>
                <w:rFonts w:cstheme="minorHAnsi"/>
                <w:color w:val="000000"/>
                <w:lang w:eastAsia="en-NZ"/>
              </w:rPr>
              <w:t>.</w:t>
            </w:r>
          </w:p>
        </w:tc>
        <w:tc>
          <w:tcPr>
            <w:tcW w:w="5387" w:type="dxa"/>
          </w:tcPr>
          <w:p w14:paraId="6402921E" w14:textId="77777777" w:rsidR="00EE4CC0" w:rsidRPr="00714E9B" w:rsidRDefault="00EE4CC0" w:rsidP="000A0E77">
            <w:pPr>
              <w:pStyle w:val="TableBullet"/>
              <w:framePr w:hSpace="0" w:wrap="auto" w:vAnchor="margin" w:hAnchor="text" w:yAlign="inline"/>
            </w:pPr>
            <w:r w:rsidRPr="00714E9B">
              <w:t xml:space="preserve">Continue </w:t>
            </w:r>
            <w:r>
              <w:t xml:space="preserve">the </w:t>
            </w:r>
            <w:r w:rsidRPr="00714E9B">
              <w:t xml:space="preserve">foundational work to understand cost structures and funding flows across the system, providing clear visibility of the work as </w:t>
            </w:r>
            <w:r>
              <w:t>it</w:t>
            </w:r>
            <w:r w:rsidRPr="00714E9B">
              <w:t xml:space="preserve"> progresses</w:t>
            </w:r>
            <w:r>
              <w:t>.</w:t>
            </w:r>
            <w:r w:rsidRPr="00714E9B">
              <w:t xml:space="preserve"> </w:t>
            </w:r>
          </w:p>
          <w:p w14:paraId="51AC85CE" w14:textId="77777777" w:rsidR="00EE4CC0" w:rsidRPr="00714E9B" w:rsidRDefault="00EE4CC0" w:rsidP="000A0E77">
            <w:pPr>
              <w:pStyle w:val="TableBullet"/>
              <w:framePr w:hSpace="0" w:wrap="auto" w:vAnchor="margin" w:hAnchor="text" w:yAlign="inline"/>
            </w:pPr>
            <w:r w:rsidRPr="00714E9B">
              <w:t xml:space="preserve">Develop </w:t>
            </w:r>
            <w:r>
              <w:t xml:space="preserve">an </w:t>
            </w:r>
            <w:r w:rsidRPr="00714E9B">
              <w:t>approach to improve visibility of spending on preventative measures and early interventions across all appropriations, including strategic planning to better target funding within baseline towards these areas</w:t>
            </w:r>
            <w:r>
              <w:t>.</w:t>
            </w:r>
          </w:p>
          <w:p w14:paraId="629601CE" w14:textId="77777777" w:rsidR="00EE4CC0" w:rsidRPr="00714E9B" w:rsidRDefault="00EE4CC0" w:rsidP="005F28AC">
            <w:pPr>
              <w:pStyle w:val="TableBullet"/>
              <w:framePr w:hSpace="0" w:wrap="auto" w:vAnchor="margin" w:hAnchor="text" w:yAlign="inline"/>
              <w:numPr>
                <w:ilvl w:val="0"/>
                <w:numId w:val="0"/>
              </w:numPr>
              <w:ind w:left="284"/>
            </w:pPr>
          </w:p>
        </w:tc>
      </w:tr>
      <w:tr w:rsidR="00EE4CC0" w:rsidRPr="004E42FB" w14:paraId="1BB4B9ED" w14:textId="77777777" w:rsidTr="00EE4CC0">
        <w:trPr>
          <w:cantSplit/>
        </w:trPr>
        <w:tc>
          <w:tcPr>
            <w:tcW w:w="2830" w:type="dxa"/>
          </w:tcPr>
          <w:p w14:paraId="60F8702F" w14:textId="77FDB70B" w:rsidR="00EE4CC0" w:rsidRPr="00714E9B" w:rsidRDefault="00EE4CC0" w:rsidP="00EE4CC0">
            <w:pPr>
              <w:pStyle w:val="TableText"/>
              <w:rPr>
                <w:rFonts w:cstheme="minorHAnsi"/>
                <w:color w:val="000000"/>
                <w:lang w:eastAsia="en-NZ"/>
              </w:rPr>
            </w:pPr>
            <w:r w:rsidRPr="00714E9B">
              <w:rPr>
                <w:rFonts w:cstheme="minorHAnsi"/>
                <w:color w:val="000000"/>
                <w:lang w:eastAsia="en-NZ"/>
              </w:rPr>
              <w:t>Deliver</w:t>
            </w:r>
            <w:r>
              <w:rPr>
                <w:rFonts w:cstheme="minorHAnsi"/>
                <w:color w:val="000000"/>
                <w:lang w:eastAsia="en-NZ"/>
              </w:rPr>
              <w:t>,</w:t>
            </w:r>
            <w:r w:rsidRPr="00714E9B">
              <w:rPr>
                <w:rFonts w:cstheme="minorHAnsi"/>
                <w:color w:val="000000"/>
                <w:lang w:eastAsia="en-NZ"/>
              </w:rPr>
              <w:t xml:space="preserve"> at </w:t>
            </w:r>
            <w:r>
              <w:rPr>
                <w:rFonts w:cstheme="minorHAnsi"/>
                <w:color w:val="000000"/>
                <w:lang w:eastAsia="en-NZ"/>
              </w:rPr>
              <w:t xml:space="preserve">a </w:t>
            </w:r>
            <w:r w:rsidRPr="00714E9B">
              <w:rPr>
                <w:rFonts w:cstheme="minorHAnsi"/>
                <w:color w:val="000000"/>
                <w:lang w:eastAsia="en-NZ"/>
              </w:rPr>
              <w:t>minimum</w:t>
            </w:r>
            <w:r>
              <w:rPr>
                <w:rFonts w:cstheme="minorHAnsi"/>
                <w:color w:val="000000"/>
                <w:lang w:eastAsia="en-NZ"/>
              </w:rPr>
              <w:t>,</w:t>
            </w:r>
            <w:r w:rsidRPr="00714E9B">
              <w:rPr>
                <w:rFonts w:cstheme="minorHAnsi"/>
                <w:color w:val="000000"/>
                <w:lang w:eastAsia="en-NZ"/>
              </w:rPr>
              <w:t xml:space="preserve"> the milestones and targets set out in the New Zealand Health Plan for </w:t>
            </w:r>
            <w:r w:rsidR="004F1EC3">
              <w:rPr>
                <w:rFonts w:cstheme="minorHAnsi"/>
                <w:color w:val="000000"/>
                <w:lang w:eastAsia="en-NZ"/>
              </w:rPr>
              <w:t>m</w:t>
            </w:r>
            <w:r w:rsidRPr="00714E9B">
              <w:rPr>
                <w:rFonts w:cstheme="minorHAnsi"/>
                <w:color w:val="000000"/>
                <w:lang w:eastAsia="en-NZ"/>
              </w:rPr>
              <w:t>ental health and addiction services expenditure</w:t>
            </w:r>
            <w:r>
              <w:rPr>
                <w:rFonts w:cstheme="minorHAnsi"/>
                <w:color w:val="000000"/>
                <w:lang w:eastAsia="en-NZ"/>
              </w:rPr>
              <w:t>.</w:t>
            </w:r>
          </w:p>
          <w:p w14:paraId="35F4AEB1" w14:textId="77777777" w:rsidR="00EE4CC0" w:rsidRPr="00714E9B" w:rsidRDefault="00EE4CC0" w:rsidP="00EE4CC0">
            <w:pPr>
              <w:pStyle w:val="TableText"/>
              <w:rPr>
                <w:rFonts w:cstheme="minorHAnsi"/>
                <w:color w:val="000000"/>
                <w:lang w:eastAsia="en-NZ"/>
              </w:rPr>
            </w:pPr>
          </w:p>
        </w:tc>
        <w:tc>
          <w:tcPr>
            <w:tcW w:w="5387" w:type="dxa"/>
          </w:tcPr>
          <w:p w14:paraId="06DE7A32" w14:textId="77777777" w:rsidR="00EE4CC0" w:rsidRPr="00714E9B" w:rsidRDefault="00EE4CC0" w:rsidP="000A0E77">
            <w:pPr>
              <w:pStyle w:val="TableBullet"/>
              <w:framePr w:hSpace="0" w:wrap="auto" w:vAnchor="margin" w:hAnchor="text" w:yAlign="inline"/>
            </w:pPr>
            <w:r w:rsidRPr="00714E9B">
              <w:t xml:space="preserve">Mental health funding and </w:t>
            </w:r>
            <w:r>
              <w:t>full-time equivalent</w:t>
            </w:r>
            <w:r w:rsidRPr="00714E9B">
              <w:t xml:space="preserve"> resources are prioritised and allocated in-line with the GPS and other Ministerial priorities to deliver planned services and key initiatives</w:t>
            </w:r>
            <w:r>
              <w:t xml:space="preserve"> for mental health and addiction.</w:t>
            </w:r>
          </w:p>
          <w:p w14:paraId="200284FE" w14:textId="77777777" w:rsidR="00EE4CC0" w:rsidRPr="00714E9B" w:rsidRDefault="00EE4CC0" w:rsidP="000A0E77">
            <w:pPr>
              <w:pStyle w:val="TableBullet"/>
              <w:framePr w:hSpace="0" w:wrap="auto" w:vAnchor="margin" w:hAnchor="text" w:yAlign="inline"/>
            </w:pPr>
            <w:r w:rsidRPr="00714E9B">
              <w:t xml:space="preserve">At </w:t>
            </w:r>
            <w:r>
              <w:t xml:space="preserve">a </w:t>
            </w:r>
            <w:r w:rsidRPr="00714E9B">
              <w:t>minimum</w:t>
            </w:r>
            <w:r>
              <w:t>,</w:t>
            </w:r>
            <w:r w:rsidRPr="00714E9B">
              <w:t xml:space="preserve"> the mental health and addiction expenditure and </w:t>
            </w:r>
            <w:r>
              <w:t>full-time equivalent</w:t>
            </w:r>
            <w:r w:rsidRPr="00714E9B">
              <w:t xml:space="preserve"> resources meet the ringfence set by the Ministry of Health</w:t>
            </w:r>
            <w:r>
              <w:t>.</w:t>
            </w:r>
          </w:p>
        </w:tc>
      </w:tr>
    </w:tbl>
    <w:p w14:paraId="589B9174" w14:textId="77777777" w:rsidR="00EE4CC0" w:rsidRDefault="00EE4CC0" w:rsidP="0075135B"/>
    <w:p w14:paraId="73F9188E" w14:textId="77777777" w:rsidR="00871118" w:rsidRDefault="00871118" w:rsidP="00EE4CC0">
      <w:pPr>
        <w:pStyle w:val="Bodycopy"/>
        <w:rPr>
          <w:rFonts w:cs="Segoe UI"/>
          <w:sz w:val="21"/>
          <w:szCs w:val="21"/>
        </w:rPr>
        <w:sectPr w:rsidR="00871118" w:rsidSect="0075135B">
          <w:pgSz w:w="11907" w:h="16840" w:code="9"/>
          <w:pgMar w:top="1418" w:right="1701" w:bottom="1134" w:left="1843" w:header="284" w:footer="425" w:gutter="284"/>
          <w:cols w:space="720"/>
        </w:sectPr>
      </w:pPr>
    </w:p>
    <w:p w14:paraId="57E6521F" w14:textId="72D0FFB6" w:rsidR="00447030" w:rsidRDefault="00871118" w:rsidP="00B70662">
      <w:pPr>
        <w:pStyle w:val="Heading1"/>
        <w:spacing w:before="0"/>
        <w:rPr>
          <w:lang w:eastAsia="en-NZ"/>
        </w:rPr>
      </w:pPr>
      <w:bookmarkStart w:id="19" w:name="_Toc170134106"/>
      <w:r w:rsidRPr="00871118">
        <w:rPr>
          <w:lang w:eastAsia="en-NZ"/>
        </w:rPr>
        <w:lastRenderedPageBreak/>
        <w:t>Priority area 1: Access</w:t>
      </w:r>
      <w:bookmarkEnd w:id="19"/>
    </w:p>
    <w:p w14:paraId="25B9331C" w14:textId="77777777" w:rsidR="00813300" w:rsidRDefault="00813300" w:rsidP="00813300">
      <w:pPr>
        <w:rPr>
          <w:rFonts w:cs="Segoe UI"/>
          <w:szCs w:val="21"/>
        </w:rPr>
      </w:pPr>
      <w:r>
        <w:rPr>
          <w:rFonts w:cs="Segoe UI"/>
          <w:szCs w:val="21"/>
        </w:rPr>
        <w:t>The Government expects that</w:t>
      </w:r>
      <w:r w:rsidRPr="00C20523">
        <w:rPr>
          <w:rFonts w:cs="Segoe UI"/>
          <w:szCs w:val="21"/>
        </w:rPr>
        <w:t xml:space="preserve"> every person, regardless of where they live in New Zealand, has </w:t>
      </w:r>
      <w:r>
        <w:rPr>
          <w:rFonts w:cs="Segoe UI"/>
          <w:szCs w:val="21"/>
        </w:rPr>
        <w:t xml:space="preserve">equitable </w:t>
      </w:r>
      <w:r w:rsidRPr="00C20523">
        <w:rPr>
          <w:rFonts w:cs="Segoe UI"/>
          <w:szCs w:val="21"/>
        </w:rPr>
        <w:t xml:space="preserve">access to the </w:t>
      </w:r>
      <w:r>
        <w:rPr>
          <w:rFonts w:cs="Segoe UI"/>
          <w:szCs w:val="21"/>
        </w:rPr>
        <w:t>health care</w:t>
      </w:r>
      <w:r w:rsidRPr="00C20523">
        <w:rPr>
          <w:rFonts w:cs="Segoe UI"/>
          <w:szCs w:val="21"/>
        </w:rPr>
        <w:t xml:space="preserve"> and services they need</w:t>
      </w:r>
      <w:r>
        <w:rPr>
          <w:rFonts w:cs="Segoe UI"/>
          <w:szCs w:val="21"/>
        </w:rPr>
        <w:t>.</w:t>
      </w:r>
    </w:p>
    <w:p w14:paraId="4CEA793C" w14:textId="77777777" w:rsidR="00813300" w:rsidRDefault="00813300" w:rsidP="00813300">
      <w:pPr>
        <w:rPr>
          <w:rFonts w:cs="Segoe UI"/>
          <w:szCs w:val="21"/>
        </w:rPr>
      </w:pPr>
    </w:p>
    <w:p w14:paraId="5A39D840" w14:textId="77777777" w:rsidR="00813300" w:rsidRDefault="00813300" w:rsidP="00813300">
      <w:pPr>
        <w:rPr>
          <w:rFonts w:cs="Segoe UI"/>
          <w:szCs w:val="21"/>
        </w:rPr>
      </w:pPr>
      <w:r>
        <w:rPr>
          <w:rFonts w:cs="Segoe UI"/>
          <w:szCs w:val="21"/>
        </w:rPr>
        <w:t>Access to health care services:</w:t>
      </w:r>
    </w:p>
    <w:p w14:paraId="7BB4E65F" w14:textId="77777777" w:rsidR="00813300" w:rsidRDefault="00813300" w:rsidP="00813300">
      <w:pPr>
        <w:pStyle w:val="Bullet"/>
      </w:pPr>
      <w:r>
        <w:t>prevents poor health outcomes and enables early identification of health issues. This includes screening, immunisation services and mental health and addiction services</w:t>
      </w:r>
    </w:p>
    <w:p w14:paraId="65F6C22C" w14:textId="77777777" w:rsidR="00813300" w:rsidRDefault="00813300" w:rsidP="00813300">
      <w:pPr>
        <w:pStyle w:val="Bullet"/>
      </w:pPr>
      <w:r>
        <w:t>contributes to improved health outcomes, through prompt diagnosis and treatment, and broader social outcomes that are supported by good health, such as employment</w:t>
      </w:r>
    </w:p>
    <w:p w14:paraId="4683EEF8" w14:textId="77777777" w:rsidR="00813300" w:rsidRDefault="00813300" w:rsidP="00813300">
      <w:pPr>
        <w:pStyle w:val="Bullet"/>
      </w:pPr>
      <w:r>
        <w:t>better addresses health needs with all populations able to access clinically appropriate services</w:t>
      </w:r>
    </w:p>
    <w:p w14:paraId="4E7389E4" w14:textId="77777777" w:rsidR="00813300" w:rsidRDefault="00813300" w:rsidP="00813300">
      <w:pPr>
        <w:pStyle w:val="Bullet"/>
      </w:pPr>
      <w:r>
        <w:t>improves quality of life through the management of chronic conditions and access to medications and other treatments</w:t>
      </w:r>
    </w:p>
    <w:p w14:paraId="35259841" w14:textId="417DDBF3" w:rsidR="00871118" w:rsidRPr="006D20EA" w:rsidRDefault="00813300" w:rsidP="00813300">
      <w:pPr>
        <w:pStyle w:val="Bullet"/>
      </w:pPr>
      <w:r>
        <w:t>can contribute to the health system’s financial sustainability as improved access is more effective in limiting preventable escalation of health issues</w:t>
      </w:r>
      <w:r w:rsidR="00871118">
        <w:t>.</w:t>
      </w:r>
    </w:p>
    <w:p w14:paraId="312DF7B5" w14:textId="77777777" w:rsidR="00813300" w:rsidRDefault="00813300" w:rsidP="00813300"/>
    <w:p w14:paraId="105220F4" w14:textId="4B84956C" w:rsidR="00813300" w:rsidRDefault="00813300" w:rsidP="00813300">
      <w:pPr>
        <w:rPr>
          <w:rFonts w:cs="Segoe UI"/>
        </w:rPr>
      </w:pPr>
      <w:r>
        <w:t xml:space="preserve">In 2022/23 some </w:t>
      </w:r>
      <w:r w:rsidRPr="001D7511">
        <w:t>adults (13%) ha</w:t>
      </w:r>
      <w:r>
        <w:t>d</w:t>
      </w:r>
      <w:r w:rsidRPr="001D7511">
        <w:t xml:space="preserve"> difficulty accessing primary </w:t>
      </w:r>
      <w:r>
        <w:t xml:space="preserve">and community </w:t>
      </w:r>
      <w:r w:rsidRPr="001D7511">
        <w:t xml:space="preserve">care in New Zealand </w:t>
      </w:r>
      <w:r>
        <w:t>due to</w:t>
      </w:r>
      <w:r w:rsidRPr="00056FA8">
        <w:t xml:space="preserve"> the cost of a </w:t>
      </w:r>
      <w:r>
        <w:t>general practitioner</w:t>
      </w:r>
      <w:r w:rsidRPr="00056FA8">
        <w:t xml:space="preserve"> visit</w:t>
      </w:r>
      <w:r w:rsidRPr="00056FA8">
        <w:rPr>
          <w:rStyle w:val="FootnoteReference"/>
          <w:szCs w:val="21"/>
        </w:rPr>
        <w:footnoteReference w:id="4"/>
      </w:r>
      <w:r>
        <w:t xml:space="preserve"> and this financial barrier will also be a factor across other primary and community care services.</w:t>
      </w:r>
      <w:r w:rsidRPr="00056FA8">
        <w:t xml:space="preserve"> Disabled adults, women and Māori are more likely to have not visited a </w:t>
      </w:r>
      <w:r>
        <w:t>general practitioner</w:t>
      </w:r>
      <w:r w:rsidRPr="00056FA8">
        <w:t xml:space="preserve"> due to cost in the last 12 months, than non-disabled, men and non-Māori. Cost is less </w:t>
      </w:r>
      <w:r w:rsidRPr="00056FA8">
        <w:rPr>
          <w:rFonts w:cs="Segoe UI"/>
        </w:rPr>
        <w:t>likely to be a barrier for those aged 65</w:t>
      </w:r>
      <w:r>
        <w:rPr>
          <w:rFonts w:cs="Segoe UI"/>
        </w:rPr>
        <w:t xml:space="preserve"> </w:t>
      </w:r>
      <w:r w:rsidRPr="00056FA8">
        <w:rPr>
          <w:rFonts w:cs="Segoe UI"/>
        </w:rPr>
        <w:t>years</w:t>
      </w:r>
      <w:r>
        <w:rPr>
          <w:rFonts w:cs="Segoe UI"/>
        </w:rPr>
        <w:t xml:space="preserve"> and over</w:t>
      </w:r>
      <w:r w:rsidRPr="00056FA8">
        <w:rPr>
          <w:rFonts w:cs="Segoe UI"/>
        </w:rPr>
        <w:t xml:space="preserve"> than for younger people. </w:t>
      </w:r>
    </w:p>
    <w:p w14:paraId="386532B1" w14:textId="77777777" w:rsidR="00813300" w:rsidRPr="00056FA8" w:rsidRDefault="00813300" w:rsidP="00813300">
      <w:pPr>
        <w:rPr>
          <w:rFonts w:cs="Segoe UI"/>
        </w:rPr>
      </w:pPr>
    </w:p>
    <w:p w14:paraId="39C6FB0C" w14:textId="1D567DB4" w:rsidR="00813300" w:rsidRDefault="00813300" w:rsidP="00813300">
      <w:r w:rsidRPr="00EC0B0E">
        <w:t xml:space="preserve">However, </w:t>
      </w:r>
      <w:r>
        <w:t xml:space="preserve">in 2022/23, </w:t>
      </w:r>
      <w:r w:rsidRPr="00EC0B0E">
        <w:t xml:space="preserve">the biggest barrier </w:t>
      </w:r>
      <w:r>
        <w:t>wa</w:t>
      </w:r>
      <w:r w:rsidRPr="00EC0B0E">
        <w:t>s the time taken to get an appointment. O</w:t>
      </w:r>
      <w:r>
        <w:t>ne</w:t>
      </w:r>
      <w:r w:rsidRPr="00EC0B0E">
        <w:t xml:space="preserve"> in </w:t>
      </w:r>
      <w:r>
        <w:t>five</w:t>
      </w:r>
      <w:r w:rsidRPr="00EC0B0E">
        <w:t xml:space="preserve"> adults</w:t>
      </w:r>
      <w:r>
        <w:t xml:space="preserve"> (21%)</w:t>
      </w:r>
      <w:r w:rsidRPr="00EC0B0E">
        <w:t xml:space="preserve"> and </w:t>
      </w:r>
      <w:r>
        <w:t>one</w:t>
      </w:r>
      <w:r w:rsidRPr="00EC0B0E">
        <w:t xml:space="preserve"> in </w:t>
      </w:r>
      <w:r>
        <w:t>seven</w:t>
      </w:r>
      <w:r w:rsidRPr="00EC0B0E">
        <w:t xml:space="preserve"> children</w:t>
      </w:r>
      <w:r>
        <w:t xml:space="preserve"> (15%)</w:t>
      </w:r>
      <w:r w:rsidRPr="00EC0B0E">
        <w:t xml:space="preserve"> in the p</w:t>
      </w:r>
      <w:r>
        <w:t>revious</w:t>
      </w:r>
      <w:r w:rsidRPr="00EC0B0E">
        <w:t xml:space="preserve"> 12 months couldn’t see a </w:t>
      </w:r>
      <w:r>
        <w:t>general practitioner</w:t>
      </w:r>
      <w:r w:rsidRPr="00EC0B0E">
        <w:t xml:space="preserve"> when they had a medical problem because the time taken to get an appointment was too long</w:t>
      </w:r>
      <w:r>
        <w:t>.</w:t>
      </w:r>
      <w:r>
        <w:rPr>
          <w:rStyle w:val="FootnoteReference"/>
          <w:szCs w:val="21"/>
        </w:rPr>
        <w:footnoteReference w:id="5"/>
      </w:r>
      <w:r w:rsidRPr="00EC0B0E">
        <w:t xml:space="preserve"> This was more likely to be a barrier for disabled adults and women than non-disabled adults and men. Differential access to, and </w:t>
      </w:r>
      <w:r>
        <w:t xml:space="preserve">the </w:t>
      </w:r>
      <w:r w:rsidRPr="00EC0B0E">
        <w:t>quality</w:t>
      </w:r>
      <w:r>
        <w:t xml:space="preserve"> and effectiveness</w:t>
      </w:r>
      <w:r w:rsidRPr="00EC0B0E">
        <w:t xml:space="preserve"> of </w:t>
      </w:r>
      <w:r>
        <w:t xml:space="preserve">health care </w:t>
      </w:r>
      <w:r w:rsidRPr="00EC0B0E">
        <w:t>service</w:t>
      </w:r>
      <w:r>
        <w:t>s,</w:t>
      </w:r>
      <w:r w:rsidRPr="00EC0B0E">
        <w:t xml:space="preserve"> ha</w:t>
      </w:r>
      <w:r>
        <w:t>ve</w:t>
      </w:r>
      <w:r w:rsidRPr="00EC0B0E">
        <w:t xml:space="preserve"> direct impacts on health inequities. </w:t>
      </w:r>
    </w:p>
    <w:p w14:paraId="1A212E38" w14:textId="77777777" w:rsidR="00813300" w:rsidRDefault="00813300" w:rsidP="00813300"/>
    <w:p w14:paraId="29652A77" w14:textId="4FC3EAD6" w:rsidR="00871118" w:rsidRPr="00813300" w:rsidRDefault="00813300" w:rsidP="00813300">
      <w:r>
        <w:t xml:space="preserve">However, a significant barrier is also people’s access to a health service in their community, and its capacity. </w:t>
      </w:r>
    </w:p>
    <w:p w14:paraId="31A5A620" w14:textId="77777777" w:rsidR="00871118" w:rsidRPr="00813300" w:rsidRDefault="00871118" w:rsidP="00813300">
      <w:pPr>
        <w:pStyle w:val="Heading2-nonumbering"/>
      </w:pPr>
      <w:bookmarkStart w:id="20" w:name="_Toc159407480"/>
      <w:bookmarkStart w:id="21" w:name="_Toc170134107"/>
      <w:r w:rsidRPr="00813300">
        <w:t>Changes expected over the next three years</w:t>
      </w:r>
      <w:bookmarkEnd w:id="20"/>
      <w:bookmarkEnd w:id="21"/>
      <w:r w:rsidRPr="00813300">
        <w:t xml:space="preserve"> </w:t>
      </w:r>
    </w:p>
    <w:p w14:paraId="6C5DCBFC" w14:textId="77777777" w:rsidR="00813300" w:rsidRDefault="00813300" w:rsidP="00813300">
      <w:pPr>
        <w:rPr>
          <w:rFonts w:cs="Segoe UI"/>
          <w:szCs w:val="21"/>
        </w:rPr>
      </w:pPr>
      <w:r>
        <w:rPr>
          <w:rFonts w:cs="Segoe UI"/>
          <w:szCs w:val="21"/>
        </w:rPr>
        <w:t xml:space="preserve">Over the next three years, health entities and the health system should prioritise </w:t>
      </w:r>
      <w:r w:rsidRPr="00441792">
        <w:rPr>
          <w:rFonts w:cs="Segoe UI"/>
          <w:szCs w:val="21"/>
        </w:rPr>
        <w:t xml:space="preserve">delivering care closer to people’s homes, particularly for the </w:t>
      </w:r>
      <w:r>
        <w:rPr>
          <w:rFonts w:cs="Segoe UI"/>
          <w:szCs w:val="21"/>
        </w:rPr>
        <w:t xml:space="preserve">families and communities </w:t>
      </w:r>
      <w:r w:rsidRPr="00441792">
        <w:rPr>
          <w:rFonts w:cs="Segoe UI"/>
          <w:szCs w:val="21"/>
        </w:rPr>
        <w:t xml:space="preserve">experiencing the </w:t>
      </w:r>
      <w:r w:rsidRPr="00056FA8">
        <w:rPr>
          <w:rFonts w:cs="Segoe UI"/>
          <w:szCs w:val="21"/>
        </w:rPr>
        <w:t>highest health needs</w:t>
      </w:r>
      <w:r>
        <w:rPr>
          <w:rFonts w:cs="Segoe UI"/>
          <w:szCs w:val="21"/>
        </w:rPr>
        <w:t>,</w:t>
      </w:r>
      <w:r w:rsidRPr="00056FA8">
        <w:rPr>
          <w:rFonts w:cs="Segoe UI"/>
          <w:szCs w:val="21"/>
        </w:rPr>
        <w:t xml:space="preserve"> </w:t>
      </w:r>
      <w:r w:rsidRPr="00441792">
        <w:rPr>
          <w:rFonts w:cs="Segoe UI"/>
          <w:szCs w:val="21"/>
        </w:rPr>
        <w:t>greatest access barriers</w:t>
      </w:r>
      <w:r>
        <w:rPr>
          <w:rFonts w:cs="Segoe UI"/>
          <w:szCs w:val="21"/>
        </w:rPr>
        <w:t>,</w:t>
      </w:r>
      <w:r w:rsidRPr="00441792">
        <w:rPr>
          <w:rFonts w:cs="Segoe UI"/>
          <w:szCs w:val="21"/>
        </w:rPr>
        <w:t xml:space="preserve"> and poorest health outcomes</w:t>
      </w:r>
      <w:r>
        <w:rPr>
          <w:rFonts w:cs="Segoe UI"/>
          <w:szCs w:val="21"/>
        </w:rPr>
        <w:t xml:space="preserve">. </w:t>
      </w:r>
    </w:p>
    <w:p w14:paraId="4B723B24" w14:textId="77777777" w:rsidR="00813300" w:rsidRDefault="00813300" w:rsidP="00813300">
      <w:pPr>
        <w:rPr>
          <w:rFonts w:cs="Segoe UI"/>
          <w:szCs w:val="21"/>
        </w:rPr>
      </w:pPr>
      <w:r>
        <w:rPr>
          <w:rFonts w:cs="Segoe UI"/>
          <w:szCs w:val="21"/>
        </w:rPr>
        <w:lastRenderedPageBreak/>
        <w:t>The Government expects new and expanded models of health care in primary and community-based settings to emerge, designed in partnership with local communities and IMPBs</w:t>
      </w:r>
      <w:r w:rsidRPr="00056FA8">
        <w:rPr>
          <w:rFonts w:cs="Segoe UI"/>
          <w:szCs w:val="21"/>
        </w:rPr>
        <w:t>.</w:t>
      </w:r>
      <w:r>
        <w:rPr>
          <w:rFonts w:cs="Segoe UI"/>
          <w:szCs w:val="21"/>
        </w:rPr>
        <w:t xml:space="preserve"> This would be supported by a policy review covering outcomes, systems operating model, accountability and funding and investment</w:t>
      </w:r>
      <w:r w:rsidRPr="00235D1B">
        <w:rPr>
          <w:rFonts w:cs="Segoe UI"/>
          <w:szCs w:val="21"/>
        </w:rPr>
        <w:t>.</w:t>
      </w:r>
    </w:p>
    <w:p w14:paraId="7853A4B3" w14:textId="77777777" w:rsidR="00813300" w:rsidRPr="00441792" w:rsidRDefault="00813300" w:rsidP="00813300"/>
    <w:p w14:paraId="26AA7977" w14:textId="011E3408" w:rsidR="00871118" w:rsidRDefault="00813300" w:rsidP="00871118">
      <w:pPr>
        <w:rPr>
          <w:rFonts w:cs="Segoe UI"/>
          <w:szCs w:val="21"/>
        </w:rPr>
      </w:pPr>
      <w:r w:rsidRPr="00DF2416">
        <w:rPr>
          <w:rFonts w:cs="Segoe UI"/>
          <w:szCs w:val="21"/>
        </w:rPr>
        <w:t xml:space="preserve">Primary and community </w:t>
      </w:r>
      <w:r>
        <w:rPr>
          <w:rFonts w:cs="Segoe UI"/>
          <w:szCs w:val="21"/>
        </w:rPr>
        <w:t>health care,</w:t>
      </w:r>
      <w:r w:rsidRPr="00DF2416">
        <w:rPr>
          <w:rFonts w:cs="Segoe UI"/>
          <w:szCs w:val="21"/>
        </w:rPr>
        <w:t xml:space="preserve"> if strengthened in its capacity, capability</w:t>
      </w:r>
      <w:r>
        <w:rPr>
          <w:rFonts w:cs="Segoe UI"/>
          <w:szCs w:val="21"/>
        </w:rPr>
        <w:t>,</w:t>
      </w:r>
      <w:r w:rsidRPr="00DF2416">
        <w:rPr>
          <w:rFonts w:cs="Segoe UI"/>
          <w:szCs w:val="21"/>
        </w:rPr>
        <w:t xml:space="preserve"> and </w:t>
      </w:r>
      <w:r>
        <w:rPr>
          <w:rFonts w:cs="Segoe UI"/>
          <w:szCs w:val="21"/>
        </w:rPr>
        <w:t xml:space="preserve">approaches in </w:t>
      </w:r>
      <w:r w:rsidRPr="00DF2416">
        <w:rPr>
          <w:rFonts w:cs="Segoe UI"/>
          <w:szCs w:val="21"/>
        </w:rPr>
        <w:t>us</w:t>
      </w:r>
      <w:r>
        <w:rPr>
          <w:rFonts w:cs="Segoe UI"/>
          <w:szCs w:val="21"/>
        </w:rPr>
        <w:t>ing</w:t>
      </w:r>
      <w:r w:rsidRPr="00DF2416">
        <w:rPr>
          <w:rFonts w:cs="Segoe UI"/>
          <w:szCs w:val="21"/>
        </w:rPr>
        <w:t xml:space="preserve"> the workforce, can also play a greater</w:t>
      </w:r>
      <w:r>
        <w:rPr>
          <w:rFonts w:cs="Segoe UI"/>
          <w:szCs w:val="21"/>
        </w:rPr>
        <w:t xml:space="preserve"> part</w:t>
      </w:r>
      <w:r w:rsidRPr="00DF2416">
        <w:rPr>
          <w:rFonts w:cs="Segoe UI"/>
          <w:szCs w:val="21"/>
        </w:rPr>
        <w:t xml:space="preserve"> in alleviating pressures elsewhere in the </w:t>
      </w:r>
      <w:r>
        <w:rPr>
          <w:rFonts w:cs="Segoe UI"/>
          <w:szCs w:val="21"/>
        </w:rPr>
        <w:t xml:space="preserve">health </w:t>
      </w:r>
      <w:r w:rsidRPr="00DF2416">
        <w:rPr>
          <w:rFonts w:cs="Segoe UI"/>
          <w:szCs w:val="21"/>
        </w:rPr>
        <w:t xml:space="preserve">system, such as wait times for accessing </w:t>
      </w:r>
      <w:r>
        <w:rPr>
          <w:rFonts w:cs="Segoe UI"/>
          <w:szCs w:val="21"/>
        </w:rPr>
        <w:t>health care</w:t>
      </w:r>
      <w:r w:rsidRPr="00DF2416">
        <w:rPr>
          <w:rFonts w:cs="Segoe UI"/>
          <w:szCs w:val="21"/>
        </w:rPr>
        <w:t xml:space="preserve">. </w:t>
      </w:r>
      <w:r>
        <w:rPr>
          <w:rFonts w:cs="Segoe UI"/>
          <w:szCs w:val="21"/>
        </w:rPr>
        <w:t>The Government also expects to see that when services are at a distance from people’s homes and communities, barriers such as the costs of accommodation and transport are reduced, and virtual or mobile services embraced as part of the core provision options to the wider community.</w:t>
      </w:r>
      <w:bookmarkStart w:id="22" w:name="_Toc159407481"/>
    </w:p>
    <w:p w14:paraId="750298AD" w14:textId="2FB5496F" w:rsidR="00871118" w:rsidRPr="00AE33AD" w:rsidRDefault="00871118" w:rsidP="00AE33AD">
      <w:pPr>
        <w:pStyle w:val="Heading2-nonumbering"/>
      </w:pPr>
      <w:bookmarkStart w:id="23" w:name="_Toc170134108"/>
      <w:r w:rsidRPr="00AE33AD">
        <w:t>Objectives and expectations for the next three years</w:t>
      </w:r>
      <w:bookmarkEnd w:id="22"/>
      <w:bookmarkEnd w:id="23"/>
    </w:p>
    <w:tbl>
      <w:tblPr>
        <w:tblStyle w:val="TableGrid"/>
        <w:tblW w:w="821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85" w:type="dxa"/>
          <w:right w:w="57" w:type="dxa"/>
        </w:tblCellMar>
        <w:tblLook w:val="04A0" w:firstRow="1" w:lastRow="0" w:firstColumn="1" w:lastColumn="0" w:noHBand="0" w:noVBand="1"/>
      </w:tblPr>
      <w:tblGrid>
        <w:gridCol w:w="2835"/>
        <w:gridCol w:w="5382"/>
      </w:tblGrid>
      <w:tr w:rsidR="00871118" w:rsidRPr="00CF25F9" w14:paraId="17C8D405" w14:textId="77777777" w:rsidTr="0075595B">
        <w:trPr>
          <w:cantSplit/>
          <w:trHeight w:val="386"/>
          <w:tblHeader/>
        </w:trPr>
        <w:tc>
          <w:tcPr>
            <w:tcW w:w="2835" w:type="dxa"/>
            <w:tcBorders>
              <w:top w:val="nil"/>
              <w:bottom w:val="nil"/>
            </w:tcBorders>
            <w:shd w:val="clear" w:color="auto" w:fill="D9D9D9" w:themeFill="background1" w:themeFillShade="D9"/>
            <w:vAlign w:val="center"/>
            <w:hideMark/>
          </w:tcPr>
          <w:p w14:paraId="75B2DB11" w14:textId="77777777" w:rsidR="00871118" w:rsidRPr="00CF25F9" w:rsidRDefault="00871118" w:rsidP="00871118">
            <w:pPr>
              <w:pStyle w:val="TableText"/>
              <w:keepNext/>
              <w:spacing w:before="80" w:after="80"/>
              <w:rPr>
                <w:rFonts w:cs="Segoe UI"/>
                <w:b/>
                <w:szCs w:val="18"/>
                <w:lang w:eastAsia="en-NZ"/>
              </w:rPr>
            </w:pPr>
            <w:r w:rsidRPr="00CF25F9">
              <w:rPr>
                <w:rFonts w:cs="Segoe UI"/>
                <w:b/>
                <w:szCs w:val="18"/>
                <w:lang w:eastAsia="en-NZ"/>
              </w:rPr>
              <w:t>Objective</w:t>
            </w:r>
          </w:p>
        </w:tc>
        <w:tc>
          <w:tcPr>
            <w:tcW w:w="5382" w:type="dxa"/>
            <w:tcBorders>
              <w:top w:val="nil"/>
              <w:bottom w:val="nil"/>
            </w:tcBorders>
            <w:shd w:val="clear" w:color="auto" w:fill="D9D9D9" w:themeFill="background1" w:themeFillShade="D9"/>
            <w:vAlign w:val="center"/>
            <w:hideMark/>
          </w:tcPr>
          <w:p w14:paraId="698B159B" w14:textId="77777777" w:rsidR="00871118" w:rsidRPr="00CF25F9" w:rsidRDefault="00871118" w:rsidP="00871118">
            <w:pPr>
              <w:pStyle w:val="TableText"/>
              <w:keepNext/>
              <w:spacing w:before="80" w:after="80"/>
              <w:rPr>
                <w:rFonts w:cs="Segoe UI"/>
                <w:szCs w:val="18"/>
                <w:lang w:eastAsia="en-NZ"/>
              </w:rPr>
            </w:pPr>
            <w:r>
              <w:rPr>
                <w:rFonts w:cs="Segoe UI"/>
                <w:b/>
                <w:szCs w:val="18"/>
                <w:lang w:eastAsia="en-NZ"/>
              </w:rPr>
              <w:t>Expectations</w:t>
            </w:r>
          </w:p>
        </w:tc>
      </w:tr>
      <w:tr w:rsidR="00813300" w:rsidRPr="004B4EEB" w14:paraId="21CE79BC" w14:textId="77777777" w:rsidTr="0075595B">
        <w:trPr>
          <w:cantSplit/>
          <w:trHeight w:val="1955"/>
        </w:trPr>
        <w:tc>
          <w:tcPr>
            <w:tcW w:w="2835" w:type="dxa"/>
            <w:tcBorders>
              <w:top w:val="nil"/>
            </w:tcBorders>
          </w:tcPr>
          <w:p w14:paraId="0E7A8F33" w14:textId="2B0A1E00" w:rsidR="00813300" w:rsidRPr="00813300" w:rsidRDefault="00813300" w:rsidP="00813300">
            <w:pPr>
              <w:pStyle w:val="TableText"/>
            </w:pPr>
            <w:r w:rsidRPr="00813300">
              <w:t>1.1 Improve access to and choice of primary and community health care services, and diversify the points of entry and support throughout a person’s health care journey.</w:t>
            </w:r>
          </w:p>
        </w:tc>
        <w:tc>
          <w:tcPr>
            <w:tcW w:w="5382" w:type="dxa"/>
            <w:tcBorders>
              <w:top w:val="nil"/>
            </w:tcBorders>
          </w:tcPr>
          <w:p w14:paraId="3E2DB3DA" w14:textId="77777777" w:rsidR="00813300" w:rsidRPr="005D23EF" w:rsidRDefault="00813300" w:rsidP="00813300">
            <w:pPr>
              <w:pStyle w:val="TableBullet"/>
              <w:framePr w:wrap="around"/>
            </w:pPr>
            <w:r w:rsidRPr="71549A7A">
              <w:t>Deliver immunisation services that meet the needs of communities, especially for those with the poorest immunisation rates</w:t>
            </w:r>
            <w:r>
              <w:t>,</w:t>
            </w:r>
            <w:r w:rsidRPr="71549A7A">
              <w:t xml:space="preserve"> including Māori and Pacific peoples</w:t>
            </w:r>
            <w:r w:rsidRPr="32AC7089">
              <w:t xml:space="preserve">. </w:t>
            </w:r>
          </w:p>
          <w:p w14:paraId="7A598177" w14:textId="77777777" w:rsidR="00813300" w:rsidRPr="005D23EF" w:rsidRDefault="00813300" w:rsidP="00813300">
            <w:pPr>
              <w:pStyle w:val="TableBullet"/>
              <w:framePr w:wrap="around"/>
              <w:rPr>
                <w:szCs w:val="18"/>
              </w:rPr>
            </w:pPr>
            <w:r w:rsidRPr="005D23EF">
              <w:rPr>
                <w:szCs w:val="18"/>
              </w:rPr>
              <w:t>Expand the choice of whānau-centred and holistic maternity and early years' services.</w:t>
            </w:r>
          </w:p>
          <w:p w14:paraId="56C8B92D" w14:textId="77777777" w:rsidR="00813300" w:rsidRPr="005D23EF" w:rsidRDefault="00813300" w:rsidP="00813300">
            <w:pPr>
              <w:pStyle w:val="TableBullet"/>
              <w:framePr w:wrap="around"/>
              <w:rPr>
                <w:szCs w:val="18"/>
              </w:rPr>
            </w:pPr>
            <w:r>
              <w:rPr>
                <w:szCs w:val="18"/>
              </w:rPr>
              <w:t>I</w:t>
            </w:r>
            <w:r w:rsidRPr="005D23EF">
              <w:rPr>
                <w:szCs w:val="18"/>
              </w:rPr>
              <w:t>mplement an increasingly integrated mix of prevention, primary, community and specialist services for mental health and addiction, and suicide prevention, including community-based alternatives for acute care and a focus on prevention and early intervention to reduce the impact of mental health and addiction.</w:t>
            </w:r>
          </w:p>
          <w:p w14:paraId="6D74D26E" w14:textId="77777777" w:rsidR="00813300" w:rsidRPr="005D23EF" w:rsidRDefault="00813300" w:rsidP="00813300">
            <w:pPr>
              <w:pStyle w:val="TableBullet"/>
              <w:framePr w:wrap="around"/>
              <w:rPr>
                <w:szCs w:val="18"/>
              </w:rPr>
            </w:pPr>
            <w:r w:rsidRPr="005D23EF">
              <w:rPr>
                <w:szCs w:val="18"/>
              </w:rPr>
              <w:t xml:space="preserve">Stabilise the General Practice sector by supporting them to perform their core roles. </w:t>
            </w:r>
          </w:p>
          <w:p w14:paraId="0BC1B878" w14:textId="35B9B30F" w:rsidR="00813300" w:rsidRPr="00EB5177" w:rsidRDefault="00813300" w:rsidP="00813300">
            <w:pPr>
              <w:pStyle w:val="TableBullet"/>
              <w:framePr w:wrap="around"/>
            </w:pPr>
            <w:r w:rsidRPr="005D23EF">
              <w:rPr>
                <w:szCs w:val="18"/>
              </w:rPr>
              <w:t>Expand access to community-based supports to improve prevention and management of non-communicable diseases, including kaupapa Māori and Pacific-led options.</w:t>
            </w:r>
          </w:p>
        </w:tc>
      </w:tr>
      <w:tr w:rsidR="00813300" w:rsidRPr="004B4EEB" w14:paraId="7E9ACBD7" w14:textId="77777777" w:rsidTr="0075595B">
        <w:trPr>
          <w:cantSplit/>
          <w:trHeight w:val="557"/>
        </w:trPr>
        <w:tc>
          <w:tcPr>
            <w:tcW w:w="2835" w:type="dxa"/>
          </w:tcPr>
          <w:p w14:paraId="0920E63C" w14:textId="30170BE9" w:rsidR="00813300" w:rsidRPr="00813300" w:rsidRDefault="00813300" w:rsidP="00813300">
            <w:pPr>
              <w:pStyle w:val="TableText"/>
            </w:pPr>
            <w:r w:rsidRPr="00813300">
              <w:lastRenderedPageBreak/>
              <w:t xml:space="preserve">1.2 Develop models of care to better meet people’s needs closer to home. </w:t>
            </w:r>
          </w:p>
        </w:tc>
        <w:tc>
          <w:tcPr>
            <w:tcW w:w="5382" w:type="dxa"/>
          </w:tcPr>
          <w:p w14:paraId="7F30ABBA" w14:textId="77777777" w:rsidR="00813300" w:rsidRPr="00A541FD" w:rsidRDefault="00813300" w:rsidP="00813300">
            <w:pPr>
              <w:pStyle w:val="TableBullet"/>
              <w:framePr w:wrap="around"/>
            </w:pPr>
            <w:r w:rsidRPr="00E85F58">
              <w:rPr>
                <w:lang w:val="en-US"/>
              </w:rPr>
              <w:t>Work in partnership with local communities to ensure primary and community care services are</w:t>
            </w:r>
            <w:r>
              <w:rPr>
                <w:lang w:val="en-US"/>
              </w:rPr>
              <w:t xml:space="preserve"> increasingly</w:t>
            </w:r>
            <w:r w:rsidRPr="00E85F58">
              <w:rPr>
                <w:lang w:val="en-US"/>
              </w:rPr>
              <w:t xml:space="preserve"> tailored to better respond to </w:t>
            </w:r>
            <w:r>
              <w:rPr>
                <w:lang w:val="en-US"/>
              </w:rPr>
              <w:t>people’s</w:t>
            </w:r>
            <w:r w:rsidRPr="00E85F58">
              <w:rPr>
                <w:lang w:val="en-US"/>
              </w:rPr>
              <w:t xml:space="preserve"> needs</w:t>
            </w:r>
            <w:r>
              <w:rPr>
                <w:lang w:val="en-US"/>
              </w:rPr>
              <w:t>, including family and community-based services.</w:t>
            </w:r>
          </w:p>
          <w:p w14:paraId="093906B8" w14:textId="77777777" w:rsidR="00813300" w:rsidRPr="00DE6DC9" w:rsidRDefault="00813300" w:rsidP="00813300">
            <w:pPr>
              <w:pStyle w:val="TableBullet"/>
              <w:framePr w:wrap="around"/>
              <w:rPr>
                <w:szCs w:val="18"/>
              </w:rPr>
            </w:pPr>
            <w:r w:rsidRPr="00884032">
              <w:rPr>
                <w:lang w:val="en-US"/>
              </w:rPr>
              <w:t xml:space="preserve">Work in partnership with </w:t>
            </w:r>
            <w:r>
              <w:rPr>
                <w:lang w:val="en-US"/>
              </w:rPr>
              <w:t>IMPBs</w:t>
            </w:r>
            <w:r w:rsidRPr="00884032">
              <w:rPr>
                <w:lang w:val="en-US"/>
              </w:rPr>
              <w:t xml:space="preserve"> to ensu</w:t>
            </w:r>
            <w:r>
              <w:rPr>
                <w:lang w:val="en-US"/>
              </w:rPr>
              <w:t>r</w:t>
            </w:r>
            <w:r w:rsidRPr="00884032">
              <w:rPr>
                <w:lang w:val="en-US"/>
              </w:rPr>
              <w:t xml:space="preserve">e primary and community care services are </w:t>
            </w:r>
            <w:r>
              <w:rPr>
                <w:lang w:val="en-US"/>
              </w:rPr>
              <w:t xml:space="preserve">increasingly </w:t>
            </w:r>
            <w:r w:rsidRPr="00884032">
              <w:rPr>
                <w:lang w:val="en-US"/>
              </w:rPr>
              <w:t>tailored to better respond to the needs of Māori, and ensure the</w:t>
            </w:r>
            <w:r>
              <w:rPr>
                <w:lang w:val="en-US"/>
              </w:rPr>
              <w:t xml:space="preserve"> services</w:t>
            </w:r>
            <w:r w:rsidRPr="00884032">
              <w:rPr>
                <w:lang w:val="en-US"/>
              </w:rPr>
              <w:t xml:space="preserve"> are well supported and resource</w:t>
            </w:r>
            <w:r>
              <w:rPr>
                <w:lang w:val="en-US"/>
              </w:rPr>
              <w:t>d.</w:t>
            </w:r>
            <w:r w:rsidRPr="00884032">
              <w:rPr>
                <w:lang w:val="en-US"/>
              </w:rPr>
              <w:t xml:space="preserve"> </w:t>
            </w:r>
          </w:p>
          <w:p w14:paraId="6BC375F7" w14:textId="77777777" w:rsidR="00813300" w:rsidRPr="00C86C9A" w:rsidRDefault="00813300" w:rsidP="00813300">
            <w:pPr>
              <w:pStyle w:val="TableBullet"/>
              <w:framePr w:wrap="around"/>
              <w:rPr>
                <w:szCs w:val="18"/>
              </w:rPr>
            </w:pPr>
            <w:r>
              <w:t>Increase support for leadership pathways that enable local leadership in the design and delivery of health care services.</w:t>
            </w:r>
          </w:p>
          <w:p w14:paraId="44917C9E" w14:textId="77777777" w:rsidR="00813300" w:rsidRPr="00A541FD" w:rsidRDefault="00813300" w:rsidP="00813300">
            <w:pPr>
              <w:pStyle w:val="TableBullet"/>
              <w:framePr w:wrap="around"/>
              <w:rPr>
                <w:szCs w:val="18"/>
              </w:rPr>
            </w:pPr>
            <w:r>
              <w:rPr>
                <w:szCs w:val="18"/>
              </w:rPr>
              <w:t>P</w:t>
            </w:r>
            <w:r w:rsidRPr="00946C8B">
              <w:rPr>
                <w:szCs w:val="18"/>
              </w:rPr>
              <w:t>rioritise the sustainability and quality of health services for older people. This includes ensuring aged care service</w:t>
            </w:r>
            <w:r>
              <w:rPr>
                <w:szCs w:val="18"/>
              </w:rPr>
              <w:t>s</w:t>
            </w:r>
            <w:r w:rsidRPr="00946C8B">
              <w:rPr>
                <w:szCs w:val="18"/>
              </w:rPr>
              <w:t xml:space="preserve"> and funding models support older people to live well, age well</w:t>
            </w:r>
            <w:r>
              <w:rPr>
                <w:szCs w:val="18"/>
              </w:rPr>
              <w:t>,</w:t>
            </w:r>
            <w:r w:rsidRPr="00946C8B">
              <w:rPr>
                <w:szCs w:val="18"/>
              </w:rPr>
              <w:t xml:space="preserve"> and have a respectful end of life in age-friendly communities.</w:t>
            </w:r>
          </w:p>
          <w:p w14:paraId="1C6684DB" w14:textId="77777777" w:rsidR="00813300" w:rsidRPr="00BD7F5B" w:rsidRDefault="00813300" w:rsidP="00813300">
            <w:pPr>
              <w:pStyle w:val="TableBullet"/>
              <w:framePr w:wrap="around"/>
              <w:rPr>
                <w:b/>
                <w:lang w:val="en-US"/>
              </w:rPr>
            </w:pPr>
            <w:r w:rsidRPr="546649CE">
              <w:rPr>
                <w:lang w:val="en-US"/>
              </w:rPr>
              <w:t>Review service and funding models for aged care</w:t>
            </w:r>
            <w:r>
              <w:rPr>
                <w:lang w:val="en-US"/>
              </w:rPr>
              <w:t xml:space="preserve">. </w:t>
            </w:r>
          </w:p>
          <w:p w14:paraId="240375AA" w14:textId="77777777" w:rsidR="00813300" w:rsidRPr="000D49D3" w:rsidRDefault="00813300" w:rsidP="00813300">
            <w:pPr>
              <w:pStyle w:val="TableBullet"/>
              <w:framePr w:wrap="around"/>
              <w:rPr>
                <w:b/>
                <w:lang w:val="en-US"/>
              </w:rPr>
            </w:pPr>
            <w:r w:rsidRPr="24660C47">
              <w:rPr>
                <w:lang w:val="en-US"/>
              </w:rPr>
              <w:t>I</w:t>
            </w:r>
            <w:r>
              <w:rPr>
                <w:lang w:val="en-US"/>
              </w:rPr>
              <w:t>ntroduce</w:t>
            </w:r>
            <w:r w:rsidRPr="24660C47">
              <w:rPr>
                <w:lang w:val="en-US"/>
              </w:rPr>
              <w:t xml:space="preserve"> a national approach to supported discharge and </w:t>
            </w:r>
            <w:r>
              <w:rPr>
                <w:lang w:val="en-US"/>
              </w:rPr>
              <w:t>early discharge models, assisted</w:t>
            </w:r>
            <w:r w:rsidRPr="004B7E72">
              <w:rPr>
                <w:lang w:val="en-US"/>
              </w:rPr>
              <w:t xml:space="preserve"> by </w:t>
            </w:r>
            <w:r>
              <w:rPr>
                <w:lang w:val="en-US"/>
              </w:rPr>
              <w:t xml:space="preserve">technology such as medical devices and </w:t>
            </w:r>
            <w:r w:rsidRPr="004B7E72">
              <w:rPr>
                <w:lang w:val="en-US"/>
              </w:rPr>
              <w:t xml:space="preserve">strengthened capacity and capability in primary and community </w:t>
            </w:r>
            <w:r>
              <w:rPr>
                <w:lang w:val="en-US"/>
              </w:rPr>
              <w:t>health care</w:t>
            </w:r>
            <w:r w:rsidRPr="004B7E72">
              <w:rPr>
                <w:lang w:val="en-US"/>
              </w:rPr>
              <w:t xml:space="preserve">, </w:t>
            </w:r>
            <w:r>
              <w:rPr>
                <w:lang w:val="en-US"/>
              </w:rPr>
              <w:t xml:space="preserve">that takes into account cultural contexts, caring </w:t>
            </w:r>
            <w:r w:rsidRPr="6A41CA33">
              <w:rPr>
                <w:lang w:val="en-US"/>
              </w:rPr>
              <w:t>responsibilities</w:t>
            </w:r>
            <w:r>
              <w:rPr>
                <w:lang w:val="en-US"/>
              </w:rPr>
              <w:t>,</w:t>
            </w:r>
            <w:r w:rsidRPr="6A41CA33">
              <w:rPr>
                <w:lang w:val="en-US"/>
              </w:rPr>
              <w:t xml:space="preserve"> </w:t>
            </w:r>
            <w:r>
              <w:rPr>
                <w:lang w:val="en-US"/>
              </w:rPr>
              <w:t>and options for those in more remote and rural communities</w:t>
            </w:r>
            <w:r w:rsidRPr="003008BA">
              <w:rPr>
                <w:lang w:val="en-US"/>
              </w:rPr>
              <w:t>.</w:t>
            </w:r>
            <w:r w:rsidRPr="003008BA">
              <w:t xml:space="preserve"> </w:t>
            </w:r>
            <w:r w:rsidRPr="003008BA">
              <w:rPr>
                <w:lang w:val="en-US"/>
              </w:rPr>
              <w:t>This includes for mental health and addiction.</w:t>
            </w:r>
          </w:p>
          <w:p w14:paraId="258F1EBC" w14:textId="33C5C5C3" w:rsidR="00813300" w:rsidRPr="00C059F5" w:rsidRDefault="00813300" w:rsidP="00813300">
            <w:pPr>
              <w:pStyle w:val="TableBullet"/>
              <w:framePr w:wrap="around"/>
              <w:rPr>
                <w:b/>
                <w:lang w:val="en-US"/>
              </w:rPr>
            </w:pPr>
            <w:r>
              <w:t>Make health sector information available to local communities and IMPBs to support their role in service design and delivery.</w:t>
            </w:r>
          </w:p>
        </w:tc>
      </w:tr>
      <w:tr w:rsidR="00813300" w:rsidRPr="004B4EEB" w14:paraId="5A1DF0EF" w14:textId="77777777" w:rsidTr="0075595B">
        <w:trPr>
          <w:cantSplit/>
          <w:trHeight w:val="2743"/>
        </w:trPr>
        <w:tc>
          <w:tcPr>
            <w:tcW w:w="2835" w:type="dxa"/>
          </w:tcPr>
          <w:p w14:paraId="138AE421" w14:textId="45409CDC" w:rsidR="00813300" w:rsidRPr="00813300" w:rsidRDefault="00813300" w:rsidP="00813300">
            <w:pPr>
              <w:pStyle w:val="TableText"/>
            </w:pPr>
            <w:r w:rsidRPr="00813300">
              <w:t>1.3 Increase access to online health services (including telehealth) and improve access to communication, information and transport and accommodation assistance.</w:t>
            </w:r>
          </w:p>
        </w:tc>
        <w:tc>
          <w:tcPr>
            <w:tcW w:w="5382" w:type="dxa"/>
          </w:tcPr>
          <w:p w14:paraId="5ACE87A6" w14:textId="77777777" w:rsidR="00813300" w:rsidRDefault="00813300" w:rsidP="00813300">
            <w:pPr>
              <w:pStyle w:val="TableBullet"/>
              <w:framePr w:wrap="around"/>
            </w:pPr>
            <w:r>
              <w:t xml:space="preserve">Implement initiatives that support an increased understanding and uptake </w:t>
            </w:r>
            <w:r w:rsidRPr="00AB5DB9">
              <w:t>of</w:t>
            </w:r>
            <w:r>
              <w:t xml:space="preserve"> online</w:t>
            </w:r>
            <w:r w:rsidRPr="00AB5DB9">
              <w:t xml:space="preserve"> care and telehealth</w:t>
            </w:r>
            <w:r>
              <w:t xml:space="preserve">, particularly </w:t>
            </w:r>
            <w:r w:rsidRPr="004B7E72">
              <w:t xml:space="preserve">in primary and community </w:t>
            </w:r>
            <w:r>
              <w:t>health care</w:t>
            </w:r>
            <w:r w:rsidRPr="004B7E72">
              <w:t xml:space="preserve"> settings, and</w:t>
            </w:r>
            <w:r>
              <w:t xml:space="preserve"> </w:t>
            </w:r>
            <w:r w:rsidRPr="00690B68">
              <w:t>to equip people</w:t>
            </w:r>
            <w:r>
              <w:t xml:space="preserve">, families </w:t>
            </w:r>
            <w:r w:rsidRPr="00690B68">
              <w:t>and whānau to better meet their own mental wellbeing needs</w:t>
            </w:r>
            <w:r>
              <w:t xml:space="preserve">. </w:t>
            </w:r>
          </w:p>
          <w:p w14:paraId="4036E271" w14:textId="77777777" w:rsidR="00813300" w:rsidRPr="00325D53" w:rsidRDefault="00813300" w:rsidP="00813300">
            <w:pPr>
              <w:pStyle w:val="TableBullet"/>
              <w:framePr w:wrap="around"/>
            </w:pPr>
            <w:r>
              <w:t>Improve</w:t>
            </w:r>
            <w:r w:rsidRPr="546649CE">
              <w:t xml:space="preserve"> the transport and accommodation assistance </w:t>
            </w:r>
            <w:r>
              <w:t>support,</w:t>
            </w:r>
            <w:r w:rsidRPr="546649CE">
              <w:t xml:space="preserve"> particularly for disabled people and </w:t>
            </w:r>
            <w:r>
              <w:t>people</w:t>
            </w:r>
            <w:r w:rsidRPr="546649CE">
              <w:t xml:space="preserve"> living in rural communities</w:t>
            </w:r>
            <w:r>
              <w:t>.</w:t>
            </w:r>
          </w:p>
          <w:p w14:paraId="752CFE1F" w14:textId="1499DB8D" w:rsidR="00813300" w:rsidRDefault="00813300" w:rsidP="00813300">
            <w:pPr>
              <w:pStyle w:val="TableBullet"/>
              <w:framePr w:wrap="around"/>
            </w:pPr>
            <w:r w:rsidRPr="0071EF83">
              <w:t xml:space="preserve">Improve access </w:t>
            </w:r>
            <w:r>
              <w:t xml:space="preserve">to </w:t>
            </w:r>
            <w:r w:rsidRPr="0071EF83">
              <w:t xml:space="preserve">information and advice services, </w:t>
            </w:r>
            <w:r>
              <w:t>through</w:t>
            </w:r>
            <w:r w:rsidRPr="0071EF83">
              <w:t xml:space="preserve"> easy access</w:t>
            </w:r>
            <w:r>
              <w:t xml:space="preserve"> </w:t>
            </w:r>
            <w:r w:rsidRPr="0071EF83" w:rsidDel="00C77C6B">
              <w:t>to</w:t>
            </w:r>
            <w:r w:rsidRPr="0071EF83">
              <w:t xml:space="preserve"> information, advice and support to navigate the health system, </w:t>
            </w:r>
            <w:r>
              <w:t xml:space="preserve">communication, </w:t>
            </w:r>
            <w:r w:rsidRPr="0071EF83">
              <w:t>translation and interpretation services</w:t>
            </w:r>
            <w:r>
              <w:t>.</w:t>
            </w:r>
          </w:p>
        </w:tc>
      </w:tr>
      <w:tr w:rsidR="00813300" w:rsidRPr="004B4EEB" w14:paraId="2B056A58" w14:textId="77777777" w:rsidTr="0075595B">
        <w:trPr>
          <w:cantSplit/>
          <w:trHeight w:val="1202"/>
        </w:trPr>
        <w:tc>
          <w:tcPr>
            <w:tcW w:w="2835" w:type="dxa"/>
          </w:tcPr>
          <w:p w14:paraId="49B0DC76" w14:textId="6D88632C" w:rsidR="00813300" w:rsidRPr="00813300" w:rsidRDefault="00813300" w:rsidP="00813300">
            <w:pPr>
              <w:pStyle w:val="TableText"/>
            </w:pPr>
            <w:r w:rsidRPr="00813300">
              <w:t>1.4 Improve cancer screening.</w:t>
            </w:r>
          </w:p>
        </w:tc>
        <w:tc>
          <w:tcPr>
            <w:tcW w:w="5382" w:type="dxa"/>
          </w:tcPr>
          <w:p w14:paraId="24517C9B" w14:textId="77777777" w:rsidR="00813300" w:rsidRPr="004E42FB" w:rsidRDefault="00813300" w:rsidP="00813300">
            <w:pPr>
              <w:pStyle w:val="TableBullet"/>
              <w:framePr w:wrap="around"/>
            </w:pPr>
            <w:r>
              <w:t>Extend</w:t>
            </w:r>
            <w:r w:rsidRPr="004E42FB">
              <w:t xml:space="preserve"> breast </w:t>
            </w:r>
            <w:r>
              <w:t>cancer screening to people aged 74 years old.</w:t>
            </w:r>
          </w:p>
          <w:p w14:paraId="65261641" w14:textId="77777777" w:rsidR="00813300" w:rsidRPr="004E42FB" w:rsidRDefault="00813300" w:rsidP="00813300">
            <w:pPr>
              <w:pStyle w:val="TableBullet"/>
              <w:framePr w:wrap="around"/>
            </w:pPr>
            <w:r w:rsidRPr="004E42FB">
              <w:t xml:space="preserve">Increase </w:t>
            </w:r>
            <w:r>
              <w:t>h</w:t>
            </w:r>
            <w:r w:rsidRPr="00B623DC">
              <w:t>uman papillomavirus</w:t>
            </w:r>
            <w:r>
              <w:t xml:space="preserve"> (</w:t>
            </w:r>
            <w:r w:rsidRPr="004E42FB">
              <w:t>HPV</w:t>
            </w:r>
            <w:r>
              <w:t>)</w:t>
            </w:r>
            <w:r w:rsidRPr="004E42FB">
              <w:t xml:space="preserve"> screening rates</w:t>
            </w:r>
            <w:r>
              <w:t xml:space="preserve"> with a focus on population groups with lower screening rates.</w:t>
            </w:r>
          </w:p>
          <w:p w14:paraId="72BBD5C9" w14:textId="0130B48D" w:rsidR="00813300" w:rsidRPr="005C67F6" w:rsidRDefault="00813300" w:rsidP="00813300">
            <w:pPr>
              <w:pStyle w:val="TableBullet"/>
              <w:framePr w:wrap="around"/>
            </w:pPr>
            <w:r>
              <w:t>Improve access to</w:t>
            </w:r>
            <w:r w:rsidRPr="004E42FB">
              <w:t xml:space="preserve"> bowel screening</w:t>
            </w:r>
            <w:r>
              <w:t>.</w:t>
            </w:r>
          </w:p>
        </w:tc>
      </w:tr>
      <w:tr w:rsidR="00813300" w:rsidRPr="004B4EEB" w14:paraId="65DF94B0" w14:textId="77777777" w:rsidTr="0075595B">
        <w:trPr>
          <w:cantSplit/>
          <w:trHeight w:val="1202"/>
        </w:trPr>
        <w:tc>
          <w:tcPr>
            <w:tcW w:w="2835" w:type="dxa"/>
          </w:tcPr>
          <w:p w14:paraId="09CD8238" w14:textId="448B3F24" w:rsidR="00813300" w:rsidRPr="00813300" w:rsidRDefault="00813300" w:rsidP="00813300">
            <w:pPr>
              <w:pStyle w:val="TableText"/>
            </w:pPr>
            <w:r w:rsidRPr="00813300">
              <w:t>1.5 Faster access to medicines and pharmaceuticals.</w:t>
            </w:r>
          </w:p>
        </w:tc>
        <w:tc>
          <w:tcPr>
            <w:tcW w:w="5382" w:type="dxa"/>
          </w:tcPr>
          <w:p w14:paraId="2D023194" w14:textId="77777777" w:rsidR="00813300" w:rsidRDefault="00813300" w:rsidP="00813300">
            <w:pPr>
              <w:pStyle w:val="TableBullet"/>
              <w:framePr w:wrap="around"/>
            </w:pPr>
            <w:r w:rsidRPr="001735B5">
              <w:t>Improve the availability of and access to cancer medicines in New Zealand</w:t>
            </w:r>
            <w:r>
              <w:t>.</w:t>
            </w:r>
          </w:p>
          <w:p w14:paraId="7FAB3365" w14:textId="4834D67A" w:rsidR="00813300" w:rsidRPr="004E42FB" w:rsidRDefault="00813300" w:rsidP="00813300">
            <w:pPr>
              <w:pStyle w:val="TableBullet"/>
              <w:framePr w:wrap="around"/>
            </w:pPr>
            <w:r w:rsidRPr="006E4F90">
              <w:t>Enable faster access to medicines by improving the timeliness of processes related to accessing new medicines</w:t>
            </w:r>
            <w:r>
              <w:t>.</w:t>
            </w:r>
          </w:p>
        </w:tc>
      </w:tr>
    </w:tbl>
    <w:p w14:paraId="0FFA5E8B" w14:textId="686B9A10" w:rsidR="00871118" w:rsidRDefault="000A0E77" w:rsidP="000A0E77">
      <w:pPr>
        <w:pStyle w:val="Heading3-nonumbering"/>
      </w:pPr>
      <w:r w:rsidRPr="000A0E77">
        <w:lastRenderedPageBreak/>
        <w:t>Access for families, whānau and communities with high health needs</w:t>
      </w:r>
    </w:p>
    <w:p w14:paraId="1F32D10B" w14:textId="77777777" w:rsidR="00813300" w:rsidRPr="007D3114" w:rsidRDefault="00813300" w:rsidP="00813300">
      <w:pPr>
        <w:rPr>
          <w:szCs w:val="21"/>
        </w:rPr>
      </w:pPr>
      <w:r w:rsidRPr="007D3114">
        <w:rPr>
          <w:szCs w:val="21"/>
        </w:rPr>
        <w:t xml:space="preserve">Differential access to </w:t>
      </w:r>
      <w:r>
        <w:rPr>
          <w:szCs w:val="21"/>
        </w:rPr>
        <w:t>health care</w:t>
      </w:r>
      <w:r w:rsidRPr="007D3114">
        <w:rPr>
          <w:szCs w:val="21"/>
        </w:rPr>
        <w:t xml:space="preserve"> contributes to unfair differences in health outcomes and needs across the population. Access to a wide variety of public health, primary and community care and hospital-based services is necessary for families and communities that experience the greatest access barriers.</w:t>
      </w:r>
      <w:r w:rsidRPr="007D3114" w:rsidDel="0062628D">
        <w:rPr>
          <w:szCs w:val="21"/>
        </w:rPr>
        <w:t xml:space="preserve"> </w:t>
      </w:r>
      <w:r w:rsidRPr="007D3114">
        <w:rPr>
          <w:szCs w:val="21"/>
        </w:rPr>
        <w:t>Both Māori and Pacific health providers have a long history of providing effective care to Māori and other people in their communities</w:t>
      </w:r>
      <w:r>
        <w:rPr>
          <w:szCs w:val="21"/>
        </w:rPr>
        <w:t xml:space="preserve"> that improves access</w:t>
      </w:r>
      <w:r w:rsidRPr="007D3114">
        <w:rPr>
          <w:szCs w:val="21"/>
        </w:rPr>
        <w:t xml:space="preserve">. </w:t>
      </w:r>
    </w:p>
    <w:p w14:paraId="7B8A60EB" w14:textId="77777777" w:rsidR="00813300" w:rsidRPr="007D3114" w:rsidRDefault="00813300" w:rsidP="00813300">
      <w:pPr>
        <w:rPr>
          <w:szCs w:val="21"/>
        </w:rPr>
      </w:pPr>
    </w:p>
    <w:p w14:paraId="06B51F7B" w14:textId="75193089" w:rsidR="00813300" w:rsidRPr="007D3114" w:rsidRDefault="00813300" w:rsidP="00813300">
      <w:pPr>
        <w:rPr>
          <w:szCs w:val="21"/>
        </w:rPr>
      </w:pPr>
      <w:r w:rsidRPr="007D3114">
        <w:rPr>
          <w:szCs w:val="21"/>
        </w:rPr>
        <w:t xml:space="preserve">In delivering the objectives and expectations above, health entities must work with IMPBs to design, commission and deliver services that are accessible for Māori. Engaging with and responding to the needs, strengths, and aspirations of </w:t>
      </w:r>
      <w:r>
        <w:rPr>
          <w:szCs w:val="21"/>
        </w:rPr>
        <w:t xml:space="preserve">families, </w:t>
      </w:r>
      <w:r w:rsidRPr="007D3114">
        <w:rPr>
          <w:szCs w:val="21"/>
        </w:rPr>
        <w:t xml:space="preserve">whānau and communities </w:t>
      </w:r>
      <w:r w:rsidR="00A465C3">
        <w:rPr>
          <w:szCs w:val="21"/>
        </w:rPr>
        <w:t>is</w:t>
      </w:r>
      <w:r w:rsidRPr="007D3114">
        <w:rPr>
          <w:szCs w:val="21"/>
        </w:rPr>
        <w:t xml:space="preserve"> a powerful mechanism for improving services and systems. This includes developing</w:t>
      </w:r>
      <w:r>
        <w:rPr>
          <w:szCs w:val="21"/>
        </w:rPr>
        <w:t xml:space="preserve"> and expanding</w:t>
      </w:r>
      <w:r w:rsidRPr="007D3114">
        <w:rPr>
          <w:szCs w:val="21"/>
        </w:rPr>
        <w:t xml:space="preserve"> Māori health providers and Māori health service models, such as rongoā Māori.</w:t>
      </w:r>
    </w:p>
    <w:p w14:paraId="6D85768A" w14:textId="77777777" w:rsidR="00813300" w:rsidRPr="007D3114" w:rsidRDefault="00813300" w:rsidP="00813300">
      <w:pPr>
        <w:rPr>
          <w:szCs w:val="21"/>
        </w:rPr>
      </w:pPr>
    </w:p>
    <w:p w14:paraId="34218990" w14:textId="77777777" w:rsidR="00813300" w:rsidRPr="007D3114" w:rsidRDefault="00813300" w:rsidP="00813300">
      <w:r>
        <w:t>For other population groups with higher needs, working in partnership with local communities and IMPBs will be key to ensure primary and community care and other services, including immunisation, are increasingly tailored to better respond to people’s needs and be more effective.</w:t>
      </w:r>
    </w:p>
    <w:p w14:paraId="05A735DA" w14:textId="77777777" w:rsidR="00813300" w:rsidRPr="007D3114" w:rsidRDefault="00813300" w:rsidP="00813300">
      <w:pPr>
        <w:rPr>
          <w:szCs w:val="21"/>
        </w:rPr>
      </w:pPr>
    </w:p>
    <w:p w14:paraId="50854C58" w14:textId="2AE0C6A2" w:rsidR="000A0E77" w:rsidRPr="00813300" w:rsidRDefault="00813300" w:rsidP="000A0E77">
      <w:pPr>
        <w:rPr>
          <w:szCs w:val="21"/>
        </w:rPr>
      </w:pPr>
      <w:r w:rsidRPr="007D3114">
        <w:rPr>
          <w:szCs w:val="21"/>
        </w:rPr>
        <w:t xml:space="preserve">The examples </w:t>
      </w:r>
      <w:r>
        <w:rPr>
          <w:szCs w:val="21"/>
        </w:rPr>
        <w:t xml:space="preserve">below </w:t>
      </w:r>
      <w:r w:rsidRPr="007D3114">
        <w:rPr>
          <w:szCs w:val="21"/>
        </w:rPr>
        <w:t xml:space="preserve">of expectations </w:t>
      </w:r>
      <w:r>
        <w:rPr>
          <w:szCs w:val="21"/>
        </w:rPr>
        <w:t xml:space="preserve">for </w:t>
      </w:r>
      <w:r w:rsidRPr="007D3114">
        <w:rPr>
          <w:szCs w:val="21"/>
        </w:rPr>
        <w:t>access are anticipated to support improved engagement with Māori, and improved outcomes for Māori and other populations with higher needs</w:t>
      </w:r>
      <w:r>
        <w:rPr>
          <w:szCs w:val="21"/>
        </w:rPr>
        <w:t>.</w:t>
      </w:r>
      <w:r w:rsidRPr="007D3114">
        <w:rPr>
          <w:szCs w:val="21"/>
        </w:rPr>
        <w:t xml:space="preserve"> </w:t>
      </w:r>
      <w:r w:rsidR="000A0E77">
        <w:t xml:space="preserve"> </w:t>
      </w:r>
    </w:p>
    <w:p w14:paraId="22568EEF" w14:textId="77777777" w:rsidR="00813300" w:rsidRDefault="00813300" w:rsidP="00813300">
      <w:pPr>
        <w:pStyle w:val="Bullet"/>
      </w:pPr>
      <w:r>
        <w:t>Improving childhood immunisation rates for Māori and other population groups.</w:t>
      </w:r>
    </w:p>
    <w:p w14:paraId="6DB6272F" w14:textId="77777777" w:rsidR="00813300" w:rsidRDefault="00813300" w:rsidP="00813300">
      <w:pPr>
        <w:pStyle w:val="Bullet"/>
      </w:pPr>
      <w:r>
        <w:t>Expanding the choice of whānau-centred and holistic maternity and early years’ services.</w:t>
      </w:r>
    </w:p>
    <w:p w14:paraId="000A3768" w14:textId="4AEFEFE9" w:rsidR="00813300" w:rsidRDefault="00813300" w:rsidP="00813300">
      <w:pPr>
        <w:pStyle w:val="Bullet"/>
      </w:pPr>
      <w:r>
        <w:t>Working in partnership with local communities, including IMPBs to ensure primary and community health care services</w:t>
      </w:r>
      <w:r w:rsidR="004F29F9">
        <w:t xml:space="preserve"> (</w:t>
      </w:r>
      <w:r w:rsidR="00945DBF">
        <w:t>including oral health services</w:t>
      </w:r>
      <w:r w:rsidR="004F29F9">
        <w:t>)</w:t>
      </w:r>
      <w:r>
        <w:t xml:space="preserve"> are tailored to better respond to people’s needs.</w:t>
      </w:r>
    </w:p>
    <w:p w14:paraId="650B0833" w14:textId="370BB6BC" w:rsidR="000A0E77" w:rsidRDefault="00813300" w:rsidP="00813300">
      <w:pPr>
        <w:pStyle w:val="Bullet"/>
      </w:pPr>
      <w:r>
        <w:t>Implementing initiatives that support uptake of virtual care and telehealth, particularly to equip people, families, and whānau to better meet their own mental wellbeing needs.</w:t>
      </w:r>
    </w:p>
    <w:p w14:paraId="734678CC" w14:textId="77777777" w:rsidR="000A0E77" w:rsidRDefault="000A0E77" w:rsidP="000A0E77">
      <w:pPr>
        <w:pStyle w:val="Heading2-nonumbering"/>
      </w:pPr>
      <w:bookmarkStart w:id="24" w:name="_Toc170134109"/>
      <w:r>
        <w:t>Measuring success</w:t>
      </w:r>
      <w:bookmarkEnd w:id="24"/>
      <w:r>
        <w:t xml:space="preserve"> </w:t>
      </w:r>
    </w:p>
    <w:p w14:paraId="2BD35999" w14:textId="04D6AB5C" w:rsidR="000A0E77" w:rsidRDefault="000A0E77" w:rsidP="000A0E77">
      <w:pPr>
        <w:sectPr w:rsidR="000A0E77" w:rsidSect="000A0E77">
          <w:pgSz w:w="11907" w:h="16840" w:code="9"/>
          <w:pgMar w:top="1418" w:right="1701" w:bottom="1134" w:left="1843" w:header="284" w:footer="425" w:gutter="284"/>
          <w:cols w:space="720"/>
        </w:sectPr>
      </w:pPr>
      <w:r>
        <w:t>Access priority measures</w:t>
      </w:r>
      <w:r w:rsidR="00411327">
        <w:t xml:space="preserve"> </w:t>
      </w:r>
      <w:r>
        <w:t>– see Appendix 2, Table 1.</w:t>
      </w:r>
    </w:p>
    <w:p w14:paraId="268B6671" w14:textId="77777777" w:rsidR="00447030" w:rsidRDefault="000A0E77" w:rsidP="000A0E77">
      <w:pPr>
        <w:pStyle w:val="Heading1"/>
        <w:spacing w:before="0"/>
      </w:pPr>
      <w:bookmarkStart w:id="25" w:name="_Toc170134110"/>
      <w:r w:rsidRPr="000A0E77">
        <w:lastRenderedPageBreak/>
        <w:t>Priority area 2: Timeliness</w:t>
      </w:r>
      <w:bookmarkEnd w:id="25"/>
    </w:p>
    <w:p w14:paraId="7FC01A72" w14:textId="77777777" w:rsidR="00813300" w:rsidRDefault="00813300" w:rsidP="00813300">
      <w:r>
        <w:t>The Government expects that people can access the health care and services they need, when they need it in a prompt and efficient way.</w:t>
      </w:r>
    </w:p>
    <w:p w14:paraId="07C394E2" w14:textId="77777777" w:rsidR="00813300" w:rsidRDefault="00813300" w:rsidP="00813300"/>
    <w:p w14:paraId="0BE18E04" w14:textId="4D0AE493" w:rsidR="000A0E77" w:rsidRDefault="00813300" w:rsidP="00813300">
      <w:pPr>
        <w:rPr>
          <w:rFonts w:cs="Segoe UI"/>
          <w:szCs w:val="21"/>
        </w:rPr>
      </w:pPr>
      <w:r>
        <w:t>Timely health services:</w:t>
      </w:r>
    </w:p>
    <w:p w14:paraId="611A84E1" w14:textId="77777777" w:rsidR="00813300" w:rsidRDefault="00813300" w:rsidP="00813300">
      <w:pPr>
        <w:pStyle w:val="Bullet"/>
      </w:pPr>
      <w:r>
        <w:t>can detect illness and diseases early and prevent their progression, for example through early detection of cancer</w:t>
      </w:r>
    </w:p>
    <w:p w14:paraId="51688B7F" w14:textId="77777777" w:rsidR="00813300" w:rsidRDefault="00813300" w:rsidP="00813300">
      <w:pPr>
        <w:pStyle w:val="Bullet"/>
      </w:pPr>
      <w:r>
        <w:t>improve health outcomes and quality of life for New Zealanders through early treatment, and reduced stress, suffering and pain</w:t>
      </w:r>
    </w:p>
    <w:p w14:paraId="32BC6639" w14:textId="77777777" w:rsidR="00813300" w:rsidRDefault="00813300" w:rsidP="00813300">
      <w:pPr>
        <w:pStyle w:val="Bullet"/>
      </w:pPr>
      <w:r>
        <w:t xml:space="preserve">improve system efficiency by maximising health system capacity </w:t>
      </w:r>
    </w:p>
    <w:p w14:paraId="6087EF5A" w14:textId="5D09636D" w:rsidR="000A0E77" w:rsidRDefault="00813300" w:rsidP="00813300">
      <w:pPr>
        <w:pStyle w:val="Bullet"/>
      </w:pPr>
      <w:r>
        <w:t>contribute to patient satisfaction by reducing uncertainty.</w:t>
      </w:r>
    </w:p>
    <w:p w14:paraId="1A9B2AAF" w14:textId="77777777" w:rsidR="000A0E77" w:rsidRDefault="000A0E77" w:rsidP="000A0E77"/>
    <w:p w14:paraId="2885F60C" w14:textId="77777777" w:rsidR="00813300" w:rsidRDefault="00813300" w:rsidP="00813300">
      <w:r>
        <w:t>In</w:t>
      </w:r>
      <w:r w:rsidRPr="00526ECD">
        <w:t xml:space="preserve"> 2022/23</w:t>
      </w:r>
      <w:r>
        <w:t>,</w:t>
      </w:r>
      <w:r w:rsidRPr="00526ECD">
        <w:t xml:space="preserve"> </w:t>
      </w:r>
      <w:r>
        <w:t>one in five adults</w:t>
      </w:r>
      <w:r w:rsidRPr="00526ECD">
        <w:t xml:space="preserve"> </w:t>
      </w:r>
      <w:r>
        <w:t>(</w:t>
      </w:r>
      <w:r w:rsidRPr="00526ECD">
        <w:t>21%</w:t>
      </w:r>
      <w:r>
        <w:t>)</w:t>
      </w:r>
      <w:r w:rsidRPr="00526ECD">
        <w:t xml:space="preserve"> reported</w:t>
      </w:r>
      <w:r>
        <w:t>, in the previous 12 months,</w:t>
      </w:r>
      <w:r w:rsidRPr="00526ECD">
        <w:t xml:space="preserve"> </w:t>
      </w:r>
      <w:r>
        <w:t xml:space="preserve">that they could not see a general practitioner when they had a medical problem </w:t>
      </w:r>
      <w:r w:rsidRPr="00CA5ED8">
        <w:t>because the time taken to get an appointment was too long.</w:t>
      </w:r>
      <w:r>
        <w:rPr>
          <w:rStyle w:val="FootnoteReference"/>
        </w:rPr>
        <w:footnoteReference w:id="6"/>
      </w:r>
      <w:r w:rsidRPr="00CA5ED8">
        <w:t xml:space="preserve"> </w:t>
      </w:r>
      <w:r>
        <w:t>P</w:t>
      </w:r>
      <w:r w:rsidRPr="0019296A">
        <w:t xml:space="preserve">eople are </w:t>
      </w:r>
      <w:r>
        <w:t xml:space="preserve">also </w:t>
      </w:r>
      <w:r w:rsidRPr="0019296A">
        <w:t xml:space="preserve">experiencing long wait times to </w:t>
      </w:r>
      <w:r>
        <w:t>be seen</w:t>
      </w:r>
      <w:r w:rsidRPr="0019296A">
        <w:t xml:space="preserve"> in </w:t>
      </w:r>
      <w:r>
        <w:t>e</w:t>
      </w:r>
      <w:r w:rsidRPr="0019296A">
        <w:t xml:space="preserve">mergency </w:t>
      </w:r>
      <w:r>
        <w:t>d</w:t>
      </w:r>
      <w:r w:rsidRPr="0019296A">
        <w:t>epartments</w:t>
      </w:r>
      <w:r>
        <w:t xml:space="preserve"> and </w:t>
      </w:r>
      <w:r w:rsidRPr="00862D6E">
        <w:t xml:space="preserve">to receive planned surgery. </w:t>
      </w:r>
    </w:p>
    <w:p w14:paraId="363D01A7" w14:textId="77777777" w:rsidR="00813300" w:rsidRDefault="00813300" w:rsidP="00813300"/>
    <w:p w14:paraId="4E6EEDC1" w14:textId="5D752E98" w:rsidR="000A0E77" w:rsidRPr="00862D6E" w:rsidRDefault="00813300" w:rsidP="00813300">
      <w:r w:rsidRPr="008A7018">
        <w:t xml:space="preserve">The waitlist for elective treatment has grown from approximately 42,000 people in 2018 to approximately 75,000 people in September 2023. As at September 2023, 61.5% </w:t>
      </w:r>
      <w:r>
        <w:t xml:space="preserve">of people </w:t>
      </w:r>
      <w:r w:rsidRPr="008A7018">
        <w:t>were waiting less than</w:t>
      </w:r>
      <w:r w:rsidRPr="008A7018">
        <w:rPr>
          <w:rFonts w:asciiTheme="minorHAnsi" w:hAnsiTheme="minorHAnsi"/>
          <w:szCs w:val="21"/>
        </w:rPr>
        <w:t xml:space="preserve"> </w:t>
      </w:r>
      <w:r w:rsidRPr="008A7018">
        <w:t>four months</w:t>
      </w:r>
      <w:r>
        <w:t>.</w:t>
      </w:r>
      <w:r w:rsidRPr="00862D6E">
        <w:t xml:space="preserve"> In some places, people are waiting longer to access </w:t>
      </w:r>
      <w:r>
        <w:t xml:space="preserve">screening and immunisation services </w:t>
      </w:r>
      <w:r w:rsidRPr="00862D6E">
        <w:t xml:space="preserve">or home and community support </w:t>
      </w:r>
      <w:r>
        <w:t xml:space="preserve">services, particularly </w:t>
      </w:r>
      <w:r w:rsidRPr="00862D6E">
        <w:t>for older people.</w:t>
      </w:r>
      <w:r w:rsidRPr="00D86DE8">
        <w:t xml:space="preserve"> </w:t>
      </w:r>
      <w:r>
        <w:t>Wait times for accessing mental health and addiction services also continue to be a challenge</w:t>
      </w:r>
      <w:r w:rsidR="000A0E77">
        <w:t>.</w:t>
      </w:r>
    </w:p>
    <w:p w14:paraId="4B2E8A6D" w14:textId="77777777" w:rsidR="000A0E77" w:rsidRDefault="000A0E77" w:rsidP="000A0E77">
      <w:pPr>
        <w:pStyle w:val="Heading2-nonumbering"/>
      </w:pPr>
      <w:bookmarkStart w:id="26" w:name="_Toc170134111"/>
      <w:r w:rsidRPr="000A0E77">
        <w:t>Changes expected over the next three years</w:t>
      </w:r>
      <w:bookmarkEnd w:id="26"/>
    </w:p>
    <w:p w14:paraId="7E29ACAE" w14:textId="6B2E5434" w:rsidR="000A0E77" w:rsidRDefault="00813300" w:rsidP="000A0E77">
      <w:pPr>
        <w:rPr>
          <w:szCs w:val="21"/>
        </w:rPr>
      </w:pPr>
      <w:bookmarkStart w:id="27" w:name="_Hlk163030148"/>
      <w:r w:rsidRPr="00735954">
        <w:rPr>
          <w:szCs w:val="21"/>
        </w:rPr>
        <w:t xml:space="preserve">Over the next three years, the Government expects to see a meaningful reduction in the time it takes </w:t>
      </w:r>
      <w:r>
        <w:rPr>
          <w:szCs w:val="21"/>
        </w:rPr>
        <w:t xml:space="preserve">for people </w:t>
      </w:r>
      <w:r w:rsidRPr="00735954">
        <w:rPr>
          <w:szCs w:val="21"/>
        </w:rPr>
        <w:t>to access primary and community care services</w:t>
      </w:r>
      <w:r>
        <w:rPr>
          <w:szCs w:val="21"/>
        </w:rPr>
        <w:t xml:space="preserve"> and hospital and specialist services</w:t>
      </w:r>
      <w:r w:rsidRPr="00735954">
        <w:rPr>
          <w:szCs w:val="21"/>
        </w:rPr>
        <w:t xml:space="preserve">. </w:t>
      </w:r>
      <w:r>
        <w:rPr>
          <w:szCs w:val="21"/>
        </w:rPr>
        <w:t>The</w:t>
      </w:r>
      <w:r w:rsidRPr="00862D6E">
        <w:rPr>
          <w:szCs w:val="21"/>
        </w:rPr>
        <w:t xml:space="preserve"> health system will</w:t>
      </w:r>
      <w:r w:rsidRPr="00862D6E" w:rsidDel="005B4B84">
        <w:rPr>
          <w:szCs w:val="21"/>
        </w:rPr>
        <w:t xml:space="preserve"> </w:t>
      </w:r>
      <w:r w:rsidRPr="00862D6E">
        <w:rPr>
          <w:szCs w:val="21"/>
        </w:rPr>
        <w:t>have</w:t>
      </w:r>
      <w:r w:rsidR="000A0E77">
        <w:rPr>
          <w:szCs w:val="21"/>
        </w:rPr>
        <w:t>:</w:t>
      </w:r>
    </w:p>
    <w:bookmarkEnd w:id="27"/>
    <w:p w14:paraId="7642CF24" w14:textId="77777777" w:rsidR="00813300" w:rsidRDefault="00813300" w:rsidP="00813300">
      <w:pPr>
        <w:pStyle w:val="Bullet"/>
      </w:pPr>
      <w:r>
        <w:t>a stronger focus on prevention and support for New Zealanders to live healthy lives for longer so that avoidable hospitalisations are reduced</w:t>
      </w:r>
    </w:p>
    <w:p w14:paraId="7C117CB4" w14:textId="77777777" w:rsidR="00813300" w:rsidRDefault="00813300" w:rsidP="00813300">
      <w:pPr>
        <w:pStyle w:val="Bullet"/>
      </w:pPr>
      <w:r>
        <w:t>more diverse entry points into primary and community health care, and more effective use of the wider health workforce</w:t>
      </w:r>
    </w:p>
    <w:p w14:paraId="45EA037F" w14:textId="77777777" w:rsidR="00813300" w:rsidRDefault="00813300" w:rsidP="00813300">
      <w:pPr>
        <w:pStyle w:val="Bullet"/>
      </w:pPr>
      <w:r>
        <w:t>reduced waiting times in emergency departments</w:t>
      </w:r>
    </w:p>
    <w:p w14:paraId="3D94ED96" w14:textId="77777777" w:rsidR="00813300" w:rsidRDefault="00813300" w:rsidP="00813300">
      <w:pPr>
        <w:pStyle w:val="Bullet"/>
      </w:pPr>
      <w:r>
        <w:t>faster access to planned care services including cancer management</w:t>
      </w:r>
    </w:p>
    <w:p w14:paraId="5DD829C7" w14:textId="77777777" w:rsidR="0075135B" w:rsidRDefault="00813300" w:rsidP="00813300">
      <w:pPr>
        <w:pStyle w:val="Bullet"/>
        <w:sectPr w:rsidR="0075135B" w:rsidSect="000A0E77">
          <w:pgSz w:w="11907" w:h="16840" w:code="9"/>
          <w:pgMar w:top="1418" w:right="1701" w:bottom="1134" w:left="1843" w:header="284" w:footer="425" w:gutter="284"/>
          <w:cols w:space="720"/>
        </w:sectPr>
      </w:pPr>
      <w:r>
        <w:t xml:space="preserve">faster access to mental health and addiction services. </w:t>
      </w:r>
      <w:r w:rsidR="000A0E77" w:rsidRPr="00735954">
        <w:t xml:space="preserve"> </w:t>
      </w:r>
    </w:p>
    <w:p w14:paraId="1E0EB101" w14:textId="77777777" w:rsidR="0075135B" w:rsidRDefault="0075135B" w:rsidP="0075135B">
      <w:pPr>
        <w:pStyle w:val="Heading2-nonumbering"/>
        <w:spacing w:before="0"/>
      </w:pPr>
      <w:bookmarkStart w:id="28" w:name="_Toc170134112"/>
      <w:r w:rsidRPr="000E26B9">
        <w:lastRenderedPageBreak/>
        <w:t xml:space="preserve">Objectives and expectations for </w:t>
      </w:r>
      <w:r>
        <w:t>the next three years</w:t>
      </w:r>
      <w:bookmarkEnd w:id="28"/>
    </w:p>
    <w:tbl>
      <w:tblPr>
        <w:tblStyle w:val="TableGrid"/>
        <w:tblW w:w="821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85" w:type="dxa"/>
          <w:right w:w="57" w:type="dxa"/>
        </w:tblCellMar>
        <w:tblLook w:val="04A0" w:firstRow="1" w:lastRow="0" w:firstColumn="1" w:lastColumn="0" w:noHBand="0" w:noVBand="1"/>
      </w:tblPr>
      <w:tblGrid>
        <w:gridCol w:w="2835"/>
        <w:gridCol w:w="5382"/>
      </w:tblGrid>
      <w:tr w:rsidR="0075135B" w:rsidRPr="00CF25F9" w14:paraId="4B483D58" w14:textId="77777777" w:rsidTr="006D2979">
        <w:trPr>
          <w:cantSplit/>
          <w:trHeight w:val="386"/>
          <w:tblHeader/>
        </w:trPr>
        <w:tc>
          <w:tcPr>
            <w:tcW w:w="2835" w:type="dxa"/>
            <w:tcBorders>
              <w:top w:val="nil"/>
              <w:bottom w:val="nil"/>
            </w:tcBorders>
            <w:shd w:val="clear" w:color="auto" w:fill="D9D9D9" w:themeFill="background1" w:themeFillShade="D9"/>
            <w:vAlign w:val="center"/>
            <w:hideMark/>
          </w:tcPr>
          <w:p w14:paraId="34A92FFB" w14:textId="77777777" w:rsidR="0075135B" w:rsidRPr="00CF25F9" w:rsidRDefault="0075135B" w:rsidP="006D2979">
            <w:pPr>
              <w:pStyle w:val="TableText"/>
              <w:keepNext/>
              <w:spacing w:before="80" w:after="80"/>
              <w:rPr>
                <w:rFonts w:cs="Segoe UI"/>
                <w:b/>
                <w:szCs w:val="18"/>
                <w:lang w:eastAsia="en-NZ"/>
              </w:rPr>
            </w:pPr>
            <w:r w:rsidRPr="00CF25F9">
              <w:rPr>
                <w:rFonts w:cs="Segoe UI"/>
                <w:b/>
                <w:szCs w:val="18"/>
                <w:lang w:eastAsia="en-NZ"/>
              </w:rPr>
              <w:t>Objective</w:t>
            </w:r>
          </w:p>
        </w:tc>
        <w:tc>
          <w:tcPr>
            <w:tcW w:w="5382" w:type="dxa"/>
            <w:tcBorders>
              <w:top w:val="nil"/>
              <w:bottom w:val="nil"/>
            </w:tcBorders>
            <w:shd w:val="clear" w:color="auto" w:fill="D9D9D9" w:themeFill="background1" w:themeFillShade="D9"/>
            <w:vAlign w:val="center"/>
            <w:hideMark/>
          </w:tcPr>
          <w:p w14:paraId="59A28800" w14:textId="77777777" w:rsidR="0075135B" w:rsidRPr="00CF25F9" w:rsidRDefault="0075135B" w:rsidP="006D2979">
            <w:pPr>
              <w:pStyle w:val="TableText"/>
              <w:keepNext/>
              <w:spacing w:before="80" w:after="80"/>
              <w:rPr>
                <w:rFonts w:cs="Segoe UI"/>
                <w:szCs w:val="18"/>
                <w:lang w:eastAsia="en-NZ"/>
              </w:rPr>
            </w:pPr>
            <w:r>
              <w:rPr>
                <w:rFonts w:cs="Segoe UI"/>
                <w:b/>
                <w:szCs w:val="18"/>
                <w:lang w:eastAsia="en-NZ"/>
              </w:rPr>
              <w:t>Expectations</w:t>
            </w:r>
          </w:p>
        </w:tc>
      </w:tr>
      <w:tr w:rsidR="0075135B" w:rsidRPr="004B4EEB" w14:paraId="160265BC" w14:textId="77777777" w:rsidTr="0075135B">
        <w:trPr>
          <w:cantSplit/>
          <w:trHeight w:val="1955"/>
        </w:trPr>
        <w:tc>
          <w:tcPr>
            <w:tcW w:w="2835" w:type="dxa"/>
            <w:tcBorders>
              <w:top w:val="nil"/>
              <w:bottom w:val="single" w:sz="4" w:space="0" w:color="A6A6A6" w:themeColor="background1" w:themeShade="A6"/>
            </w:tcBorders>
          </w:tcPr>
          <w:p w14:paraId="2D662E8A" w14:textId="465CDA97" w:rsidR="0075135B" w:rsidRPr="00813300" w:rsidRDefault="0075135B" w:rsidP="0075135B">
            <w:pPr>
              <w:pStyle w:val="TableText"/>
            </w:pPr>
            <w:r w:rsidRPr="00FE7BB8">
              <w:rPr>
                <w:rFonts w:cs="Segoe UI"/>
                <w:szCs w:val="18"/>
              </w:rPr>
              <w:t>2.1 Reduce wait</w:t>
            </w:r>
            <w:r>
              <w:rPr>
                <w:rFonts w:cs="Segoe UI"/>
                <w:szCs w:val="18"/>
              </w:rPr>
              <w:t>ing</w:t>
            </w:r>
            <w:r w:rsidRPr="00FE7BB8">
              <w:rPr>
                <w:rFonts w:cs="Segoe UI"/>
                <w:szCs w:val="18"/>
              </w:rPr>
              <w:t xml:space="preserve"> times for </w:t>
            </w:r>
            <w:r>
              <w:rPr>
                <w:rFonts w:cs="Segoe UI"/>
                <w:szCs w:val="18"/>
              </w:rPr>
              <w:t xml:space="preserve">appointments, </w:t>
            </w:r>
            <w:r w:rsidRPr="00B15539">
              <w:rPr>
                <w:rFonts w:cs="Segoe UI"/>
                <w:szCs w:val="18"/>
              </w:rPr>
              <w:t xml:space="preserve">operations and </w:t>
            </w:r>
            <w:r>
              <w:rPr>
                <w:rFonts w:cs="Segoe UI"/>
                <w:szCs w:val="18"/>
              </w:rPr>
              <w:t xml:space="preserve">emergency </w:t>
            </w:r>
            <w:r w:rsidRPr="00B15539">
              <w:rPr>
                <w:rFonts w:cs="Segoe UI"/>
                <w:szCs w:val="18"/>
              </w:rPr>
              <w:t>care</w:t>
            </w:r>
            <w:r>
              <w:rPr>
                <w:rFonts w:cs="Segoe UI"/>
                <w:szCs w:val="18"/>
              </w:rPr>
              <w:t>.</w:t>
            </w:r>
          </w:p>
        </w:tc>
        <w:tc>
          <w:tcPr>
            <w:tcW w:w="5382" w:type="dxa"/>
            <w:tcBorders>
              <w:top w:val="nil"/>
              <w:bottom w:val="single" w:sz="4" w:space="0" w:color="A6A6A6" w:themeColor="background1" w:themeShade="A6"/>
            </w:tcBorders>
          </w:tcPr>
          <w:p w14:paraId="2B620CF6" w14:textId="77777777" w:rsidR="0075135B" w:rsidRDefault="0075135B" w:rsidP="0075135B">
            <w:pPr>
              <w:pStyle w:val="TableBullet"/>
              <w:framePr w:hSpace="0" w:wrap="auto" w:vAnchor="margin" w:hAnchor="text" w:yAlign="inline"/>
            </w:pPr>
            <w:r w:rsidRPr="004E42FB">
              <w:t>Ensure shorter wait times for New Zealanders to access their first specialist assessments</w:t>
            </w:r>
            <w:r>
              <w:t xml:space="preserve"> and treatment.</w:t>
            </w:r>
          </w:p>
          <w:p w14:paraId="6B97FE86" w14:textId="77777777" w:rsidR="0075135B" w:rsidRDefault="0075135B" w:rsidP="0075135B">
            <w:pPr>
              <w:pStyle w:val="TableBullet"/>
              <w:framePr w:hSpace="0" w:wrap="auto" w:vAnchor="margin" w:hAnchor="text" w:yAlign="inline"/>
            </w:pPr>
            <w:r>
              <w:t>Reduce wait times for people accessing specialist mental health and addiction services.</w:t>
            </w:r>
          </w:p>
          <w:p w14:paraId="410C4D9F" w14:textId="77777777" w:rsidR="0075135B" w:rsidRDefault="0075135B" w:rsidP="0075135B">
            <w:pPr>
              <w:pStyle w:val="TableBullet"/>
              <w:framePr w:hSpace="0" w:wrap="auto" w:vAnchor="margin" w:hAnchor="text" w:yAlign="inline"/>
            </w:pPr>
            <w:r>
              <w:t>Reduce</w:t>
            </w:r>
            <w:r w:rsidRPr="00FE7BB8">
              <w:t xml:space="preserve"> the time New Zealanders stay in emergency departments</w:t>
            </w:r>
            <w:r>
              <w:t>.</w:t>
            </w:r>
          </w:p>
          <w:p w14:paraId="100A98D1" w14:textId="77777777" w:rsidR="0075135B" w:rsidRPr="00852B5B" w:rsidRDefault="0075135B" w:rsidP="0075135B">
            <w:pPr>
              <w:pStyle w:val="TableBullet"/>
              <w:framePr w:hSpace="0" w:wrap="auto" w:vAnchor="margin" w:hAnchor="text" w:yAlign="inline"/>
              <w:rPr>
                <w:rStyle w:val="cf01"/>
              </w:rPr>
            </w:pPr>
            <w:r>
              <w:rPr>
                <w:rStyle w:val="cf01"/>
              </w:rPr>
              <w:t>Reduce the time New Zealanders stay in emergency departments for mental health and addiction-related presentations.</w:t>
            </w:r>
          </w:p>
          <w:p w14:paraId="6B361CF9" w14:textId="01954B6B" w:rsidR="0075135B" w:rsidRPr="00EB5177" w:rsidRDefault="0075135B" w:rsidP="0075135B">
            <w:pPr>
              <w:pStyle w:val="TableBullet"/>
              <w:framePr w:hSpace="0" w:wrap="auto" w:vAnchor="margin" w:hAnchor="text" w:yAlign="inline"/>
            </w:pPr>
            <w:r>
              <w:rPr>
                <w:rStyle w:val="cf01"/>
              </w:rPr>
              <w:t>Reduce waiting times for people to receive planned care and elective treatment.</w:t>
            </w:r>
          </w:p>
        </w:tc>
      </w:tr>
      <w:tr w:rsidR="0075135B" w:rsidRPr="004B4EEB" w14:paraId="412A9C77" w14:textId="77777777" w:rsidTr="0075135B">
        <w:trPr>
          <w:cantSplit/>
          <w:trHeight w:val="1955"/>
        </w:trPr>
        <w:tc>
          <w:tcPr>
            <w:tcW w:w="2835" w:type="dxa"/>
            <w:tcBorders>
              <w:top w:val="single" w:sz="4" w:space="0" w:color="A6A6A6" w:themeColor="background1" w:themeShade="A6"/>
            </w:tcBorders>
          </w:tcPr>
          <w:p w14:paraId="3B7E2315" w14:textId="2C6C1D5D" w:rsidR="0075135B" w:rsidRPr="00FE7BB8" w:rsidRDefault="0075135B" w:rsidP="0075135B">
            <w:pPr>
              <w:pStyle w:val="TableText"/>
              <w:rPr>
                <w:rFonts w:cs="Segoe UI"/>
                <w:szCs w:val="18"/>
              </w:rPr>
            </w:pPr>
            <w:r w:rsidRPr="00FE7BB8">
              <w:rPr>
                <w:rFonts w:cs="Segoe UI"/>
                <w:szCs w:val="18"/>
                <w:lang w:eastAsia="en-NZ"/>
              </w:rPr>
              <w:t xml:space="preserve">2.2 </w:t>
            </w:r>
            <w:r w:rsidRPr="00B15539">
              <w:rPr>
                <w:rFonts w:cs="Segoe UI"/>
                <w:szCs w:val="18"/>
                <w:lang w:eastAsia="en-NZ"/>
              </w:rPr>
              <w:t xml:space="preserve">Faster access to </w:t>
            </w:r>
            <w:r>
              <w:rPr>
                <w:rFonts w:cs="Segoe UI"/>
                <w:szCs w:val="18"/>
                <w:lang w:eastAsia="en-NZ"/>
              </w:rPr>
              <w:t>primary and community health care services.</w:t>
            </w:r>
          </w:p>
        </w:tc>
        <w:tc>
          <w:tcPr>
            <w:tcW w:w="5382" w:type="dxa"/>
            <w:tcBorders>
              <w:top w:val="single" w:sz="4" w:space="0" w:color="A6A6A6" w:themeColor="background1" w:themeShade="A6"/>
            </w:tcBorders>
          </w:tcPr>
          <w:p w14:paraId="4AAF3660" w14:textId="77777777" w:rsidR="0075135B" w:rsidRDefault="0075135B" w:rsidP="0075135B">
            <w:pPr>
              <w:pStyle w:val="TableBullet"/>
              <w:framePr w:hSpace="0" w:wrap="auto" w:vAnchor="margin" w:hAnchor="text" w:yAlign="inline"/>
            </w:pPr>
            <w:r w:rsidRPr="7178F07C">
              <w:t>Ensure that people can access general practice services and mental health and addiction service</w:t>
            </w:r>
            <w:r>
              <w:t>s</w:t>
            </w:r>
            <w:r w:rsidRPr="7178F07C">
              <w:t xml:space="preserve"> within a reasonable timeframe</w:t>
            </w:r>
            <w:r>
              <w:t>.</w:t>
            </w:r>
          </w:p>
          <w:p w14:paraId="3EC5E68E" w14:textId="77777777" w:rsidR="0075135B" w:rsidRDefault="0075135B" w:rsidP="0075135B">
            <w:pPr>
              <w:pStyle w:val="TableBullet"/>
              <w:framePr w:hSpace="0" w:wrap="auto" w:vAnchor="margin" w:hAnchor="text" w:yAlign="inline"/>
            </w:pPr>
            <w:r w:rsidRPr="00FE7BB8">
              <w:t xml:space="preserve">Support strengthened </w:t>
            </w:r>
            <w:r>
              <w:t xml:space="preserve">public and population health </w:t>
            </w:r>
            <w:r w:rsidRPr="00FE7BB8">
              <w:t xml:space="preserve">initiatives for non-communicable diseases to reduce pressure on the </w:t>
            </w:r>
            <w:r>
              <w:t xml:space="preserve">health </w:t>
            </w:r>
            <w:r w:rsidRPr="00FE7BB8">
              <w:t>system</w:t>
            </w:r>
            <w:r>
              <w:t>.</w:t>
            </w:r>
          </w:p>
          <w:p w14:paraId="7114AC80" w14:textId="492A9BB8" w:rsidR="0075135B" w:rsidRPr="004E42FB" w:rsidRDefault="0075135B" w:rsidP="0075135B">
            <w:pPr>
              <w:pStyle w:val="TableBullet"/>
              <w:framePr w:hSpace="0" w:wrap="auto" w:vAnchor="margin" w:hAnchor="text" w:yAlign="inline"/>
            </w:pPr>
            <w:r w:rsidRPr="004B7E72">
              <w:t xml:space="preserve">Diversify people’s entry points into the primary and community </w:t>
            </w:r>
            <w:r>
              <w:t>health care</w:t>
            </w:r>
            <w:r w:rsidRPr="004B7E72">
              <w:t xml:space="preserve"> system, to ease acute wait time</w:t>
            </w:r>
            <w:r>
              <w:t>s, and support more point of care diagnostic testing for putting people on the care pathway they need sooner.</w:t>
            </w:r>
          </w:p>
        </w:tc>
      </w:tr>
      <w:tr w:rsidR="0075135B" w:rsidRPr="004B4EEB" w14:paraId="1B679A23" w14:textId="77777777" w:rsidTr="0075135B">
        <w:trPr>
          <w:cantSplit/>
          <w:trHeight w:val="691"/>
        </w:trPr>
        <w:tc>
          <w:tcPr>
            <w:tcW w:w="2835" w:type="dxa"/>
            <w:tcBorders>
              <w:top w:val="nil"/>
            </w:tcBorders>
          </w:tcPr>
          <w:p w14:paraId="4EB387FE" w14:textId="02A4BC49" w:rsidR="0075135B" w:rsidRPr="00FE7BB8" w:rsidRDefault="0075135B" w:rsidP="0075135B">
            <w:pPr>
              <w:pStyle w:val="TableText"/>
              <w:rPr>
                <w:rFonts w:cs="Segoe UI"/>
                <w:szCs w:val="18"/>
              </w:rPr>
            </w:pPr>
            <w:r w:rsidRPr="00E93E3B">
              <w:rPr>
                <w:rFonts w:cs="Segoe UI"/>
                <w:szCs w:val="18"/>
                <w:lang w:eastAsia="en-NZ"/>
              </w:rPr>
              <w:t>2.3</w:t>
            </w:r>
            <w:r w:rsidRPr="00E93E3B">
              <w:rPr>
                <w:rFonts w:cs="Segoe UI"/>
                <w:szCs w:val="18"/>
                <w:shd w:val="clear" w:color="auto" w:fill="FFFFFF" w:themeFill="background1"/>
              </w:rPr>
              <w:t xml:space="preserve"> </w:t>
            </w:r>
            <w:r>
              <w:rPr>
                <w:rFonts w:cs="Segoe UI"/>
                <w:szCs w:val="18"/>
                <w:shd w:val="clear" w:color="auto" w:fill="FFFFFF" w:themeFill="background1"/>
              </w:rPr>
              <w:t xml:space="preserve">Improve cancer management.  </w:t>
            </w:r>
          </w:p>
        </w:tc>
        <w:tc>
          <w:tcPr>
            <w:tcW w:w="5382" w:type="dxa"/>
            <w:tcBorders>
              <w:top w:val="nil"/>
            </w:tcBorders>
          </w:tcPr>
          <w:p w14:paraId="5874FF00" w14:textId="04D7F937" w:rsidR="0075135B" w:rsidRPr="004E42FB" w:rsidRDefault="0075135B" w:rsidP="0075135B">
            <w:pPr>
              <w:pStyle w:val="TableBullet"/>
              <w:framePr w:hSpace="0" w:wrap="auto" w:vAnchor="margin" w:hAnchor="text" w:yAlign="inline"/>
            </w:pPr>
            <w:r w:rsidRPr="004E42FB">
              <w:t xml:space="preserve">Ensure timely access to </w:t>
            </w:r>
            <w:r>
              <w:t>cancer services</w:t>
            </w:r>
            <w:r w:rsidRPr="004E42FB">
              <w:t xml:space="preserve"> through waitlist management and targets</w:t>
            </w:r>
            <w:r>
              <w:t>.</w:t>
            </w:r>
          </w:p>
        </w:tc>
      </w:tr>
    </w:tbl>
    <w:p w14:paraId="5D1F8E02" w14:textId="77777777" w:rsidR="000A0E77" w:rsidRDefault="000A0E77" w:rsidP="00075702">
      <w:pPr>
        <w:pStyle w:val="Heading3"/>
      </w:pPr>
      <w:bookmarkStart w:id="29" w:name="_Toc169504017"/>
      <w:r>
        <w:t>Timely access to health care to drive the biggest improvements in outcomes</w:t>
      </w:r>
      <w:bookmarkEnd w:id="29"/>
    </w:p>
    <w:p w14:paraId="23EFC4D7" w14:textId="0CD30E36" w:rsidR="00813300" w:rsidRDefault="00813300" w:rsidP="00813300">
      <w:r>
        <w:t xml:space="preserve">Timely access to health services is necessary to improve health outcomes for all New Zealanders, particularly for Māori and other population groups with high health needs. Barriers that delay access to </w:t>
      </w:r>
      <w:bookmarkStart w:id="30" w:name="_Hlk169502672"/>
      <w:r>
        <w:t xml:space="preserve">health services have negative impacts on health outcomes, particularly people who live in rural communities and in more deprived communities. </w:t>
      </w:r>
      <w:r w:rsidRPr="00D94084">
        <w:t xml:space="preserve">Ensuring all New Zealanders have timely access to primary and community </w:t>
      </w:r>
      <w:r>
        <w:t>health care</w:t>
      </w:r>
      <w:r w:rsidRPr="00D94084">
        <w:t xml:space="preserve"> services in particular will help reduce differences in health outcomes </w:t>
      </w:r>
      <w:r w:rsidR="00346CEE">
        <w:t>through</w:t>
      </w:r>
      <w:r w:rsidRPr="00D94084">
        <w:t xml:space="preserve"> a stronger focus on prevention and early treatment.</w:t>
      </w:r>
      <w:r>
        <w:t xml:space="preserve"> </w:t>
      </w:r>
    </w:p>
    <w:p w14:paraId="405F1F95" w14:textId="77777777" w:rsidR="00813300" w:rsidRDefault="00813300" w:rsidP="00813300"/>
    <w:p w14:paraId="1C4B68CE" w14:textId="77777777" w:rsidR="00813300" w:rsidRDefault="00813300" w:rsidP="00813300">
      <w:r w:rsidRPr="00475598">
        <w:t xml:space="preserve">In delivering the objectives and expectations above, health entities must work with </w:t>
      </w:r>
      <w:r>
        <w:t>IMPBs</w:t>
      </w:r>
      <w:r w:rsidRPr="00475598">
        <w:t xml:space="preserve"> to design, </w:t>
      </w:r>
      <w:r>
        <w:t>commission,</w:t>
      </w:r>
      <w:r w:rsidRPr="00475598">
        <w:t xml:space="preserve"> and deliver services that </w:t>
      </w:r>
      <w:r w:rsidRPr="00E14826">
        <w:t xml:space="preserve">are accessible and timely </w:t>
      </w:r>
      <w:r w:rsidRPr="00475598">
        <w:t xml:space="preserve">for Māori. This must include a focus on </w:t>
      </w:r>
      <w:r>
        <w:t xml:space="preserve">providing </w:t>
      </w:r>
      <w:r w:rsidRPr="00475598">
        <w:t>effective services in places and at times that work best for Māori and their whānau</w:t>
      </w:r>
      <w:r w:rsidRPr="00E14826">
        <w:t xml:space="preserve">, and ensuring Māori providers are adequately resourced </w:t>
      </w:r>
      <w:r>
        <w:t xml:space="preserve">and supported </w:t>
      </w:r>
      <w:r w:rsidRPr="00E14826">
        <w:t>to provide timely outreach to their communities</w:t>
      </w:r>
      <w:r w:rsidRPr="00475598">
        <w:t>.</w:t>
      </w:r>
    </w:p>
    <w:p w14:paraId="140059DD" w14:textId="77777777" w:rsidR="00813300" w:rsidRDefault="00813300" w:rsidP="00813300"/>
    <w:p w14:paraId="68CCE51A" w14:textId="6C844182" w:rsidR="000A0E77" w:rsidRDefault="00813300" w:rsidP="00813300">
      <w:r>
        <w:lastRenderedPageBreak/>
        <w:t>The examples below of expectations for timeliness are anticipated to support engagement and improved outcomes for Māori, Pacific peoples, disabled people, women, people living in rural communities and other populations with high health needs</w:t>
      </w:r>
      <w:bookmarkEnd w:id="30"/>
      <w:r w:rsidR="000A0E77">
        <w:t>.</w:t>
      </w:r>
    </w:p>
    <w:p w14:paraId="363A2D55" w14:textId="77777777" w:rsidR="00813300" w:rsidRDefault="00813300" w:rsidP="00813300">
      <w:pPr>
        <w:pStyle w:val="Bullet"/>
      </w:pPr>
      <w:r>
        <w:t>Promoting timely access to a range of health services that are meaningful to these population groups.</w:t>
      </w:r>
    </w:p>
    <w:p w14:paraId="5774BB4D" w14:textId="500B3DC1" w:rsidR="000A0E77" w:rsidRDefault="00813300" w:rsidP="00813300">
      <w:pPr>
        <w:pStyle w:val="Bullet"/>
      </w:pPr>
      <w:r>
        <w:t xml:space="preserve">Strengthening public and population health initiatives to support these populations to live healthier lives for longer. </w:t>
      </w:r>
      <w:r w:rsidR="000A0E77">
        <w:t xml:space="preserve"> </w:t>
      </w:r>
    </w:p>
    <w:p w14:paraId="344251D7" w14:textId="77777777" w:rsidR="000A0E77" w:rsidRDefault="000A0E77" w:rsidP="000A0E77">
      <w:pPr>
        <w:pStyle w:val="Heading2-nonumbering"/>
      </w:pPr>
      <w:bookmarkStart w:id="31" w:name="_Toc170134113"/>
      <w:r>
        <w:t>Measuring success</w:t>
      </w:r>
      <w:bookmarkEnd w:id="31"/>
    </w:p>
    <w:p w14:paraId="40B8478E" w14:textId="0DC2CEFA" w:rsidR="000A0E77" w:rsidRPr="000A0E77" w:rsidRDefault="000A0E77" w:rsidP="000A0E77">
      <w:r>
        <w:t>Timeliness priority measures</w:t>
      </w:r>
      <w:r w:rsidR="00411327">
        <w:t xml:space="preserve"> </w:t>
      </w:r>
      <w:r>
        <w:t>– see Appendix 2, Table 1.</w:t>
      </w:r>
    </w:p>
    <w:p w14:paraId="5D6164D2" w14:textId="77777777" w:rsidR="000A0E77" w:rsidRPr="000A0E77" w:rsidRDefault="000A0E77" w:rsidP="000A0E77"/>
    <w:p w14:paraId="6440FF09" w14:textId="77777777" w:rsidR="000A0E77" w:rsidRPr="000A0E77" w:rsidRDefault="000A0E77" w:rsidP="000A0E77"/>
    <w:p w14:paraId="2B7B4D3B" w14:textId="77777777" w:rsidR="006D3DFE" w:rsidRDefault="006D3DFE" w:rsidP="000A0E77">
      <w:pPr>
        <w:sectPr w:rsidR="006D3DFE" w:rsidSect="000A0E77">
          <w:pgSz w:w="11907" w:h="16840" w:code="9"/>
          <w:pgMar w:top="1418" w:right="1701" w:bottom="1134" w:left="1843" w:header="284" w:footer="425" w:gutter="284"/>
          <w:cols w:space="720"/>
        </w:sectPr>
      </w:pPr>
    </w:p>
    <w:p w14:paraId="02191F30" w14:textId="2FA1D2D5" w:rsidR="000A0E77" w:rsidRDefault="006D3DFE" w:rsidP="006D3DFE">
      <w:pPr>
        <w:pStyle w:val="Heading1"/>
        <w:spacing w:before="0"/>
      </w:pPr>
      <w:bookmarkStart w:id="32" w:name="_Toc170134114"/>
      <w:r w:rsidRPr="006D3DFE">
        <w:lastRenderedPageBreak/>
        <w:t>Priority area 3: Quality</w:t>
      </w:r>
      <w:bookmarkEnd w:id="32"/>
    </w:p>
    <w:p w14:paraId="76F1EEE1" w14:textId="77777777" w:rsidR="00813300" w:rsidRPr="00735954" w:rsidRDefault="00813300" w:rsidP="00813300">
      <w:pPr>
        <w:rPr>
          <w:rFonts w:cs="Segoe UI"/>
        </w:rPr>
      </w:pPr>
      <w:r w:rsidRPr="00735954">
        <w:t xml:space="preserve">The Government expects that </w:t>
      </w:r>
      <w:r>
        <w:rPr>
          <w:rFonts w:cs="Segoe UI"/>
        </w:rPr>
        <w:t>health care</w:t>
      </w:r>
      <w:r w:rsidRPr="00735954">
        <w:rPr>
          <w:rFonts w:cs="Segoe UI"/>
        </w:rPr>
        <w:t xml:space="preserve"> and services delivered in New Zealand</w:t>
      </w:r>
      <w:r w:rsidRPr="00735954">
        <w:rPr>
          <w:rStyle w:val="ui-provider"/>
          <w:szCs w:val="21"/>
        </w:rPr>
        <w:t xml:space="preserve"> are safe, easy to navigate, understandable and welcoming to users, and are continuously improving.</w:t>
      </w:r>
    </w:p>
    <w:p w14:paraId="3A6625B3" w14:textId="77777777" w:rsidR="00813300" w:rsidRDefault="00813300" w:rsidP="00813300">
      <w:pPr>
        <w:rPr>
          <w:rFonts w:cs="Segoe UI"/>
        </w:rPr>
      </w:pPr>
    </w:p>
    <w:p w14:paraId="7BC11685" w14:textId="77777777" w:rsidR="00813300" w:rsidRDefault="00813300" w:rsidP="00813300">
      <w:pPr>
        <w:rPr>
          <w:rFonts w:cs="Segoe UI"/>
        </w:rPr>
      </w:pPr>
      <w:r>
        <w:rPr>
          <w:rFonts w:cs="Segoe UI"/>
        </w:rPr>
        <w:t>Quality health care services:</w:t>
      </w:r>
    </w:p>
    <w:p w14:paraId="3989EBFF" w14:textId="77777777" w:rsidR="00813300" w:rsidRPr="00735954" w:rsidRDefault="00813300" w:rsidP="00813300">
      <w:pPr>
        <w:pStyle w:val="Bullet"/>
        <w:rPr>
          <w:szCs w:val="21"/>
        </w:rPr>
      </w:pPr>
      <w:r w:rsidRPr="587F0A70">
        <w:t>improve patient safety and overall health outcomes</w:t>
      </w:r>
    </w:p>
    <w:p w14:paraId="5EA10FB9" w14:textId="77777777" w:rsidR="00F54676" w:rsidRDefault="00813300" w:rsidP="005F28AC">
      <w:pPr>
        <w:pStyle w:val="Bullet"/>
      </w:pPr>
      <w:r w:rsidRPr="00813300">
        <w:t xml:space="preserve">ensure treatments are based on sound evidence and that patients receive the care that best meets their needs </w:t>
      </w:r>
    </w:p>
    <w:p w14:paraId="7FA1AE4F" w14:textId="7EA36D32" w:rsidR="00813300" w:rsidRPr="005F28AC" w:rsidRDefault="00813300" w:rsidP="005F28AC">
      <w:pPr>
        <w:pStyle w:val="Bullet"/>
      </w:pPr>
      <w:r w:rsidRPr="00813300">
        <w:t>improve patient experience, including though cultural safety and upholding patients’ rights as set out in the Code</w:t>
      </w:r>
      <w:r w:rsidR="005F28AC">
        <w:t xml:space="preserve"> </w:t>
      </w:r>
      <w:r w:rsidRPr="587F0A70">
        <w:t>of Health and Disability Services Consumers’ Rights</w:t>
      </w:r>
    </w:p>
    <w:p w14:paraId="78A90B7A" w14:textId="77777777" w:rsidR="00813300" w:rsidRPr="00735954" w:rsidRDefault="00813300" w:rsidP="00813300">
      <w:pPr>
        <w:pStyle w:val="Bullet"/>
        <w:rPr>
          <w:szCs w:val="21"/>
        </w:rPr>
      </w:pPr>
      <w:r w:rsidRPr="587F0A70">
        <w:t xml:space="preserve">contribute to financial sustainability </w:t>
      </w:r>
      <w:r>
        <w:t>by</w:t>
      </w:r>
      <w:r w:rsidRPr="587F0A70">
        <w:t xml:space="preserve"> ensuring services are timely and efficient </w:t>
      </w:r>
      <w:r w:rsidRPr="587F0A70">
        <w:rPr>
          <w:rFonts w:eastAsia="Segoe UI"/>
          <w:color w:val="000000" w:themeColor="text1"/>
        </w:rPr>
        <w:t>and avoid the costs associated with poor quality care</w:t>
      </w:r>
    </w:p>
    <w:p w14:paraId="082A2E0D" w14:textId="77777777" w:rsidR="00813300" w:rsidRPr="00735954" w:rsidRDefault="00813300" w:rsidP="00813300">
      <w:pPr>
        <w:pStyle w:val="Bullet"/>
        <w:rPr>
          <w:szCs w:val="21"/>
        </w:rPr>
      </w:pPr>
      <w:r w:rsidRPr="587F0A70">
        <w:t>prioritise prevention and health promotion, such as screening and immunisations</w:t>
      </w:r>
      <w:r>
        <w:t>,</w:t>
      </w:r>
      <w:r w:rsidRPr="587F0A70">
        <w:t xml:space="preserve"> </w:t>
      </w:r>
      <w:r w:rsidRPr="587F0A70">
        <w:rPr>
          <w:rFonts w:eastAsia="Segoe UI"/>
          <w:color w:val="000000" w:themeColor="text1"/>
        </w:rPr>
        <w:t>over more expensive treatment</w:t>
      </w:r>
    </w:p>
    <w:p w14:paraId="55355D65" w14:textId="77777777" w:rsidR="00813300" w:rsidRPr="009B79DB" w:rsidRDefault="00813300" w:rsidP="00813300">
      <w:pPr>
        <w:pStyle w:val="Bullet"/>
        <w:rPr>
          <w:szCs w:val="21"/>
        </w:rPr>
      </w:pPr>
      <w:r w:rsidRPr="587F0A70">
        <w:t>continuously improve as part of a learning health system, including active</w:t>
      </w:r>
      <w:r>
        <w:t>ly</w:t>
      </w:r>
      <w:r w:rsidRPr="587F0A70">
        <w:t xml:space="preserve"> identif</w:t>
      </w:r>
      <w:r>
        <w:t>ying</w:t>
      </w:r>
      <w:r w:rsidRPr="587F0A70">
        <w:t xml:space="preserve"> areas for improvement.</w:t>
      </w:r>
    </w:p>
    <w:p w14:paraId="536EA7AF" w14:textId="77777777" w:rsidR="00813300" w:rsidRDefault="00813300" w:rsidP="00813300">
      <w:pPr>
        <w:spacing w:line="254" w:lineRule="auto"/>
        <w:ind w:left="-20" w:right="-20"/>
        <w:rPr>
          <w:rFonts w:eastAsia="Segoe UI" w:cs="Segoe UI"/>
          <w:szCs w:val="21"/>
        </w:rPr>
      </w:pPr>
    </w:p>
    <w:p w14:paraId="6E08BC23" w14:textId="77777777" w:rsidR="00813300" w:rsidRPr="00735954" w:rsidRDefault="00813300" w:rsidP="00813300">
      <w:pPr>
        <w:spacing w:line="254" w:lineRule="auto"/>
        <w:ind w:left="-20" w:right="-20"/>
        <w:rPr>
          <w:rFonts w:eastAsia="Segoe UI" w:cs="Segoe UI"/>
          <w:szCs w:val="21"/>
        </w:rPr>
      </w:pPr>
      <w:r w:rsidRPr="00735954">
        <w:rPr>
          <w:rFonts w:eastAsia="Segoe UI" w:cs="Segoe UI"/>
          <w:szCs w:val="21"/>
        </w:rPr>
        <w:t xml:space="preserve">The </w:t>
      </w:r>
      <w:r>
        <w:rPr>
          <w:rFonts w:eastAsia="Segoe UI" w:cs="Segoe UI"/>
          <w:szCs w:val="21"/>
        </w:rPr>
        <w:t>main</w:t>
      </w:r>
      <w:r w:rsidRPr="00735954">
        <w:rPr>
          <w:rFonts w:eastAsia="Segoe UI" w:cs="Segoe UI"/>
          <w:szCs w:val="21"/>
        </w:rPr>
        <w:t xml:space="preserve"> causes of health loss, as measured by disability-adjusted life years,</w:t>
      </w:r>
      <w:r>
        <w:rPr>
          <w:rStyle w:val="FootnoteReference"/>
          <w:rFonts w:eastAsia="Segoe UI" w:cs="Segoe UI"/>
          <w:szCs w:val="21"/>
        </w:rPr>
        <w:footnoteReference w:id="7"/>
      </w:r>
      <w:r w:rsidRPr="00735954">
        <w:rPr>
          <w:rFonts w:eastAsia="Segoe UI" w:cs="Segoe UI"/>
          <w:szCs w:val="21"/>
        </w:rPr>
        <w:t xml:space="preserve"> take into account early death, illness and disability. The three conditions with the highest number of disability-adjusted life years </w:t>
      </w:r>
      <w:r>
        <w:rPr>
          <w:rFonts w:eastAsia="Segoe UI" w:cs="Segoe UI"/>
          <w:szCs w:val="21"/>
        </w:rPr>
        <w:t>are:</w:t>
      </w:r>
      <w:r w:rsidRPr="00735954">
        <w:rPr>
          <w:rFonts w:eastAsia="Segoe UI" w:cs="Segoe UI"/>
          <w:szCs w:val="21"/>
        </w:rPr>
        <w:t xml:space="preserve"> ischaemic heart disease, low back pain and chronic obstructive pulmonary disease.</w:t>
      </w:r>
    </w:p>
    <w:p w14:paraId="60267E1A" w14:textId="77777777" w:rsidR="00813300" w:rsidRPr="00735954" w:rsidRDefault="00813300" w:rsidP="00813300">
      <w:pPr>
        <w:spacing w:line="254" w:lineRule="auto"/>
        <w:ind w:left="-20" w:right="-20"/>
        <w:rPr>
          <w:rFonts w:eastAsia="Segoe UI" w:cs="Segoe UI"/>
          <w:szCs w:val="21"/>
        </w:rPr>
      </w:pPr>
    </w:p>
    <w:p w14:paraId="3FC0A128" w14:textId="77777777" w:rsidR="00813300" w:rsidRPr="008B6866" w:rsidRDefault="00813300" w:rsidP="00813300">
      <w:pPr>
        <w:spacing w:line="254" w:lineRule="auto"/>
        <w:ind w:left="-20" w:right="-20"/>
        <w:rPr>
          <w:rFonts w:eastAsia="Segoe UI" w:cs="Segoe UI"/>
          <w:color w:val="000000" w:themeColor="text1"/>
          <w:szCs w:val="21"/>
        </w:rPr>
      </w:pPr>
      <w:r w:rsidRPr="008B6866">
        <w:rPr>
          <w:rFonts w:eastAsia="Segoe UI" w:cs="Segoe UI"/>
          <w:color w:val="000000" w:themeColor="text1"/>
          <w:szCs w:val="21"/>
        </w:rPr>
        <w:t xml:space="preserve">Available quality of care indicators show that ongoing, unintentional harm continues to occur across the health system. </w:t>
      </w:r>
      <w:r>
        <w:rPr>
          <w:rFonts w:eastAsia="Segoe UI" w:cs="Segoe UI"/>
          <w:color w:val="000000" w:themeColor="text1"/>
          <w:szCs w:val="21"/>
        </w:rPr>
        <w:t xml:space="preserve">Complaints to the </w:t>
      </w:r>
      <w:r w:rsidRPr="008B6866">
        <w:rPr>
          <w:rFonts w:eastAsia="Segoe UI" w:cs="Segoe UI"/>
          <w:color w:val="000000" w:themeColor="text1"/>
          <w:szCs w:val="21"/>
        </w:rPr>
        <w:t>Health and Disability Commission</w:t>
      </w:r>
      <w:r>
        <w:rPr>
          <w:rFonts w:eastAsia="Segoe UI" w:cs="Segoe UI"/>
          <w:color w:val="000000" w:themeColor="text1"/>
          <w:szCs w:val="21"/>
        </w:rPr>
        <w:t>er</w:t>
      </w:r>
      <w:r w:rsidRPr="008B6866">
        <w:rPr>
          <w:rFonts w:eastAsia="Segoe UI" w:cs="Segoe UI"/>
          <w:color w:val="000000" w:themeColor="text1"/>
          <w:szCs w:val="21"/>
        </w:rPr>
        <w:t xml:space="preserve"> have increased over the past four years, with the most common theme </w:t>
      </w:r>
      <w:r>
        <w:rPr>
          <w:rFonts w:eastAsia="Segoe UI" w:cs="Segoe UI"/>
          <w:color w:val="000000" w:themeColor="text1"/>
          <w:szCs w:val="21"/>
        </w:rPr>
        <w:t xml:space="preserve">of these complaints </w:t>
      </w:r>
      <w:r w:rsidRPr="008B6866">
        <w:rPr>
          <w:rFonts w:eastAsia="Segoe UI" w:cs="Segoe UI"/>
          <w:color w:val="000000" w:themeColor="text1"/>
          <w:szCs w:val="21"/>
        </w:rPr>
        <w:t xml:space="preserve">being communication.  </w:t>
      </w:r>
    </w:p>
    <w:p w14:paraId="5BF36315" w14:textId="77777777" w:rsidR="00813300" w:rsidRPr="00735954" w:rsidRDefault="00813300" w:rsidP="00813300">
      <w:pPr>
        <w:spacing w:line="254" w:lineRule="auto"/>
        <w:ind w:left="-20" w:right="-20"/>
        <w:rPr>
          <w:rFonts w:eastAsia="Segoe UI" w:cs="Segoe UI"/>
          <w:szCs w:val="21"/>
        </w:rPr>
      </w:pPr>
    </w:p>
    <w:p w14:paraId="232CF785" w14:textId="77777777" w:rsidR="00813300" w:rsidRPr="00735954" w:rsidRDefault="00813300" w:rsidP="00813300">
      <w:pPr>
        <w:spacing w:line="254" w:lineRule="auto"/>
        <w:ind w:left="-20" w:right="-20"/>
        <w:rPr>
          <w:szCs w:val="21"/>
        </w:rPr>
      </w:pPr>
      <w:r w:rsidRPr="203CACA0">
        <w:rPr>
          <w:rFonts w:eastAsia="Segoe UI" w:cs="Segoe UI"/>
          <w:szCs w:val="21"/>
        </w:rPr>
        <w:t xml:space="preserve">Despite continual efforts to improve </w:t>
      </w:r>
      <w:r>
        <w:rPr>
          <w:rFonts w:eastAsia="Segoe UI" w:cs="Segoe UI"/>
          <w:szCs w:val="21"/>
        </w:rPr>
        <w:t xml:space="preserve">the </w:t>
      </w:r>
      <w:r w:rsidRPr="203CACA0">
        <w:rPr>
          <w:rFonts w:eastAsia="Segoe UI" w:cs="Segoe UI"/>
          <w:szCs w:val="21"/>
        </w:rPr>
        <w:t>quality of care, inequitable outcomes continue for maternal, infant and fetal deaths. Māori, Pacific peoples, Indian</w:t>
      </w:r>
      <w:r>
        <w:rPr>
          <w:rFonts w:eastAsia="Segoe UI" w:cs="Segoe UI"/>
          <w:szCs w:val="21"/>
        </w:rPr>
        <w:t xml:space="preserve"> people</w:t>
      </w:r>
      <w:r w:rsidRPr="203CACA0">
        <w:rPr>
          <w:rFonts w:eastAsia="Segoe UI" w:cs="Segoe UI"/>
          <w:szCs w:val="21"/>
        </w:rPr>
        <w:t xml:space="preserve">, </w:t>
      </w:r>
      <w:r>
        <w:rPr>
          <w:rFonts w:eastAsia="Segoe UI" w:cs="Segoe UI"/>
          <w:szCs w:val="21"/>
        </w:rPr>
        <w:t>people</w:t>
      </w:r>
      <w:r w:rsidRPr="203CACA0">
        <w:rPr>
          <w:rFonts w:eastAsia="Segoe UI" w:cs="Segoe UI"/>
          <w:szCs w:val="21"/>
        </w:rPr>
        <w:t xml:space="preserve"> under 20 years old</w:t>
      </w:r>
      <w:r>
        <w:rPr>
          <w:rFonts w:eastAsia="Segoe UI" w:cs="Segoe UI"/>
          <w:szCs w:val="21"/>
        </w:rPr>
        <w:t>,</w:t>
      </w:r>
      <w:r w:rsidRPr="203CACA0">
        <w:rPr>
          <w:rFonts w:eastAsia="Segoe UI" w:cs="Segoe UI"/>
          <w:szCs w:val="21"/>
        </w:rPr>
        <w:t xml:space="preserve"> and people living in areas of high deprivation experience worse pregnancy and childbirth outcomes than the New Zealand European population. </w:t>
      </w:r>
    </w:p>
    <w:p w14:paraId="0F206975" w14:textId="77777777" w:rsidR="00813300" w:rsidRPr="00735954" w:rsidRDefault="00813300" w:rsidP="00813300">
      <w:pPr>
        <w:spacing w:line="254" w:lineRule="auto"/>
        <w:ind w:left="-20" w:right="-20"/>
        <w:rPr>
          <w:szCs w:val="21"/>
        </w:rPr>
      </w:pPr>
      <w:r w:rsidRPr="1E78C0AA">
        <w:rPr>
          <w:rFonts w:eastAsia="Segoe UI" w:cs="Segoe UI"/>
          <w:szCs w:val="21"/>
        </w:rPr>
        <w:t xml:space="preserve"> </w:t>
      </w:r>
    </w:p>
    <w:p w14:paraId="697A738F" w14:textId="77777777" w:rsidR="00813300" w:rsidRPr="00735954" w:rsidRDefault="00813300" w:rsidP="00813300">
      <w:pPr>
        <w:spacing w:line="254" w:lineRule="auto"/>
        <w:ind w:left="-20" w:right="-20"/>
        <w:rPr>
          <w:szCs w:val="21"/>
        </w:rPr>
      </w:pPr>
      <w:r w:rsidRPr="1E78C0AA">
        <w:rPr>
          <w:rFonts w:eastAsia="Segoe UI" w:cs="Segoe UI"/>
          <w:szCs w:val="21"/>
        </w:rPr>
        <w:t>People with severe and enduring mental health conditions are more likely to die 15</w:t>
      </w:r>
      <w:r>
        <w:rPr>
          <w:rFonts w:eastAsia="Segoe UI" w:cs="Segoe UI"/>
          <w:szCs w:val="21"/>
        </w:rPr>
        <w:t>–</w:t>
      </w:r>
      <w:r w:rsidRPr="1E78C0AA">
        <w:rPr>
          <w:rFonts w:eastAsia="Segoe UI" w:cs="Segoe UI"/>
          <w:szCs w:val="21"/>
        </w:rPr>
        <w:t xml:space="preserve">25 years earlier than the general population. </w:t>
      </w:r>
      <w:r>
        <w:rPr>
          <w:rFonts w:eastAsia="Segoe UI" w:cs="Segoe UI"/>
          <w:szCs w:val="21"/>
        </w:rPr>
        <w:t>Some of the contributing factors are their p</w:t>
      </w:r>
      <w:r w:rsidRPr="1E78C0AA">
        <w:rPr>
          <w:rFonts w:eastAsia="Segoe UI" w:cs="Segoe UI"/>
          <w:szCs w:val="21"/>
        </w:rPr>
        <w:t xml:space="preserve">oor access to physical health screening, </w:t>
      </w:r>
      <w:r>
        <w:rPr>
          <w:rFonts w:eastAsia="Segoe UI" w:cs="Segoe UI"/>
          <w:szCs w:val="21"/>
        </w:rPr>
        <w:t>other related health conditions being overlooked</w:t>
      </w:r>
      <w:r w:rsidRPr="1E78C0AA">
        <w:rPr>
          <w:rFonts w:eastAsia="Segoe UI" w:cs="Segoe UI"/>
          <w:szCs w:val="21"/>
        </w:rPr>
        <w:t xml:space="preserve">, </w:t>
      </w:r>
      <w:r>
        <w:rPr>
          <w:rFonts w:eastAsia="Segoe UI" w:cs="Segoe UI"/>
          <w:szCs w:val="21"/>
        </w:rPr>
        <w:t>the</w:t>
      </w:r>
      <w:r w:rsidRPr="1E78C0AA">
        <w:rPr>
          <w:rFonts w:eastAsia="Segoe UI" w:cs="Segoe UI"/>
          <w:szCs w:val="21"/>
        </w:rPr>
        <w:t xml:space="preserve"> impacts of poverty</w:t>
      </w:r>
      <w:r>
        <w:rPr>
          <w:rFonts w:eastAsia="Segoe UI" w:cs="Segoe UI"/>
          <w:szCs w:val="21"/>
        </w:rPr>
        <w:t>,</w:t>
      </w:r>
      <w:r w:rsidRPr="1E78C0AA">
        <w:rPr>
          <w:rFonts w:eastAsia="Segoe UI" w:cs="Segoe UI"/>
          <w:szCs w:val="21"/>
        </w:rPr>
        <w:t xml:space="preserve"> and poor</w:t>
      </w:r>
      <w:r>
        <w:rPr>
          <w:rFonts w:eastAsia="Segoe UI" w:cs="Segoe UI"/>
          <w:szCs w:val="21"/>
        </w:rPr>
        <w:t xml:space="preserve"> or </w:t>
      </w:r>
      <w:r w:rsidRPr="1E78C0AA">
        <w:rPr>
          <w:rFonts w:eastAsia="Segoe UI" w:cs="Segoe UI"/>
          <w:szCs w:val="21"/>
        </w:rPr>
        <w:t>limited access to warm and dry housing.</w:t>
      </w:r>
    </w:p>
    <w:p w14:paraId="039A51DB" w14:textId="00DC3742" w:rsidR="006D3DFE" w:rsidRPr="00735954" w:rsidRDefault="006D3DFE" w:rsidP="006D3DFE">
      <w:pPr>
        <w:spacing w:line="254" w:lineRule="auto"/>
        <w:ind w:left="-20" w:right="-20"/>
        <w:rPr>
          <w:szCs w:val="21"/>
        </w:rPr>
      </w:pPr>
    </w:p>
    <w:p w14:paraId="786B7080" w14:textId="77777777" w:rsidR="00D93FCE" w:rsidRPr="00D93FCE" w:rsidRDefault="00D93FCE" w:rsidP="00D93FCE">
      <w:pPr>
        <w:pStyle w:val="Heading2-nonumbering"/>
      </w:pPr>
      <w:bookmarkStart w:id="33" w:name="_Toc159407492"/>
      <w:bookmarkStart w:id="34" w:name="_Toc170134115"/>
      <w:r w:rsidRPr="00D93FCE">
        <w:t>Changes expected over the next three years</w:t>
      </w:r>
      <w:bookmarkEnd w:id="33"/>
      <w:bookmarkEnd w:id="34"/>
    </w:p>
    <w:p w14:paraId="4CC7CA19" w14:textId="77777777" w:rsidR="00D93FCE" w:rsidRPr="00302F2B" w:rsidRDefault="00D93FCE" w:rsidP="00D93FCE">
      <w:pPr>
        <w:rPr>
          <w:szCs w:val="21"/>
        </w:rPr>
      </w:pPr>
      <w:r>
        <w:rPr>
          <w:szCs w:val="21"/>
        </w:rPr>
        <w:t>Over the next three years t</w:t>
      </w:r>
      <w:r w:rsidRPr="00302F2B">
        <w:rPr>
          <w:szCs w:val="21"/>
        </w:rPr>
        <w:t xml:space="preserve">he Government expects to see a focus on: </w:t>
      </w:r>
    </w:p>
    <w:p w14:paraId="205D26AF" w14:textId="77777777" w:rsidR="00813300" w:rsidRDefault="00813300" w:rsidP="00813300">
      <w:pPr>
        <w:pStyle w:val="Bullet"/>
      </w:pPr>
      <w:r>
        <w:t>continuing to improve the benchmarking of quality care and evaluation of the care that is provided: this means improving data quality related to the provision of services</w:t>
      </w:r>
    </w:p>
    <w:p w14:paraId="30A1D0DB" w14:textId="77777777" w:rsidR="00813300" w:rsidRDefault="00813300" w:rsidP="00813300">
      <w:pPr>
        <w:pStyle w:val="Bullet"/>
      </w:pPr>
      <w:r>
        <w:t>benchmarking to best practice amongst countries we compare ourselves against</w:t>
      </w:r>
    </w:p>
    <w:p w14:paraId="4AD62DC3" w14:textId="77777777" w:rsidR="00813300" w:rsidRDefault="00813300" w:rsidP="00813300">
      <w:pPr>
        <w:pStyle w:val="Bullet"/>
      </w:pPr>
      <w:r>
        <w:t>coordination across the health system (for example, in improving youth mental health) and understanding the quality of care provided in primary and community care settings, including by using stronger mechanisms for gathering and responding to lived experience and whānau voice</w:t>
      </w:r>
    </w:p>
    <w:p w14:paraId="15A66144" w14:textId="77777777" w:rsidR="00813300" w:rsidRDefault="00813300" w:rsidP="00813300">
      <w:pPr>
        <w:pStyle w:val="Bullet"/>
      </w:pPr>
      <w:r>
        <w:t xml:space="preserve">IMPBs playing a key role in advocating for whānau voice to inform the commissioning, design and delivery of higher-quality health services  </w:t>
      </w:r>
    </w:p>
    <w:p w14:paraId="2AEE35DC" w14:textId="77777777" w:rsidR="00813300" w:rsidRDefault="00813300" w:rsidP="00813300">
      <w:pPr>
        <w:pStyle w:val="Bullet"/>
      </w:pPr>
      <w:r>
        <w:t>continuing to empower people, families, and communities to be part of health system and service design</w:t>
      </w:r>
    </w:p>
    <w:p w14:paraId="0F950FB1" w14:textId="77777777" w:rsidR="00813300" w:rsidRDefault="00813300" w:rsidP="00813300">
      <w:pPr>
        <w:pStyle w:val="Bullet"/>
      </w:pPr>
      <w:r>
        <w:t>supporting strong clinical leadership and effective partnerships across health organisations and people with lived experience, including disabled people</w:t>
      </w:r>
    </w:p>
    <w:p w14:paraId="60383C51" w14:textId="6487B9D0" w:rsidR="00D93FCE" w:rsidRPr="00735954" w:rsidRDefault="00813300" w:rsidP="00813300">
      <w:pPr>
        <w:pStyle w:val="Bullet"/>
      </w:pPr>
      <w:r>
        <w:t>developing a systems safety strategy that defines quality and safety for the New Zealand health system</w:t>
      </w:r>
      <w:r w:rsidR="00D93FCE">
        <w:t>.</w:t>
      </w:r>
    </w:p>
    <w:p w14:paraId="3EC23288" w14:textId="77777777" w:rsidR="009E6853" w:rsidRDefault="009E6853" w:rsidP="0075135B">
      <w:bookmarkStart w:id="35" w:name="_Toc159407493"/>
      <w:r>
        <w:br w:type="page"/>
      </w:r>
    </w:p>
    <w:p w14:paraId="686ED94C" w14:textId="44A9BCF1" w:rsidR="00D93FCE" w:rsidRDefault="00D93FCE" w:rsidP="00D93FCE">
      <w:pPr>
        <w:pStyle w:val="Heading2-nonumbering"/>
      </w:pPr>
      <w:bookmarkStart w:id="36" w:name="_Toc170134116"/>
      <w:r w:rsidRPr="000E26B9">
        <w:lastRenderedPageBreak/>
        <w:t xml:space="preserve">Objectives and expectations for </w:t>
      </w:r>
      <w:r>
        <w:t>the next three years</w:t>
      </w:r>
      <w:bookmarkEnd w:id="35"/>
      <w:bookmarkEnd w:id="36"/>
      <w:r w:rsidRPr="000E26B9">
        <w:t xml:space="preserve"> </w:t>
      </w:r>
    </w:p>
    <w:tbl>
      <w:tblPr>
        <w:tblStyle w:val="TableGrid"/>
        <w:tblW w:w="821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85" w:type="dxa"/>
          <w:right w:w="57" w:type="dxa"/>
        </w:tblCellMar>
        <w:tblLook w:val="04A0" w:firstRow="1" w:lastRow="0" w:firstColumn="1" w:lastColumn="0" w:noHBand="0" w:noVBand="1"/>
      </w:tblPr>
      <w:tblGrid>
        <w:gridCol w:w="2417"/>
        <w:gridCol w:w="5800"/>
      </w:tblGrid>
      <w:tr w:rsidR="00D93FCE" w:rsidRPr="006C2846" w14:paraId="3177D977" w14:textId="77777777" w:rsidTr="00D93FCE">
        <w:trPr>
          <w:cantSplit/>
          <w:tblHeader/>
        </w:trPr>
        <w:tc>
          <w:tcPr>
            <w:tcW w:w="2417" w:type="dxa"/>
            <w:tcBorders>
              <w:top w:val="nil"/>
              <w:bottom w:val="nil"/>
            </w:tcBorders>
            <w:shd w:val="clear" w:color="auto" w:fill="D9D9D9" w:themeFill="background1" w:themeFillShade="D9"/>
            <w:vAlign w:val="center"/>
            <w:hideMark/>
          </w:tcPr>
          <w:p w14:paraId="049FD7AA" w14:textId="77777777" w:rsidR="00D93FCE" w:rsidRPr="006C2846" w:rsidRDefault="00D93FCE" w:rsidP="00D93FCE">
            <w:pPr>
              <w:pStyle w:val="TableText"/>
              <w:keepNext/>
              <w:spacing w:before="80" w:after="80"/>
              <w:rPr>
                <w:rFonts w:cs="Segoe UI"/>
                <w:b/>
                <w:szCs w:val="18"/>
                <w:lang w:eastAsia="en-NZ"/>
              </w:rPr>
            </w:pPr>
            <w:r w:rsidRPr="006C2846">
              <w:rPr>
                <w:rFonts w:cs="Segoe UI"/>
                <w:b/>
                <w:szCs w:val="18"/>
                <w:lang w:eastAsia="en-NZ"/>
              </w:rPr>
              <w:t>Objective</w:t>
            </w:r>
          </w:p>
        </w:tc>
        <w:tc>
          <w:tcPr>
            <w:tcW w:w="5800" w:type="dxa"/>
            <w:tcBorders>
              <w:top w:val="nil"/>
              <w:bottom w:val="nil"/>
            </w:tcBorders>
            <w:shd w:val="clear" w:color="auto" w:fill="D9D9D9" w:themeFill="background1" w:themeFillShade="D9"/>
            <w:vAlign w:val="center"/>
            <w:hideMark/>
          </w:tcPr>
          <w:p w14:paraId="0321599F" w14:textId="77777777" w:rsidR="00D93FCE" w:rsidRPr="006C2846" w:rsidRDefault="00D93FCE" w:rsidP="00D93FCE">
            <w:pPr>
              <w:pStyle w:val="TableText"/>
              <w:keepNext/>
              <w:spacing w:before="80" w:after="80"/>
              <w:rPr>
                <w:rFonts w:cs="Segoe UI"/>
                <w:szCs w:val="18"/>
                <w:lang w:eastAsia="en-NZ"/>
              </w:rPr>
            </w:pPr>
            <w:r w:rsidRPr="006C2846">
              <w:rPr>
                <w:rFonts w:cs="Segoe UI"/>
                <w:b/>
                <w:szCs w:val="18"/>
                <w:lang w:eastAsia="en-NZ"/>
              </w:rPr>
              <w:t>Expectations</w:t>
            </w:r>
          </w:p>
        </w:tc>
      </w:tr>
      <w:tr w:rsidR="00813300" w:rsidRPr="006C2846" w14:paraId="140C9AC6" w14:textId="77777777" w:rsidTr="00D93FCE">
        <w:trPr>
          <w:cantSplit/>
        </w:trPr>
        <w:tc>
          <w:tcPr>
            <w:tcW w:w="2417" w:type="dxa"/>
            <w:tcBorders>
              <w:top w:val="nil"/>
            </w:tcBorders>
          </w:tcPr>
          <w:p w14:paraId="7128D5FD" w14:textId="77777777" w:rsidR="00813300" w:rsidRPr="00CF25F9" w:rsidRDefault="00813300" w:rsidP="00813300">
            <w:pPr>
              <w:pStyle w:val="TableText"/>
              <w:rPr>
                <w:lang w:eastAsia="en-NZ"/>
              </w:rPr>
            </w:pPr>
            <w:r w:rsidRPr="38B14043">
              <w:rPr>
                <w:lang w:eastAsia="en-NZ"/>
              </w:rPr>
              <w:t>3.1 Benchmark</w:t>
            </w:r>
            <w:r>
              <w:rPr>
                <w:lang w:eastAsia="en-NZ"/>
              </w:rPr>
              <w:t xml:space="preserve"> and monitor </w:t>
            </w:r>
            <w:r w:rsidRPr="38B14043">
              <w:rPr>
                <w:lang w:eastAsia="en-NZ"/>
              </w:rPr>
              <w:t xml:space="preserve">quality </w:t>
            </w:r>
            <w:r>
              <w:rPr>
                <w:lang w:eastAsia="en-NZ"/>
              </w:rPr>
              <w:t>of</w:t>
            </w:r>
            <w:r w:rsidRPr="38B14043">
              <w:rPr>
                <w:lang w:eastAsia="en-NZ"/>
              </w:rPr>
              <w:t xml:space="preserve"> care</w:t>
            </w:r>
            <w:r>
              <w:rPr>
                <w:lang w:eastAsia="en-NZ"/>
              </w:rPr>
              <w:t>.</w:t>
            </w:r>
            <w:r w:rsidRPr="38B14043">
              <w:rPr>
                <w:lang w:eastAsia="en-NZ"/>
              </w:rPr>
              <w:t xml:space="preserve"> </w:t>
            </w:r>
          </w:p>
          <w:p w14:paraId="3CDF4AD1" w14:textId="77777777" w:rsidR="00813300" w:rsidRPr="00D93FCE" w:rsidRDefault="00813300" w:rsidP="00813300">
            <w:pPr>
              <w:pStyle w:val="TableText"/>
            </w:pPr>
          </w:p>
        </w:tc>
        <w:tc>
          <w:tcPr>
            <w:tcW w:w="5800" w:type="dxa"/>
            <w:tcBorders>
              <w:top w:val="nil"/>
            </w:tcBorders>
          </w:tcPr>
          <w:p w14:paraId="00B5972A" w14:textId="77777777" w:rsidR="00813300" w:rsidRPr="002F2249" w:rsidRDefault="00813300" w:rsidP="00813300">
            <w:pPr>
              <w:pStyle w:val="TableBullet"/>
              <w:framePr w:wrap="around"/>
            </w:pPr>
            <w:r w:rsidRPr="002F2249">
              <w:t xml:space="preserve">Develop a systems safety strategy to set expectations </w:t>
            </w:r>
            <w:r>
              <w:t>for New Zealand</w:t>
            </w:r>
            <w:r w:rsidRPr="002F2249">
              <w:t xml:space="preserve"> and benchmark against international best practice</w:t>
            </w:r>
            <w:r>
              <w:t>.</w:t>
            </w:r>
          </w:p>
          <w:p w14:paraId="5174E965" w14:textId="77777777" w:rsidR="00813300" w:rsidRDefault="00813300" w:rsidP="00813300">
            <w:pPr>
              <w:pStyle w:val="TableBullet"/>
              <w:framePr w:wrap="around"/>
            </w:pPr>
            <w:r w:rsidRPr="002F2249">
              <w:t xml:space="preserve">Establish a national programme to explore options for developing a set of </w:t>
            </w:r>
            <w:r>
              <w:t xml:space="preserve">clinical care </w:t>
            </w:r>
            <w:r w:rsidRPr="002F2249">
              <w:t xml:space="preserve">standards that </w:t>
            </w:r>
            <w:r>
              <w:t>are supplementary to the Ng</w:t>
            </w:r>
            <w:r>
              <w:rPr>
                <w:lang w:val="mi-NZ"/>
              </w:rPr>
              <w:t>ā Paerewa Health and</w:t>
            </w:r>
            <w:r w:rsidRPr="00A66E4E">
              <w:t xml:space="preserve"> Disability</w:t>
            </w:r>
            <w:r>
              <w:rPr>
                <w:lang w:val="mi-NZ"/>
              </w:rPr>
              <w:t xml:space="preserve"> </w:t>
            </w:r>
            <w:r w:rsidRPr="00A66E4E">
              <w:t>S</w:t>
            </w:r>
            <w:r>
              <w:t>ervices S</w:t>
            </w:r>
            <w:r w:rsidRPr="00A66E4E">
              <w:t>tandard.</w:t>
            </w:r>
          </w:p>
          <w:p w14:paraId="5B422830" w14:textId="0D2A97F2" w:rsidR="00813300" w:rsidRPr="005A11AE" w:rsidRDefault="00813300" w:rsidP="00813300">
            <w:pPr>
              <w:pStyle w:val="TableBullet"/>
              <w:framePr w:wrap="around"/>
            </w:pPr>
            <w:r w:rsidRPr="002F2249">
              <w:t>Enable better information and data sharing arrangements across the health and social system that relate to patient outcomes or quality of health services</w:t>
            </w:r>
            <w:r>
              <w:t>.</w:t>
            </w:r>
          </w:p>
        </w:tc>
      </w:tr>
      <w:tr w:rsidR="00813300" w:rsidRPr="006C2846" w14:paraId="350AB78B" w14:textId="77777777" w:rsidTr="00D93FCE">
        <w:tc>
          <w:tcPr>
            <w:tcW w:w="2417" w:type="dxa"/>
          </w:tcPr>
          <w:p w14:paraId="429A4F88" w14:textId="40F6C88A" w:rsidR="00813300" w:rsidRPr="00D93FCE" w:rsidRDefault="00813300" w:rsidP="00813300">
            <w:pPr>
              <w:pStyle w:val="TableText"/>
            </w:pPr>
            <w:r w:rsidRPr="3B7BB1D5">
              <w:rPr>
                <w:lang w:val="en-US"/>
              </w:rPr>
              <w:t xml:space="preserve">3.2 Enable the use </w:t>
            </w:r>
            <w:r>
              <w:rPr>
                <w:lang w:val="en-US"/>
              </w:rPr>
              <w:t xml:space="preserve">and generation </w:t>
            </w:r>
            <w:r w:rsidRPr="3B7BB1D5">
              <w:rPr>
                <w:lang w:val="en-US"/>
              </w:rPr>
              <w:t>of evidence, information, research and evaluation across the health system</w:t>
            </w:r>
            <w:r>
              <w:rPr>
                <w:lang w:val="en-US"/>
              </w:rPr>
              <w:t xml:space="preserve"> by using </w:t>
            </w:r>
            <w:r w:rsidR="00A66BA0">
              <w:rPr>
                <w:lang w:val="en-US"/>
              </w:rPr>
              <w:t xml:space="preserve">implementation </w:t>
            </w:r>
            <w:r>
              <w:rPr>
                <w:lang w:val="en-US"/>
              </w:rPr>
              <w:t>science principles and concepts.</w:t>
            </w:r>
          </w:p>
        </w:tc>
        <w:tc>
          <w:tcPr>
            <w:tcW w:w="5800" w:type="dxa"/>
          </w:tcPr>
          <w:p w14:paraId="3089A2DD" w14:textId="77777777" w:rsidR="00813300" w:rsidRPr="00810640" w:rsidRDefault="00813300" w:rsidP="00813300">
            <w:pPr>
              <w:pStyle w:val="TableBullet"/>
              <w:framePr w:wrap="around"/>
              <w:rPr>
                <w:szCs w:val="18"/>
                <w:lang w:val="en-US"/>
              </w:rPr>
            </w:pPr>
            <w:r>
              <w:t>Strengthen</w:t>
            </w:r>
            <w:r w:rsidRPr="002F2249">
              <w:t xml:space="preserve"> clinical</w:t>
            </w:r>
            <w:r>
              <w:t xml:space="preserve"> and lived experience</w:t>
            </w:r>
            <w:r w:rsidRPr="002F2249">
              <w:t xml:space="preserve"> networks in key service areas to </w:t>
            </w:r>
            <w:r w:rsidRPr="5EA9F10C">
              <w:rPr>
                <w:lang w:val="en-US"/>
              </w:rPr>
              <w:t>support national and regional leadership, knowledge gaps</w:t>
            </w:r>
            <w:r>
              <w:rPr>
                <w:lang w:val="en-US"/>
              </w:rPr>
              <w:t>,</w:t>
            </w:r>
            <w:r w:rsidRPr="5EA9F10C">
              <w:rPr>
                <w:lang w:val="en-US"/>
              </w:rPr>
              <w:t xml:space="preserve"> and quality improvement</w:t>
            </w:r>
            <w:r>
              <w:rPr>
                <w:lang w:val="en-US"/>
              </w:rPr>
              <w:t>.</w:t>
            </w:r>
          </w:p>
          <w:p w14:paraId="2B39D293" w14:textId="77777777" w:rsidR="00813300" w:rsidRPr="006C2846" w:rsidRDefault="00813300" w:rsidP="00813300">
            <w:pPr>
              <w:pStyle w:val="TableBullet"/>
              <w:framePr w:wrap="around"/>
              <w:rPr>
                <w:szCs w:val="18"/>
                <w:lang w:val="en-US"/>
              </w:rPr>
            </w:pPr>
            <w:r w:rsidRPr="002F2249">
              <w:t>Develop system functions and settings to support the rapid adoption of new, evidence-based technologies</w:t>
            </w:r>
            <w:r>
              <w:t>, research findings,</w:t>
            </w:r>
            <w:r w:rsidRPr="002F2249">
              <w:t xml:space="preserve"> and</w:t>
            </w:r>
            <w:r>
              <w:t xml:space="preserve"> innovation.</w:t>
            </w:r>
          </w:p>
          <w:p w14:paraId="64502685" w14:textId="77777777" w:rsidR="00813300" w:rsidRPr="00C64C2A" w:rsidRDefault="00813300" w:rsidP="00813300">
            <w:pPr>
              <w:pStyle w:val="TableBullet"/>
              <w:framePr w:wrap="around"/>
            </w:pPr>
            <w:r>
              <w:t>E</w:t>
            </w:r>
            <w:r w:rsidRPr="16620234">
              <w:t>stablish the right functions and programmes to support ongoing research and innovation activities, including development, dissemination and translation in ways that benefit the health system.</w:t>
            </w:r>
          </w:p>
          <w:p w14:paraId="71E2A357" w14:textId="19E363A5" w:rsidR="00813300" w:rsidRPr="009769C5" w:rsidRDefault="00813300" w:rsidP="00813300">
            <w:pPr>
              <w:pStyle w:val="TableBullet"/>
              <w:framePr w:wrap="around"/>
              <w:rPr>
                <w:szCs w:val="18"/>
                <w:lang w:val="en-US"/>
              </w:rPr>
            </w:pPr>
            <w:r>
              <w:rPr>
                <w:lang w:val="en-US"/>
              </w:rPr>
              <w:t>Strengthen public health surveillance to increase the detection and response to communicable and non-communicable disease</w:t>
            </w:r>
            <w:r w:rsidR="00E32F79">
              <w:rPr>
                <w:lang w:val="en-US"/>
              </w:rPr>
              <w:t>s</w:t>
            </w:r>
            <w:r>
              <w:rPr>
                <w:lang w:val="en-US"/>
              </w:rPr>
              <w:t>, and on information on the distribution of wider determinants of health and wellbeing.</w:t>
            </w:r>
          </w:p>
          <w:p w14:paraId="04B529A1" w14:textId="1EA13772" w:rsidR="00813300" w:rsidRPr="000D49D3" w:rsidRDefault="00813300" w:rsidP="00813300">
            <w:pPr>
              <w:pStyle w:val="TableBullet"/>
              <w:framePr w:wrap="around"/>
            </w:pPr>
            <w:r w:rsidRPr="00FB59E4">
              <w:rPr>
                <w:rStyle w:val="cf01"/>
              </w:rPr>
              <w:t xml:space="preserve">Improve </w:t>
            </w:r>
            <w:r>
              <w:rPr>
                <w:rStyle w:val="cf01"/>
              </w:rPr>
              <w:t xml:space="preserve">data on </w:t>
            </w:r>
            <w:r w:rsidRPr="00FB59E4">
              <w:rPr>
                <w:rStyle w:val="cf01"/>
              </w:rPr>
              <w:t>communit</w:t>
            </w:r>
            <w:r>
              <w:rPr>
                <w:rStyle w:val="cf01"/>
              </w:rPr>
              <w:t>ies, including</w:t>
            </w:r>
            <w:r w:rsidRPr="00FB59E4">
              <w:rPr>
                <w:rStyle w:val="cf01"/>
              </w:rPr>
              <w:t xml:space="preserve"> data collection, reporting</w:t>
            </w:r>
            <w:r>
              <w:rPr>
                <w:rStyle w:val="cf01"/>
              </w:rPr>
              <w:t>, monitoring</w:t>
            </w:r>
            <w:r w:rsidRPr="00FB59E4">
              <w:rPr>
                <w:rStyle w:val="cf01"/>
              </w:rPr>
              <w:t xml:space="preserve"> and sharing for providers and treaty partners</w:t>
            </w:r>
            <w:r>
              <w:rPr>
                <w:rStyle w:val="cf01"/>
              </w:rPr>
              <w:t xml:space="preserve"> and enable outcomes to be monitored by ethnicity, gender, age, rurality, and disability.</w:t>
            </w:r>
          </w:p>
        </w:tc>
      </w:tr>
      <w:tr w:rsidR="00813300" w:rsidRPr="006C2846" w14:paraId="087D82E0" w14:textId="77777777" w:rsidTr="00D93FCE">
        <w:trPr>
          <w:cantSplit/>
        </w:trPr>
        <w:tc>
          <w:tcPr>
            <w:tcW w:w="2417" w:type="dxa"/>
          </w:tcPr>
          <w:p w14:paraId="028A2EFB" w14:textId="77777777" w:rsidR="00813300" w:rsidRPr="005C06CE" w:rsidRDefault="00813300" w:rsidP="00813300">
            <w:pPr>
              <w:pStyle w:val="TableText"/>
              <w:rPr>
                <w:szCs w:val="18"/>
              </w:rPr>
            </w:pPr>
            <w:r w:rsidRPr="005C06CE">
              <w:rPr>
                <w:szCs w:val="18"/>
                <w:lang w:val="en-US"/>
              </w:rPr>
              <w:t>3.</w:t>
            </w:r>
            <w:r w:rsidRPr="3B7BB1D5">
              <w:rPr>
                <w:szCs w:val="18"/>
                <w:lang w:val="en-US"/>
              </w:rPr>
              <w:t>3</w:t>
            </w:r>
            <w:r w:rsidRPr="005C06CE">
              <w:rPr>
                <w:szCs w:val="18"/>
                <w:lang w:val="en-US"/>
              </w:rPr>
              <w:t xml:space="preserve"> </w:t>
            </w:r>
            <w:r>
              <w:rPr>
                <w:szCs w:val="18"/>
                <w:lang w:val="en-US"/>
              </w:rPr>
              <w:t>Enhance</w:t>
            </w:r>
            <w:r w:rsidRPr="005C06CE">
              <w:rPr>
                <w:szCs w:val="18"/>
                <w:lang w:val="en-US"/>
              </w:rPr>
              <w:t xml:space="preserve"> processes for quality improvement and </w:t>
            </w:r>
            <w:r>
              <w:rPr>
                <w:szCs w:val="18"/>
                <w:lang w:val="en-US"/>
              </w:rPr>
              <w:t>s</w:t>
            </w:r>
            <w:r w:rsidRPr="005C06CE">
              <w:rPr>
                <w:szCs w:val="18"/>
                <w:lang w:val="en-US"/>
              </w:rPr>
              <w:t>trengthen the handling of quality concerns</w:t>
            </w:r>
            <w:r>
              <w:rPr>
                <w:szCs w:val="18"/>
                <w:lang w:val="en-US"/>
              </w:rPr>
              <w:t>.</w:t>
            </w:r>
          </w:p>
          <w:p w14:paraId="09DD45E3" w14:textId="77777777" w:rsidR="00813300" w:rsidRPr="006C2846" w:rsidRDefault="00813300" w:rsidP="00813300">
            <w:pPr>
              <w:pStyle w:val="TableText"/>
              <w:rPr>
                <w:rFonts w:cs="Segoe UI"/>
                <w:szCs w:val="18"/>
                <w:lang w:eastAsia="en-NZ"/>
              </w:rPr>
            </w:pPr>
          </w:p>
        </w:tc>
        <w:tc>
          <w:tcPr>
            <w:tcW w:w="5800" w:type="dxa"/>
          </w:tcPr>
          <w:p w14:paraId="7C5E4DCE" w14:textId="77777777" w:rsidR="00813300" w:rsidRPr="002F2249" w:rsidRDefault="00813300" w:rsidP="00813300">
            <w:pPr>
              <w:pStyle w:val="TableBullet"/>
              <w:framePr w:wrap="around"/>
            </w:pPr>
            <w:r w:rsidRPr="0071EF83">
              <w:t xml:space="preserve">Improve the national approach to </w:t>
            </w:r>
            <w:r>
              <w:t>gathering</w:t>
            </w:r>
            <w:r w:rsidRPr="0071EF83">
              <w:t xml:space="preserve"> feedback and </w:t>
            </w:r>
            <w:r>
              <w:t xml:space="preserve">responding to and learning from </w:t>
            </w:r>
            <w:r w:rsidRPr="0071EF83">
              <w:t>complaints</w:t>
            </w:r>
            <w:r>
              <w:t xml:space="preserve"> and health care harm</w:t>
            </w:r>
            <w:r w:rsidRPr="0071EF83">
              <w:t xml:space="preserve">, including </w:t>
            </w:r>
            <w:r>
              <w:t xml:space="preserve">the </w:t>
            </w:r>
            <w:r w:rsidRPr="0071EF83">
              <w:t xml:space="preserve">development of culturally-appropriate and accessible </w:t>
            </w:r>
            <w:r>
              <w:t xml:space="preserve">feedback </w:t>
            </w:r>
            <w:r w:rsidRPr="0071EF83">
              <w:t>channels, as well as restorative practice</w:t>
            </w:r>
            <w:r>
              <w:t>.</w:t>
            </w:r>
          </w:p>
          <w:p w14:paraId="48DBE214" w14:textId="77777777" w:rsidR="00813300" w:rsidRPr="001C50BA" w:rsidRDefault="00813300" w:rsidP="00813300">
            <w:pPr>
              <w:pStyle w:val="TableBullet"/>
              <w:framePr w:wrap="around"/>
              <w:rPr>
                <w:szCs w:val="18"/>
              </w:rPr>
            </w:pPr>
            <w:r>
              <w:t xml:space="preserve">Ensure that service users are appropriately informed about and involved in their care </w:t>
            </w:r>
            <w:r w:rsidRPr="004B7E72">
              <w:t xml:space="preserve">so they can actively manage their health and wellbeing in ways that work for them.  </w:t>
            </w:r>
          </w:p>
          <w:p w14:paraId="367CF80D" w14:textId="77777777" w:rsidR="00813300" w:rsidRPr="00226EFA" w:rsidRDefault="00813300" w:rsidP="00813300">
            <w:pPr>
              <w:pStyle w:val="TableBullet"/>
              <w:framePr w:wrap="around"/>
              <w:rPr>
                <w:szCs w:val="18"/>
              </w:rPr>
            </w:pPr>
            <w:r w:rsidRPr="5EA9F10C">
              <w:rPr>
                <w:rFonts w:eastAsiaTheme="minorEastAsia"/>
                <w:lang w:eastAsia="en-US"/>
              </w:rPr>
              <w:t xml:space="preserve">Extend the development of patient-centred measures: </w:t>
            </w:r>
            <w:r w:rsidRPr="5EA9F10C">
              <w:rPr>
                <w:rFonts w:eastAsiaTheme="minorEastAsia"/>
                <w:color w:val="202124"/>
                <w:shd w:val="clear" w:color="auto" w:fill="FFFFFF"/>
                <w:lang w:eastAsia="en-US"/>
              </w:rPr>
              <w:t>Patient-Reported Experience Measures</w:t>
            </w:r>
            <w:r>
              <w:rPr>
                <w:rFonts w:eastAsiaTheme="minorEastAsia"/>
                <w:color w:val="202124"/>
                <w:shd w:val="clear" w:color="auto" w:fill="FFFFFF"/>
                <w:lang w:eastAsia="en-US"/>
              </w:rPr>
              <w:t xml:space="preserve"> (</w:t>
            </w:r>
            <w:r w:rsidRPr="5EA9F10C">
              <w:rPr>
                <w:rFonts w:eastAsiaTheme="minorEastAsia"/>
                <w:color w:val="202124"/>
                <w:shd w:val="clear" w:color="auto" w:fill="FFFFFF"/>
                <w:lang w:eastAsia="en-US"/>
              </w:rPr>
              <w:t>PREMs) and Patient-Reported Outcome Measures</w:t>
            </w:r>
            <w:r>
              <w:rPr>
                <w:rFonts w:eastAsiaTheme="minorEastAsia"/>
                <w:color w:val="202124"/>
                <w:shd w:val="clear" w:color="auto" w:fill="FFFFFF"/>
                <w:lang w:eastAsia="en-US"/>
              </w:rPr>
              <w:t xml:space="preserve"> (</w:t>
            </w:r>
            <w:r w:rsidRPr="5EA9F10C">
              <w:rPr>
                <w:rFonts w:eastAsiaTheme="minorEastAsia"/>
                <w:color w:val="202124"/>
                <w:shd w:val="clear" w:color="auto" w:fill="FFFFFF"/>
                <w:lang w:eastAsia="en-US"/>
              </w:rPr>
              <w:t xml:space="preserve">PROMs) to enhance </w:t>
            </w:r>
            <w:r w:rsidRPr="5EA9F10C">
              <w:rPr>
                <w:rFonts w:eastAsiaTheme="minorEastAsia"/>
                <w:color w:val="040C28"/>
                <w:lang w:eastAsia="en-US"/>
              </w:rPr>
              <w:t>assessment of the effectiveness of</w:t>
            </w:r>
            <w:r>
              <w:rPr>
                <w:rFonts w:eastAsiaTheme="minorEastAsia"/>
                <w:color w:val="040C28"/>
                <w:lang w:eastAsia="en-US"/>
              </w:rPr>
              <w:t xml:space="preserve"> health care received.</w:t>
            </w:r>
          </w:p>
          <w:p w14:paraId="608925D7" w14:textId="7344DBF1" w:rsidR="00813300" w:rsidRPr="002F2249" w:rsidRDefault="00813300" w:rsidP="00813300">
            <w:pPr>
              <w:pStyle w:val="TableBullet"/>
              <w:framePr w:wrap="around"/>
            </w:pPr>
            <w:r w:rsidRPr="0071EF83">
              <w:rPr>
                <w:rFonts w:eastAsia="Segoe UI"/>
              </w:rPr>
              <w:t xml:space="preserve">Continue to develop Pharmac’s model to ensure patient voice and wide-ranging </w:t>
            </w:r>
            <w:r>
              <w:rPr>
                <w:rFonts w:eastAsia="Segoe UI"/>
              </w:rPr>
              <w:t xml:space="preserve">societal </w:t>
            </w:r>
            <w:r w:rsidRPr="0071EF83">
              <w:rPr>
                <w:rFonts w:eastAsia="Segoe UI"/>
              </w:rPr>
              <w:t>consequences are taken into account</w:t>
            </w:r>
            <w:r>
              <w:rPr>
                <w:rFonts w:eastAsia="Segoe UI"/>
              </w:rPr>
              <w:t>.</w:t>
            </w:r>
          </w:p>
        </w:tc>
      </w:tr>
    </w:tbl>
    <w:p w14:paraId="29B01229" w14:textId="77777777" w:rsidR="00D93FCE" w:rsidRDefault="00D93FCE" w:rsidP="00D93FCE">
      <w:pPr>
        <w:pStyle w:val="Heading3-nonumbering"/>
      </w:pPr>
      <w:r>
        <w:lastRenderedPageBreak/>
        <w:t xml:space="preserve">Keeping our families and communities safe </w:t>
      </w:r>
    </w:p>
    <w:p w14:paraId="3CAC57B2" w14:textId="77777777" w:rsidR="00813300" w:rsidRDefault="00813300" w:rsidP="00813300">
      <w:r>
        <w:t xml:space="preserve">Delivering quality health services that are both clinically and culturally safe and appropriate is necessary for improving health outcomes for Māori and other population groups. Discrimination within the health sector also contributes to health inequities. Māori are more likely than other ethnic groups to report unfair treatment by a health professional. </w:t>
      </w:r>
    </w:p>
    <w:p w14:paraId="3AAD11EB" w14:textId="77777777" w:rsidR="00813300" w:rsidRDefault="00813300" w:rsidP="00813300"/>
    <w:p w14:paraId="1C953E70" w14:textId="77777777" w:rsidR="00813300" w:rsidRDefault="00813300" w:rsidP="00813300">
      <w:r>
        <w:t xml:space="preserve">Health entities must work with IMPBs to design, commission, and deliver a choice of high-quality services to Māori. This includes ensuring that health services are culturally safe and responsive to people’s needs.  </w:t>
      </w:r>
    </w:p>
    <w:p w14:paraId="24890EE7" w14:textId="77777777" w:rsidR="00813300" w:rsidRDefault="00813300" w:rsidP="00813300"/>
    <w:p w14:paraId="390D80F2" w14:textId="77777777" w:rsidR="00813300" w:rsidRDefault="00813300" w:rsidP="00813300">
      <w:r>
        <w:t>In delivering the objectives and expectations above, health entities must provide their staff with education, systems, and processes to ensure that all people are treated fairly and with respect. This work will need to be coordinated across the health system including with the various professional bodies.</w:t>
      </w:r>
    </w:p>
    <w:p w14:paraId="56189343" w14:textId="77777777" w:rsidR="00813300" w:rsidRDefault="00813300" w:rsidP="00813300"/>
    <w:p w14:paraId="2BA0A637" w14:textId="451CFDB7" w:rsidR="00D93FCE" w:rsidRDefault="00813300" w:rsidP="00813300">
      <w:r>
        <w:t>The examples below of expectations for quality are anticipated to support improved engagement with Māori, and improved outcomes for Māori, Pacific peoples, disabled people, women, people living in rural communities, and other populations with high health needs.</w:t>
      </w:r>
    </w:p>
    <w:p w14:paraId="03E66546" w14:textId="77777777" w:rsidR="00813300" w:rsidRDefault="00813300" w:rsidP="00813300">
      <w:pPr>
        <w:pStyle w:val="Bullet"/>
      </w:pPr>
      <w:r>
        <w:t xml:space="preserve">Putting in place clinical networks in key service areas to support national and regional leadership, fill knowledge gaps and drive quality improvement, while recognising that a care team may look different in some communities to meet population needs while still providing high-quality care. </w:t>
      </w:r>
    </w:p>
    <w:p w14:paraId="38C7CFC6" w14:textId="77777777" w:rsidR="00813300" w:rsidRDefault="00813300" w:rsidP="00813300">
      <w:pPr>
        <w:pStyle w:val="Bullet"/>
      </w:pPr>
      <w:r>
        <w:t>Strengthening pathways for using patient voice across the system to drive service design and improvement.</w:t>
      </w:r>
    </w:p>
    <w:p w14:paraId="2E506A97" w14:textId="647AB240" w:rsidR="00D93FCE" w:rsidRDefault="00813300" w:rsidP="00813300">
      <w:pPr>
        <w:pStyle w:val="Bullet"/>
      </w:pPr>
      <w:r>
        <w:t>Improving access to information and advice services, including easy access to information, and communication, translation and interpretation services</w:t>
      </w:r>
      <w:r w:rsidR="00D93FCE">
        <w:t>.</w:t>
      </w:r>
    </w:p>
    <w:p w14:paraId="5E15E28B" w14:textId="77777777" w:rsidR="00D93FCE" w:rsidRDefault="00D93FCE" w:rsidP="00D93FCE">
      <w:pPr>
        <w:pStyle w:val="Heading2-nonumbering"/>
      </w:pPr>
      <w:bookmarkStart w:id="37" w:name="_Toc170134117"/>
      <w:r>
        <w:t>Measuring success</w:t>
      </w:r>
      <w:bookmarkEnd w:id="37"/>
    </w:p>
    <w:p w14:paraId="6E2210B7" w14:textId="5CFF8D31" w:rsidR="006D3DFE" w:rsidRPr="006D3DFE" w:rsidRDefault="00D93FCE" w:rsidP="00D93FCE">
      <w:r>
        <w:t>Quality priority measures</w:t>
      </w:r>
      <w:r w:rsidR="009D6813">
        <w:t xml:space="preserve"> </w:t>
      </w:r>
      <w:r>
        <w:t>– see Appendix 2, Table 1.</w:t>
      </w:r>
    </w:p>
    <w:p w14:paraId="2B0BCC09" w14:textId="77777777" w:rsidR="000A0E77" w:rsidRPr="000A0E77" w:rsidRDefault="000A0E77" w:rsidP="000A0E77"/>
    <w:p w14:paraId="5AA65469" w14:textId="77777777" w:rsidR="00D93FCE" w:rsidRDefault="00D93FCE" w:rsidP="000A0E77">
      <w:pPr>
        <w:sectPr w:rsidR="00D93FCE" w:rsidSect="000A0E77">
          <w:pgSz w:w="11907" w:h="16840" w:code="9"/>
          <w:pgMar w:top="1418" w:right="1701" w:bottom="1134" w:left="1843" w:header="284" w:footer="425" w:gutter="284"/>
          <w:cols w:space="720"/>
        </w:sectPr>
      </w:pPr>
    </w:p>
    <w:p w14:paraId="406899D2" w14:textId="253F35E4" w:rsidR="000A0E77" w:rsidRDefault="00D93FCE" w:rsidP="00D93FCE">
      <w:pPr>
        <w:pStyle w:val="Heading1"/>
        <w:spacing w:before="0"/>
      </w:pPr>
      <w:bookmarkStart w:id="38" w:name="_Toc170134118"/>
      <w:r w:rsidRPr="00D93FCE">
        <w:lastRenderedPageBreak/>
        <w:t>Priority area 4: Workforce</w:t>
      </w:r>
      <w:bookmarkEnd w:id="38"/>
    </w:p>
    <w:p w14:paraId="7B4A8D88" w14:textId="77777777" w:rsidR="00813300" w:rsidRPr="005D5687" w:rsidRDefault="00813300" w:rsidP="00813300">
      <w:pPr>
        <w:rPr>
          <w:rStyle w:val="cf01"/>
          <w:szCs w:val="21"/>
        </w:rPr>
      </w:pPr>
      <w:r>
        <w:rPr>
          <w:rStyle w:val="normaltextrun"/>
          <w:rFonts w:cs="Segoe UI"/>
          <w:szCs w:val="21"/>
        </w:rPr>
        <w:t>The Government expects that the health workforce should</w:t>
      </w:r>
      <w:r w:rsidRPr="004E292D">
        <w:rPr>
          <w:rStyle w:val="normaltextrun"/>
          <w:rFonts w:cs="Segoe UI"/>
          <w:szCs w:val="21"/>
        </w:rPr>
        <w:t xml:space="preserve"> be </w:t>
      </w:r>
      <w:r w:rsidRPr="004E292D">
        <w:rPr>
          <w:rStyle w:val="normaltextrun"/>
          <w:rFonts w:cs="Segoe UI"/>
          <w:b/>
          <w:bCs/>
          <w:szCs w:val="21"/>
        </w:rPr>
        <w:t xml:space="preserve">available </w:t>
      </w:r>
      <w:r w:rsidRPr="004E292D">
        <w:rPr>
          <w:rStyle w:val="normaltextrun"/>
          <w:rFonts w:cs="Segoe UI"/>
          <w:szCs w:val="21"/>
        </w:rPr>
        <w:t xml:space="preserve">and </w:t>
      </w:r>
      <w:r w:rsidRPr="004E292D">
        <w:rPr>
          <w:rStyle w:val="normaltextrun"/>
          <w:rFonts w:cs="Segoe UI"/>
          <w:b/>
          <w:bCs/>
          <w:szCs w:val="21"/>
        </w:rPr>
        <w:t>accessible</w:t>
      </w:r>
      <w:r w:rsidRPr="004E292D">
        <w:rPr>
          <w:rStyle w:val="normaltextrun"/>
          <w:rFonts w:cs="Segoe UI"/>
          <w:szCs w:val="21"/>
        </w:rPr>
        <w:t>, but also need</w:t>
      </w:r>
      <w:r>
        <w:rPr>
          <w:rStyle w:val="normaltextrun"/>
          <w:rFonts w:cs="Segoe UI"/>
          <w:szCs w:val="21"/>
        </w:rPr>
        <w:t>s</w:t>
      </w:r>
      <w:r w:rsidRPr="004E292D">
        <w:rPr>
          <w:rStyle w:val="normaltextrun"/>
          <w:rFonts w:cs="Segoe UI"/>
          <w:szCs w:val="21"/>
        </w:rPr>
        <w:t xml:space="preserve"> to ensure </w:t>
      </w:r>
      <w:r>
        <w:rPr>
          <w:rStyle w:val="normaltextrun"/>
          <w:rFonts w:cs="Segoe UI"/>
          <w:szCs w:val="21"/>
        </w:rPr>
        <w:t>that</w:t>
      </w:r>
      <w:r w:rsidRPr="004E292D">
        <w:rPr>
          <w:rStyle w:val="normaltextrun"/>
          <w:rFonts w:cs="Segoe UI"/>
          <w:szCs w:val="21"/>
        </w:rPr>
        <w:t xml:space="preserve"> they are </w:t>
      </w:r>
      <w:r w:rsidRPr="004E292D">
        <w:rPr>
          <w:rStyle w:val="normaltextrun"/>
          <w:rFonts w:cs="Segoe UI"/>
          <w:b/>
          <w:bCs/>
          <w:szCs w:val="21"/>
        </w:rPr>
        <w:t xml:space="preserve">responsive </w:t>
      </w:r>
      <w:r w:rsidRPr="004E292D">
        <w:rPr>
          <w:rStyle w:val="normaltextrun"/>
          <w:rFonts w:cs="Segoe UI"/>
          <w:szCs w:val="21"/>
        </w:rPr>
        <w:t>to the range and complexity of health needs</w:t>
      </w:r>
      <w:r>
        <w:rPr>
          <w:rStyle w:val="normaltextrun"/>
          <w:rFonts w:cs="Segoe UI"/>
          <w:szCs w:val="21"/>
        </w:rPr>
        <w:t>,</w:t>
      </w:r>
      <w:r w:rsidRPr="004E292D">
        <w:rPr>
          <w:rStyle w:val="normaltextrun"/>
          <w:rFonts w:cs="Segoe UI"/>
          <w:szCs w:val="21"/>
        </w:rPr>
        <w:t xml:space="preserve"> and </w:t>
      </w:r>
      <w:r>
        <w:rPr>
          <w:rStyle w:val="normaltextrun"/>
          <w:rFonts w:cs="Segoe UI"/>
          <w:szCs w:val="21"/>
        </w:rPr>
        <w:t xml:space="preserve">that the workforce </w:t>
      </w:r>
      <w:r w:rsidRPr="004E292D">
        <w:rPr>
          <w:rStyle w:val="normaltextrun"/>
          <w:rFonts w:cs="Segoe UI"/>
          <w:szCs w:val="21"/>
        </w:rPr>
        <w:t>ha</w:t>
      </w:r>
      <w:r>
        <w:rPr>
          <w:rStyle w:val="normaltextrun"/>
          <w:rFonts w:cs="Segoe UI"/>
          <w:szCs w:val="21"/>
        </w:rPr>
        <w:t>s</w:t>
      </w:r>
      <w:r w:rsidRPr="004E292D">
        <w:rPr>
          <w:rStyle w:val="normaltextrun"/>
          <w:rFonts w:cs="Segoe UI"/>
          <w:szCs w:val="21"/>
        </w:rPr>
        <w:t xml:space="preserve"> the development opportunities </w:t>
      </w:r>
      <w:r>
        <w:rPr>
          <w:rStyle w:val="normaltextrun"/>
          <w:rFonts w:cs="Segoe UI"/>
          <w:szCs w:val="21"/>
        </w:rPr>
        <w:t xml:space="preserve">that </w:t>
      </w:r>
      <w:r w:rsidRPr="004E292D">
        <w:rPr>
          <w:rStyle w:val="normaltextrun"/>
          <w:rFonts w:cs="Segoe UI"/>
          <w:szCs w:val="21"/>
        </w:rPr>
        <w:t xml:space="preserve">they require for </w:t>
      </w:r>
      <w:r w:rsidRPr="004E292D">
        <w:rPr>
          <w:rStyle w:val="normaltextrun"/>
          <w:rFonts w:cs="Segoe UI"/>
          <w:b/>
          <w:bCs/>
          <w:szCs w:val="21"/>
        </w:rPr>
        <w:t xml:space="preserve">productivity </w:t>
      </w:r>
      <w:r w:rsidRPr="004E292D">
        <w:rPr>
          <w:rStyle w:val="normaltextrun"/>
          <w:rFonts w:cs="Segoe UI"/>
          <w:szCs w:val="21"/>
        </w:rPr>
        <w:t xml:space="preserve">and delivering </w:t>
      </w:r>
      <w:r w:rsidRPr="004E292D">
        <w:rPr>
          <w:rStyle w:val="normaltextrun"/>
          <w:rFonts w:cs="Segoe UI"/>
          <w:b/>
          <w:bCs/>
          <w:szCs w:val="21"/>
        </w:rPr>
        <w:t xml:space="preserve">quality </w:t>
      </w:r>
      <w:r w:rsidRPr="004E292D">
        <w:rPr>
          <w:rStyle w:val="normaltextrun"/>
          <w:rFonts w:cs="Segoe UI"/>
          <w:szCs w:val="21"/>
        </w:rPr>
        <w:t xml:space="preserve">care across all populations. </w:t>
      </w:r>
    </w:p>
    <w:p w14:paraId="7624A6E5" w14:textId="77777777" w:rsidR="00813300" w:rsidRDefault="00813300" w:rsidP="00813300">
      <w:pPr>
        <w:rPr>
          <w:rFonts w:cs="Segoe UI"/>
          <w:szCs w:val="21"/>
        </w:rPr>
      </w:pPr>
    </w:p>
    <w:p w14:paraId="77238F35" w14:textId="77777777" w:rsidR="00813300" w:rsidRDefault="00813300" w:rsidP="00813300">
      <w:r>
        <w:t xml:space="preserve">Achieving these aspirations requires a systematic approach to the health workforce and can only be done in partnership with education agencies and providers, health regulators, health agencies or entities, employers, and local communities. </w:t>
      </w:r>
    </w:p>
    <w:p w14:paraId="2A39D360" w14:textId="77777777" w:rsidR="00813300" w:rsidRDefault="00813300" w:rsidP="00813300">
      <w:pPr>
        <w:rPr>
          <w:rFonts w:cs="Segoe UI"/>
          <w:szCs w:val="21"/>
        </w:rPr>
      </w:pPr>
    </w:p>
    <w:p w14:paraId="076ECBBE" w14:textId="77777777" w:rsidR="00813300" w:rsidRDefault="00813300" w:rsidP="00813300">
      <w:pPr>
        <w:rPr>
          <w:rFonts w:cs="Segoe UI"/>
          <w:szCs w:val="21"/>
        </w:rPr>
      </w:pPr>
      <w:r>
        <w:rPr>
          <w:rFonts w:cs="Segoe UI"/>
          <w:szCs w:val="21"/>
        </w:rPr>
        <w:t>The health workforce:</w:t>
      </w:r>
    </w:p>
    <w:p w14:paraId="4625569C" w14:textId="77777777" w:rsidR="00813300" w:rsidRDefault="00813300" w:rsidP="00813300">
      <w:pPr>
        <w:pStyle w:val="Bullet"/>
      </w:pPr>
      <w:r>
        <w:t>holds essential knowledge, expertise, and skills for delivering quality care</w:t>
      </w:r>
    </w:p>
    <w:p w14:paraId="21787FDB" w14:textId="77777777" w:rsidR="00813300" w:rsidRDefault="00813300" w:rsidP="00813300">
      <w:pPr>
        <w:pStyle w:val="Bullet"/>
      </w:pPr>
      <w:r>
        <w:t>supports people who need care to manage their own health and wellbeing, including through personalised care and planning</w:t>
      </w:r>
    </w:p>
    <w:p w14:paraId="26CDBE97" w14:textId="77777777" w:rsidR="00813300" w:rsidRDefault="00813300" w:rsidP="00813300">
      <w:pPr>
        <w:pStyle w:val="Bullet"/>
      </w:pPr>
      <w:r>
        <w:t>promotes preventative interventions, including the provision of screening, early intervention, and immunisation services</w:t>
      </w:r>
    </w:p>
    <w:p w14:paraId="6851C261" w14:textId="633D1D2E" w:rsidR="00D93FCE" w:rsidRDefault="00813300" w:rsidP="00813300">
      <w:pPr>
        <w:pStyle w:val="Bullet"/>
      </w:pPr>
      <w:r>
        <w:t>contributes to system improvement through research and innovation.</w:t>
      </w:r>
    </w:p>
    <w:p w14:paraId="4E32D646" w14:textId="77777777" w:rsidR="00D93FCE" w:rsidRDefault="00D93FCE" w:rsidP="00D93FCE">
      <w:pPr>
        <w:rPr>
          <w:rStyle w:val="normaltextrun"/>
          <w:rFonts w:cs="Segoe UI"/>
        </w:rPr>
      </w:pPr>
    </w:p>
    <w:p w14:paraId="2E403EF1" w14:textId="77777777" w:rsidR="001456D4" w:rsidRDefault="001456D4" w:rsidP="001456D4">
      <w:pPr>
        <w:rPr>
          <w:rStyle w:val="normaltextrun"/>
          <w:rFonts w:cs="Segoe UI"/>
        </w:rPr>
      </w:pPr>
      <w:r w:rsidRPr="5E5DC425">
        <w:rPr>
          <w:rStyle w:val="normaltextrun"/>
          <w:rFonts w:cs="Segoe UI"/>
        </w:rPr>
        <w:t>The persistent pressures and challenges facing the health workforce</w:t>
      </w:r>
      <w:r>
        <w:rPr>
          <w:rStyle w:val="normaltextrun"/>
          <w:rFonts w:cs="Segoe UI"/>
        </w:rPr>
        <w:t>,</w:t>
      </w:r>
      <w:r w:rsidRPr="5E5DC425">
        <w:rPr>
          <w:rStyle w:val="normaltextrun"/>
          <w:rFonts w:cs="Segoe UI"/>
        </w:rPr>
        <w:t xml:space="preserve"> both </w:t>
      </w:r>
      <w:r>
        <w:rPr>
          <w:rStyle w:val="normaltextrun"/>
          <w:rFonts w:cs="Segoe UI"/>
        </w:rPr>
        <w:t>within New Zealand</w:t>
      </w:r>
      <w:r w:rsidRPr="5E5DC425">
        <w:rPr>
          <w:rStyle w:val="normaltextrun"/>
          <w:rFonts w:cs="Segoe UI"/>
        </w:rPr>
        <w:t xml:space="preserve"> and globally, have significant impacts on the delivery of </w:t>
      </w:r>
      <w:r>
        <w:rPr>
          <w:rStyle w:val="normaltextrun"/>
          <w:rFonts w:cs="Segoe UI"/>
        </w:rPr>
        <w:t>health care</w:t>
      </w:r>
      <w:r w:rsidRPr="5E5DC425">
        <w:rPr>
          <w:rStyle w:val="normaltextrun"/>
          <w:rFonts w:cs="Segoe UI"/>
        </w:rPr>
        <w:t xml:space="preserve"> and our outcomes for the workforce</w:t>
      </w:r>
      <w:r>
        <w:rPr>
          <w:rStyle w:val="normaltextrun"/>
          <w:rFonts w:cs="Segoe UI"/>
        </w:rPr>
        <w:t>.</w:t>
      </w:r>
    </w:p>
    <w:p w14:paraId="71BB670F" w14:textId="77777777" w:rsidR="001456D4" w:rsidRPr="00E21119" w:rsidRDefault="001456D4" w:rsidP="001456D4">
      <w:pPr>
        <w:pStyle w:val="Bullet"/>
        <w:rPr>
          <w:rStyle w:val="normaltextrun"/>
          <w:rFonts w:cs="Segoe UI"/>
          <w:szCs w:val="21"/>
        </w:rPr>
      </w:pPr>
      <w:r w:rsidRPr="00E21119">
        <w:rPr>
          <w:rStyle w:val="normaltextrun"/>
          <w:rFonts w:cs="Segoe UI"/>
          <w:szCs w:val="21"/>
        </w:rPr>
        <w:t xml:space="preserve">There are workforce shortages across all health professions. This means there </w:t>
      </w:r>
      <w:r>
        <w:rPr>
          <w:rStyle w:val="normaltextrun"/>
          <w:rFonts w:cs="Segoe UI"/>
          <w:szCs w:val="21"/>
        </w:rPr>
        <w:t>are</w:t>
      </w:r>
      <w:r w:rsidRPr="00E21119">
        <w:rPr>
          <w:rStyle w:val="normaltextrun"/>
          <w:rFonts w:cs="Segoe UI"/>
          <w:szCs w:val="21"/>
        </w:rPr>
        <w:t xml:space="preserve"> fewer health workers available to provide care, which can negatively impact health outcomes. For example</w:t>
      </w:r>
      <w:r>
        <w:rPr>
          <w:rStyle w:val="normaltextrun"/>
          <w:rFonts w:cs="Segoe UI"/>
          <w:szCs w:val="21"/>
        </w:rPr>
        <w:t>,</w:t>
      </w:r>
      <w:r w:rsidRPr="00E21119">
        <w:rPr>
          <w:rStyle w:val="normaltextrun"/>
          <w:rFonts w:cs="Segoe UI"/>
          <w:szCs w:val="21"/>
        </w:rPr>
        <w:t xml:space="preserve"> vacancy rates across mental health and addiction services rose from 6% in 2018 to 11% in 2022, placing additional pressure on the existing workforce. </w:t>
      </w:r>
    </w:p>
    <w:p w14:paraId="3D6D9D8A" w14:textId="77777777" w:rsidR="001456D4" w:rsidRPr="00E21119" w:rsidRDefault="001456D4" w:rsidP="001456D4">
      <w:pPr>
        <w:pStyle w:val="Bullet"/>
        <w:rPr>
          <w:rStyle w:val="normaltextrun"/>
          <w:rFonts w:cs="Segoe UI"/>
          <w:szCs w:val="21"/>
        </w:rPr>
      </w:pPr>
      <w:r w:rsidRPr="00E21119">
        <w:rPr>
          <w:rStyle w:val="normaltextrun"/>
          <w:rFonts w:cs="Segoe UI"/>
          <w:szCs w:val="21"/>
        </w:rPr>
        <w:t>Workforce wellbeing is at risk</w:t>
      </w:r>
      <w:r>
        <w:rPr>
          <w:rStyle w:val="normaltextrun"/>
          <w:rFonts w:cs="Segoe UI"/>
          <w:szCs w:val="21"/>
        </w:rPr>
        <w:t xml:space="preserve"> from the shortages and high workload pressures,</w:t>
      </w:r>
      <w:r w:rsidRPr="00E21119">
        <w:rPr>
          <w:rStyle w:val="normaltextrun"/>
          <w:rFonts w:cs="Segoe UI"/>
          <w:szCs w:val="21"/>
        </w:rPr>
        <w:t xml:space="preserve"> resulting in increasing attrition rates, workforce burnout, fatigue, emotional distress</w:t>
      </w:r>
      <w:r>
        <w:rPr>
          <w:rStyle w:val="normaltextrun"/>
          <w:rFonts w:cs="Segoe UI"/>
          <w:szCs w:val="21"/>
        </w:rPr>
        <w:t>,</w:t>
      </w:r>
      <w:r w:rsidRPr="00E21119">
        <w:rPr>
          <w:rStyle w:val="normaltextrun"/>
          <w:rFonts w:cs="Segoe UI"/>
          <w:szCs w:val="21"/>
        </w:rPr>
        <w:t xml:space="preserve"> and job dissatisfaction.</w:t>
      </w:r>
    </w:p>
    <w:p w14:paraId="314190F9" w14:textId="77777777" w:rsidR="001456D4" w:rsidRDefault="001456D4" w:rsidP="001456D4">
      <w:pPr>
        <w:pStyle w:val="Bullet"/>
        <w:rPr>
          <w:rStyle w:val="normaltextrun"/>
          <w:rFonts w:cs="Segoe UI"/>
          <w:szCs w:val="21"/>
        </w:rPr>
      </w:pPr>
      <w:r w:rsidRPr="602BD04B">
        <w:rPr>
          <w:rStyle w:val="normaltextrun"/>
          <w:rFonts w:cs="Segoe UI"/>
        </w:rPr>
        <w:t xml:space="preserve">The workforce is not distributed across areas and services </w:t>
      </w:r>
      <w:r>
        <w:rPr>
          <w:rStyle w:val="normaltextrun"/>
          <w:rFonts w:cs="Segoe UI"/>
        </w:rPr>
        <w:t>to</w:t>
      </w:r>
      <w:r w:rsidRPr="602BD04B">
        <w:rPr>
          <w:rStyle w:val="normaltextrun"/>
          <w:rFonts w:cs="Segoe UI"/>
        </w:rPr>
        <w:t xml:space="preserve"> best meet the health needs of communities. Significant workforce gaps in some areas for general practitioners, midwives and dentists impact access to </w:t>
      </w:r>
      <w:r>
        <w:rPr>
          <w:rStyle w:val="normaltextrun"/>
          <w:rFonts w:cs="Segoe UI"/>
        </w:rPr>
        <w:t>health care</w:t>
      </w:r>
      <w:r w:rsidRPr="602BD04B">
        <w:rPr>
          <w:rStyle w:val="normaltextrun"/>
          <w:rFonts w:cs="Segoe UI"/>
        </w:rPr>
        <w:t>, the sustainability of services</w:t>
      </w:r>
      <w:r>
        <w:rPr>
          <w:rStyle w:val="normaltextrun"/>
          <w:rFonts w:cs="Segoe UI"/>
        </w:rPr>
        <w:t xml:space="preserve"> in those areas,</w:t>
      </w:r>
      <w:r w:rsidRPr="602BD04B">
        <w:rPr>
          <w:rStyle w:val="normaltextrun"/>
          <w:rFonts w:cs="Segoe UI"/>
        </w:rPr>
        <w:t xml:space="preserve"> and health outcomes. A different mix of </w:t>
      </w:r>
      <w:r>
        <w:rPr>
          <w:rStyle w:val="normaltextrun"/>
          <w:rFonts w:cs="Segoe UI"/>
        </w:rPr>
        <w:t xml:space="preserve">the </w:t>
      </w:r>
      <w:r w:rsidRPr="602BD04B">
        <w:rPr>
          <w:rStyle w:val="normaltextrun"/>
          <w:rFonts w:cs="Segoe UI"/>
        </w:rPr>
        <w:t xml:space="preserve">workforce in some services, including task or skill sharing, </w:t>
      </w:r>
      <w:r>
        <w:rPr>
          <w:rStyle w:val="normaltextrun"/>
          <w:rFonts w:cs="Segoe UI"/>
        </w:rPr>
        <w:t>could</w:t>
      </w:r>
      <w:r w:rsidRPr="602BD04B">
        <w:rPr>
          <w:rStyle w:val="normaltextrun"/>
          <w:rFonts w:cs="Segoe UI"/>
        </w:rPr>
        <w:t xml:space="preserve"> better support </w:t>
      </w:r>
      <w:r>
        <w:rPr>
          <w:rStyle w:val="normaltextrun"/>
          <w:rFonts w:cs="Segoe UI"/>
        </w:rPr>
        <w:t xml:space="preserve">the </w:t>
      </w:r>
      <w:r w:rsidRPr="602BD04B">
        <w:rPr>
          <w:rStyle w:val="normaltextrun"/>
          <w:rFonts w:cs="Segoe UI"/>
        </w:rPr>
        <w:t>services</w:t>
      </w:r>
      <w:r>
        <w:rPr>
          <w:rStyle w:val="normaltextrun"/>
          <w:rFonts w:cs="Segoe UI"/>
        </w:rPr>
        <w:t xml:space="preserve"> to be</w:t>
      </w:r>
      <w:r w:rsidRPr="602BD04B">
        <w:rPr>
          <w:rStyle w:val="normaltextrun"/>
          <w:rFonts w:cs="Segoe UI"/>
        </w:rPr>
        <w:t xml:space="preserve"> sustainable and meet the variation in </w:t>
      </w:r>
      <w:r>
        <w:rPr>
          <w:rStyle w:val="normaltextrun"/>
          <w:rFonts w:cs="Segoe UI"/>
        </w:rPr>
        <w:t>health care</w:t>
      </w:r>
      <w:r w:rsidRPr="602BD04B">
        <w:rPr>
          <w:rStyle w:val="normaltextrun"/>
          <w:rFonts w:cs="Segoe UI"/>
        </w:rPr>
        <w:t xml:space="preserve"> needs. </w:t>
      </w:r>
    </w:p>
    <w:p w14:paraId="3B637221" w14:textId="77777777" w:rsidR="001456D4" w:rsidRDefault="001456D4" w:rsidP="001456D4">
      <w:pPr>
        <w:pStyle w:val="Bullet"/>
      </w:pPr>
      <w:r>
        <w:t>Some</w:t>
      </w:r>
      <w:r w:rsidRPr="00983A34">
        <w:t xml:space="preserve"> population groups </w:t>
      </w:r>
      <w:r>
        <w:t>remain</w:t>
      </w:r>
      <w:r w:rsidRPr="00983A34">
        <w:t xml:space="preserve"> chronically underrepresented in the </w:t>
      </w:r>
      <w:r>
        <w:t xml:space="preserve">health </w:t>
      </w:r>
      <w:r w:rsidRPr="00983A34">
        <w:t xml:space="preserve">workforce. As </w:t>
      </w:r>
      <w:r>
        <w:t>at</w:t>
      </w:r>
      <w:r w:rsidRPr="00983A34">
        <w:t xml:space="preserve"> July 2023, Health New Zealand’s district workforce comprised 9% Māori and 5% Pacific</w:t>
      </w:r>
      <w:r>
        <w:t xml:space="preserve"> peoples</w:t>
      </w:r>
      <w:r w:rsidRPr="00983A34">
        <w:t>.</w:t>
      </w:r>
      <w:r>
        <w:t xml:space="preserve"> In comparison, as a percentage of the total population, Māori are 18% and Pacific peoples 9% in 2023, with these populations expected to grow. </w:t>
      </w:r>
    </w:p>
    <w:p w14:paraId="711E3560" w14:textId="77777777" w:rsidR="001456D4" w:rsidRPr="00EB5177" w:rsidRDefault="001456D4" w:rsidP="001456D4">
      <w:pPr>
        <w:pStyle w:val="Bullet"/>
      </w:pPr>
      <w:r w:rsidRPr="00EB5177">
        <w:lastRenderedPageBreak/>
        <w:t xml:space="preserve">There are inconsistencies in cultural and disability competency across health professions, limiting the ability of the workforce to meet the needs of Māori, Pacific peoples, disabled peoples and </w:t>
      </w:r>
      <w:r>
        <w:t xml:space="preserve">other </w:t>
      </w:r>
      <w:r w:rsidRPr="00EB5177">
        <w:t xml:space="preserve">ethnic and gender diverse populations. </w:t>
      </w:r>
    </w:p>
    <w:p w14:paraId="7D8DE8D4" w14:textId="77777777" w:rsidR="001456D4" w:rsidRDefault="001456D4" w:rsidP="001456D4">
      <w:pPr>
        <w:rPr>
          <w:rStyle w:val="normaltextrun"/>
          <w:szCs w:val="21"/>
        </w:rPr>
      </w:pPr>
    </w:p>
    <w:p w14:paraId="05032FCB" w14:textId="0FA8F656" w:rsidR="00D93FCE" w:rsidRPr="001456D4" w:rsidRDefault="001456D4" w:rsidP="00D93FCE">
      <w:pPr>
        <w:rPr>
          <w:rStyle w:val="normaltextrun"/>
          <w:rFonts w:cs="Segoe UI"/>
          <w:szCs w:val="21"/>
        </w:rPr>
      </w:pPr>
      <w:r w:rsidRPr="00041D36">
        <w:rPr>
          <w:rStyle w:val="normaltextrun"/>
          <w:szCs w:val="21"/>
        </w:rPr>
        <w:t xml:space="preserve">New Zealand’s health workforce is composed of a </w:t>
      </w:r>
      <w:r>
        <w:rPr>
          <w:rStyle w:val="normaltextrun"/>
          <w:szCs w:val="21"/>
        </w:rPr>
        <w:t>large</w:t>
      </w:r>
      <w:r w:rsidRPr="00041D36">
        <w:rPr>
          <w:rStyle w:val="normaltextrun"/>
          <w:szCs w:val="21"/>
        </w:rPr>
        <w:t xml:space="preserve"> number of highly skilled, internationally trained professionals </w:t>
      </w:r>
      <w:r>
        <w:rPr>
          <w:rStyle w:val="normaltextrun"/>
          <w:szCs w:val="21"/>
        </w:rPr>
        <w:t>who</w:t>
      </w:r>
      <w:r w:rsidRPr="00041D36">
        <w:rPr>
          <w:rStyle w:val="normaltextrun"/>
          <w:szCs w:val="21"/>
        </w:rPr>
        <w:t xml:space="preserve"> are very valuable in our workforce. Since 2008, the proportion of doctors in New Zealand who are internationally trained has remained relatively stable at around 43%, although this differs among workforces (</w:t>
      </w:r>
      <w:r>
        <w:rPr>
          <w:rStyle w:val="normaltextrun"/>
          <w:szCs w:val="21"/>
        </w:rPr>
        <w:t>for example,</w:t>
      </w:r>
      <w:r w:rsidRPr="00041D36">
        <w:rPr>
          <w:rStyle w:val="normaltextrun"/>
          <w:szCs w:val="21"/>
        </w:rPr>
        <w:t xml:space="preserve"> internationally trained psychiatrists made up 63% of their workforce in 2023). The proportion of international nurses as a share of the nursing workforce has been increasing steadily </w:t>
      </w:r>
      <w:r>
        <w:rPr>
          <w:rStyle w:val="normaltextrun"/>
          <w:szCs w:val="21"/>
        </w:rPr>
        <w:t>over</w:t>
      </w:r>
      <w:r w:rsidRPr="00041D36">
        <w:rPr>
          <w:rStyle w:val="normaltextrun"/>
          <w:szCs w:val="21"/>
        </w:rPr>
        <w:t xml:space="preserve"> the past decade, from 25% in 2012 to 32% in 2022.</w:t>
      </w:r>
    </w:p>
    <w:p w14:paraId="0E4B1081" w14:textId="1C2E3B71" w:rsidR="00D93FCE" w:rsidRDefault="00D93FCE" w:rsidP="00D93FCE">
      <w:pPr>
        <w:pStyle w:val="Heading2-nonumbering"/>
      </w:pPr>
      <w:bookmarkStart w:id="39" w:name="_Toc170134119"/>
      <w:r>
        <w:t>Changes expected over the next three years</w:t>
      </w:r>
      <w:bookmarkEnd w:id="39"/>
    </w:p>
    <w:p w14:paraId="50FA03C0" w14:textId="576A427C" w:rsidR="001456D4" w:rsidRDefault="001456D4" w:rsidP="001456D4">
      <w:r>
        <w:t>In the short-term, the Government expects a focus on addressing critical health workforce shortages and gaps in cultural competency by expanding domestic training pathways and developing a workforce that is more representative of the New Zealand population. However, there will also be a need to continue to bring skilled health care workers into New Zealand over the medium-term to meet pressing needs.</w:t>
      </w:r>
    </w:p>
    <w:p w14:paraId="226EC7F9" w14:textId="77777777" w:rsidR="001456D4" w:rsidRDefault="001456D4" w:rsidP="001456D4"/>
    <w:p w14:paraId="0EFA7287" w14:textId="77777777" w:rsidR="001456D4" w:rsidRDefault="001456D4" w:rsidP="001456D4">
      <w:r>
        <w:t xml:space="preserve">The health workforce needs to be retained in all health settings and incentivised to work within all communities and settings, particularly geographically isolated areas. This involves creating supportive work environments with strong leadership to ensure that people feel valued and empowered to work to the top of their scope and flexibly across different health settings. </w:t>
      </w:r>
    </w:p>
    <w:p w14:paraId="39085B11" w14:textId="77777777" w:rsidR="001456D4" w:rsidRDefault="001456D4" w:rsidP="001456D4"/>
    <w:p w14:paraId="109A7398" w14:textId="77777777" w:rsidR="001456D4" w:rsidRDefault="001456D4" w:rsidP="001456D4">
      <w:r>
        <w:t>The Government expects the health workforce to have the skills, technology, medical devices and tools they need to deliver innovative models of care that are responsive to the populations they serve. This will provide assurance that people are able to receive timely access to quality health care. It is important to develop and maintain a health workforce that is representative of the community it serves to support meeting the health needs of the population.</w:t>
      </w:r>
    </w:p>
    <w:p w14:paraId="10514E96" w14:textId="77777777" w:rsidR="001456D4" w:rsidRDefault="001456D4" w:rsidP="001456D4"/>
    <w:p w14:paraId="5A979064" w14:textId="1A408518" w:rsidR="00D93FCE" w:rsidRDefault="001456D4" w:rsidP="001456D4">
      <w:r>
        <w:t>These changes would require a systematic approach to developing the health workforce and can only be done in partnership with education agencies and providers, health regulators, health agencies and entities, employers, and local communities</w:t>
      </w:r>
      <w:r w:rsidR="00D93FCE">
        <w:t>.</w:t>
      </w:r>
    </w:p>
    <w:p w14:paraId="57D538FD" w14:textId="77777777" w:rsidR="009E6853" w:rsidRDefault="009E6853" w:rsidP="0075135B">
      <w:r>
        <w:br w:type="page"/>
      </w:r>
    </w:p>
    <w:p w14:paraId="7D53525A" w14:textId="3B196219" w:rsidR="000A0E77" w:rsidRDefault="00D93FCE" w:rsidP="00D93FCE">
      <w:pPr>
        <w:pStyle w:val="Heading2-nonumbering"/>
      </w:pPr>
      <w:bookmarkStart w:id="40" w:name="_Toc170134120"/>
      <w:r>
        <w:lastRenderedPageBreak/>
        <w:t>Objectives and expectations for the next three years</w:t>
      </w:r>
      <w:bookmarkEnd w:id="40"/>
    </w:p>
    <w:tbl>
      <w:tblPr>
        <w:tblStyle w:val="TableGrid1"/>
        <w:tblW w:w="8217" w:type="dxa"/>
        <w:tblInd w:w="0" w:type="dxa"/>
        <w:tblBorders>
          <w:top w:val="single" w:sz="4" w:space="0" w:color="A5A5A5"/>
          <w:left w:val="none" w:sz="0" w:space="0" w:color="auto"/>
          <w:bottom w:val="single" w:sz="4" w:space="0" w:color="A5A5A5"/>
          <w:right w:val="none" w:sz="0" w:space="0" w:color="auto"/>
          <w:insideH w:val="single" w:sz="4" w:space="0" w:color="A5A5A5"/>
          <w:insideV w:val="none" w:sz="0" w:space="0" w:color="auto"/>
        </w:tblBorders>
        <w:tblLayout w:type="fixed"/>
        <w:tblCellMar>
          <w:left w:w="85" w:type="dxa"/>
          <w:right w:w="57" w:type="dxa"/>
        </w:tblCellMar>
        <w:tblLook w:val="04A0" w:firstRow="1" w:lastRow="0" w:firstColumn="1" w:lastColumn="0" w:noHBand="0" w:noVBand="1"/>
      </w:tblPr>
      <w:tblGrid>
        <w:gridCol w:w="2835"/>
        <w:gridCol w:w="5382"/>
      </w:tblGrid>
      <w:tr w:rsidR="00D93FCE" w:rsidRPr="00D93FCE" w14:paraId="4B1AE655" w14:textId="77777777" w:rsidTr="0075595B">
        <w:trPr>
          <w:tblHeader/>
        </w:trPr>
        <w:tc>
          <w:tcPr>
            <w:tcW w:w="2835" w:type="dxa"/>
            <w:tcBorders>
              <w:top w:val="nil"/>
              <w:bottom w:val="nil"/>
            </w:tcBorders>
            <w:shd w:val="clear" w:color="auto" w:fill="D9D9D9"/>
            <w:vAlign w:val="center"/>
            <w:hideMark/>
          </w:tcPr>
          <w:p w14:paraId="40EEDE85" w14:textId="77777777" w:rsidR="00D93FCE" w:rsidRPr="00D93FCE" w:rsidRDefault="00D93FCE" w:rsidP="00D93FCE">
            <w:pPr>
              <w:keepNext/>
              <w:spacing w:before="80" w:after="80"/>
              <w:rPr>
                <w:rFonts w:cs="Segoe UI"/>
                <w:b/>
                <w:sz w:val="18"/>
                <w:szCs w:val="18"/>
                <w:lang w:eastAsia="en-NZ"/>
              </w:rPr>
            </w:pPr>
            <w:r w:rsidRPr="00D93FCE">
              <w:rPr>
                <w:rFonts w:cs="Segoe UI"/>
                <w:b/>
                <w:sz w:val="18"/>
                <w:szCs w:val="18"/>
                <w:lang w:eastAsia="en-NZ"/>
              </w:rPr>
              <w:t>Objective</w:t>
            </w:r>
          </w:p>
        </w:tc>
        <w:tc>
          <w:tcPr>
            <w:tcW w:w="5382" w:type="dxa"/>
            <w:tcBorders>
              <w:top w:val="nil"/>
              <w:bottom w:val="nil"/>
            </w:tcBorders>
            <w:shd w:val="clear" w:color="auto" w:fill="D9D9D9"/>
            <w:vAlign w:val="center"/>
            <w:hideMark/>
          </w:tcPr>
          <w:p w14:paraId="26DB6E15" w14:textId="77777777" w:rsidR="00D93FCE" w:rsidRPr="00D93FCE" w:rsidRDefault="00D93FCE" w:rsidP="00D93FCE">
            <w:pPr>
              <w:keepNext/>
              <w:spacing w:before="80" w:after="80"/>
              <w:rPr>
                <w:rFonts w:cs="Segoe UI"/>
                <w:sz w:val="18"/>
                <w:szCs w:val="18"/>
                <w:lang w:eastAsia="en-NZ"/>
              </w:rPr>
            </w:pPr>
            <w:r w:rsidRPr="00D93FCE">
              <w:rPr>
                <w:rFonts w:cs="Segoe UI"/>
                <w:b/>
                <w:sz w:val="18"/>
                <w:szCs w:val="18"/>
                <w:lang w:eastAsia="en-NZ"/>
              </w:rPr>
              <w:t>Expectations</w:t>
            </w:r>
          </w:p>
        </w:tc>
      </w:tr>
      <w:tr w:rsidR="001456D4" w:rsidRPr="00D93FCE" w14:paraId="0E87E5C9" w14:textId="77777777" w:rsidTr="0075595B">
        <w:tc>
          <w:tcPr>
            <w:tcW w:w="2835" w:type="dxa"/>
            <w:tcBorders>
              <w:top w:val="nil"/>
            </w:tcBorders>
          </w:tcPr>
          <w:p w14:paraId="62032863" w14:textId="296E92E9" w:rsidR="001456D4" w:rsidRPr="00D93FCE" w:rsidRDefault="001456D4" w:rsidP="001456D4">
            <w:pPr>
              <w:pStyle w:val="TableText"/>
              <w:rPr>
                <w:rFonts w:cs="Segoe UI"/>
                <w:lang w:eastAsia="en-NZ"/>
              </w:rPr>
            </w:pPr>
            <w:r w:rsidRPr="00D976B3">
              <w:t xml:space="preserve">4.1 Improve training pathways and develop a more culturally safe and competent workforce. </w:t>
            </w:r>
          </w:p>
        </w:tc>
        <w:tc>
          <w:tcPr>
            <w:tcW w:w="5382" w:type="dxa"/>
            <w:tcBorders>
              <w:top w:val="nil"/>
            </w:tcBorders>
          </w:tcPr>
          <w:p w14:paraId="35028430" w14:textId="77777777" w:rsidR="001456D4" w:rsidRPr="00B1764F" w:rsidRDefault="001456D4" w:rsidP="001456D4">
            <w:pPr>
              <w:pStyle w:val="TableBullet"/>
              <w:framePr w:wrap="around"/>
              <w:rPr>
                <w:rFonts w:eastAsia="Calibri"/>
                <w:szCs w:val="18"/>
                <w:lang w:val="en-US"/>
              </w:rPr>
            </w:pPr>
            <w:r w:rsidRPr="0071EF83">
              <w:rPr>
                <w:rFonts w:cs="Segoe UI"/>
              </w:rPr>
              <w:t>Increase the capacity of</w:t>
            </w:r>
            <w:r w:rsidRPr="0071EF83">
              <w:rPr>
                <w:lang w:val="en-US"/>
              </w:rPr>
              <w:t xml:space="preserve"> the mental health and addiction workforce, including </w:t>
            </w:r>
            <w:r>
              <w:rPr>
                <w:lang w:val="en-US"/>
              </w:rPr>
              <w:t>by increasing the</w:t>
            </w:r>
            <w:r w:rsidRPr="0071EF83">
              <w:rPr>
                <w:lang w:val="en-US"/>
              </w:rPr>
              <w:t xml:space="preserve"> training places for clinical psychologists and psychiatrists and growing the Consumer, Peer Support and Lived Experience (CPSLE) workforc</w:t>
            </w:r>
            <w:r>
              <w:rPr>
                <w:lang w:val="en-US"/>
              </w:rPr>
              <w:t>e.</w:t>
            </w:r>
          </w:p>
          <w:p w14:paraId="3C95F53D" w14:textId="77777777" w:rsidR="001456D4" w:rsidRPr="00A270CF" w:rsidRDefault="001456D4" w:rsidP="001456D4">
            <w:pPr>
              <w:pStyle w:val="TableBullet"/>
              <w:framePr w:wrap="around"/>
              <w:rPr>
                <w:rFonts w:cs="Segoe UI"/>
              </w:rPr>
            </w:pPr>
            <w:r>
              <w:rPr>
                <w:lang w:val="en-US"/>
              </w:rPr>
              <w:t xml:space="preserve">Improve access to domestic training pathways to deliver a culturally competent </w:t>
            </w:r>
            <w:r w:rsidRPr="003B4E2B">
              <w:t xml:space="preserve">and home-grown </w:t>
            </w:r>
            <w:r>
              <w:rPr>
                <w:lang w:val="en-US"/>
              </w:rPr>
              <w:t>workforce</w:t>
            </w:r>
            <w:r w:rsidRPr="0071EF83">
              <w:rPr>
                <w:rFonts w:cs="Segoe UI"/>
              </w:rPr>
              <w:t xml:space="preserve"> </w:t>
            </w:r>
            <w:r>
              <w:rPr>
                <w:rFonts w:cs="Segoe UI"/>
              </w:rPr>
              <w:t xml:space="preserve">that </w:t>
            </w:r>
            <w:r w:rsidRPr="0071EF83">
              <w:rPr>
                <w:rFonts w:cs="Segoe UI"/>
              </w:rPr>
              <w:t>better reflect</w:t>
            </w:r>
            <w:r>
              <w:rPr>
                <w:rFonts w:cs="Segoe UI"/>
              </w:rPr>
              <w:t>s</w:t>
            </w:r>
            <w:r w:rsidRPr="0071EF83">
              <w:rPr>
                <w:rFonts w:cs="Segoe UI"/>
              </w:rPr>
              <w:t xml:space="preserve"> the population of New Zealand as a whole</w:t>
            </w:r>
            <w:r>
              <w:rPr>
                <w:rFonts w:cs="Segoe UI"/>
              </w:rPr>
              <w:t>.</w:t>
            </w:r>
          </w:p>
          <w:p w14:paraId="5FEDE9CB" w14:textId="77777777" w:rsidR="001456D4" w:rsidRPr="00A270CF" w:rsidRDefault="001456D4" w:rsidP="001456D4">
            <w:pPr>
              <w:pStyle w:val="TableBullet"/>
              <w:framePr w:wrap="around"/>
              <w:rPr>
                <w:rFonts w:cs="Segoe UI"/>
              </w:rPr>
            </w:pPr>
            <w:r w:rsidRPr="0071EF83">
              <w:rPr>
                <w:rFonts w:cs="Segoe UI"/>
              </w:rPr>
              <w:t>Improve and encourage career progression</w:t>
            </w:r>
            <w:r>
              <w:rPr>
                <w:rFonts w:cs="Segoe UI"/>
              </w:rPr>
              <w:t xml:space="preserve"> and flexible pathways, </w:t>
            </w:r>
            <w:r w:rsidRPr="0071EF83">
              <w:rPr>
                <w:rFonts w:cs="Segoe UI"/>
              </w:rPr>
              <w:t>including through improving professional development</w:t>
            </w:r>
            <w:r>
              <w:rPr>
                <w:rFonts w:cs="Segoe UI"/>
              </w:rPr>
              <w:t>.</w:t>
            </w:r>
          </w:p>
          <w:p w14:paraId="452EF945" w14:textId="77777777" w:rsidR="001456D4" w:rsidRPr="00A270CF" w:rsidRDefault="001456D4" w:rsidP="001456D4">
            <w:pPr>
              <w:pStyle w:val="TableBullet"/>
              <w:framePr w:wrap="around"/>
              <w:rPr>
                <w:rFonts w:cs="Segoe UI"/>
              </w:rPr>
            </w:pPr>
            <w:r w:rsidRPr="0071EF83">
              <w:rPr>
                <w:rFonts w:cs="Segoe UI"/>
              </w:rPr>
              <w:t xml:space="preserve">Increase training </w:t>
            </w:r>
            <w:r>
              <w:rPr>
                <w:rFonts w:cs="Segoe UI"/>
              </w:rPr>
              <w:t>places</w:t>
            </w:r>
            <w:r w:rsidRPr="0071EF83">
              <w:rPr>
                <w:rFonts w:cs="Segoe UI"/>
              </w:rPr>
              <w:t xml:space="preserve"> for doctors, </w:t>
            </w:r>
            <w:r>
              <w:rPr>
                <w:rFonts w:cs="Segoe UI"/>
              </w:rPr>
              <w:t xml:space="preserve">and grow the numbers of those entering training as </w:t>
            </w:r>
            <w:r w:rsidRPr="0071EF83">
              <w:rPr>
                <w:rFonts w:cs="Segoe UI"/>
              </w:rPr>
              <w:t>nurse</w:t>
            </w:r>
            <w:r>
              <w:rPr>
                <w:rFonts w:cs="Segoe UI"/>
              </w:rPr>
              <w:t xml:space="preserve">s, </w:t>
            </w:r>
            <w:r w:rsidRPr="0071EF83">
              <w:rPr>
                <w:rFonts w:cs="Segoe UI"/>
              </w:rPr>
              <w:t>midwives</w:t>
            </w:r>
            <w:r>
              <w:rPr>
                <w:rFonts w:cs="Segoe UI"/>
              </w:rPr>
              <w:t xml:space="preserve"> and allied health roles.</w:t>
            </w:r>
          </w:p>
          <w:p w14:paraId="71DEE1C3" w14:textId="361DB4D1" w:rsidR="001456D4" w:rsidRPr="00D93FCE" w:rsidRDefault="001456D4" w:rsidP="001456D4">
            <w:pPr>
              <w:pStyle w:val="TableBullet"/>
              <w:framePr w:wrap="around"/>
              <w:rPr>
                <w:rFonts w:eastAsia="Calibri" w:cs="Segoe UI"/>
                <w:lang w:val="en-GB"/>
              </w:rPr>
            </w:pPr>
            <w:r>
              <w:rPr>
                <w:rFonts w:cs="Segoe UI"/>
              </w:rPr>
              <w:t>Develop</w:t>
            </w:r>
            <w:r w:rsidRPr="0071EF83">
              <w:rPr>
                <w:rFonts w:cs="Segoe UI"/>
              </w:rPr>
              <w:t xml:space="preserve"> the public and population health workforce to </w:t>
            </w:r>
            <w:r>
              <w:rPr>
                <w:rFonts w:cstheme="minorBidi"/>
                <w:lang w:val="en-US"/>
              </w:rPr>
              <w:t>support</w:t>
            </w:r>
            <w:r w:rsidRPr="0071EF83">
              <w:rPr>
                <w:rFonts w:cstheme="minorBidi"/>
                <w:lang w:val="en-US"/>
              </w:rPr>
              <w:t xml:space="preserve"> ongoing pandemic preparedness and a strengthened focus on prevention</w:t>
            </w:r>
            <w:r>
              <w:rPr>
                <w:rFonts w:cstheme="minorBidi"/>
                <w:lang w:val="en-US"/>
              </w:rPr>
              <w:t>.</w:t>
            </w:r>
          </w:p>
        </w:tc>
      </w:tr>
      <w:tr w:rsidR="001456D4" w:rsidRPr="00D93FCE" w14:paraId="6874AC16" w14:textId="77777777" w:rsidTr="0075595B">
        <w:tc>
          <w:tcPr>
            <w:tcW w:w="2835" w:type="dxa"/>
          </w:tcPr>
          <w:p w14:paraId="0E8711E3" w14:textId="269A25D9" w:rsidR="001456D4" w:rsidRPr="00D93FCE" w:rsidRDefault="001456D4" w:rsidP="001456D4">
            <w:pPr>
              <w:pStyle w:val="TableText"/>
              <w:rPr>
                <w:bCs/>
                <w:lang w:val="en-GB"/>
              </w:rPr>
            </w:pPr>
            <w:bookmarkStart w:id="41" w:name="_Hlk163644767"/>
            <w:r w:rsidRPr="00D976B3">
              <w:t>4.2 Strengthen health system leadership locally, regionally and nationally.</w:t>
            </w:r>
          </w:p>
        </w:tc>
        <w:tc>
          <w:tcPr>
            <w:tcW w:w="5382" w:type="dxa"/>
          </w:tcPr>
          <w:p w14:paraId="3F6C6846" w14:textId="77777777" w:rsidR="001456D4" w:rsidRPr="00A270CF" w:rsidRDefault="001456D4" w:rsidP="001456D4">
            <w:pPr>
              <w:pStyle w:val="TableBullet"/>
              <w:framePr w:wrap="around"/>
              <w:rPr>
                <w:rFonts w:cs="Segoe UI"/>
              </w:rPr>
            </w:pPr>
            <w:r w:rsidRPr="0071EF83">
              <w:rPr>
                <w:rFonts w:cs="Segoe UI"/>
              </w:rPr>
              <w:t>Ensure public health, primary</w:t>
            </w:r>
            <w:r>
              <w:rPr>
                <w:rFonts w:cs="Segoe UI"/>
              </w:rPr>
              <w:t>,</w:t>
            </w:r>
            <w:r w:rsidRPr="0071EF83">
              <w:rPr>
                <w:rFonts w:cs="Segoe UI"/>
              </w:rPr>
              <w:t xml:space="preserve"> and community </w:t>
            </w:r>
            <w:r>
              <w:rPr>
                <w:rFonts w:cs="Segoe UI"/>
              </w:rPr>
              <w:t>health care</w:t>
            </w:r>
            <w:r w:rsidRPr="0071EF83">
              <w:rPr>
                <w:rFonts w:cs="Segoe UI"/>
              </w:rPr>
              <w:t xml:space="preserve"> services better enable local leadership in their design, delivery</w:t>
            </w:r>
            <w:r>
              <w:rPr>
                <w:rFonts w:cs="Segoe UI"/>
              </w:rPr>
              <w:t xml:space="preserve">, </w:t>
            </w:r>
            <w:r w:rsidRPr="0071EF83">
              <w:rPr>
                <w:rFonts w:cs="Segoe UI"/>
              </w:rPr>
              <w:t>and integration</w:t>
            </w:r>
            <w:r>
              <w:rPr>
                <w:rFonts w:cs="Segoe UI"/>
              </w:rPr>
              <w:t>.</w:t>
            </w:r>
          </w:p>
          <w:p w14:paraId="36FB7999" w14:textId="3CE9117B" w:rsidR="001456D4" w:rsidRPr="00D93FCE" w:rsidRDefault="001456D4" w:rsidP="001456D4">
            <w:pPr>
              <w:pStyle w:val="TableBullet"/>
              <w:framePr w:wrap="around"/>
              <w:rPr>
                <w:rFonts w:cs="Segoe UI"/>
                <w:lang w:val="en-GB"/>
              </w:rPr>
            </w:pPr>
            <w:r w:rsidRPr="0071EF83">
              <w:rPr>
                <w:rFonts w:eastAsiaTheme="minorEastAsia" w:cs="Segoe UI"/>
              </w:rPr>
              <w:t>Develop leadership programmes</w:t>
            </w:r>
            <w:r>
              <w:rPr>
                <w:rFonts w:eastAsiaTheme="minorEastAsia" w:cs="Segoe UI"/>
              </w:rPr>
              <w:t>, including</w:t>
            </w:r>
            <w:r w:rsidRPr="0071EF83">
              <w:rPr>
                <w:rFonts w:eastAsiaTheme="minorEastAsia" w:cs="Segoe UI"/>
              </w:rPr>
              <w:t xml:space="preserve"> invest</w:t>
            </w:r>
            <w:r>
              <w:rPr>
                <w:rFonts w:eastAsiaTheme="minorEastAsia" w:cs="Segoe UI"/>
              </w:rPr>
              <w:t>ing</w:t>
            </w:r>
            <w:r w:rsidRPr="0071EF83">
              <w:rPr>
                <w:rFonts w:eastAsiaTheme="minorEastAsia" w:cs="Segoe UI"/>
              </w:rPr>
              <w:t xml:space="preserve"> in aspiring Māori health leaders</w:t>
            </w:r>
            <w:r>
              <w:rPr>
                <w:rFonts w:eastAsiaTheme="minorEastAsia" w:cs="Segoe UI"/>
              </w:rPr>
              <w:t xml:space="preserve"> and </w:t>
            </w:r>
            <w:r w:rsidRPr="0071EF83">
              <w:rPr>
                <w:rFonts w:eastAsiaTheme="minorEastAsia" w:cs="Segoe UI"/>
              </w:rPr>
              <w:t>rangatahi</w:t>
            </w:r>
            <w:r>
              <w:rPr>
                <w:rFonts w:eastAsiaTheme="minorEastAsia" w:cs="Segoe UI"/>
              </w:rPr>
              <w:t>, as well as Pacific peoples and disabled people</w:t>
            </w:r>
            <w:r>
              <w:rPr>
                <w:rFonts w:cs="Segoe UI"/>
              </w:rPr>
              <w:t>.</w:t>
            </w:r>
          </w:p>
        </w:tc>
      </w:tr>
      <w:bookmarkEnd w:id="41"/>
      <w:tr w:rsidR="001456D4" w:rsidRPr="00D93FCE" w14:paraId="084FB508" w14:textId="77777777" w:rsidTr="0075595B">
        <w:tc>
          <w:tcPr>
            <w:tcW w:w="2835" w:type="dxa"/>
          </w:tcPr>
          <w:p w14:paraId="5EFAA919" w14:textId="6908838A" w:rsidR="001456D4" w:rsidRPr="00D93FCE" w:rsidRDefault="001456D4" w:rsidP="001456D4">
            <w:pPr>
              <w:pStyle w:val="TableText"/>
              <w:rPr>
                <w:rFonts w:cs="Segoe UI"/>
                <w:lang w:eastAsia="en-NZ"/>
              </w:rPr>
            </w:pPr>
            <w:r w:rsidRPr="00D976B3">
              <w:t xml:space="preserve">4.3 Retain, value, and recognise the workforce. </w:t>
            </w:r>
          </w:p>
        </w:tc>
        <w:tc>
          <w:tcPr>
            <w:tcW w:w="5382" w:type="dxa"/>
          </w:tcPr>
          <w:p w14:paraId="2FD2EF2B" w14:textId="77777777" w:rsidR="001456D4" w:rsidRDefault="001456D4" w:rsidP="001456D4">
            <w:pPr>
              <w:pStyle w:val="TableBullet"/>
              <w:framePr w:wrap="around"/>
              <w:rPr>
                <w:rFonts w:cs="Segoe UI"/>
              </w:rPr>
            </w:pPr>
            <w:r w:rsidRPr="0071EF83">
              <w:rPr>
                <w:rFonts w:cs="Segoe UI"/>
              </w:rPr>
              <w:t>Improve</w:t>
            </w:r>
            <w:r>
              <w:rPr>
                <w:rFonts w:cs="Segoe UI"/>
              </w:rPr>
              <w:t xml:space="preserve"> recruitment and retention of the health workforce. </w:t>
            </w:r>
          </w:p>
          <w:p w14:paraId="4A2E1AA3" w14:textId="77777777" w:rsidR="001456D4" w:rsidRPr="00A270CF" w:rsidRDefault="001456D4" w:rsidP="001456D4">
            <w:pPr>
              <w:pStyle w:val="TableBullet"/>
              <w:framePr w:wrap="around"/>
              <w:rPr>
                <w:rFonts w:cs="Segoe UI"/>
              </w:rPr>
            </w:pPr>
            <w:r w:rsidRPr="0071EF83">
              <w:rPr>
                <w:rFonts w:cs="Segoe UI"/>
              </w:rPr>
              <w:t xml:space="preserve">Monitor the </w:t>
            </w:r>
            <w:r w:rsidRPr="0071EF83">
              <w:rPr>
                <w:rFonts w:cstheme="minorBidi"/>
                <w:lang w:val="en-US"/>
              </w:rPr>
              <w:t xml:space="preserve">experience of health workers and target initiatives at issues that improve </w:t>
            </w:r>
            <w:r>
              <w:rPr>
                <w:rFonts w:cstheme="minorBidi"/>
                <w:lang w:val="en-US"/>
              </w:rPr>
              <w:t>workers’</w:t>
            </w:r>
            <w:r w:rsidRPr="0071EF83">
              <w:rPr>
                <w:rFonts w:cstheme="minorBidi"/>
                <w:lang w:val="en-US"/>
              </w:rPr>
              <w:t xml:space="preserve"> experience</w:t>
            </w:r>
            <w:r>
              <w:rPr>
                <w:rFonts w:cstheme="minorBidi"/>
                <w:lang w:val="en-US"/>
              </w:rPr>
              <w:t>s</w:t>
            </w:r>
            <w:r w:rsidRPr="0071EF83">
              <w:rPr>
                <w:rFonts w:cstheme="minorBidi"/>
                <w:lang w:val="en-US"/>
              </w:rPr>
              <w:t xml:space="preserve"> and working </w:t>
            </w:r>
            <w:r w:rsidRPr="13E1C490">
              <w:rPr>
                <w:rFonts w:cstheme="minorBidi"/>
                <w:lang w:val="en-US"/>
              </w:rPr>
              <w:t>environment</w:t>
            </w:r>
            <w:r>
              <w:rPr>
                <w:rFonts w:cstheme="minorBidi"/>
                <w:lang w:val="en-US"/>
              </w:rPr>
              <w:t>s.</w:t>
            </w:r>
          </w:p>
          <w:p w14:paraId="65C0CD22" w14:textId="77777777" w:rsidR="001456D4" w:rsidRDefault="001456D4" w:rsidP="001456D4">
            <w:pPr>
              <w:pStyle w:val="TableBullet"/>
              <w:framePr w:wrap="around"/>
              <w:rPr>
                <w:rFonts w:cs="Segoe UI"/>
              </w:rPr>
            </w:pPr>
            <w:r w:rsidRPr="0071EF83">
              <w:rPr>
                <w:rFonts w:cs="Segoe UI"/>
              </w:rPr>
              <w:t xml:space="preserve">Better recognise people with </w:t>
            </w:r>
            <w:r>
              <w:rPr>
                <w:rFonts w:cs="Segoe UI"/>
              </w:rPr>
              <w:t>international</w:t>
            </w:r>
            <w:r w:rsidRPr="0071EF83">
              <w:rPr>
                <w:rFonts w:cs="Segoe UI"/>
              </w:rPr>
              <w:t xml:space="preserve"> medical qualifications and experience for accreditation in New Zealand</w:t>
            </w:r>
            <w:r>
              <w:rPr>
                <w:rFonts w:cs="Segoe UI"/>
              </w:rPr>
              <w:t>.</w:t>
            </w:r>
          </w:p>
          <w:p w14:paraId="308A7D1A" w14:textId="77777777" w:rsidR="001456D4" w:rsidRDefault="001456D4" w:rsidP="001456D4">
            <w:pPr>
              <w:pStyle w:val="TableBullet"/>
              <w:framePr w:wrap="around"/>
              <w:rPr>
                <w:rFonts w:cs="Segoe UI"/>
              </w:rPr>
            </w:pPr>
            <w:r>
              <w:rPr>
                <w:rFonts w:cs="Segoe UI"/>
              </w:rPr>
              <w:t>Create employment settings that allow for more workforce mobility within and between professions. This could include through role descriptions and service design.</w:t>
            </w:r>
          </w:p>
          <w:p w14:paraId="5CC18D1F" w14:textId="4BEE0990" w:rsidR="001456D4" w:rsidRPr="00D93FCE" w:rsidRDefault="001456D4" w:rsidP="001456D4">
            <w:pPr>
              <w:pStyle w:val="TableBullet"/>
              <w:framePr w:wrap="around"/>
              <w:rPr>
                <w:rFonts w:cs="Segoe UI"/>
                <w:lang w:val="en-GB"/>
              </w:rPr>
            </w:pPr>
            <w:r>
              <w:rPr>
                <w:rFonts w:cs="Segoe UI"/>
              </w:rPr>
              <w:t>Review regulatory settings related to the health workforce.</w:t>
            </w:r>
          </w:p>
        </w:tc>
      </w:tr>
      <w:tr w:rsidR="001456D4" w:rsidRPr="00D93FCE" w14:paraId="35C54BCC" w14:textId="77777777" w:rsidTr="0075595B">
        <w:tc>
          <w:tcPr>
            <w:tcW w:w="2835" w:type="dxa"/>
          </w:tcPr>
          <w:p w14:paraId="74E0B46B" w14:textId="728D288E" w:rsidR="001456D4" w:rsidRPr="00D93FCE" w:rsidRDefault="001456D4" w:rsidP="001456D4">
            <w:pPr>
              <w:pStyle w:val="TableText"/>
              <w:rPr>
                <w:bCs/>
                <w:lang w:val="en-GB"/>
              </w:rPr>
            </w:pPr>
            <w:r w:rsidRPr="00D976B3">
              <w:t>4.4 Recruit for workforce gaps.</w:t>
            </w:r>
          </w:p>
        </w:tc>
        <w:tc>
          <w:tcPr>
            <w:tcW w:w="5382" w:type="dxa"/>
          </w:tcPr>
          <w:p w14:paraId="6B7655C5" w14:textId="26417C05" w:rsidR="001456D4" w:rsidRPr="00D93FCE" w:rsidRDefault="001456D4" w:rsidP="001456D4">
            <w:pPr>
              <w:pStyle w:val="TableBullet"/>
              <w:framePr w:wrap="around"/>
              <w:rPr>
                <w:rFonts w:cs="Segoe UI"/>
                <w:lang w:val="en-GB"/>
              </w:rPr>
            </w:pPr>
            <w:r>
              <w:rPr>
                <w:rFonts w:cs="Segoe UI"/>
              </w:rPr>
              <w:t xml:space="preserve">Recruit the international health workforce into areas of high need and vacancy. </w:t>
            </w:r>
          </w:p>
        </w:tc>
      </w:tr>
    </w:tbl>
    <w:p w14:paraId="3A08012A" w14:textId="77777777" w:rsidR="0075135B" w:rsidRDefault="0075135B" w:rsidP="0075135B">
      <w:pPr>
        <w:sectPr w:rsidR="0075135B" w:rsidSect="000A0E77">
          <w:pgSz w:w="11907" w:h="16840" w:code="9"/>
          <w:pgMar w:top="1418" w:right="1701" w:bottom="1134" w:left="1843" w:header="284" w:footer="425" w:gutter="284"/>
          <w:cols w:space="720"/>
        </w:sectPr>
      </w:pPr>
    </w:p>
    <w:p w14:paraId="654F2538" w14:textId="323F1B53" w:rsidR="00D93FCE" w:rsidRDefault="00D93FCE" w:rsidP="0075135B">
      <w:pPr>
        <w:pStyle w:val="Heading3-nonumbering"/>
        <w:spacing w:before="0"/>
      </w:pPr>
      <w:r>
        <w:lastRenderedPageBreak/>
        <w:t xml:space="preserve">A health workforce for New Zealand </w:t>
      </w:r>
    </w:p>
    <w:p w14:paraId="416F74B9" w14:textId="77777777" w:rsidR="001456D4" w:rsidRDefault="001456D4" w:rsidP="001456D4">
      <w:r>
        <w:t xml:space="preserve">A health workforce that is representative of the people it serves will strengthen the health system’s capacity to deliver effective and appropriate services for and with Māori and other population groups. In addition, the whole health workforce must have the necessary skills and competencies to deliver culturally safe and responsive health services that meet the needs of Māori. </w:t>
      </w:r>
    </w:p>
    <w:p w14:paraId="6BDDC1FC" w14:textId="77777777" w:rsidR="001456D4" w:rsidRDefault="001456D4" w:rsidP="001456D4"/>
    <w:p w14:paraId="3567C627" w14:textId="77777777" w:rsidR="001456D4" w:rsidRDefault="001456D4" w:rsidP="001456D4">
      <w:r>
        <w:t>In delivering the objectives and expectations above, health entities must consider how they can contribute to increasing the number of lived experience, credentialled health workers, including kaimahi Māori, across the health workforce, while also ensuring that the entire health workforce can provide culturally safe and responsive health services.</w:t>
      </w:r>
    </w:p>
    <w:p w14:paraId="69298555" w14:textId="77777777" w:rsidR="001456D4" w:rsidRDefault="001456D4" w:rsidP="001456D4"/>
    <w:p w14:paraId="689F7722" w14:textId="1403A268" w:rsidR="00D93FCE" w:rsidRDefault="001456D4" w:rsidP="001456D4">
      <w:r>
        <w:t xml:space="preserve">The examples </w:t>
      </w:r>
      <w:r w:rsidR="00F57B26">
        <w:t xml:space="preserve">below </w:t>
      </w:r>
      <w:r>
        <w:t xml:space="preserve">of expectations for the workforce are anticipated to support improved engagement and improved outcomes for all New Zealanders including populations with higher needs, </w:t>
      </w:r>
      <w:r w:rsidR="0080055A">
        <w:t xml:space="preserve">such as </w:t>
      </w:r>
      <w:r>
        <w:t xml:space="preserve">Māori, Pacific peoples, </w:t>
      </w:r>
      <w:r w:rsidR="00BC3F84">
        <w:t xml:space="preserve">women, </w:t>
      </w:r>
      <w:r>
        <w:t>disabled people, and people living in rural communities</w:t>
      </w:r>
      <w:r w:rsidR="00D93FCE">
        <w:t xml:space="preserve">. </w:t>
      </w:r>
    </w:p>
    <w:p w14:paraId="5F36FC92" w14:textId="77777777" w:rsidR="001456D4" w:rsidRDefault="001456D4" w:rsidP="001456D4">
      <w:pPr>
        <w:pStyle w:val="Bullet"/>
      </w:pPr>
      <w:r>
        <w:t>Growing the Consumer, Peer Support and Lived Experience (CPSLE) workforce for mental health and addiction.</w:t>
      </w:r>
    </w:p>
    <w:p w14:paraId="5B844DD9" w14:textId="77777777" w:rsidR="001456D4" w:rsidRDefault="001456D4" w:rsidP="001456D4">
      <w:pPr>
        <w:pStyle w:val="Bullet"/>
      </w:pPr>
      <w:r>
        <w:t>Improving access to training pathways for key groups including Māori, Pacific peoples, disabled people and people living in rural communities.</w:t>
      </w:r>
    </w:p>
    <w:p w14:paraId="7DAB6262" w14:textId="77777777" w:rsidR="001456D4" w:rsidRDefault="001456D4" w:rsidP="001456D4">
      <w:pPr>
        <w:pStyle w:val="Bullet"/>
      </w:pPr>
      <w:r>
        <w:t>Implementing models of care that optimally use all members of a health care team (including regulated and self-regulated roles).</w:t>
      </w:r>
    </w:p>
    <w:p w14:paraId="32EA40AA" w14:textId="77777777" w:rsidR="001456D4" w:rsidRDefault="001456D4" w:rsidP="001456D4">
      <w:pPr>
        <w:pStyle w:val="Bullet"/>
      </w:pPr>
      <w:r>
        <w:t>Developing Māori leadership programmes and investing in aspiring Māori health leaders, including rangatahi.</w:t>
      </w:r>
    </w:p>
    <w:p w14:paraId="19B331BA" w14:textId="5FBF855C" w:rsidR="00D93FCE" w:rsidRDefault="001456D4" w:rsidP="001456D4">
      <w:pPr>
        <w:pStyle w:val="Bullet"/>
      </w:pPr>
      <w:r>
        <w:t>Delivering care in a culturally competent manner</w:t>
      </w:r>
      <w:r w:rsidR="00D93FCE">
        <w:t>.</w:t>
      </w:r>
    </w:p>
    <w:p w14:paraId="0A8768F7" w14:textId="77777777" w:rsidR="00D93FCE" w:rsidRDefault="00D93FCE" w:rsidP="00D93FCE">
      <w:pPr>
        <w:pStyle w:val="Heading2-nonumbering"/>
      </w:pPr>
      <w:bookmarkStart w:id="42" w:name="_Toc170134121"/>
      <w:r>
        <w:t>Measuring success</w:t>
      </w:r>
      <w:bookmarkEnd w:id="42"/>
    </w:p>
    <w:p w14:paraId="78150F5A" w14:textId="7CD5BB7B" w:rsidR="000A0E77" w:rsidRDefault="00D93FCE" w:rsidP="00D93FCE">
      <w:r>
        <w:t>Workforce priority measures</w:t>
      </w:r>
      <w:r w:rsidR="00833A76">
        <w:t xml:space="preserve"> </w:t>
      </w:r>
      <w:r>
        <w:t>– see Appendix 2, Table 1.</w:t>
      </w:r>
    </w:p>
    <w:p w14:paraId="53F33A0C" w14:textId="77777777" w:rsidR="00D93FCE" w:rsidRDefault="00D93FCE" w:rsidP="00D93FCE">
      <w:pPr>
        <w:sectPr w:rsidR="00D93FCE" w:rsidSect="000A0E77">
          <w:pgSz w:w="11907" w:h="16840" w:code="9"/>
          <w:pgMar w:top="1418" w:right="1701" w:bottom="1134" w:left="1843" w:header="284" w:footer="425" w:gutter="284"/>
          <w:cols w:space="720"/>
        </w:sectPr>
      </w:pPr>
    </w:p>
    <w:p w14:paraId="54F11654" w14:textId="09BAC8F5" w:rsidR="00D93FCE" w:rsidRPr="000A0E77" w:rsidRDefault="00D93FCE" w:rsidP="00D93FCE">
      <w:pPr>
        <w:pStyle w:val="Heading1"/>
        <w:spacing w:before="0"/>
      </w:pPr>
      <w:bookmarkStart w:id="43" w:name="_Toc170134122"/>
      <w:r w:rsidRPr="00D93FCE">
        <w:lastRenderedPageBreak/>
        <w:t>Priority area 5: Infrastructure</w:t>
      </w:r>
      <w:bookmarkEnd w:id="43"/>
    </w:p>
    <w:p w14:paraId="757EC33C" w14:textId="77777777" w:rsidR="00D93FCE" w:rsidRDefault="00D93FCE" w:rsidP="00D93FCE">
      <w:pPr>
        <w:rPr>
          <w:rFonts w:cs="Segoe UI"/>
          <w:szCs w:val="21"/>
        </w:rPr>
      </w:pPr>
      <w:r>
        <w:t xml:space="preserve">The Government expects that </w:t>
      </w:r>
      <w:r w:rsidRPr="00396EB8">
        <w:rPr>
          <w:rFonts w:cs="Segoe UI"/>
          <w:szCs w:val="21"/>
        </w:rPr>
        <w:t>the health system has the digital and physical infrastructure it needs to meet people’s needs now and into the future.</w:t>
      </w:r>
      <w:r>
        <w:rPr>
          <w:rFonts w:cs="Segoe UI"/>
          <w:szCs w:val="21"/>
        </w:rPr>
        <w:t xml:space="preserve"> </w:t>
      </w:r>
    </w:p>
    <w:p w14:paraId="1B14B8C1" w14:textId="77777777" w:rsidR="00D93FCE" w:rsidRDefault="00D93FCE" w:rsidP="00D93FCE">
      <w:pPr>
        <w:rPr>
          <w:rFonts w:cs="Segoe UI"/>
          <w:szCs w:val="21"/>
        </w:rPr>
      </w:pPr>
    </w:p>
    <w:p w14:paraId="05008395" w14:textId="77777777" w:rsidR="00D93FCE" w:rsidRDefault="00D93FCE" w:rsidP="00D93FCE">
      <w:r>
        <w:t>Infrastructure:</w:t>
      </w:r>
    </w:p>
    <w:p w14:paraId="7FC498D5" w14:textId="77777777" w:rsidR="00D93FCE" w:rsidRDefault="00D93FCE" w:rsidP="00D93FCE">
      <w:pPr>
        <w:pStyle w:val="Bullet"/>
      </w:pPr>
      <w:r>
        <w:t>contributes to health care service accessibility and capacity</w:t>
      </w:r>
    </w:p>
    <w:p w14:paraId="34281BF1" w14:textId="77777777" w:rsidR="00D93FCE" w:rsidRDefault="00D93FCE" w:rsidP="00D93FCE">
      <w:pPr>
        <w:pStyle w:val="Bullet"/>
      </w:pPr>
      <w:r>
        <w:t xml:space="preserve">enables the use of technology in health care services, such as telehealth and online mental health and addiction services </w:t>
      </w:r>
    </w:p>
    <w:p w14:paraId="01C4AA12" w14:textId="77777777" w:rsidR="00D93FCE" w:rsidRDefault="00D93FCE" w:rsidP="00D93FCE">
      <w:pPr>
        <w:pStyle w:val="Bullet"/>
      </w:pPr>
      <w:r>
        <w:t>supports efficiency and quality in health care services</w:t>
      </w:r>
    </w:p>
    <w:p w14:paraId="70BD2CE2" w14:textId="77777777" w:rsidR="00D93FCE" w:rsidRDefault="00D93FCE" w:rsidP="00D93FCE">
      <w:pPr>
        <w:pStyle w:val="Bullet"/>
      </w:pPr>
      <w:r>
        <w:t>builds resilience and sustainability in health care services.</w:t>
      </w:r>
    </w:p>
    <w:p w14:paraId="1E8155E4" w14:textId="77777777" w:rsidR="00D93FCE" w:rsidRDefault="00D93FCE" w:rsidP="00D93FCE"/>
    <w:p w14:paraId="246FCAB9" w14:textId="653788A0" w:rsidR="00D93FCE" w:rsidRDefault="00D93FCE" w:rsidP="00D93FCE">
      <w:r>
        <w:t>New Zealand has a number of public hospitals, including publicly funded community hospitals, that are in poor condition and no longer fit for purpose. Information technology infrastructure networks and security are also outdated and unable to manage increased cybersecurity issues, or support evolving health service delivery in the home and within community facilities. H</w:t>
      </w:r>
      <w:r w:rsidRPr="00396EB8">
        <w:t>aving broader digital options can also help with access and timeliness.</w:t>
      </w:r>
    </w:p>
    <w:p w14:paraId="6FC0E5E8" w14:textId="77777777" w:rsidR="00D93FCE" w:rsidRPr="000E26B9" w:rsidRDefault="00D93FCE" w:rsidP="00D93FCE">
      <w:pPr>
        <w:pStyle w:val="Heading2-nonumbering"/>
      </w:pPr>
      <w:bookmarkStart w:id="44" w:name="_Toc159407504"/>
      <w:bookmarkStart w:id="45" w:name="_Toc170134123"/>
      <w:r w:rsidRPr="000E26B9">
        <w:t>Change</w:t>
      </w:r>
      <w:r>
        <w:t>s</w:t>
      </w:r>
      <w:r w:rsidRPr="000E26B9">
        <w:t xml:space="preserve"> </w:t>
      </w:r>
      <w:r>
        <w:t>expected over the next three years</w:t>
      </w:r>
      <w:bookmarkEnd w:id="44"/>
      <w:bookmarkEnd w:id="45"/>
    </w:p>
    <w:p w14:paraId="5640F927" w14:textId="77777777" w:rsidR="00D93FCE" w:rsidRDefault="00D93FCE" w:rsidP="00D93FCE">
      <w:pPr>
        <w:rPr>
          <w:rFonts w:cs="Segoe UI"/>
          <w:szCs w:val="18"/>
          <w:lang w:eastAsia="en-NZ"/>
        </w:rPr>
      </w:pPr>
      <w:r>
        <w:t>Over the next three years, there will be a greater focus on</w:t>
      </w:r>
      <w:r>
        <w:rPr>
          <w:rFonts w:cs="Segoe UI"/>
          <w:szCs w:val="18"/>
          <w:lang w:eastAsia="en-NZ"/>
        </w:rPr>
        <w:t xml:space="preserve"> national planning for asset management and infrastructure investment. This should result in improvements in the quality and timely delivery of infrastructure projects. </w:t>
      </w:r>
    </w:p>
    <w:p w14:paraId="15A34162" w14:textId="77777777" w:rsidR="00D93FCE" w:rsidRDefault="00D93FCE" w:rsidP="00D93FCE">
      <w:pPr>
        <w:rPr>
          <w:rFonts w:cs="Segoe UI"/>
          <w:szCs w:val="18"/>
          <w:lang w:eastAsia="en-NZ"/>
        </w:rPr>
      </w:pPr>
    </w:p>
    <w:p w14:paraId="33101BE0" w14:textId="77777777" w:rsidR="00D93FCE" w:rsidRDefault="00D93FCE" w:rsidP="00D93FCE">
      <w:pPr>
        <w:rPr>
          <w:rFonts w:cs="Segoe UI"/>
          <w:lang w:eastAsia="en-NZ"/>
        </w:rPr>
      </w:pPr>
      <w:r>
        <w:rPr>
          <w:rFonts w:cs="Segoe UI"/>
          <w:szCs w:val="18"/>
          <w:lang w:eastAsia="en-NZ"/>
        </w:rPr>
        <w:t xml:space="preserve">Health entities will deliver infrastructure projects within budget and on time. </w:t>
      </w:r>
      <w:r w:rsidRPr="00A85C76">
        <w:t xml:space="preserve">As part of this, health entities must establish an evidence-based decision-making process to develop and adopt </w:t>
      </w:r>
      <w:r w:rsidRPr="00A85C76">
        <w:rPr>
          <w:rFonts w:cs="Segoe UI"/>
          <w:lang w:eastAsia="en-NZ"/>
        </w:rPr>
        <w:t>digital and innovative solutions, including precision health, nanotechnology and artificial intelligence.</w:t>
      </w:r>
      <w:r>
        <w:rPr>
          <w:rFonts w:cs="Segoe UI"/>
          <w:lang w:eastAsia="en-NZ"/>
        </w:rPr>
        <w:t xml:space="preserve"> </w:t>
      </w:r>
    </w:p>
    <w:p w14:paraId="312D4551" w14:textId="77777777" w:rsidR="009E6853" w:rsidRDefault="009E6853">
      <w:pPr>
        <w:rPr>
          <w:b/>
          <w:color w:val="0A6AB4"/>
          <w:spacing w:val="-5"/>
          <w:sz w:val="40"/>
          <w:szCs w:val="40"/>
        </w:rPr>
      </w:pPr>
      <w:bookmarkStart w:id="46" w:name="_Toc159407505"/>
      <w:r>
        <w:br w:type="page"/>
      </w:r>
    </w:p>
    <w:p w14:paraId="0C0A40F6" w14:textId="29F82EEF" w:rsidR="00D93FCE" w:rsidRDefault="00D93FCE" w:rsidP="00D93FCE">
      <w:pPr>
        <w:pStyle w:val="Heading2-nonumbering"/>
      </w:pPr>
      <w:bookmarkStart w:id="47" w:name="_Toc170134124"/>
      <w:r w:rsidRPr="000E26B9">
        <w:lastRenderedPageBreak/>
        <w:t xml:space="preserve">Objectives and expectations for </w:t>
      </w:r>
      <w:r>
        <w:t>the next three years</w:t>
      </w:r>
      <w:bookmarkEnd w:id="46"/>
      <w:bookmarkEnd w:id="47"/>
      <w:r w:rsidRPr="000E26B9">
        <w:t xml:space="preserve"> </w:t>
      </w:r>
    </w:p>
    <w:tbl>
      <w:tblPr>
        <w:tblStyle w:val="TableGrid2"/>
        <w:tblW w:w="8217" w:type="dxa"/>
        <w:tblInd w:w="0" w:type="dxa"/>
        <w:tblBorders>
          <w:top w:val="single" w:sz="4" w:space="0" w:color="A5A5A5"/>
          <w:left w:val="none" w:sz="0" w:space="0" w:color="auto"/>
          <w:bottom w:val="single" w:sz="4" w:space="0" w:color="A5A5A5"/>
          <w:right w:val="none" w:sz="0" w:space="0" w:color="auto"/>
          <w:insideH w:val="single" w:sz="4" w:space="0" w:color="A5A5A5"/>
          <w:insideV w:val="none" w:sz="0" w:space="0" w:color="auto"/>
        </w:tblBorders>
        <w:tblLayout w:type="fixed"/>
        <w:tblCellMar>
          <w:left w:w="85" w:type="dxa"/>
          <w:right w:w="57" w:type="dxa"/>
        </w:tblCellMar>
        <w:tblLook w:val="04A0" w:firstRow="1" w:lastRow="0" w:firstColumn="1" w:lastColumn="0" w:noHBand="0" w:noVBand="1"/>
      </w:tblPr>
      <w:tblGrid>
        <w:gridCol w:w="2417"/>
        <w:gridCol w:w="5800"/>
      </w:tblGrid>
      <w:tr w:rsidR="00D93FCE" w:rsidRPr="00D93FCE" w14:paraId="3CC436E5" w14:textId="77777777" w:rsidTr="00D93FCE">
        <w:trPr>
          <w:tblHeader/>
        </w:trPr>
        <w:tc>
          <w:tcPr>
            <w:tcW w:w="2417" w:type="dxa"/>
            <w:tcBorders>
              <w:top w:val="nil"/>
              <w:bottom w:val="nil"/>
            </w:tcBorders>
            <w:shd w:val="clear" w:color="auto" w:fill="D9D9D9"/>
            <w:vAlign w:val="center"/>
            <w:hideMark/>
          </w:tcPr>
          <w:p w14:paraId="785BD0AE" w14:textId="77777777" w:rsidR="00D93FCE" w:rsidRPr="00D93FCE" w:rsidRDefault="00D93FCE" w:rsidP="00D93FCE">
            <w:pPr>
              <w:keepNext/>
              <w:spacing w:before="80" w:after="80"/>
              <w:rPr>
                <w:rFonts w:cs="Segoe UI"/>
                <w:b/>
                <w:sz w:val="18"/>
                <w:szCs w:val="18"/>
                <w:lang w:eastAsia="en-NZ"/>
              </w:rPr>
            </w:pPr>
            <w:r w:rsidRPr="00D93FCE">
              <w:rPr>
                <w:rFonts w:cs="Segoe UI"/>
                <w:b/>
                <w:sz w:val="18"/>
                <w:szCs w:val="18"/>
                <w:lang w:eastAsia="en-NZ"/>
              </w:rPr>
              <w:t>Objective</w:t>
            </w:r>
          </w:p>
        </w:tc>
        <w:tc>
          <w:tcPr>
            <w:tcW w:w="5800" w:type="dxa"/>
            <w:tcBorders>
              <w:top w:val="nil"/>
              <w:bottom w:val="nil"/>
            </w:tcBorders>
            <w:shd w:val="clear" w:color="auto" w:fill="D9D9D9"/>
            <w:vAlign w:val="center"/>
            <w:hideMark/>
          </w:tcPr>
          <w:p w14:paraId="75619CAB" w14:textId="77777777" w:rsidR="00D93FCE" w:rsidRPr="00D93FCE" w:rsidRDefault="00D93FCE" w:rsidP="00D93FCE">
            <w:pPr>
              <w:keepNext/>
              <w:spacing w:before="80" w:after="80"/>
              <w:rPr>
                <w:rFonts w:cs="Segoe UI"/>
                <w:sz w:val="18"/>
                <w:szCs w:val="18"/>
                <w:lang w:eastAsia="en-NZ"/>
              </w:rPr>
            </w:pPr>
            <w:r w:rsidRPr="00D93FCE">
              <w:rPr>
                <w:rFonts w:cs="Segoe UI"/>
                <w:b/>
                <w:sz w:val="18"/>
                <w:szCs w:val="18"/>
                <w:lang w:eastAsia="en-NZ"/>
              </w:rPr>
              <w:t>Expectations</w:t>
            </w:r>
          </w:p>
        </w:tc>
      </w:tr>
      <w:tr w:rsidR="001E0951" w:rsidRPr="00D93FCE" w14:paraId="2B5E42D3" w14:textId="77777777" w:rsidTr="00D93FCE">
        <w:tc>
          <w:tcPr>
            <w:tcW w:w="2417" w:type="dxa"/>
            <w:tcBorders>
              <w:top w:val="nil"/>
            </w:tcBorders>
          </w:tcPr>
          <w:p w14:paraId="4E7AC2E3" w14:textId="045000A7" w:rsidR="001E0951" w:rsidRPr="001E0951" w:rsidRDefault="001E0951" w:rsidP="001E0951">
            <w:pPr>
              <w:pStyle w:val="TableText"/>
            </w:pPr>
            <w:r w:rsidRPr="001E0951">
              <w:t>5.1 Long-term national planning.</w:t>
            </w:r>
          </w:p>
        </w:tc>
        <w:tc>
          <w:tcPr>
            <w:tcW w:w="5800" w:type="dxa"/>
            <w:tcBorders>
              <w:top w:val="nil"/>
            </w:tcBorders>
          </w:tcPr>
          <w:p w14:paraId="658269BB" w14:textId="77777777" w:rsidR="001E0951" w:rsidRDefault="001E0951" w:rsidP="001E0951">
            <w:pPr>
              <w:pStyle w:val="TableBullet"/>
              <w:framePr w:wrap="around"/>
            </w:pPr>
            <w:r>
              <w:t>Have in place the structures and operating models to support investment planning and delivery.</w:t>
            </w:r>
          </w:p>
          <w:p w14:paraId="571F170E" w14:textId="2A3DE80A" w:rsidR="001E0951" w:rsidRDefault="001E0951" w:rsidP="001E0951">
            <w:pPr>
              <w:pStyle w:val="TableBullet"/>
              <w:framePr w:wrap="around"/>
            </w:pPr>
            <w:r>
              <w:rPr>
                <w:rStyle w:val="ui-provider"/>
              </w:rPr>
              <w:t xml:space="preserve">Develop a 10-year national infrastructure and investment plan and a </w:t>
            </w:r>
            <w:r w:rsidR="00505649">
              <w:rPr>
                <w:rStyle w:val="ui-provider"/>
              </w:rPr>
              <w:t>N</w:t>
            </w:r>
            <w:r>
              <w:rPr>
                <w:rStyle w:val="ui-provider"/>
              </w:rPr>
              <w:t xml:space="preserve">ational </w:t>
            </w:r>
            <w:r w:rsidR="00505649">
              <w:rPr>
                <w:rStyle w:val="ui-provider"/>
              </w:rPr>
              <w:t>A</w:t>
            </w:r>
            <w:r>
              <w:rPr>
                <w:rStyle w:val="ui-provider"/>
              </w:rPr>
              <w:t xml:space="preserve">sset </w:t>
            </w:r>
            <w:r w:rsidR="00505649">
              <w:rPr>
                <w:rStyle w:val="ui-provider"/>
              </w:rPr>
              <w:t>M</w:t>
            </w:r>
            <w:r>
              <w:rPr>
                <w:rStyle w:val="ui-provider"/>
              </w:rPr>
              <w:t xml:space="preserve">anagement </w:t>
            </w:r>
            <w:r w:rsidR="00505649">
              <w:rPr>
                <w:rStyle w:val="ui-provider"/>
              </w:rPr>
              <w:t>S</w:t>
            </w:r>
            <w:r>
              <w:rPr>
                <w:rStyle w:val="ui-provider"/>
              </w:rPr>
              <w:t>trategy before the end of 2024.</w:t>
            </w:r>
          </w:p>
          <w:p w14:paraId="5EC4520B" w14:textId="5685A060" w:rsidR="001E0951" w:rsidRDefault="001E0951" w:rsidP="001E0951">
            <w:pPr>
              <w:pStyle w:val="TableBullet"/>
              <w:framePr w:wrap="around"/>
            </w:pPr>
            <w:r>
              <w:t xml:space="preserve">Implement the measures required to deliver the progress as agreed in the </w:t>
            </w:r>
            <w:r w:rsidR="00F52D3C">
              <w:t xml:space="preserve">National </w:t>
            </w:r>
            <w:r>
              <w:t xml:space="preserve">Asset Management Strategy. </w:t>
            </w:r>
          </w:p>
          <w:p w14:paraId="5EEFAA1F" w14:textId="2C8C67A8" w:rsidR="001E0951" w:rsidRPr="00D93FCE" w:rsidRDefault="001E0951" w:rsidP="001E0951">
            <w:pPr>
              <w:pStyle w:val="TableBullet"/>
              <w:framePr w:wrap="around"/>
              <w:rPr>
                <w:lang w:val="en-GB"/>
              </w:rPr>
            </w:pPr>
            <w:r w:rsidRPr="00B1105E">
              <w:t xml:space="preserve">Ensure planning reflects the need for the </w:t>
            </w:r>
            <w:r>
              <w:t xml:space="preserve">health </w:t>
            </w:r>
            <w:r w:rsidRPr="00B1105E">
              <w:t>system to be prepared for and able to manage the impacts of additional pressures, including predicted peaks and unexpected system shocks (</w:t>
            </w:r>
            <w:r>
              <w:t>for example from</w:t>
            </w:r>
            <w:r w:rsidRPr="00B1105E">
              <w:t xml:space="preserve"> pandemics and extreme weather events</w:t>
            </w:r>
            <w:r w:rsidRPr="777F17E0">
              <w:t>)</w:t>
            </w:r>
            <w:r>
              <w:t>.</w:t>
            </w:r>
          </w:p>
        </w:tc>
      </w:tr>
      <w:tr w:rsidR="001E0951" w:rsidRPr="00D93FCE" w14:paraId="0495111A" w14:textId="77777777" w:rsidTr="00D93FCE">
        <w:tc>
          <w:tcPr>
            <w:tcW w:w="2417" w:type="dxa"/>
          </w:tcPr>
          <w:p w14:paraId="5A367124" w14:textId="047ACBE2" w:rsidR="001E0951" w:rsidRPr="001E0951" w:rsidRDefault="001E0951" w:rsidP="001E0951">
            <w:pPr>
              <w:pStyle w:val="TableText"/>
            </w:pPr>
            <w:r w:rsidRPr="001E0951">
              <w:t>5.2 Committed funding with competent delivery.</w:t>
            </w:r>
          </w:p>
        </w:tc>
        <w:tc>
          <w:tcPr>
            <w:tcW w:w="5800" w:type="dxa"/>
          </w:tcPr>
          <w:p w14:paraId="18A02462" w14:textId="77777777" w:rsidR="001E0951" w:rsidRDefault="001E0951" w:rsidP="001E0951">
            <w:pPr>
              <w:pStyle w:val="TableBullet"/>
              <w:framePr w:wrap="around"/>
            </w:pPr>
            <w:r>
              <w:t>Ensure that approved projects are delivered on time and within budget.</w:t>
            </w:r>
          </w:p>
          <w:p w14:paraId="52A08D7B" w14:textId="77777777" w:rsidR="001E0951" w:rsidRDefault="001E0951" w:rsidP="001E0951">
            <w:pPr>
              <w:pStyle w:val="TableBullet"/>
              <w:framePr w:wrap="around"/>
            </w:pPr>
            <w:r>
              <w:t>Provide a maintenance and renewal plan, and report against this plan.</w:t>
            </w:r>
          </w:p>
          <w:p w14:paraId="74608544" w14:textId="77777777" w:rsidR="001E0951" w:rsidRDefault="001E0951" w:rsidP="001E0951">
            <w:pPr>
              <w:pStyle w:val="TableBullet"/>
              <w:framePr w:wrap="around"/>
            </w:pPr>
            <w:r>
              <w:t>Provide high-quality reporting on the investment portfolio.</w:t>
            </w:r>
          </w:p>
          <w:p w14:paraId="164C34DF" w14:textId="35E57CE3" w:rsidR="001E0951" w:rsidRPr="00D93FCE" w:rsidRDefault="001E0951" w:rsidP="001E0951">
            <w:pPr>
              <w:pStyle w:val="TableBullet"/>
              <w:framePr w:wrap="around"/>
              <w:rPr>
                <w:lang w:val="en-GB"/>
              </w:rPr>
            </w:pPr>
            <w:r>
              <w:t>Implement measures to improve efficiency of project delivery including standardised design guidance and modularisation.</w:t>
            </w:r>
          </w:p>
        </w:tc>
      </w:tr>
      <w:tr w:rsidR="001E0951" w:rsidRPr="00D93FCE" w14:paraId="249FAEB4" w14:textId="77777777" w:rsidTr="00D93FCE">
        <w:tc>
          <w:tcPr>
            <w:tcW w:w="2417" w:type="dxa"/>
          </w:tcPr>
          <w:p w14:paraId="65BDCDDD" w14:textId="07999B65" w:rsidR="001E0951" w:rsidRPr="001E0951" w:rsidRDefault="001E0951" w:rsidP="001E0951">
            <w:pPr>
              <w:pStyle w:val="TableText"/>
            </w:pPr>
            <w:bookmarkStart w:id="48" w:name="_Hlk164260835"/>
            <w:r w:rsidRPr="001E0951">
              <w:t>5.3 Enable evidence-based digital solutions.</w:t>
            </w:r>
          </w:p>
        </w:tc>
        <w:tc>
          <w:tcPr>
            <w:tcW w:w="5800" w:type="dxa"/>
          </w:tcPr>
          <w:p w14:paraId="2F9A1D5B" w14:textId="77777777" w:rsidR="001E0951" w:rsidRPr="0000297C" w:rsidRDefault="001E0951" w:rsidP="001E0951">
            <w:pPr>
              <w:pStyle w:val="TableBullet"/>
              <w:framePr w:wrap="around"/>
            </w:pPr>
            <w:r w:rsidRPr="0000297C">
              <w:t>Continue to progress digital initiatives to enable care closer to home</w:t>
            </w:r>
            <w:r>
              <w:t>.</w:t>
            </w:r>
          </w:p>
          <w:p w14:paraId="43300795" w14:textId="4665078C" w:rsidR="001E0951" w:rsidRPr="00D93FCE" w:rsidRDefault="001E0951" w:rsidP="001E0951">
            <w:pPr>
              <w:pStyle w:val="TableBullet"/>
              <w:framePr w:wrap="around"/>
              <w:rPr>
                <w:lang w:val="en-GB"/>
              </w:rPr>
            </w:pPr>
            <w:r w:rsidRPr="0000297C">
              <w:t>Enable flexible and adaptive decision-making on emerging technologies such as precision health, nanotechnology, artificial intelligence</w:t>
            </w:r>
            <w:r>
              <w:t xml:space="preserve"> and medical devices</w:t>
            </w:r>
            <w:r w:rsidRPr="0000297C">
              <w:t xml:space="preserve">, for example by updating evaluation frameworks (including </w:t>
            </w:r>
            <w:r>
              <w:t xml:space="preserve">the </w:t>
            </w:r>
            <w:r w:rsidRPr="0000297C">
              <w:t>Health Technology Assessment)</w:t>
            </w:r>
            <w:r>
              <w:t>.</w:t>
            </w:r>
          </w:p>
        </w:tc>
      </w:tr>
    </w:tbl>
    <w:bookmarkEnd w:id="48"/>
    <w:p w14:paraId="3DE347B5" w14:textId="77777777" w:rsidR="00D93FCE" w:rsidRDefault="00D93FCE" w:rsidP="00D93FCE">
      <w:pPr>
        <w:pStyle w:val="Heading3-nonumbering"/>
      </w:pPr>
      <w:r>
        <w:t>Infrastructure that enables care for communities</w:t>
      </w:r>
    </w:p>
    <w:p w14:paraId="2F00B3BD" w14:textId="77777777" w:rsidR="001E0951" w:rsidRDefault="001E0951" w:rsidP="001E0951">
      <w:r>
        <w:t xml:space="preserve">Renewing physical and digital infrastructure supports new and better health care services for families and communities across New Zealand. This includes hospital and community care settings that are welcoming and efficient, and digital services that help people to navigate the health system and access services remotely, where appropriate, and to access their own and their family’s health information. </w:t>
      </w:r>
    </w:p>
    <w:p w14:paraId="48FC177A" w14:textId="77777777" w:rsidR="001E0951" w:rsidRDefault="001E0951" w:rsidP="001E0951"/>
    <w:p w14:paraId="3DF61129" w14:textId="6561B09F" w:rsidR="00D93FCE" w:rsidRDefault="001E0951" w:rsidP="001E0951">
      <w:r>
        <w:t>The examples</w:t>
      </w:r>
      <w:r w:rsidR="00940314">
        <w:t xml:space="preserve"> below</w:t>
      </w:r>
      <w:r>
        <w:t xml:space="preserve"> of expectations for infrastructure are anticipated to support</w:t>
      </w:r>
      <w:r w:rsidR="00D870FC">
        <w:t xml:space="preserve"> improved outcomes for</w:t>
      </w:r>
      <w:r>
        <w:t xml:space="preserve"> all New Zealanders including engagement and improved outcomes for people with higher needs such as Māori, Pacific peoples, women, disabled people and people living in rural communities</w:t>
      </w:r>
      <w:r w:rsidR="00D93FCE">
        <w:t xml:space="preserve">: </w:t>
      </w:r>
    </w:p>
    <w:p w14:paraId="19300AC7" w14:textId="77777777" w:rsidR="001E0951" w:rsidRDefault="001E0951" w:rsidP="001E0951">
      <w:pPr>
        <w:pStyle w:val="Bullet"/>
      </w:pPr>
      <w:r>
        <w:t>Working in partnership with Māori, Pacific peoples, disabled people, and other population groups with additional access barriers to design and deliver digital and infrastructure investments.</w:t>
      </w:r>
    </w:p>
    <w:p w14:paraId="2990D30E" w14:textId="5B853DD6" w:rsidR="003C6756" w:rsidRDefault="001E0951" w:rsidP="004632D0">
      <w:pPr>
        <w:pStyle w:val="Bullet"/>
      </w:pPr>
      <w:r>
        <w:lastRenderedPageBreak/>
        <w:t>Progress digital initiatives to support care closer to home such as the uptake of virtual care and telehealth, including digital options that equip people, families, and whānau to better meet their own mental health and wellbeing needs</w:t>
      </w:r>
      <w:r w:rsidR="00D93FCE">
        <w:t>.</w:t>
      </w:r>
    </w:p>
    <w:p w14:paraId="28CF9F34" w14:textId="77777777" w:rsidR="00D93FCE" w:rsidRDefault="00D93FCE" w:rsidP="00D93FCE">
      <w:pPr>
        <w:pStyle w:val="Heading2-nonumbering"/>
      </w:pPr>
      <w:bookmarkStart w:id="49" w:name="_Toc170134125"/>
      <w:r>
        <w:t>Measuring success</w:t>
      </w:r>
      <w:bookmarkEnd w:id="49"/>
    </w:p>
    <w:p w14:paraId="131EA40A" w14:textId="4E1EEE4D" w:rsidR="00C0337C" w:rsidRDefault="00D93FCE" w:rsidP="00D93FCE">
      <w:pPr>
        <w:sectPr w:rsidR="00C0337C" w:rsidSect="000A0E77">
          <w:pgSz w:w="11907" w:h="16840" w:code="9"/>
          <w:pgMar w:top="1418" w:right="1701" w:bottom="1134" w:left="1843" w:header="284" w:footer="425" w:gutter="284"/>
          <w:cols w:space="720"/>
        </w:sectPr>
      </w:pPr>
      <w:r>
        <w:t>Infrastructure priority measures</w:t>
      </w:r>
      <w:r w:rsidR="00886BEE">
        <w:t xml:space="preserve"> </w:t>
      </w:r>
      <w:r>
        <w:t>– see Appendix 2, Table 1.</w:t>
      </w:r>
    </w:p>
    <w:p w14:paraId="401B4F61" w14:textId="6538A65D" w:rsidR="00D93FCE" w:rsidRDefault="00C0337C" w:rsidP="00C0337C">
      <w:pPr>
        <w:pStyle w:val="Heading1"/>
        <w:spacing w:before="0"/>
      </w:pPr>
      <w:bookmarkStart w:id="50" w:name="_Toc170134126"/>
      <w:r>
        <w:lastRenderedPageBreak/>
        <w:t>Technical appendices</w:t>
      </w:r>
      <w:bookmarkEnd w:id="50"/>
    </w:p>
    <w:p w14:paraId="4953305A" w14:textId="77777777" w:rsidR="00C0337C" w:rsidRPr="00C0337C" w:rsidRDefault="00C0337C" w:rsidP="00C0337C"/>
    <w:p w14:paraId="7F616DDD" w14:textId="77777777" w:rsidR="000A0E77" w:rsidRPr="000A0E77" w:rsidRDefault="000A0E77" w:rsidP="000A0E77"/>
    <w:p w14:paraId="27A7B96B" w14:textId="77777777" w:rsidR="00C0337C" w:rsidRDefault="00C0337C" w:rsidP="000A0E77">
      <w:pPr>
        <w:sectPr w:rsidR="00C0337C" w:rsidSect="000A0E77">
          <w:pgSz w:w="11907" w:h="16840" w:code="9"/>
          <w:pgMar w:top="1418" w:right="1701" w:bottom="1134" w:left="1843" w:header="284" w:footer="425" w:gutter="284"/>
          <w:cols w:space="720"/>
        </w:sectPr>
      </w:pPr>
    </w:p>
    <w:p w14:paraId="19EC5772" w14:textId="77777777" w:rsidR="00C0337C" w:rsidRPr="00C0337C" w:rsidRDefault="00C0337C" w:rsidP="00C0337C">
      <w:pPr>
        <w:pStyle w:val="Heading2-nonumbering"/>
        <w:spacing w:before="0"/>
      </w:pPr>
      <w:bookmarkStart w:id="51" w:name="_Toc170134127"/>
      <w:r w:rsidRPr="00C0337C">
        <w:lastRenderedPageBreak/>
        <w:t>Appendix 1: Roles and responsibilities in the health system</w:t>
      </w:r>
      <w:bookmarkEnd w:id="51"/>
      <w:r w:rsidRPr="00C0337C">
        <w:t xml:space="preserve"> </w:t>
      </w:r>
    </w:p>
    <w:p w14:paraId="6C3F4C99" w14:textId="77777777" w:rsidR="001E0951" w:rsidRDefault="001E0951" w:rsidP="001E0951">
      <w:pPr>
        <w:rPr>
          <w:rFonts w:cs="Segoe UI"/>
          <w:szCs w:val="21"/>
        </w:rPr>
      </w:pPr>
      <w:r>
        <w:rPr>
          <w:rFonts w:cs="Segoe UI"/>
          <w:szCs w:val="21"/>
        </w:rPr>
        <w:t>The health system is complex and includes several agencies and entities that deliver, commission, regulate, and monitor health and wellbeing. The roles and responsibilities of key agencies and entities are set out below:</w:t>
      </w:r>
    </w:p>
    <w:p w14:paraId="536A6B10" w14:textId="77777777" w:rsidR="001E0951" w:rsidRPr="00D51770" w:rsidRDefault="001E0951" w:rsidP="001E0951">
      <w:pPr>
        <w:pStyle w:val="Bullet"/>
      </w:pPr>
      <w:r>
        <w:t xml:space="preserve">The </w:t>
      </w:r>
      <w:r w:rsidRPr="006C4598">
        <w:rPr>
          <w:b/>
        </w:rPr>
        <w:t>Ministry of Health</w:t>
      </w:r>
      <w:r>
        <w:t xml:space="preserve"> is </w:t>
      </w:r>
      <w:r w:rsidRPr="00667E8C">
        <w:t xml:space="preserve">the chief steward </w:t>
      </w:r>
      <w:r>
        <w:t>for</w:t>
      </w:r>
      <w:r w:rsidRPr="00667E8C">
        <w:t xml:space="preserve"> the health of the population and the health system, and lead advisor to </w:t>
      </w:r>
      <w:r>
        <w:t>g</w:t>
      </w:r>
      <w:r w:rsidRPr="00667E8C">
        <w:t>overnment on health. The Ministry</w:t>
      </w:r>
      <w:r>
        <w:t xml:space="preserve"> of Health</w:t>
      </w:r>
      <w:r w:rsidRPr="00667E8C">
        <w:t xml:space="preserve"> sets direction, policy, the regulatory framework, and investment for health, and monitors outcomes</w:t>
      </w:r>
      <w:r>
        <w:t xml:space="preserve"> and </w:t>
      </w:r>
      <w:r w:rsidRPr="00667E8C">
        <w:t xml:space="preserve">system </w:t>
      </w:r>
      <w:r>
        <w:t>and organisational</w:t>
      </w:r>
      <w:r w:rsidRPr="00667E8C">
        <w:t xml:space="preserve"> performance.</w:t>
      </w:r>
      <w:r>
        <w:t xml:space="preserve"> The Ministry of Health includes: </w:t>
      </w:r>
    </w:p>
    <w:p w14:paraId="349A3654" w14:textId="77777777" w:rsidR="001E0951" w:rsidRPr="00D51770" w:rsidRDefault="001E0951" w:rsidP="001E0951">
      <w:pPr>
        <w:pStyle w:val="Dash"/>
        <w:rPr>
          <w:rFonts w:cs="Segoe UI"/>
          <w:szCs w:val="21"/>
        </w:rPr>
      </w:pPr>
      <w:r>
        <w:t xml:space="preserve">the </w:t>
      </w:r>
      <w:r w:rsidRPr="006C4598">
        <w:rPr>
          <w:b/>
          <w:bCs/>
        </w:rPr>
        <w:t>Public Health Agency</w:t>
      </w:r>
      <w:r>
        <w:t xml:space="preserve"> to provide leadership on public health</w:t>
      </w:r>
    </w:p>
    <w:p w14:paraId="1B23157A" w14:textId="77777777" w:rsidR="001E0951" w:rsidRPr="00197515" w:rsidRDefault="001E0951" w:rsidP="001E0951">
      <w:pPr>
        <w:pStyle w:val="Dash"/>
        <w:rPr>
          <w:rFonts w:cs="Segoe UI"/>
          <w:szCs w:val="21"/>
        </w:rPr>
      </w:pPr>
      <w:r>
        <w:rPr>
          <w:rFonts w:eastAsia="Calibri"/>
        </w:rPr>
        <w:t xml:space="preserve">the </w:t>
      </w:r>
      <w:r w:rsidRPr="005F28AC">
        <w:rPr>
          <w:rFonts w:eastAsia="Calibri"/>
          <w:b/>
          <w:bCs/>
        </w:rPr>
        <w:t>New Zealand Medicines and Medical Devices Safety Authority</w:t>
      </w:r>
      <w:r w:rsidRPr="001115D7">
        <w:rPr>
          <w:rFonts w:eastAsia="Calibri"/>
        </w:rPr>
        <w:t xml:space="preserve"> (</w:t>
      </w:r>
      <w:r w:rsidRPr="000F470B">
        <w:rPr>
          <w:rFonts w:eastAsia="Calibri"/>
        </w:rPr>
        <w:t>Medsafe</w:t>
      </w:r>
      <w:r w:rsidRPr="001115D7">
        <w:rPr>
          <w:rFonts w:eastAsia="Calibri"/>
        </w:rPr>
        <w:t>) to</w:t>
      </w:r>
      <w:r>
        <w:rPr>
          <w:rFonts w:eastAsia="Calibri"/>
        </w:rPr>
        <w:t xml:space="preserve"> </w:t>
      </w:r>
      <w:r w:rsidRPr="001115D7">
        <w:rPr>
          <w:rFonts w:eastAsia="Calibri"/>
        </w:rPr>
        <w:t>regulate therapeutic products.</w:t>
      </w:r>
    </w:p>
    <w:p w14:paraId="2BFB9E72" w14:textId="77777777" w:rsidR="001E0951" w:rsidRDefault="001E0951" w:rsidP="001E0951">
      <w:pPr>
        <w:pStyle w:val="Bullet"/>
      </w:pPr>
      <w:r w:rsidRPr="00C05722">
        <w:t xml:space="preserve">The </w:t>
      </w:r>
      <w:r w:rsidRPr="006C4598">
        <w:rPr>
          <w:b/>
          <w:bCs/>
        </w:rPr>
        <w:t>Cancer Control Agency</w:t>
      </w:r>
      <w:r>
        <w:t xml:space="preserve"> is a dedicated departmental agency that </w:t>
      </w:r>
      <w:r w:rsidRPr="00C505FB">
        <w:rPr>
          <w:lang w:eastAsia="en-NZ"/>
        </w:rPr>
        <w:t>provides central leadership and oversight of cancer control</w:t>
      </w:r>
      <w:r>
        <w:rPr>
          <w:lang w:eastAsia="en-NZ"/>
        </w:rPr>
        <w:t>.</w:t>
      </w:r>
    </w:p>
    <w:p w14:paraId="6EFA4CEF" w14:textId="77777777" w:rsidR="001E0951" w:rsidRPr="00D71585" w:rsidRDefault="001E0951" w:rsidP="001E0951">
      <w:pPr>
        <w:pStyle w:val="Bullet"/>
      </w:pPr>
      <w:r w:rsidRPr="006C4598">
        <w:rPr>
          <w:b/>
          <w:bCs/>
        </w:rPr>
        <w:t>Health New Zealand</w:t>
      </w:r>
      <w:r>
        <w:t xml:space="preserve"> </w:t>
      </w:r>
      <w:r w:rsidRPr="00D71585">
        <w:t>design</w:t>
      </w:r>
      <w:r>
        <w:t>s</w:t>
      </w:r>
      <w:r w:rsidRPr="00D71585">
        <w:t>, arrange</w:t>
      </w:r>
      <w:r>
        <w:t>s</w:t>
      </w:r>
      <w:r w:rsidRPr="00D71585">
        <w:t>, and deliver</w:t>
      </w:r>
      <w:r>
        <w:t>s</w:t>
      </w:r>
      <w:r w:rsidRPr="00D71585">
        <w:t xml:space="preserve"> services </w:t>
      </w:r>
      <w:r>
        <w:t xml:space="preserve">across New Zealand </w:t>
      </w:r>
      <w:r w:rsidRPr="00D71585">
        <w:t xml:space="preserve">to </w:t>
      </w:r>
      <w:r>
        <w:t>improve health outcomes and reduce unfair differences in health needs or outcomes.</w:t>
      </w:r>
      <w:r w:rsidRPr="00D71585">
        <w:t xml:space="preserve"> </w:t>
      </w:r>
      <w:r>
        <w:t xml:space="preserve">They operate </w:t>
      </w:r>
      <w:r w:rsidRPr="00D71585">
        <w:t>in accordance with the health sector principles</w:t>
      </w:r>
      <w:r>
        <w:t>:</w:t>
      </w:r>
      <w:r w:rsidRPr="00D71585">
        <w:t xml:space="preserve"> to encourage, support, and maintain community participation in health improvement and service planning; and to promote health and prevent, reduce, and delay ill-health, including by collaborating with other agencies, organisations, and individuals to address the determinants of health</w:t>
      </w:r>
      <w:r>
        <w:t>.</w:t>
      </w:r>
    </w:p>
    <w:p w14:paraId="13665EA5" w14:textId="3D47D82C" w:rsidR="001E0951" w:rsidRPr="00C05722" w:rsidRDefault="001E0951" w:rsidP="001E0951">
      <w:pPr>
        <w:pStyle w:val="Bullet"/>
      </w:pPr>
      <w:r>
        <w:t xml:space="preserve">The </w:t>
      </w:r>
      <w:r w:rsidRPr="00634BFC">
        <w:rPr>
          <w:b/>
          <w:bCs/>
        </w:rPr>
        <w:t xml:space="preserve">Pharmaceutical Management Agency </w:t>
      </w:r>
      <w:r>
        <w:t>(</w:t>
      </w:r>
      <w:r w:rsidRPr="00634BFC">
        <w:t>Pharmac</w:t>
      </w:r>
      <w:r>
        <w:t xml:space="preserve">) </w:t>
      </w:r>
      <w:r w:rsidRPr="00C505FB">
        <w:rPr>
          <w:lang w:eastAsia="en-NZ"/>
        </w:rPr>
        <w:t>decide</w:t>
      </w:r>
      <w:r>
        <w:rPr>
          <w:lang w:eastAsia="en-NZ"/>
        </w:rPr>
        <w:t>s</w:t>
      </w:r>
      <w:r w:rsidRPr="00C505FB">
        <w:rPr>
          <w:lang w:eastAsia="en-NZ"/>
        </w:rPr>
        <w:t xml:space="preserve"> which medicines, vaccines, medical devices</w:t>
      </w:r>
      <w:r>
        <w:rPr>
          <w:lang w:eastAsia="en-NZ"/>
        </w:rPr>
        <w:t>,</w:t>
      </w:r>
      <w:r w:rsidRPr="00C505FB">
        <w:rPr>
          <w:lang w:eastAsia="en-NZ"/>
        </w:rPr>
        <w:t xml:space="preserve"> and related products should be funded </w:t>
      </w:r>
      <w:r>
        <w:rPr>
          <w:lang w:eastAsia="en-NZ"/>
        </w:rPr>
        <w:t xml:space="preserve">and made available to </w:t>
      </w:r>
      <w:r w:rsidRPr="00C505FB">
        <w:rPr>
          <w:lang w:eastAsia="en-NZ"/>
        </w:rPr>
        <w:t>New Zealanders from within a capped budget</w:t>
      </w:r>
      <w:r>
        <w:rPr>
          <w:lang w:eastAsia="en-NZ"/>
        </w:rPr>
        <w:t xml:space="preserve"> set by the Government.</w:t>
      </w:r>
    </w:p>
    <w:p w14:paraId="5949901E" w14:textId="77777777" w:rsidR="001E0951" w:rsidRPr="00C05722" w:rsidRDefault="001E0951" w:rsidP="001E0951">
      <w:pPr>
        <w:pStyle w:val="Bullet"/>
      </w:pPr>
      <w:r>
        <w:t xml:space="preserve">The </w:t>
      </w:r>
      <w:r w:rsidRPr="00C505FB">
        <w:rPr>
          <w:b/>
          <w:bCs/>
          <w:lang w:eastAsia="en-NZ"/>
        </w:rPr>
        <w:t>Health Quality and Safety Commission</w:t>
      </w:r>
      <w:r>
        <w:rPr>
          <w:b/>
          <w:bCs/>
          <w:lang w:eastAsia="en-NZ"/>
        </w:rPr>
        <w:t xml:space="preserve"> </w:t>
      </w:r>
      <w:r w:rsidRPr="00C505FB">
        <w:rPr>
          <w:lang w:eastAsia="en-NZ"/>
        </w:rPr>
        <w:t>lead</w:t>
      </w:r>
      <w:r>
        <w:rPr>
          <w:lang w:eastAsia="en-NZ"/>
        </w:rPr>
        <w:t>s</w:t>
      </w:r>
      <w:r w:rsidRPr="00C505FB">
        <w:rPr>
          <w:lang w:eastAsia="en-NZ"/>
        </w:rPr>
        <w:t xml:space="preserve"> and coordinate</w:t>
      </w:r>
      <w:r>
        <w:rPr>
          <w:lang w:eastAsia="en-NZ"/>
        </w:rPr>
        <w:t>s</w:t>
      </w:r>
      <w:r w:rsidRPr="00C505FB">
        <w:rPr>
          <w:lang w:eastAsia="en-NZ"/>
        </w:rPr>
        <w:t xml:space="preserve"> work across the health sector</w:t>
      </w:r>
      <w:r>
        <w:rPr>
          <w:lang w:eastAsia="en-NZ"/>
        </w:rPr>
        <w:t xml:space="preserve"> to m</w:t>
      </w:r>
      <w:r w:rsidRPr="00C505FB">
        <w:rPr>
          <w:lang w:eastAsia="en-NZ"/>
        </w:rPr>
        <w:t>onito</w:t>
      </w:r>
      <w:r>
        <w:rPr>
          <w:lang w:eastAsia="en-NZ"/>
        </w:rPr>
        <w:t>r</w:t>
      </w:r>
      <w:r w:rsidRPr="00C505FB">
        <w:rPr>
          <w:lang w:eastAsia="en-NZ"/>
        </w:rPr>
        <w:t xml:space="preserve"> and improv</w:t>
      </w:r>
      <w:r>
        <w:rPr>
          <w:lang w:eastAsia="en-NZ"/>
        </w:rPr>
        <w:t xml:space="preserve">e </w:t>
      </w:r>
      <w:r w:rsidRPr="00C505FB">
        <w:rPr>
          <w:lang w:eastAsia="en-NZ"/>
        </w:rPr>
        <w:t>the quality and safety of health services</w:t>
      </w:r>
      <w:r>
        <w:rPr>
          <w:lang w:eastAsia="en-NZ"/>
        </w:rPr>
        <w:t>.</w:t>
      </w:r>
    </w:p>
    <w:p w14:paraId="762AC73B" w14:textId="77777777" w:rsidR="001E0951" w:rsidRPr="00C05722" w:rsidRDefault="001E0951" w:rsidP="001E0951">
      <w:pPr>
        <w:pStyle w:val="Bullet"/>
      </w:pPr>
      <w:r>
        <w:rPr>
          <w:lang w:eastAsia="en-NZ"/>
        </w:rPr>
        <w:t xml:space="preserve">The </w:t>
      </w:r>
      <w:r w:rsidRPr="00C05722">
        <w:rPr>
          <w:b/>
          <w:bCs/>
          <w:lang w:eastAsia="en-NZ"/>
        </w:rPr>
        <w:t>New Zealand Blood and Organ Service</w:t>
      </w:r>
      <w:r>
        <w:rPr>
          <w:lang w:eastAsia="en-NZ"/>
        </w:rPr>
        <w:t xml:space="preserve"> </w:t>
      </w:r>
      <w:r w:rsidRPr="00C505FB">
        <w:rPr>
          <w:lang w:eastAsia="en-NZ"/>
        </w:rPr>
        <w:t>is New Zealand’s sole provider of blood, blood products and associated services</w:t>
      </w:r>
      <w:r>
        <w:rPr>
          <w:lang w:eastAsia="en-NZ"/>
        </w:rPr>
        <w:t xml:space="preserve"> and </w:t>
      </w:r>
      <w:r w:rsidRPr="00C505FB">
        <w:rPr>
          <w:lang w:eastAsia="en-NZ"/>
        </w:rPr>
        <w:t>co-ordina</w:t>
      </w:r>
      <w:r>
        <w:rPr>
          <w:lang w:eastAsia="en-NZ"/>
        </w:rPr>
        <w:t>tes</w:t>
      </w:r>
      <w:r w:rsidRPr="00C505FB">
        <w:rPr>
          <w:lang w:eastAsia="en-NZ"/>
        </w:rPr>
        <w:t xml:space="preserve"> deceased organ donation, tissue donation (eye tissue, heart valves and skin)</w:t>
      </w:r>
      <w:r>
        <w:rPr>
          <w:lang w:eastAsia="en-NZ"/>
        </w:rPr>
        <w:t>,</w:t>
      </w:r>
      <w:r w:rsidRPr="00C505FB">
        <w:rPr>
          <w:lang w:eastAsia="en-NZ"/>
        </w:rPr>
        <w:t xml:space="preserve"> hip bone donation</w:t>
      </w:r>
      <w:r>
        <w:rPr>
          <w:lang w:eastAsia="en-NZ"/>
        </w:rPr>
        <w:t>,</w:t>
      </w:r>
      <w:r w:rsidRPr="00C505FB">
        <w:rPr>
          <w:lang w:eastAsia="en-NZ"/>
        </w:rPr>
        <w:t xml:space="preserve"> and operat</w:t>
      </w:r>
      <w:r>
        <w:rPr>
          <w:lang w:eastAsia="en-NZ"/>
        </w:rPr>
        <w:t>es</w:t>
      </w:r>
      <w:r w:rsidRPr="00C505FB">
        <w:rPr>
          <w:lang w:eastAsia="en-NZ"/>
        </w:rPr>
        <w:t xml:space="preserve"> the Heart Valve Bank and the New Zealand Bone Marrow Donor Registry</w:t>
      </w:r>
      <w:r>
        <w:rPr>
          <w:lang w:eastAsia="en-NZ"/>
        </w:rPr>
        <w:t>.</w:t>
      </w:r>
    </w:p>
    <w:p w14:paraId="622A17B2" w14:textId="77777777" w:rsidR="001E0951" w:rsidRDefault="001E0951" w:rsidP="001E0951">
      <w:pPr>
        <w:pStyle w:val="Bullet"/>
      </w:pPr>
      <w:r>
        <w:t xml:space="preserve">The </w:t>
      </w:r>
      <w:r w:rsidRPr="00C05722">
        <w:rPr>
          <w:b/>
          <w:bCs/>
        </w:rPr>
        <w:t>Health Research Council</w:t>
      </w:r>
      <w:r>
        <w:rPr>
          <w:b/>
          <w:bCs/>
        </w:rPr>
        <w:t xml:space="preserve"> of New Zealand</w:t>
      </w:r>
      <w:r>
        <w:t xml:space="preserve"> </w:t>
      </w:r>
      <w:r w:rsidRPr="00C05722">
        <w:t xml:space="preserve">is the </w:t>
      </w:r>
      <w:r>
        <w:t>government’s principal</w:t>
      </w:r>
      <w:r w:rsidRPr="00C05722">
        <w:t xml:space="preserve"> funder of health research in New Zealand</w:t>
      </w:r>
      <w:r>
        <w:t>.</w:t>
      </w:r>
    </w:p>
    <w:p w14:paraId="03DBEBD9" w14:textId="77777777" w:rsidR="001E0951" w:rsidRPr="00C05722" w:rsidRDefault="001E0951" w:rsidP="001E0951">
      <w:pPr>
        <w:pStyle w:val="Bullet"/>
      </w:pPr>
      <w:r>
        <w:t xml:space="preserve">The </w:t>
      </w:r>
      <w:r w:rsidRPr="001115D7">
        <w:rPr>
          <w:b/>
          <w:lang w:eastAsia="en-NZ"/>
        </w:rPr>
        <w:t>Mental Health and Wellbeing Commission</w:t>
      </w:r>
      <w:r w:rsidRPr="00C05722">
        <w:rPr>
          <w:lang w:eastAsia="en-NZ"/>
        </w:rPr>
        <w:t xml:space="preserve"> provide</w:t>
      </w:r>
      <w:r>
        <w:rPr>
          <w:lang w:eastAsia="en-NZ"/>
        </w:rPr>
        <w:t>s</w:t>
      </w:r>
      <w:r w:rsidRPr="00C05722">
        <w:rPr>
          <w:lang w:eastAsia="en-NZ"/>
        </w:rPr>
        <w:t xml:space="preserve"> independent, system-level oversight of mental health and wellbeing in New Zealand</w:t>
      </w:r>
      <w:r>
        <w:rPr>
          <w:lang w:eastAsia="en-NZ"/>
        </w:rPr>
        <w:t>.</w:t>
      </w:r>
    </w:p>
    <w:p w14:paraId="6F79EFCA" w14:textId="420EBC91" w:rsidR="00C0337C" w:rsidRPr="001E0951" w:rsidRDefault="001E0951" w:rsidP="001E0951">
      <w:pPr>
        <w:pStyle w:val="Bullet"/>
        <w:rPr>
          <w:szCs w:val="21"/>
        </w:rPr>
      </w:pPr>
      <w:r>
        <w:t xml:space="preserve">The </w:t>
      </w:r>
      <w:r w:rsidRPr="00C505FB">
        <w:rPr>
          <w:b/>
          <w:bCs/>
          <w:lang w:eastAsia="en-NZ"/>
        </w:rPr>
        <w:t>Health and Disability Commissioner</w:t>
      </w:r>
      <w:r>
        <w:rPr>
          <w:b/>
          <w:bCs/>
          <w:lang w:eastAsia="en-NZ"/>
        </w:rPr>
        <w:t xml:space="preserve"> </w:t>
      </w:r>
      <w:r w:rsidRPr="00634BFC">
        <w:rPr>
          <w:lang w:eastAsia="en-NZ"/>
        </w:rPr>
        <w:t>(HDC)</w:t>
      </w:r>
      <w:r>
        <w:rPr>
          <w:b/>
          <w:bCs/>
          <w:lang w:eastAsia="en-NZ"/>
        </w:rPr>
        <w:t xml:space="preserve"> </w:t>
      </w:r>
      <w:r w:rsidRPr="004E3497">
        <w:rPr>
          <w:lang w:eastAsia="en-NZ"/>
        </w:rPr>
        <w:t xml:space="preserve">protects the rights of people using health and disability services as set out in the Code of </w:t>
      </w:r>
      <w:r>
        <w:rPr>
          <w:szCs w:val="21"/>
        </w:rPr>
        <w:t>Health and Disability Services Consumers’</w:t>
      </w:r>
      <w:r w:rsidRPr="004E3497">
        <w:rPr>
          <w:lang w:eastAsia="en-NZ"/>
        </w:rPr>
        <w:t xml:space="preserve"> Rights. </w:t>
      </w:r>
      <w:r>
        <w:rPr>
          <w:lang w:eastAsia="en-NZ"/>
        </w:rPr>
        <w:t xml:space="preserve">The </w:t>
      </w:r>
      <w:r w:rsidRPr="004E3497">
        <w:rPr>
          <w:lang w:eastAsia="en-NZ"/>
        </w:rPr>
        <w:t>HDC provides an independent mechanism for the assessment and resolution of complaints about the quality of care provided to people, and holds providers to account, where people’s rights have not been appropriately respected.</w:t>
      </w:r>
    </w:p>
    <w:p w14:paraId="79212BDE" w14:textId="77777777" w:rsidR="00C0337C" w:rsidRDefault="00C0337C" w:rsidP="000A0E77">
      <w:pPr>
        <w:sectPr w:rsidR="00C0337C" w:rsidSect="000A0E77">
          <w:pgSz w:w="11907" w:h="16840" w:code="9"/>
          <w:pgMar w:top="1418" w:right="1701" w:bottom="1134" w:left="1843" w:header="284" w:footer="425" w:gutter="284"/>
          <w:cols w:space="720"/>
        </w:sectPr>
      </w:pPr>
    </w:p>
    <w:p w14:paraId="3CEE4AF8" w14:textId="77777777" w:rsidR="00C0337C" w:rsidRPr="00C0337C" w:rsidRDefault="00C0337C" w:rsidP="00C0337C">
      <w:pPr>
        <w:pStyle w:val="Heading2-nonumbering"/>
        <w:spacing w:before="0"/>
        <w:rPr>
          <w:rFonts w:eastAsia="Arial Unicode MS"/>
        </w:rPr>
      </w:pPr>
      <w:bookmarkStart w:id="52" w:name="_Toc170134128"/>
      <w:r w:rsidRPr="00C0337C">
        <w:lastRenderedPageBreak/>
        <w:t>Appendix 2: Government Policy Statement on Health (GPS) measures</w:t>
      </w:r>
      <w:bookmarkEnd w:id="52"/>
    </w:p>
    <w:p w14:paraId="1CBEDCA5" w14:textId="77777777" w:rsidR="00C0337C" w:rsidRPr="00A147BF" w:rsidRDefault="00C0337C" w:rsidP="00A147BF">
      <w:pPr>
        <w:pStyle w:val="Heading4"/>
        <w:rPr>
          <w:sz w:val="36"/>
          <w:szCs w:val="36"/>
        </w:rPr>
      </w:pPr>
      <w:r w:rsidRPr="00A147BF">
        <w:rPr>
          <w:sz w:val="36"/>
          <w:szCs w:val="36"/>
        </w:rPr>
        <w:t>The GPS includes a set of key marker measures, focused on the desired system changes</w:t>
      </w:r>
    </w:p>
    <w:p w14:paraId="7E95B312" w14:textId="77777777" w:rsidR="001E0951" w:rsidRPr="005328F2" w:rsidRDefault="001E0951" w:rsidP="001E0951">
      <w:pPr>
        <w:spacing w:after="160"/>
        <w:rPr>
          <w:rFonts w:cs="Segoe UI"/>
          <w:szCs w:val="21"/>
        </w:rPr>
      </w:pPr>
      <w:r w:rsidRPr="005328F2">
        <w:rPr>
          <w:rFonts w:eastAsia="Arial Unicode MS" w:cs="Segoe UI"/>
          <w:szCs w:val="21"/>
        </w:rPr>
        <w:t xml:space="preserve">The Government will </w:t>
      </w:r>
      <w:r w:rsidRPr="00A618D5">
        <w:rPr>
          <w:rFonts w:eastAsia="Arial Unicode MS" w:cs="Segoe UI"/>
          <w:szCs w:val="21"/>
        </w:rPr>
        <w:t xml:space="preserve">use a range of information sources to </w:t>
      </w:r>
      <w:r w:rsidRPr="005328F2">
        <w:rPr>
          <w:rFonts w:eastAsia="Arial Unicode MS" w:cs="Segoe UI"/>
          <w:szCs w:val="21"/>
        </w:rPr>
        <w:t>monitor progress against the objectives of th</w:t>
      </w:r>
      <w:r>
        <w:rPr>
          <w:rFonts w:eastAsia="Arial Unicode MS" w:cs="Segoe UI"/>
          <w:szCs w:val="21"/>
        </w:rPr>
        <w:t>is</w:t>
      </w:r>
      <w:r w:rsidRPr="005328F2">
        <w:rPr>
          <w:rFonts w:eastAsia="Arial Unicode MS" w:cs="Segoe UI"/>
          <w:szCs w:val="21"/>
        </w:rPr>
        <w:t xml:space="preserve"> GPS. </w:t>
      </w:r>
      <w:r w:rsidRPr="005328F2">
        <w:rPr>
          <w:rFonts w:cs="Segoe UI"/>
          <w:szCs w:val="21"/>
        </w:rPr>
        <w:t xml:space="preserve">Each priority area includes a set of qualitative and quantitative measures, focused on the desired system changes, the Ministry of Health </w:t>
      </w:r>
      <w:r>
        <w:rPr>
          <w:rFonts w:cs="Segoe UI"/>
          <w:szCs w:val="21"/>
        </w:rPr>
        <w:t xml:space="preserve">will use to assess </w:t>
      </w:r>
      <w:r w:rsidRPr="005328F2">
        <w:rPr>
          <w:rFonts w:cs="Segoe UI"/>
          <w:szCs w:val="21"/>
        </w:rPr>
        <w:t xml:space="preserve">delivery of the GPS. The </w:t>
      </w:r>
      <w:r>
        <w:rPr>
          <w:rFonts w:cs="Segoe UI"/>
          <w:szCs w:val="21"/>
        </w:rPr>
        <w:t xml:space="preserve">selected </w:t>
      </w:r>
      <w:r w:rsidRPr="005328F2">
        <w:rPr>
          <w:rFonts w:cs="Segoe UI"/>
          <w:szCs w:val="21"/>
        </w:rPr>
        <w:t xml:space="preserve">measures align to the </w:t>
      </w:r>
      <w:r>
        <w:rPr>
          <w:rFonts w:cs="Segoe UI"/>
          <w:szCs w:val="21"/>
        </w:rPr>
        <w:t xml:space="preserve">objectives and expectations </w:t>
      </w:r>
      <w:r w:rsidRPr="005328F2">
        <w:rPr>
          <w:rFonts w:cs="Segoe UI"/>
          <w:szCs w:val="21"/>
        </w:rPr>
        <w:t>of the Government</w:t>
      </w:r>
      <w:r>
        <w:rPr>
          <w:rFonts w:cs="Segoe UI"/>
          <w:szCs w:val="21"/>
        </w:rPr>
        <w:t xml:space="preserve">’s priorities, </w:t>
      </w:r>
      <w:r w:rsidRPr="005328F2">
        <w:rPr>
          <w:rFonts w:cs="Segoe UI"/>
          <w:szCs w:val="21"/>
        </w:rPr>
        <w:t xml:space="preserve">and </w:t>
      </w:r>
      <w:r>
        <w:rPr>
          <w:rFonts w:cs="Segoe UI"/>
          <w:szCs w:val="21"/>
        </w:rPr>
        <w:t>are</w:t>
      </w:r>
      <w:r w:rsidRPr="005328F2">
        <w:rPr>
          <w:rFonts w:cs="Segoe UI"/>
          <w:szCs w:val="21"/>
        </w:rPr>
        <w:t xml:space="preserve"> expected to move over the </w:t>
      </w:r>
      <w:r>
        <w:rPr>
          <w:rFonts w:cs="Segoe UI"/>
          <w:szCs w:val="21"/>
        </w:rPr>
        <w:t xml:space="preserve">three-year </w:t>
      </w:r>
      <w:r w:rsidRPr="005328F2">
        <w:rPr>
          <w:rFonts w:cs="Segoe UI"/>
          <w:szCs w:val="21"/>
        </w:rPr>
        <w:t xml:space="preserve">period of the </w:t>
      </w:r>
      <w:r>
        <w:rPr>
          <w:rFonts w:cs="Segoe UI"/>
          <w:szCs w:val="21"/>
        </w:rPr>
        <w:t>GPS</w:t>
      </w:r>
      <w:r w:rsidRPr="005328F2">
        <w:rPr>
          <w:rFonts w:cs="Segoe UI"/>
          <w:szCs w:val="21"/>
        </w:rPr>
        <w:t xml:space="preserve">. </w:t>
      </w:r>
    </w:p>
    <w:p w14:paraId="5003A702" w14:textId="77777777" w:rsidR="001E0951" w:rsidRPr="00041D36" w:rsidRDefault="001E0951" w:rsidP="001E0951">
      <w:pPr>
        <w:spacing w:after="160"/>
        <w:rPr>
          <w:rFonts w:cs="Segoe UI"/>
          <w:szCs w:val="21"/>
          <w:lang w:val="en-US"/>
        </w:rPr>
      </w:pPr>
      <w:r w:rsidRPr="00041D36">
        <w:rPr>
          <w:rFonts w:cs="Segoe UI"/>
          <w:szCs w:val="21"/>
          <w:lang w:val="en-US"/>
        </w:rPr>
        <w:t xml:space="preserve">Over the next three years, we expect to see: </w:t>
      </w:r>
    </w:p>
    <w:p w14:paraId="372AE01A" w14:textId="77777777" w:rsidR="001E0951" w:rsidRPr="00473B10" w:rsidRDefault="001E0951" w:rsidP="001E0951">
      <w:pPr>
        <w:pStyle w:val="Bullet"/>
      </w:pPr>
      <w:r w:rsidRPr="00C17193">
        <w:t xml:space="preserve">progress against achieving </w:t>
      </w:r>
      <w:r>
        <w:t>h</w:t>
      </w:r>
      <w:r w:rsidRPr="00C17193">
        <w:t xml:space="preserve">ealth </w:t>
      </w:r>
      <w:r>
        <w:t>t</w:t>
      </w:r>
      <w:r w:rsidRPr="00C17193">
        <w:t>argets (such as improved coverage of childhood immunisations, and reduced wait times to access treatment within emergency departments, cancer services,</w:t>
      </w:r>
      <w:r w:rsidRPr="00473B10">
        <w:t xml:space="preserve"> elective treatment, and specialist assessments)</w:t>
      </w:r>
    </w:p>
    <w:p w14:paraId="02E42043" w14:textId="77777777" w:rsidR="001E0951" w:rsidRPr="00041D36" w:rsidRDefault="001E0951" w:rsidP="001E0951">
      <w:pPr>
        <w:pStyle w:val="Bullet"/>
      </w:pPr>
      <w:r w:rsidRPr="00473B10">
        <w:t>health entities delivering on GPS expectations and planned commitments to agreed standards, within budget and on time</w:t>
      </w:r>
      <w:r>
        <w:t>,</w:t>
      </w:r>
      <w:r w:rsidRPr="00041D36">
        <w:t xml:space="preserve"> including: </w:t>
      </w:r>
    </w:p>
    <w:p w14:paraId="04B66384" w14:textId="77777777" w:rsidR="001E0951" w:rsidRPr="00041D36" w:rsidRDefault="001E0951" w:rsidP="001E0951">
      <w:pPr>
        <w:pStyle w:val="Dash"/>
      </w:pPr>
      <w:r w:rsidRPr="00041D36">
        <w:t xml:space="preserve">improved access, quality, and timeliness of health services </w:t>
      </w:r>
    </w:p>
    <w:p w14:paraId="641462C5" w14:textId="77777777" w:rsidR="001E0951" w:rsidRPr="00041D36" w:rsidRDefault="001E0951" w:rsidP="001E0951">
      <w:pPr>
        <w:pStyle w:val="Dash"/>
      </w:pPr>
      <w:r w:rsidRPr="00041D36">
        <w:t>increased efforts to build the capacity and capability of the health workforce with long</w:t>
      </w:r>
      <w:r>
        <w:t>-</w:t>
      </w:r>
      <w:r w:rsidRPr="00041D36">
        <w:t>term health workforce planning and pipelines</w:t>
      </w:r>
    </w:p>
    <w:p w14:paraId="7D1E09A7" w14:textId="77777777" w:rsidR="001E0951" w:rsidRPr="00041D36" w:rsidRDefault="001E0951" w:rsidP="001E0951">
      <w:pPr>
        <w:pStyle w:val="Dash"/>
      </w:pPr>
      <w:r w:rsidRPr="00041D36">
        <w:t>improved long</w:t>
      </w:r>
      <w:r>
        <w:t>-</w:t>
      </w:r>
      <w:r w:rsidRPr="00041D36">
        <w:t>term infrastructure planning</w:t>
      </w:r>
    </w:p>
    <w:p w14:paraId="04654462" w14:textId="77777777" w:rsidR="001E0951" w:rsidRPr="00041D36" w:rsidRDefault="001E0951" w:rsidP="001E0951">
      <w:pPr>
        <w:pStyle w:val="Dash"/>
      </w:pPr>
      <w:r>
        <w:t>i</w:t>
      </w:r>
      <w:r w:rsidRPr="00473B10">
        <w:t xml:space="preserve">mproved prevention activities, including </w:t>
      </w:r>
      <w:r>
        <w:t xml:space="preserve">around </w:t>
      </w:r>
      <w:r w:rsidRPr="00041D36">
        <w:t>modifiable risk factors and reductions in communicable and non-communicable disease</w:t>
      </w:r>
      <w:r>
        <w:t>.</w:t>
      </w:r>
    </w:p>
    <w:p w14:paraId="18C6A9C9" w14:textId="77777777" w:rsidR="001E0951" w:rsidRDefault="001E0951" w:rsidP="001E0951"/>
    <w:p w14:paraId="3BFD08B1" w14:textId="186C4E20" w:rsidR="001E0951" w:rsidRDefault="001E0951" w:rsidP="001E0951">
      <w:pPr>
        <w:rPr>
          <w:rFonts w:cs="Segoe UI"/>
          <w:szCs w:val="21"/>
        </w:rPr>
      </w:pPr>
      <w:r w:rsidRPr="005328F2">
        <w:rPr>
          <w:rFonts w:cs="Segoe UI"/>
          <w:szCs w:val="21"/>
        </w:rPr>
        <w:t>Additional measures to track performance are included in documents such as the New Zealand Health Plan, Statements of Intent</w:t>
      </w:r>
      <w:r>
        <w:rPr>
          <w:rFonts w:cs="Segoe UI"/>
          <w:szCs w:val="21"/>
        </w:rPr>
        <w:t>,</w:t>
      </w:r>
      <w:r w:rsidRPr="005328F2">
        <w:rPr>
          <w:rFonts w:cs="Segoe UI"/>
          <w:szCs w:val="21"/>
        </w:rPr>
        <w:t xml:space="preserve"> and Statements of Performance Expectations</w:t>
      </w:r>
      <w:r>
        <w:rPr>
          <w:rFonts w:cs="Segoe UI"/>
          <w:szCs w:val="21"/>
        </w:rPr>
        <w:t>,</w:t>
      </w:r>
      <w:r w:rsidRPr="005328F2">
        <w:rPr>
          <w:rFonts w:cs="Segoe UI"/>
          <w:szCs w:val="21"/>
        </w:rPr>
        <w:t xml:space="preserve"> a</w:t>
      </w:r>
      <w:r>
        <w:rPr>
          <w:rFonts w:cs="Segoe UI"/>
          <w:szCs w:val="21"/>
        </w:rPr>
        <w:t>s well as</w:t>
      </w:r>
      <w:r w:rsidRPr="005328F2">
        <w:rPr>
          <w:rFonts w:cs="Segoe UI"/>
          <w:szCs w:val="21"/>
        </w:rPr>
        <w:t xml:space="preserve"> through Vote Health, amongst other measures (such as those used by </w:t>
      </w:r>
      <w:r>
        <w:rPr>
          <w:rFonts w:cs="Segoe UI"/>
          <w:szCs w:val="21"/>
        </w:rPr>
        <w:t>HQSC</w:t>
      </w:r>
      <w:r w:rsidRPr="005328F2">
        <w:rPr>
          <w:rFonts w:cs="Segoe UI"/>
          <w:szCs w:val="21"/>
        </w:rPr>
        <w:t xml:space="preserve">). </w:t>
      </w:r>
    </w:p>
    <w:p w14:paraId="0DFDEDC1" w14:textId="77777777" w:rsidR="001E0951" w:rsidRDefault="001E0951" w:rsidP="001E0951">
      <w:pPr>
        <w:rPr>
          <w:rFonts w:cs="Segoe UI"/>
          <w:szCs w:val="21"/>
        </w:rPr>
      </w:pPr>
    </w:p>
    <w:p w14:paraId="754344C4" w14:textId="77777777" w:rsidR="001E0951" w:rsidRDefault="001E0951" w:rsidP="001E0951">
      <w:pPr>
        <w:rPr>
          <w:rFonts w:cs="Segoe UI"/>
          <w:szCs w:val="21"/>
        </w:rPr>
      </w:pPr>
      <w:r>
        <w:rPr>
          <w:rFonts w:cs="Segoe UI"/>
          <w:szCs w:val="21"/>
        </w:rPr>
        <w:t>Some additional expectations for GPS measures are outlined below.</w:t>
      </w:r>
    </w:p>
    <w:p w14:paraId="30B20492" w14:textId="77777777" w:rsidR="001E0951" w:rsidRPr="00C81E49" w:rsidRDefault="001E0951" w:rsidP="001E0951">
      <w:pPr>
        <w:pStyle w:val="Bullet"/>
        <w:rPr>
          <w:rFonts w:ascii="Calibri" w:hAnsi="Calibri"/>
        </w:rPr>
      </w:pPr>
      <w:r w:rsidRPr="00C81E49">
        <w:t xml:space="preserve">There are annual </w:t>
      </w:r>
      <w:r>
        <w:t xml:space="preserve">performance </w:t>
      </w:r>
      <w:r w:rsidRPr="00C81E49">
        <w:t>milestone</w:t>
      </w:r>
      <w:r>
        <w:t>s</w:t>
      </w:r>
      <w:r w:rsidRPr="00C81E49">
        <w:t xml:space="preserve"> for each of the Government’s health targets and the mental health and addiction health targets.</w:t>
      </w:r>
    </w:p>
    <w:p w14:paraId="38662823" w14:textId="14B88DA2" w:rsidR="001E0951" w:rsidRPr="00C81E49" w:rsidRDefault="001E0951" w:rsidP="001E0951">
      <w:pPr>
        <w:pStyle w:val="Bullet"/>
      </w:pPr>
      <w:r w:rsidRPr="00C81E49">
        <w:t xml:space="preserve">Where relevant, GPS measures will build on existing data definitions and performance established through the </w:t>
      </w:r>
      <w:hyperlink r:id="rId44" w:history="1">
        <w:r w:rsidRPr="0075135B">
          <w:rPr>
            <w:rStyle w:val="Hyperlink"/>
          </w:rPr>
          <w:t xml:space="preserve">Interim </w:t>
        </w:r>
        <w:r w:rsidR="00D32298" w:rsidRPr="0075135B">
          <w:rPr>
            <w:rStyle w:val="Hyperlink"/>
          </w:rPr>
          <w:t xml:space="preserve">Government Policy Statement on Health </w:t>
        </w:r>
        <w:r w:rsidRPr="0075135B">
          <w:rPr>
            <w:rStyle w:val="Hyperlink"/>
          </w:rPr>
          <w:t>2022–2024</w:t>
        </w:r>
      </w:hyperlink>
      <w:r w:rsidRPr="00C81E49">
        <w:t>. Data definitions will be available on the Ministry of Health’s website.</w:t>
      </w:r>
    </w:p>
    <w:p w14:paraId="421E8B0D" w14:textId="77777777" w:rsidR="001E0951" w:rsidRPr="00C81E49" w:rsidRDefault="001E0951" w:rsidP="001E0951">
      <w:pPr>
        <w:pStyle w:val="Bullet"/>
      </w:pPr>
      <w:r w:rsidRPr="00C81E49">
        <w:t xml:space="preserve">All measures include a focus on improving outcomes for populations with the highest needs, including an expectation that unfair differences in health needs and outcomes </w:t>
      </w:r>
      <w:r>
        <w:t>will be</w:t>
      </w:r>
      <w:r w:rsidRPr="00C81E49">
        <w:t xml:space="preserve"> addressed, consistent with the requirements in the Pae Ora Act.</w:t>
      </w:r>
    </w:p>
    <w:p w14:paraId="28C93E60" w14:textId="77777777" w:rsidR="001E0951" w:rsidRPr="00C81E49" w:rsidRDefault="001E0951" w:rsidP="001E0951">
      <w:pPr>
        <w:pStyle w:val="Bullet"/>
      </w:pPr>
      <w:r w:rsidRPr="00C81E49">
        <w:t>Measures will be disaggregated by demographic characteristics including age, ethnicity, gender, geographic location and rurality as appropriate, and as data sources allow. We also aim for all relevant measures to be disaggregated for a wider range of appropriate groups, including disability over time.</w:t>
      </w:r>
    </w:p>
    <w:p w14:paraId="00474EEA" w14:textId="05F73A72" w:rsidR="00C0337C" w:rsidRPr="00C81E49" w:rsidRDefault="001E0951" w:rsidP="001E0951">
      <w:pPr>
        <w:pStyle w:val="Bullet"/>
      </w:pPr>
      <w:r w:rsidRPr="00C81E49">
        <w:rPr>
          <w:rFonts w:eastAsia="Arial Unicode MS" w:cs="Segoe UI"/>
        </w:rPr>
        <w:lastRenderedPageBreak/>
        <w:t>Measures identified in the GPS will form one component of a wider system monitoring framework.</w:t>
      </w:r>
    </w:p>
    <w:p w14:paraId="4AAB24AC" w14:textId="77777777" w:rsidR="00C0337C" w:rsidRPr="00A147BF" w:rsidRDefault="00C0337C" w:rsidP="00A147BF">
      <w:pPr>
        <w:pStyle w:val="Heading4"/>
        <w:rPr>
          <w:sz w:val="36"/>
          <w:szCs w:val="36"/>
        </w:rPr>
      </w:pPr>
      <w:r w:rsidRPr="00A147BF">
        <w:rPr>
          <w:sz w:val="36"/>
          <w:szCs w:val="36"/>
        </w:rPr>
        <w:t xml:space="preserve">How we will monitor and report on progress </w:t>
      </w:r>
    </w:p>
    <w:p w14:paraId="44EA48CF" w14:textId="50261794" w:rsidR="001E0951" w:rsidRDefault="001E0951" w:rsidP="001E0951">
      <w:r>
        <w:t xml:space="preserve">All health entities will report on a regular basis through formal and more regular, informal reporting avenues internally, and to Ministers. This reporting will include evidence of progress against GPS priorities, objectives and expectations. </w:t>
      </w:r>
    </w:p>
    <w:p w14:paraId="606369A5" w14:textId="77777777" w:rsidR="001E0951" w:rsidRDefault="001E0951" w:rsidP="001E0951"/>
    <w:p w14:paraId="0CA633C1" w14:textId="6AF817AC" w:rsidR="00C0337C" w:rsidRDefault="001E0951" w:rsidP="001E0951">
      <w:r>
        <w:t>Monitoring agencies, including the Ministry of Health, will monitor progress against GPS priorities, objectives and expectations on a regular basis, with further actions taken as necessary to respond to any issues that are identified. Health New Zealand will need to support this by working in full collaboration with monitors, including the Ministry of Health, HQSC and HMAC</w:t>
      </w:r>
      <w:r w:rsidR="00C0337C">
        <w:t>.</w:t>
      </w:r>
    </w:p>
    <w:p w14:paraId="5F1C22C4" w14:textId="77777777" w:rsidR="00C0337C" w:rsidRPr="00A147BF" w:rsidRDefault="00C0337C" w:rsidP="00A147BF">
      <w:pPr>
        <w:pStyle w:val="Heading4"/>
        <w:rPr>
          <w:sz w:val="36"/>
          <w:szCs w:val="36"/>
        </w:rPr>
      </w:pPr>
      <w:r w:rsidRPr="00A147BF">
        <w:rPr>
          <w:sz w:val="36"/>
          <w:szCs w:val="36"/>
        </w:rPr>
        <w:t xml:space="preserve">Public reporting </w:t>
      </w:r>
    </w:p>
    <w:p w14:paraId="0BB46373" w14:textId="787BAA84" w:rsidR="001E0951" w:rsidRDefault="001E0951" w:rsidP="001E0951">
      <w:r>
        <w:t>The Ministry of Health will report on results of the GPS measures</w:t>
      </w:r>
      <w:r w:rsidRPr="00F07518">
        <w:t xml:space="preserve"> annually</w:t>
      </w:r>
      <w:r>
        <w:t>,</w:t>
      </w:r>
      <w:r w:rsidRPr="007026A7">
        <w:t xml:space="preserve"> with results broken down by quarter where possible</w:t>
      </w:r>
      <w:r w:rsidRPr="00F07518">
        <w:t>. The</w:t>
      </w:r>
      <w:r w:rsidRPr="00237429">
        <w:t xml:space="preserve"> granularity and frequency of this reporting will depend on available data and may differ between measures</w:t>
      </w:r>
      <w:r>
        <w:t xml:space="preserve">. </w:t>
      </w:r>
    </w:p>
    <w:p w14:paraId="700C0C72" w14:textId="77777777" w:rsidR="001E0951" w:rsidRPr="001A7E27" w:rsidRDefault="001E0951" w:rsidP="001E0951"/>
    <w:p w14:paraId="110E3C03" w14:textId="62686480" w:rsidR="00C0337C" w:rsidRDefault="001E0951" w:rsidP="001E0951">
      <w:r>
        <w:t xml:space="preserve">Additional public reporting of GPS measures may be achieved through quarterly and annual reports, and updates </w:t>
      </w:r>
      <w:r w:rsidR="003A0FB2">
        <w:t>through</w:t>
      </w:r>
      <w:r>
        <w:t xml:space="preserve"> the New Zealand Health Plan</w:t>
      </w:r>
      <w:r w:rsidR="009A7FDA">
        <w:t xml:space="preserve"> reporting</w:t>
      </w:r>
      <w:r>
        <w:t>. Where entities are responsible for collecting and recording data to support reporting of the GPS measures, those entities must provide accurate and timely data to the Ministry of Health and Minister to support the public reporting process</w:t>
      </w:r>
      <w:r w:rsidR="00C0337C">
        <w:t>.</w:t>
      </w:r>
    </w:p>
    <w:p w14:paraId="6A20FA35" w14:textId="77777777" w:rsidR="00C0337C" w:rsidRPr="00A147BF" w:rsidRDefault="00C0337C" w:rsidP="00A147BF">
      <w:pPr>
        <w:pStyle w:val="Heading4"/>
        <w:rPr>
          <w:rFonts w:eastAsia="Arial Unicode MS"/>
          <w:b/>
          <w:bCs/>
          <w:sz w:val="40"/>
          <w:szCs w:val="40"/>
        </w:rPr>
      </w:pPr>
      <w:r w:rsidRPr="00A147BF">
        <w:rPr>
          <w:rFonts w:eastAsia="Arial Unicode MS"/>
          <w:b/>
          <w:bCs/>
          <w:sz w:val="40"/>
          <w:szCs w:val="40"/>
        </w:rPr>
        <w:t xml:space="preserve">Wider system monitoring </w:t>
      </w:r>
    </w:p>
    <w:p w14:paraId="3FC1C79A" w14:textId="716DBE86" w:rsidR="00C0337C" w:rsidRDefault="00C0337C" w:rsidP="00C0337C">
      <w:r w:rsidRPr="005328F2">
        <w:t xml:space="preserve">Ultimately, </w:t>
      </w:r>
      <w:r w:rsidR="0091520A">
        <w:t>the Government’s</w:t>
      </w:r>
      <w:r w:rsidRPr="005328F2">
        <w:t xml:space="preserve"> focus is on improving health outcomes for New Zealanders. This includes a focus on increased quality and length of life, as well as an overall improvement in health trends and population health.  </w:t>
      </w:r>
    </w:p>
    <w:p w14:paraId="0E2BA929" w14:textId="253D67BF" w:rsidR="00C0337C" w:rsidRPr="005328F2" w:rsidRDefault="00C0337C" w:rsidP="00C0337C">
      <w:r w:rsidRPr="005328F2">
        <w:t xml:space="preserve"> </w:t>
      </w:r>
    </w:p>
    <w:p w14:paraId="5A20A4AB" w14:textId="17A14775" w:rsidR="001E0951" w:rsidRPr="005328F2" w:rsidRDefault="001E0951" w:rsidP="001E0951">
      <w:pPr>
        <w:spacing w:after="160"/>
        <w:rPr>
          <w:rFonts w:cs="Segoe UI"/>
        </w:rPr>
      </w:pPr>
      <w:r w:rsidRPr="005328F2">
        <w:rPr>
          <w:rFonts w:cs="Segoe UI"/>
        </w:rPr>
        <w:t>Improving system performance is critical to achieving these outcomes. This means</w:t>
      </w:r>
      <w:r>
        <w:rPr>
          <w:rFonts w:cs="Segoe UI"/>
        </w:rPr>
        <w:t xml:space="preserve"> that</w:t>
      </w:r>
      <w:r w:rsidRPr="005328F2">
        <w:rPr>
          <w:rFonts w:cs="Segoe UI"/>
        </w:rPr>
        <w:t xml:space="preserve"> we must focus on ensuring </w:t>
      </w:r>
      <w:r>
        <w:rPr>
          <w:rFonts w:cs="Segoe UI"/>
        </w:rPr>
        <w:t xml:space="preserve">we have </w:t>
      </w:r>
      <w:r w:rsidRPr="005328F2">
        <w:rPr>
          <w:rFonts w:cs="Segoe UI"/>
        </w:rPr>
        <w:t xml:space="preserve">a sustainable and resilient health system that places people at its core, </w:t>
      </w:r>
      <w:r>
        <w:rPr>
          <w:rFonts w:cs="Segoe UI"/>
        </w:rPr>
        <w:t xml:space="preserve">and has </w:t>
      </w:r>
      <w:r w:rsidRPr="005328F2">
        <w:rPr>
          <w:rFonts w:cs="Segoe UI"/>
        </w:rPr>
        <w:t>a right</w:t>
      </w:r>
      <w:r>
        <w:rPr>
          <w:rFonts w:cs="Segoe UI"/>
        </w:rPr>
        <w:t>-</w:t>
      </w:r>
      <w:r w:rsidRPr="005328F2">
        <w:rPr>
          <w:rFonts w:cs="Segoe UI"/>
        </w:rPr>
        <w:t>size</w:t>
      </w:r>
      <w:r>
        <w:rPr>
          <w:rFonts w:cs="Segoe UI"/>
        </w:rPr>
        <w:t>d</w:t>
      </w:r>
      <w:r w:rsidRPr="005328F2">
        <w:rPr>
          <w:rFonts w:cs="Segoe UI"/>
        </w:rPr>
        <w:t xml:space="preserve">, right skilled workforce, and long-term infrastructure planning. </w:t>
      </w:r>
    </w:p>
    <w:p w14:paraId="315A1F0C" w14:textId="236C245B" w:rsidR="001E0951" w:rsidRPr="005328F2" w:rsidRDefault="001E0951" w:rsidP="001E0951">
      <w:pPr>
        <w:spacing w:after="160"/>
        <w:rPr>
          <w:rFonts w:cs="Segoe UI"/>
        </w:rPr>
      </w:pPr>
      <w:r w:rsidRPr="005328F2">
        <w:rPr>
          <w:rFonts w:cs="Segoe UI"/>
        </w:rPr>
        <w:t xml:space="preserve">Opportunities and priorities for improving the health sector, and associated measures that reflect </w:t>
      </w:r>
      <w:r w:rsidR="0091520A">
        <w:rPr>
          <w:rFonts w:cs="Segoe UI"/>
        </w:rPr>
        <w:t>the</w:t>
      </w:r>
      <w:r w:rsidRPr="005328F2">
        <w:rPr>
          <w:rFonts w:cs="Segoe UI"/>
        </w:rPr>
        <w:t xml:space="preserve"> </w:t>
      </w:r>
      <w:r w:rsidRPr="00531E05">
        <w:rPr>
          <w:rFonts w:cs="Segoe UI"/>
          <w:bCs/>
        </w:rPr>
        <w:t>long-term strategic</w:t>
      </w:r>
      <w:r w:rsidRPr="005328F2">
        <w:rPr>
          <w:rFonts w:cs="Segoe UI"/>
        </w:rPr>
        <w:t xml:space="preserve"> direction, are set out across a range of documents including the six health strategies. </w:t>
      </w:r>
    </w:p>
    <w:p w14:paraId="6965CA8D" w14:textId="35C47BCD" w:rsidR="001E0951" w:rsidRPr="006A555F" w:rsidRDefault="001E0951" w:rsidP="001E0951">
      <w:pPr>
        <w:spacing w:after="160"/>
        <w:rPr>
          <w:rFonts w:eastAsia="Calibri" w:cs="Segoe UI"/>
        </w:rPr>
      </w:pPr>
      <w:r w:rsidRPr="005328F2">
        <w:rPr>
          <w:rFonts w:cs="Segoe UI"/>
        </w:rPr>
        <w:t xml:space="preserve">The longer-term priorities and measures will be brought together within a new </w:t>
      </w:r>
      <w:r w:rsidR="00CC7C85">
        <w:rPr>
          <w:rFonts w:cs="Segoe UI"/>
        </w:rPr>
        <w:t xml:space="preserve">strategic </w:t>
      </w:r>
      <w:r w:rsidRPr="005328F2">
        <w:rPr>
          <w:rFonts w:cs="Segoe UI"/>
        </w:rPr>
        <w:t>monitoring framework for the health system. This framework will enable b</w:t>
      </w:r>
      <w:r w:rsidRPr="006A555F">
        <w:rPr>
          <w:rFonts w:eastAsia="Calibri" w:cs="Segoe UI"/>
        </w:rPr>
        <w:t xml:space="preserve">road analysis across the health system toward the long-term priorities set out within the health strategies, including:  </w:t>
      </w:r>
    </w:p>
    <w:p w14:paraId="01187019" w14:textId="77777777" w:rsidR="001E0951" w:rsidRPr="006A555F" w:rsidRDefault="001E0951" w:rsidP="001E0951">
      <w:pPr>
        <w:pStyle w:val="Bullet"/>
      </w:pPr>
      <w:r w:rsidRPr="006A555F">
        <w:t>health trends and outcomes over time (including a focus on communicable and non-communicable diseases)</w:t>
      </w:r>
    </w:p>
    <w:p w14:paraId="21911FA3" w14:textId="5D735AFA" w:rsidR="001E0951" w:rsidRPr="006A555F" w:rsidRDefault="001E0951" w:rsidP="001E0951">
      <w:pPr>
        <w:pStyle w:val="Bullet"/>
      </w:pPr>
      <w:r w:rsidRPr="006A555F">
        <w:lastRenderedPageBreak/>
        <w:t xml:space="preserve">prevention and other activities within the health system (including action on modifiable risk factors </w:t>
      </w:r>
      <w:r>
        <w:t>such as</w:t>
      </w:r>
      <w:r w:rsidRPr="006A555F">
        <w:t xml:space="preserve"> alcohol, </w:t>
      </w:r>
      <w:r w:rsidR="002F6DDE">
        <w:t xml:space="preserve">tobacco, poor </w:t>
      </w:r>
      <w:r w:rsidRPr="006A555F">
        <w:t xml:space="preserve">nutrition, </w:t>
      </w:r>
      <w:r w:rsidR="002F6DDE">
        <w:t>physical inactivity</w:t>
      </w:r>
      <w:r w:rsidRPr="006A555F">
        <w:t xml:space="preserve">, and </w:t>
      </w:r>
      <w:r w:rsidR="00583BF3">
        <w:t xml:space="preserve">adverse </w:t>
      </w:r>
      <w:r w:rsidRPr="006A555F">
        <w:t xml:space="preserve">social </w:t>
      </w:r>
      <w:r w:rsidR="002F6DDE">
        <w:t>and environmental facto</w:t>
      </w:r>
      <w:r w:rsidR="00583BF3">
        <w:t>r</w:t>
      </w:r>
      <w:r w:rsidR="002F6DDE">
        <w:t>s</w:t>
      </w:r>
      <w:r w:rsidRPr="006A555F">
        <w:t xml:space="preserve">) </w:t>
      </w:r>
    </w:p>
    <w:p w14:paraId="233DB876" w14:textId="44F3536A" w:rsidR="00C0337C" w:rsidRPr="006A555F" w:rsidRDefault="001E0951" w:rsidP="001E0951">
      <w:pPr>
        <w:pStyle w:val="Bullet"/>
      </w:pPr>
      <w:r w:rsidRPr="006A555F">
        <w:t xml:space="preserve">key inputs </w:t>
      </w:r>
      <w:r>
        <w:t xml:space="preserve">into </w:t>
      </w:r>
      <w:r w:rsidRPr="006A555F">
        <w:t xml:space="preserve">and enablers </w:t>
      </w:r>
      <w:r>
        <w:t>for</w:t>
      </w:r>
      <w:r w:rsidRPr="006A555F">
        <w:t xml:space="preserve"> the health system (such as leadership and governance, resources and investment, workforce, and infrastructure). </w:t>
      </w:r>
      <w:r w:rsidR="00C0337C" w:rsidRPr="006A555F">
        <w:t xml:space="preserve"> </w:t>
      </w:r>
    </w:p>
    <w:p w14:paraId="11DA38FF" w14:textId="77777777" w:rsidR="00C0337C" w:rsidRPr="00A147BF" w:rsidRDefault="00C0337C" w:rsidP="00A147BF">
      <w:pPr>
        <w:pStyle w:val="Heading4"/>
        <w:rPr>
          <w:sz w:val="36"/>
          <w:szCs w:val="36"/>
        </w:rPr>
      </w:pPr>
      <w:r w:rsidRPr="00A147BF">
        <w:rPr>
          <w:sz w:val="36"/>
          <w:szCs w:val="36"/>
        </w:rPr>
        <w:t xml:space="preserve">Monitoring roles and responsibilities </w:t>
      </w:r>
    </w:p>
    <w:p w14:paraId="5127AED2" w14:textId="48EEAA4F" w:rsidR="001E0951" w:rsidRDefault="001E0951" w:rsidP="001E0951">
      <w:r>
        <w:t xml:space="preserve">The Ministry of Health, health entities and other agencies all have different roles to monitor progress against the Government’s expectations and longer-term strategic priorities. </w:t>
      </w:r>
    </w:p>
    <w:p w14:paraId="07088340" w14:textId="6C9FECF6" w:rsidR="001E0951" w:rsidRDefault="001E0951" w:rsidP="001E0951"/>
    <w:p w14:paraId="7A6A801C" w14:textId="520B2583" w:rsidR="001E0951" w:rsidRDefault="001E0951" w:rsidP="001E0951">
      <w:r>
        <w:t>As chief steward of the health system, the Ministry of Health has an important role in monitoring the performance and outcomes achieved by our health system. This includes monitoring and public reporting on health system performance and outcomes for Māori.</w:t>
      </w:r>
    </w:p>
    <w:p w14:paraId="10AAF2A7" w14:textId="77777777" w:rsidR="001E0951" w:rsidRDefault="001E0951" w:rsidP="001E0951"/>
    <w:p w14:paraId="62C1997F" w14:textId="092B9EE7" w:rsidR="001E0951" w:rsidRDefault="001E0951" w:rsidP="001E0951">
      <w:r w:rsidRPr="003C29A2">
        <w:t xml:space="preserve">IMPBs </w:t>
      </w:r>
      <w:r>
        <w:t xml:space="preserve">have a role to </w:t>
      </w:r>
      <w:r w:rsidRPr="003C29A2">
        <w:t>monitor the performance of the health sector in their communities,</w:t>
      </w:r>
      <w:r>
        <w:t xml:space="preserve"> assessing how well things are working for Māori, how they can be improved, and what needs to change, including by determining local priorities for improving hauora Māori. IMPBs engage with Health New Zealand and support its priorities for kaupapa Māori investment and innovation. Over the next three years, IMPBs will play a key role in local service planning with Health New Zealand, and will be supported to take on a greater role in strategic commissioning. </w:t>
      </w:r>
    </w:p>
    <w:p w14:paraId="697BBA2A" w14:textId="77777777" w:rsidR="001E0951" w:rsidRDefault="001E0951" w:rsidP="001E0951"/>
    <w:p w14:paraId="382A898F" w14:textId="451E59ED" w:rsidR="001E0951" w:rsidRDefault="001E0951" w:rsidP="001E0951">
      <w:r>
        <w:t xml:space="preserve">HMAC also has </w:t>
      </w:r>
      <w:r w:rsidR="003352FA">
        <w:t xml:space="preserve">a </w:t>
      </w:r>
      <w:r>
        <w:t xml:space="preserve">role in providing independent advice to the Minister of Health on how well the health system is performing for Māori, working alongside the Ministry of Health in overseeing system-wide performance, and providing advice as to how the health system can improve Māori health outcomes. This complements the role of IMPBs. </w:t>
      </w:r>
    </w:p>
    <w:p w14:paraId="3BE56A21" w14:textId="77777777" w:rsidR="001E0951" w:rsidRDefault="001E0951" w:rsidP="001E0951"/>
    <w:p w14:paraId="7E252DEA" w14:textId="52EC066B" w:rsidR="00C0337C" w:rsidRDefault="001E0951" w:rsidP="001E0951">
      <w:r>
        <w:t>Crown entity boards are responsible for decisions relating to the operation of entities. The Health New Zealand Board is the primary monitor of health services provided or commissioned by Health New Zealand, and the associated delivery of most outputs</w:t>
      </w:r>
      <w:r w:rsidR="00C0337C">
        <w:t xml:space="preserve">.  </w:t>
      </w:r>
    </w:p>
    <w:p w14:paraId="735F7226" w14:textId="77777777" w:rsidR="00C0337C" w:rsidRPr="00A147BF" w:rsidRDefault="00C0337C" w:rsidP="00A147BF">
      <w:pPr>
        <w:pStyle w:val="Heading4"/>
        <w:rPr>
          <w:sz w:val="36"/>
          <w:szCs w:val="36"/>
        </w:rPr>
      </w:pPr>
      <w:r w:rsidRPr="00A147BF">
        <w:rPr>
          <w:sz w:val="36"/>
          <w:szCs w:val="36"/>
        </w:rPr>
        <w:t xml:space="preserve">How we will monitor and report on progress </w:t>
      </w:r>
    </w:p>
    <w:p w14:paraId="50396023" w14:textId="17D4DE53" w:rsidR="001E0951" w:rsidRDefault="001E0951" w:rsidP="001E0951">
      <w:r w:rsidRPr="006A555F">
        <w:t xml:space="preserve">Monitoring and reporting of wider system performance will occur across three levels which overlap and reinforce each other. </w:t>
      </w:r>
      <w:r w:rsidRPr="4BEF6D64">
        <w:t xml:space="preserve">The </w:t>
      </w:r>
      <w:r>
        <w:t>strategic</w:t>
      </w:r>
      <w:r w:rsidRPr="4B19982B">
        <w:t xml:space="preserve"> </w:t>
      </w:r>
      <w:r w:rsidRPr="006A555F">
        <w:t>monitoring framework</w:t>
      </w:r>
      <w:r>
        <w:t xml:space="preserve"> (see Figure 2)</w:t>
      </w:r>
      <w:r w:rsidRPr="006A555F">
        <w:t xml:space="preserve"> brings these layers of monitoring together to ensure </w:t>
      </w:r>
      <w:r>
        <w:t xml:space="preserve">that </w:t>
      </w:r>
      <w:r w:rsidRPr="006A555F">
        <w:t>there is a comprehensive picture of how the health sector is performing over time</w:t>
      </w:r>
      <w:r>
        <w:t>. The framework also</w:t>
      </w:r>
      <w:r w:rsidRPr="006A555F">
        <w:t xml:space="preserve"> cl</w:t>
      </w:r>
      <w:r>
        <w:t>arifies agencies</w:t>
      </w:r>
      <w:r w:rsidRPr="006A555F">
        <w:t xml:space="preserve"> respective roles</w:t>
      </w:r>
      <w:r>
        <w:t>,</w:t>
      </w:r>
      <w:r w:rsidRPr="0018139C">
        <w:t xml:space="preserve"> and ensures health entities </w:t>
      </w:r>
      <w:r>
        <w:t>can be</w:t>
      </w:r>
      <w:r w:rsidRPr="0018139C">
        <w:t xml:space="preserve"> appropriately </w:t>
      </w:r>
      <w:r>
        <w:t xml:space="preserve">held </w:t>
      </w:r>
      <w:r w:rsidRPr="0018139C">
        <w:t>to account for their responsibilities.</w:t>
      </w:r>
    </w:p>
    <w:p w14:paraId="0E728ADD" w14:textId="77777777" w:rsidR="001E0951" w:rsidRPr="0018139C" w:rsidRDefault="001E0951" w:rsidP="001E0951"/>
    <w:p w14:paraId="4429F75B" w14:textId="77777777" w:rsidR="001E0951" w:rsidRPr="005328F2" w:rsidRDefault="001E0951" w:rsidP="001E0951">
      <w:pPr>
        <w:rPr>
          <w:b/>
        </w:rPr>
      </w:pPr>
      <w:r w:rsidRPr="005328F2">
        <w:rPr>
          <w:b/>
        </w:rPr>
        <w:t xml:space="preserve">Internal entity monitoring </w:t>
      </w:r>
      <w:r w:rsidRPr="005328F2">
        <w:t xml:space="preserve">carried out by health </w:t>
      </w:r>
      <w:r>
        <w:t xml:space="preserve">entities will: </w:t>
      </w:r>
    </w:p>
    <w:p w14:paraId="19033354" w14:textId="188C748B" w:rsidR="001E0951" w:rsidRPr="008B0506" w:rsidRDefault="001E0951" w:rsidP="001E0951">
      <w:pPr>
        <w:pStyle w:val="Bullet"/>
      </w:pPr>
      <w:r w:rsidRPr="0018139C">
        <w:t>focus on monitoring measures and operational performance at local, regional, and national levels through internal monitoring frameworks and governance processes. Measures will be reported on and monitored at monthly, quarter</w:t>
      </w:r>
      <w:r>
        <w:t>ly</w:t>
      </w:r>
      <w:r w:rsidRPr="0018139C">
        <w:t>, annual</w:t>
      </w:r>
      <w:r>
        <w:t>ly</w:t>
      </w:r>
      <w:r w:rsidRPr="0018139C">
        <w:t xml:space="preserve"> or </w:t>
      </w:r>
      <w:r w:rsidR="00087529">
        <w:t>every two years</w:t>
      </w:r>
      <w:r>
        <w:t>,</w:t>
      </w:r>
      <w:r w:rsidRPr="00473B10">
        <w:t xml:space="preserve"> and at national, regional and district levels as appropriate to check the value added by activity delivered through public funding</w:t>
      </w:r>
    </w:p>
    <w:p w14:paraId="2AD4EC1E" w14:textId="77777777" w:rsidR="001E0951" w:rsidRPr="008B0506" w:rsidRDefault="001E0951" w:rsidP="001E0951">
      <w:pPr>
        <w:pStyle w:val="Bullet"/>
      </w:pPr>
      <w:r w:rsidRPr="0018139C">
        <w:lastRenderedPageBreak/>
        <w:t>include reporting against the New Zealand Health Plan</w:t>
      </w:r>
      <w:r>
        <w:t xml:space="preserve"> (for Health New Zealand)</w:t>
      </w:r>
      <w:r w:rsidRPr="0018139C">
        <w:t xml:space="preserve"> and their Statement of Intent and Statement of Performance Expectations</w:t>
      </w:r>
      <w:r>
        <w:t>,</w:t>
      </w:r>
      <w:r w:rsidRPr="0018139C">
        <w:t xml:space="preserve"> to outline progress against the Government’s agreed goals and health </w:t>
      </w:r>
      <w:r>
        <w:t>priorities</w:t>
      </w:r>
      <w:r w:rsidRPr="0018139C">
        <w:t xml:space="preserve"> – both through formal reporting avenues</w:t>
      </w:r>
      <w:r>
        <w:t>,</w:t>
      </w:r>
      <w:r w:rsidRPr="0018139C">
        <w:t xml:space="preserve"> and more regular, informal reporting to the Ministry of Health and </w:t>
      </w:r>
      <w:r>
        <w:t>M</w:t>
      </w:r>
      <w:r w:rsidRPr="0018139C">
        <w:t>inisters.</w:t>
      </w:r>
    </w:p>
    <w:p w14:paraId="18695C1C" w14:textId="77777777" w:rsidR="001E0951" w:rsidRDefault="001E0951" w:rsidP="001E0951"/>
    <w:p w14:paraId="45730321" w14:textId="33A33D09" w:rsidR="001E0951" w:rsidRPr="005328F2" w:rsidRDefault="001E0951" w:rsidP="001E0951">
      <w:r w:rsidRPr="001E0951">
        <w:rPr>
          <w:b/>
          <w:bCs/>
        </w:rPr>
        <w:t>Health entity monitoring</w:t>
      </w:r>
      <w:r w:rsidRPr="005328F2">
        <w:t xml:space="preserve"> carried out by the Ministry of Health will:</w:t>
      </w:r>
    </w:p>
    <w:p w14:paraId="684BE6B9" w14:textId="77777777" w:rsidR="001E0951" w:rsidRPr="008B0506" w:rsidRDefault="001E0951" w:rsidP="001E0951">
      <w:pPr>
        <w:pStyle w:val="Bullet"/>
      </w:pPr>
      <w:r w:rsidRPr="0018139C">
        <w:t xml:space="preserve">focus on assessing entity and </w:t>
      </w:r>
      <w:r>
        <w:t>b</w:t>
      </w:r>
      <w:r w:rsidRPr="0018139C">
        <w:t>oard performance to provide the Minister</w:t>
      </w:r>
      <w:r>
        <w:t xml:space="preserve"> of Health or Minister for Mental Health</w:t>
      </w:r>
      <w:r w:rsidRPr="0018139C">
        <w:t xml:space="preserve"> assurance that each is operating effectively, meeting legislative requirements</w:t>
      </w:r>
      <w:r>
        <w:t>,</w:t>
      </w:r>
      <w:r w:rsidRPr="0018139C">
        <w:t xml:space="preserve"> and Government expectations. Progress toward operational measures, entity plans and accountability documents will be reviewed to support feedback to the entity, and the Ministry </w:t>
      </w:r>
      <w:r>
        <w:t xml:space="preserve">of Health </w:t>
      </w:r>
      <w:r w:rsidRPr="0018139C">
        <w:t xml:space="preserve">will advise the </w:t>
      </w:r>
      <w:r>
        <w:t>relevant m</w:t>
      </w:r>
      <w:r w:rsidRPr="0018139C">
        <w:t>inister on the use of interventions and levers, including any changes to system or policy settings</w:t>
      </w:r>
    </w:p>
    <w:p w14:paraId="42DF29F6" w14:textId="77777777" w:rsidR="001E0951" w:rsidRPr="00F74AB6" w:rsidRDefault="001E0951" w:rsidP="001E0951">
      <w:pPr>
        <w:pStyle w:val="Bullet"/>
      </w:pPr>
      <w:r>
        <w:t>include</w:t>
      </w:r>
      <w:r w:rsidRPr="0018139C">
        <w:t xml:space="preserve"> other activities t</w:t>
      </w:r>
      <w:r>
        <w:t>hat</w:t>
      </w:r>
      <w:r w:rsidRPr="0018139C">
        <w:t xml:space="preserve"> support the Minister to manage entity and Board performance, including through administering </w:t>
      </w:r>
      <w:r>
        <w:t>b</w:t>
      </w:r>
      <w:r w:rsidRPr="0018139C">
        <w:t xml:space="preserve">oard member appointment and induction, helping </w:t>
      </w:r>
      <w:r>
        <w:t xml:space="preserve">to </w:t>
      </w:r>
      <w:r w:rsidRPr="0018139C">
        <w:t>set expectations for entities through instruments like the GPS and Letters of Expectations</w:t>
      </w:r>
      <w:r>
        <w:t>,</w:t>
      </w:r>
      <w:r w:rsidRPr="0018139C">
        <w:t xml:space="preserve"> and regularly engaging with entities to ensure delivery against expectations and</w:t>
      </w:r>
      <w:r>
        <w:t xml:space="preserve"> that</w:t>
      </w:r>
      <w:r w:rsidRPr="0018139C">
        <w:t xml:space="preserve"> risks and issues are being appropriately managed. </w:t>
      </w:r>
    </w:p>
    <w:p w14:paraId="7308CCBC" w14:textId="77777777" w:rsidR="001E0951" w:rsidRDefault="001E0951" w:rsidP="001E0951"/>
    <w:p w14:paraId="0659ABA5" w14:textId="37C09B0B" w:rsidR="001E0951" w:rsidRPr="005328F2" w:rsidRDefault="001E0951" w:rsidP="001E0951">
      <w:r w:rsidRPr="001E0951">
        <w:rPr>
          <w:b/>
          <w:bCs/>
        </w:rPr>
        <w:t>System-level monitoring</w:t>
      </w:r>
      <w:r w:rsidRPr="005328F2">
        <w:t xml:space="preserve"> carried out by the Ministry of Health will:</w:t>
      </w:r>
    </w:p>
    <w:p w14:paraId="391A9449" w14:textId="1F645F5E" w:rsidR="001E0951" w:rsidRPr="000F64AB" w:rsidRDefault="001E0951" w:rsidP="001E0951">
      <w:pPr>
        <w:pStyle w:val="Bullet"/>
      </w:pPr>
      <w:r w:rsidRPr="0018139C">
        <w:t>focus on</w:t>
      </w:r>
      <w:r>
        <w:t xml:space="preserve"> the</w:t>
      </w:r>
      <w:r w:rsidRPr="0018139C">
        <w:t xml:space="preserve"> delivery of outcomes and priorities across the whole</w:t>
      </w:r>
      <w:r>
        <w:t xml:space="preserve"> </w:t>
      </w:r>
      <w:r w:rsidRPr="00473B10">
        <w:t xml:space="preserve">sector, including monitoring of progress on </w:t>
      </w:r>
      <w:r>
        <w:t>h</w:t>
      </w:r>
      <w:r w:rsidRPr="00473B10">
        <w:t xml:space="preserve">ealth </w:t>
      </w:r>
      <w:r>
        <w:t>t</w:t>
      </w:r>
      <w:r w:rsidRPr="00473B10">
        <w:t xml:space="preserve">argets, GPS measures and health strategies. </w:t>
      </w:r>
      <w:r w:rsidRPr="0018139C">
        <w:t>The monitoring and reporting at this level will also inform statutory annual progress reports, such as the Health and Independence Report</w:t>
      </w:r>
    </w:p>
    <w:p w14:paraId="4BB788F7" w14:textId="1EA91C5E" w:rsidR="001E0951" w:rsidRPr="008B0506" w:rsidRDefault="001E0951" w:rsidP="001E0951">
      <w:pPr>
        <w:pStyle w:val="Bullet"/>
      </w:pPr>
      <w:r>
        <w:t>use r</w:t>
      </w:r>
      <w:r w:rsidRPr="00473B10">
        <w:t xml:space="preserve">egular reporting </w:t>
      </w:r>
      <w:r>
        <w:t>to</w:t>
      </w:r>
      <w:r w:rsidRPr="00473B10">
        <w:t xml:space="preserve"> draw on entity reports and provide additional insights. Over time we expect deep</w:t>
      </w:r>
      <w:r w:rsidR="007C3377">
        <w:t>er analysis</w:t>
      </w:r>
      <w:r w:rsidRPr="00473B10">
        <w:t xml:space="preserve"> into identified areas of risk or opportunity to be completed</w:t>
      </w:r>
    </w:p>
    <w:p w14:paraId="5B0E3A67" w14:textId="77777777" w:rsidR="001E0951" w:rsidRPr="000F64AB" w:rsidRDefault="001E0951" w:rsidP="001E0951">
      <w:pPr>
        <w:pStyle w:val="Bullet"/>
      </w:pPr>
      <w:r w:rsidRPr="0018139C">
        <w:t xml:space="preserve">support the Minister to provide regular reporting to Cabinet on progress against </w:t>
      </w:r>
      <w:r>
        <w:t>h</w:t>
      </w:r>
      <w:r w:rsidRPr="0018139C">
        <w:t xml:space="preserve">ealth </w:t>
      </w:r>
      <w:r>
        <w:t>t</w:t>
      </w:r>
      <w:r w:rsidRPr="0018139C">
        <w:t>argets, Government expectations and long-term strategic priorities</w:t>
      </w:r>
    </w:p>
    <w:p w14:paraId="4BE376FB" w14:textId="77777777" w:rsidR="001E0951" w:rsidRPr="008B0506" w:rsidRDefault="001E0951" w:rsidP="001E0951">
      <w:pPr>
        <w:pStyle w:val="Bullet"/>
      </w:pPr>
      <w:r w:rsidRPr="0018139C">
        <w:t>identify any issues for discussion or action</w:t>
      </w:r>
      <w:r>
        <w:t>s</w:t>
      </w:r>
      <w:r w:rsidRPr="0018139C">
        <w:t xml:space="preserve"> that can then be taken forward through regular engagement </w:t>
      </w:r>
      <w:r>
        <w:t>between the Minister and</w:t>
      </w:r>
      <w:r w:rsidRPr="0018139C">
        <w:t xml:space="preserve"> the entities. </w:t>
      </w:r>
    </w:p>
    <w:p w14:paraId="70CB0661" w14:textId="77777777" w:rsidR="001E0951" w:rsidRDefault="001E0951" w:rsidP="001E0951">
      <w:pPr>
        <w:spacing w:after="160" w:line="259" w:lineRule="auto"/>
        <w:contextualSpacing/>
        <w:rPr>
          <w:rFonts w:cs="Segoe UI"/>
        </w:rPr>
      </w:pPr>
    </w:p>
    <w:p w14:paraId="71B014EF" w14:textId="2707A05E" w:rsidR="00BE0EE8" w:rsidRDefault="001E0951" w:rsidP="00C0337C">
      <w:pPr>
        <w:spacing w:after="160" w:line="259" w:lineRule="auto"/>
        <w:contextualSpacing/>
        <w:rPr>
          <w:rFonts w:cs="Segoe UI"/>
        </w:rPr>
      </w:pPr>
      <w:r w:rsidRPr="7F668527">
        <w:rPr>
          <w:rFonts w:cs="Segoe UI"/>
        </w:rPr>
        <w:t xml:space="preserve">The </w:t>
      </w:r>
      <w:r>
        <w:rPr>
          <w:rFonts w:cs="Segoe UI"/>
        </w:rPr>
        <w:t>strategic</w:t>
      </w:r>
      <w:r w:rsidRPr="4BEF6D64">
        <w:rPr>
          <w:rFonts w:cs="Segoe UI"/>
        </w:rPr>
        <w:t xml:space="preserve"> </w:t>
      </w:r>
      <w:r w:rsidRPr="005328F2">
        <w:rPr>
          <w:rFonts w:cs="Segoe UI"/>
        </w:rPr>
        <w:t>monitoring framework</w:t>
      </w:r>
      <w:r w:rsidR="00221CAC">
        <w:rPr>
          <w:rFonts w:cs="Segoe UI"/>
        </w:rPr>
        <w:t>,</w:t>
      </w:r>
      <w:r w:rsidRPr="005328F2">
        <w:rPr>
          <w:rFonts w:cs="Segoe UI"/>
        </w:rPr>
        <w:t xml:space="preserve"> </w:t>
      </w:r>
      <w:r>
        <w:rPr>
          <w:rFonts w:cs="Segoe UI"/>
        </w:rPr>
        <w:t>in Figure 2 on the following page</w:t>
      </w:r>
      <w:r w:rsidR="00221CAC">
        <w:rPr>
          <w:rFonts w:cs="Segoe UI"/>
        </w:rPr>
        <w:t>, also</w:t>
      </w:r>
      <w:r w:rsidRPr="005328F2">
        <w:rPr>
          <w:rFonts w:cs="Segoe UI"/>
        </w:rPr>
        <w:t xml:space="preserve"> </w:t>
      </w:r>
      <w:r w:rsidR="008D4BC3">
        <w:rPr>
          <w:rFonts w:cs="Segoe UI"/>
        </w:rPr>
        <w:t>includes the GPS suite of measures</w:t>
      </w:r>
      <w:r w:rsidR="001B4464">
        <w:rPr>
          <w:rFonts w:cs="Segoe UI"/>
        </w:rPr>
        <w:t xml:space="preserve"> and </w:t>
      </w:r>
      <w:r w:rsidR="008D4BC3">
        <w:rPr>
          <w:rFonts w:cs="Segoe UI"/>
        </w:rPr>
        <w:t xml:space="preserve">the </w:t>
      </w:r>
      <w:r w:rsidR="008D4BC3" w:rsidRPr="000416A9">
        <w:rPr>
          <w:rFonts w:cs="Segoe UI"/>
        </w:rPr>
        <w:t xml:space="preserve">additional expectations </w:t>
      </w:r>
      <w:r w:rsidR="008D4BC3">
        <w:rPr>
          <w:rFonts w:cs="Segoe UI"/>
        </w:rPr>
        <w:t>as</w:t>
      </w:r>
      <w:r w:rsidR="008D4BC3" w:rsidRPr="000416A9">
        <w:rPr>
          <w:rFonts w:cs="Segoe UI"/>
        </w:rPr>
        <w:t xml:space="preserve"> outlined </w:t>
      </w:r>
      <w:r w:rsidR="008D4BC3">
        <w:rPr>
          <w:rFonts w:cs="Segoe UI"/>
        </w:rPr>
        <w:t xml:space="preserve">above. It </w:t>
      </w:r>
      <w:r w:rsidR="005A303F" w:rsidRPr="005A303F">
        <w:rPr>
          <w:rFonts w:cs="Segoe UI"/>
        </w:rPr>
        <w:t>is designed to create a shared understanding of the health system</w:t>
      </w:r>
      <w:r w:rsidR="008D4BC3">
        <w:rPr>
          <w:rFonts w:cs="Segoe UI"/>
        </w:rPr>
        <w:t xml:space="preserve"> and </w:t>
      </w:r>
      <w:r w:rsidR="00FC7AF6">
        <w:rPr>
          <w:rFonts w:cs="Segoe UI"/>
        </w:rPr>
        <w:t xml:space="preserve">to </w:t>
      </w:r>
      <w:r w:rsidRPr="005328F2">
        <w:rPr>
          <w:rFonts w:cs="Segoe UI"/>
        </w:rPr>
        <w:t xml:space="preserve">set out what </w:t>
      </w:r>
      <w:r>
        <w:rPr>
          <w:rFonts w:cs="Segoe UI"/>
        </w:rPr>
        <w:t>the Ministry of Health</w:t>
      </w:r>
      <w:r w:rsidRPr="005328F2">
        <w:rPr>
          <w:rFonts w:cs="Segoe UI"/>
        </w:rPr>
        <w:t xml:space="preserve"> will be monitoring, and how this will occur.</w:t>
      </w:r>
      <w:r w:rsidR="0069685C">
        <w:rPr>
          <w:rFonts w:cs="Segoe UI"/>
        </w:rPr>
        <w:t xml:space="preserve"> </w:t>
      </w:r>
      <w:r w:rsidR="002B5CC2" w:rsidRPr="00ED6C44">
        <w:rPr>
          <w:rFonts w:cs="Segoe UI"/>
        </w:rPr>
        <w:t>The contents of this framework are illustrative.</w:t>
      </w:r>
    </w:p>
    <w:p w14:paraId="0BB68D43" w14:textId="26B7BBE5" w:rsidR="00BE0EE8" w:rsidRDefault="00BE0EE8" w:rsidP="00C0337C">
      <w:pPr>
        <w:spacing w:after="160" w:line="259" w:lineRule="auto"/>
        <w:contextualSpacing/>
        <w:rPr>
          <w:rFonts w:cs="Segoe UI"/>
        </w:rPr>
        <w:sectPr w:rsidR="00BE0EE8" w:rsidSect="000A0E77">
          <w:pgSz w:w="11907" w:h="16840" w:code="9"/>
          <w:pgMar w:top="1418" w:right="1701" w:bottom="1134" w:left="1843" w:header="284" w:footer="425" w:gutter="284"/>
          <w:cols w:space="720"/>
        </w:sectPr>
      </w:pPr>
    </w:p>
    <w:p w14:paraId="521DBB44" w14:textId="1405863F" w:rsidR="00C0337C" w:rsidRDefault="00C0337C" w:rsidP="00C0337C">
      <w:pPr>
        <w:pStyle w:val="Figure"/>
      </w:pPr>
      <w:bookmarkStart w:id="53" w:name="_Toc170134130"/>
      <w:r>
        <w:lastRenderedPageBreak/>
        <w:t xml:space="preserve">Figure </w:t>
      </w:r>
      <w:fldSimple w:instr=" SEQ Figure \* ARABIC ">
        <w:r w:rsidR="00D0364A">
          <w:rPr>
            <w:noProof/>
          </w:rPr>
          <w:t>2</w:t>
        </w:r>
      </w:fldSimple>
      <w:r>
        <w:t xml:space="preserve">: </w:t>
      </w:r>
      <w:r w:rsidRPr="00C0337C">
        <w:t>Strategic Monitoring Framework</w:t>
      </w:r>
      <w:bookmarkEnd w:id="53"/>
    </w:p>
    <w:p w14:paraId="17B0A3B5" w14:textId="5AFE7C32" w:rsidR="000A0E77" w:rsidRDefault="00C0337C" w:rsidP="000A0E77">
      <w:r>
        <w:rPr>
          <w:noProof/>
        </w:rPr>
        <w:drawing>
          <wp:inline distT="0" distB="0" distL="0" distR="0" wp14:anchorId="4E0DAB1A" wp14:editId="202616CF">
            <wp:extent cx="8513044" cy="5442857"/>
            <wp:effectExtent l="0" t="0" r="2540" b="5715"/>
            <wp:docPr id="8" name="Picture 8" descr="Overarching goal: Longer healthy life expectancy and improve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verarching goal: Longer healthy life expectancy and improved quality of life"/>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554"/>
                    <a:stretch/>
                  </pic:blipFill>
                  <pic:spPr bwMode="auto">
                    <a:xfrm>
                      <a:off x="0" y="0"/>
                      <a:ext cx="8575476" cy="5482773"/>
                    </a:xfrm>
                    <a:prstGeom prst="rect">
                      <a:avLst/>
                    </a:prstGeom>
                    <a:noFill/>
                    <a:ln>
                      <a:noFill/>
                    </a:ln>
                    <a:extLst>
                      <a:ext uri="{53640926-AAD7-44D8-BBD7-CCE9431645EC}">
                        <a14:shadowObscured xmlns:a14="http://schemas.microsoft.com/office/drawing/2010/main"/>
                      </a:ext>
                    </a:extLst>
                  </pic:spPr>
                </pic:pic>
              </a:graphicData>
            </a:graphic>
          </wp:inline>
        </w:drawing>
      </w:r>
    </w:p>
    <w:p w14:paraId="13EDD143" w14:textId="77777777" w:rsidR="00C0337C" w:rsidRPr="00A147BF" w:rsidRDefault="00C0337C" w:rsidP="00A147BF">
      <w:pPr>
        <w:pStyle w:val="Heading4"/>
        <w:spacing w:after="240"/>
        <w:rPr>
          <w:rFonts w:eastAsia="Arial Unicode MS"/>
          <w:b/>
          <w:bCs/>
          <w:sz w:val="40"/>
          <w:szCs w:val="40"/>
        </w:rPr>
      </w:pPr>
      <w:r w:rsidRPr="00A147BF">
        <w:rPr>
          <w:rFonts w:eastAsia="Arial Unicode MS"/>
          <w:b/>
          <w:bCs/>
          <w:sz w:val="40"/>
          <w:szCs w:val="40"/>
        </w:rPr>
        <w:lastRenderedPageBreak/>
        <w:t>GPS measures</w:t>
      </w:r>
    </w:p>
    <w:p w14:paraId="7ABC6302" w14:textId="18F96A5E" w:rsidR="00C0337C" w:rsidRDefault="00473432" w:rsidP="00473432">
      <w:pPr>
        <w:pStyle w:val="Table"/>
      </w:pPr>
      <w:bookmarkStart w:id="54" w:name="_Toc170134133"/>
      <w:r>
        <w:t xml:space="preserve">Table </w:t>
      </w:r>
      <w:fldSimple w:instr=" SEQ Table \* ARABIC ">
        <w:r w:rsidR="00D0364A">
          <w:rPr>
            <w:noProof/>
          </w:rPr>
          <w:t>1</w:t>
        </w:r>
      </w:fldSimple>
      <w:r>
        <w:t xml:space="preserve">: </w:t>
      </w:r>
      <w:r w:rsidR="00C0337C">
        <w:rPr>
          <w:bCs/>
        </w:rPr>
        <w:t xml:space="preserve">Summary table of </w:t>
      </w:r>
      <w:r w:rsidR="00C0337C" w:rsidRPr="00DB13B6">
        <w:rPr>
          <w:bCs/>
        </w:rPr>
        <w:t>GPS measures</w:t>
      </w:r>
      <w:bookmarkEnd w:id="54"/>
    </w:p>
    <w:tbl>
      <w:tblPr>
        <w:tblW w:w="1346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1"/>
        <w:gridCol w:w="2977"/>
        <w:gridCol w:w="4252"/>
        <w:gridCol w:w="5387"/>
      </w:tblGrid>
      <w:tr w:rsidR="00C0337C" w:rsidRPr="00C0337C" w14:paraId="37621DD0" w14:textId="77777777" w:rsidTr="00473432">
        <w:trPr>
          <w:tblHeader/>
        </w:trPr>
        <w:tc>
          <w:tcPr>
            <w:tcW w:w="13467" w:type="dxa"/>
            <w:gridSpan w:val="4"/>
            <w:shd w:val="clear" w:color="auto" w:fill="D9D9D9" w:themeFill="background1" w:themeFillShade="D9"/>
            <w:vAlign w:val="center"/>
            <w:hideMark/>
          </w:tcPr>
          <w:p w14:paraId="282F3DC9" w14:textId="77777777" w:rsidR="00C0337C" w:rsidRPr="00C0337C" w:rsidRDefault="00C0337C" w:rsidP="00473432">
            <w:pPr>
              <w:pStyle w:val="TableText"/>
              <w:jc w:val="center"/>
              <w:rPr>
                <w:b/>
                <w:bCs/>
              </w:rPr>
            </w:pPr>
            <w:r w:rsidRPr="00C0337C">
              <w:rPr>
                <w:b/>
                <w:bCs/>
              </w:rPr>
              <w:t>GPS priority area 1: Access</w:t>
            </w:r>
          </w:p>
        </w:tc>
      </w:tr>
      <w:tr w:rsidR="00C0337C" w:rsidRPr="00C0337C" w14:paraId="1BC6D9F3" w14:textId="77777777" w:rsidTr="00473432">
        <w:trPr>
          <w:tblHeader/>
        </w:trPr>
        <w:tc>
          <w:tcPr>
            <w:tcW w:w="851" w:type="dxa"/>
            <w:shd w:val="clear" w:color="auto" w:fill="D9D9D9" w:themeFill="background1" w:themeFillShade="D9"/>
            <w:vAlign w:val="center"/>
            <w:hideMark/>
          </w:tcPr>
          <w:p w14:paraId="4A1E8D94" w14:textId="77777777" w:rsidR="00C0337C" w:rsidRPr="00C0337C" w:rsidRDefault="00C0337C" w:rsidP="00C0337C">
            <w:pPr>
              <w:pStyle w:val="TableText"/>
              <w:rPr>
                <w:b/>
                <w:bCs/>
              </w:rPr>
            </w:pPr>
            <w:r w:rsidRPr="00C0337C">
              <w:rPr>
                <w:b/>
                <w:bCs/>
              </w:rPr>
              <w:t> </w:t>
            </w:r>
          </w:p>
        </w:tc>
        <w:tc>
          <w:tcPr>
            <w:tcW w:w="12616" w:type="dxa"/>
            <w:gridSpan w:val="3"/>
            <w:shd w:val="clear" w:color="auto" w:fill="D9D9D9" w:themeFill="background1" w:themeFillShade="D9"/>
            <w:vAlign w:val="center"/>
            <w:hideMark/>
          </w:tcPr>
          <w:p w14:paraId="112A3884" w14:textId="77777777" w:rsidR="00C0337C" w:rsidRPr="00C0337C" w:rsidRDefault="00C0337C" w:rsidP="0075595B">
            <w:pPr>
              <w:pStyle w:val="TableText"/>
              <w:jc w:val="center"/>
              <w:rPr>
                <w:b/>
                <w:bCs/>
              </w:rPr>
            </w:pPr>
            <w:r w:rsidRPr="00C0337C">
              <w:rPr>
                <w:b/>
                <w:bCs/>
              </w:rPr>
              <w:t>Every person, regardless of where they live in New Zealand, has equitable access to the health care and services they need</w:t>
            </w:r>
          </w:p>
        </w:tc>
      </w:tr>
      <w:tr w:rsidR="009B6A8F" w:rsidRPr="00C0337C" w14:paraId="553736B3" w14:textId="77777777" w:rsidTr="00473432">
        <w:trPr>
          <w:tblHeader/>
        </w:trPr>
        <w:tc>
          <w:tcPr>
            <w:tcW w:w="851" w:type="dxa"/>
            <w:shd w:val="clear" w:color="auto" w:fill="D9D9D9" w:themeFill="background1" w:themeFillShade="D9"/>
            <w:vAlign w:val="center"/>
            <w:hideMark/>
          </w:tcPr>
          <w:p w14:paraId="36A40962" w14:textId="77777777" w:rsidR="00C0337C" w:rsidRPr="00C0337C" w:rsidRDefault="00C0337C" w:rsidP="00C0337C">
            <w:pPr>
              <w:pStyle w:val="TableText"/>
              <w:rPr>
                <w:b/>
                <w:bCs/>
              </w:rPr>
            </w:pPr>
          </w:p>
        </w:tc>
        <w:tc>
          <w:tcPr>
            <w:tcW w:w="2977" w:type="dxa"/>
            <w:shd w:val="clear" w:color="auto" w:fill="D9D9D9" w:themeFill="background1" w:themeFillShade="D9"/>
            <w:vAlign w:val="center"/>
            <w:hideMark/>
          </w:tcPr>
          <w:p w14:paraId="4E08C0BA" w14:textId="77777777" w:rsidR="00C0337C" w:rsidRPr="00C0337C" w:rsidRDefault="00C0337C" w:rsidP="00C0337C">
            <w:pPr>
              <w:pStyle w:val="TableText"/>
              <w:rPr>
                <w:b/>
                <w:bCs/>
              </w:rPr>
            </w:pPr>
            <w:r w:rsidRPr="00C0337C">
              <w:rPr>
                <w:b/>
                <w:bCs/>
              </w:rPr>
              <w:t xml:space="preserve">Indicator </w:t>
            </w:r>
          </w:p>
        </w:tc>
        <w:tc>
          <w:tcPr>
            <w:tcW w:w="4252" w:type="dxa"/>
            <w:shd w:val="clear" w:color="auto" w:fill="D9D9D9" w:themeFill="background1" w:themeFillShade="D9"/>
            <w:vAlign w:val="center"/>
            <w:hideMark/>
          </w:tcPr>
          <w:p w14:paraId="40D68E64" w14:textId="77777777" w:rsidR="00C0337C" w:rsidRPr="00C0337C" w:rsidRDefault="00C0337C" w:rsidP="00C0337C">
            <w:pPr>
              <w:pStyle w:val="TableText"/>
              <w:rPr>
                <w:b/>
                <w:bCs/>
              </w:rPr>
            </w:pPr>
            <w:r w:rsidRPr="00C0337C">
              <w:rPr>
                <w:b/>
                <w:bCs/>
              </w:rPr>
              <w:t>Measure</w:t>
            </w:r>
          </w:p>
        </w:tc>
        <w:tc>
          <w:tcPr>
            <w:tcW w:w="5387" w:type="dxa"/>
            <w:shd w:val="clear" w:color="auto" w:fill="D9D9D9" w:themeFill="background1" w:themeFillShade="D9"/>
            <w:vAlign w:val="center"/>
            <w:hideMark/>
          </w:tcPr>
          <w:p w14:paraId="02215E9C" w14:textId="77777777" w:rsidR="00C0337C" w:rsidRPr="00C0337C" w:rsidRDefault="00C0337C" w:rsidP="00C0337C">
            <w:pPr>
              <w:pStyle w:val="TableText"/>
              <w:rPr>
                <w:b/>
                <w:bCs/>
              </w:rPr>
            </w:pPr>
            <w:r w:rsidRPr="00C0337C">
              <w:rPr>
                <w:b/>
                <w:bCs/>
              </w:rPr>
              <w:t>Expectation</w:t>
            </w:r>
          </w:p>
        </w:tc>
      </w:tr>
      <w:tr w:rsidR="001E0951" w:rsidRPr="000F3AF0" w14:paraId="6E28DABC" w14:textId="77777777" w:rsidTr="00473432">
        <w:tc>
          <w:tcPr>
            <w:tcW w:w="851" w:type="dxa"/>
            <w:shd w:val="clear" w:color="auto" w:fill="auto"/>
            <w:noWrap/>
            <w:vAlign w:val="center"/>
            <w:hideMark/>
          </w:tcPr>
          <w:p w14:paraId="423A5B6E" w14:textId="70F7E3B2" w:rsidR="001E0951" w:rsidRPr="00927173" w:rsidRDefault="001E0951" w:rsidP="001E0951">
            <w:pPr>
              <w:pStyle w:val="TableText"/>
              <w:rPr>
                <w:lang w:eastAsia="en-NZ"/>
              </w:rPr>
            </w:pPr>
            <w:r w:rsidRPr="00927173">
              <w:rPr>
                <w:lang w:eastAsia="en-NZ"/>
              </w:rPr>
              <w:t>1.01</w:t>
            </w:r>
          </w:p>
        </w:tc>
        <w:tc>
          <w:tcPr>
            <w:tcW w:w="2977" w:type="dxa"/>
            <w:shd w:val="clear" w:color="auto" w:fill="auto"/>
            <w:vAlign w:val="center"/>
            <w:hideMark/>
          </w:tcPr>
          <w:p w14:paraId="53D252BE" w14:textId="6B107328" w:rsidR="001E0951" w:rsidRPr="00927173" w:rsidRDefault="001E0951" w:rsidP="001E0951">
            <w:pPr>
              <w:pStyle w:val="TableText"/>
              <w:rPr>
                <w:lang w:eastAsia="en-NZ"/>
              </w:rPr>
            </w:pPr>
            <w:r w:rsidRPr="00927173">
              <w:rPr>
                <w:lang w:eastAsia="en-NZ"/>
              </w:rPr>
              <w:t>Improved immunisation for children (</w:t>
            </w:r>
            <w:r>
              <w:rPr>
                <w:lang w:eastAsia="en-NZ"/>
              </w:rPr>
              <w:t>h</w:t>
            </w:r>
            <w:r w:rsidRPr="00927173">
              <w:rPr>
                <w:lang w:eastAsia="en-NZ"/>
              </w:rPr>
              <w:t xml:space="preserve">ealth </w:t>
            </w:r>
            <w:r>
              <w:rPr>
                <w:lang w:eastAsia="en-NZ"/>
              </w:rPr>
              <w:t>t</w:t>
            </w:r>
            <w:r w:rsidRPr="00927173">
              <w:rPr>
                <w:lang w:eastAsia="en-NZ"/>
              </w:rPr>
              <w:t xml:space="preserve">arget) </w:t>
            </w:r>
          </w:p>
        </w:tc>
        <w:tc>
          <w:tcPr>
            <w:tcW w:w="4252" w:type="dxa"/>
            <w:shd w:val="clear" w:color="auto" w:fill="auto"/>
            <w:vAlign w:val="center"/>
            <w:hideMark/>
          </w:tcPr>
          <w:p w14:paraId="46BD1D50" w14:textId="43F8F532" w:rsidR="001E0951" w:rsidRPr="00927173" w:rsidRDefault="001E0951" w:rsidP="001E0951">
            <w:pPr>
              <w:pStyle w:val="TableText"/>
              <w:rPr>
                <w:lang w:eastAsia="en-NZ"/>
              </w:rPr>
            </w:pPr>
            <w:r w:rsidRPr="00927173">
              <w:rPr>
                <w:lang w:eastAsia="en-NZ"/>
              </w:rPr>
              <w:t>Percentage of New Zealand children to be fully immunised at 24 months of age</w:t>
            </w:r>
          </w:p>
        </w:tc>
        <w:tc>
          <w:tcPr>
            <w:tcW w:w="5387" w:type="dxa"/>
            <w:shd w:val="clear" w:color="auto" w:fill="auto"/>
            <w:vAlign w:val="center"/>
            <w:hideMark/>
          </w:tcPr>
          <w:p w14:paraId="601A5B2E" w14:textId="4425522E" w:rsidR="001E0951" w:rsidRPr="00927173" w:rsidRDefault="001E0951" w:rsidP="001E0951">
            <w:pPr>
              <w:pStyle w:val="TableText"/>
              <w:rPr>
                <w:lang w:eastAsia="en-NZ"/>
              </w:rPr>
            </w:pPr>
            <w:r>
              <w:rPr>
                <w:lang w:eastAsia="en-NZ"/>
              </w:rPr>
              <w:t xml:space="preserve">Health target: </w:t>
            </w:r>
            <w:r w:rsidRPr="00927173">
              <w:rPr>
                <w:lang w:eastAsia="en-NZ"/>
              </w:rPr>
              <w:t>95% of New Zealand children to be fully immunised at 24 months of age</w:t>
            </w:r>
          </w:p>
        </w:tc>
      </w:tr>
      <w:tr w:rsidR="001E0951" w:rsidRPr="000F3AF0" w14:paraId="1FD26C7B" w14:textId="77777777" w:rsidTr="00473432">
        <w:tc>
          <w:tcPr>
            <w:tcW w:w="851" w:type="dxa"/>
            <w:shd w:val="clear" w:color="auto" w:fill="auto"/>
            <w:noWrap/>
            <w:vAlign w:val="center"/>
            <w:hideMark/>
          </w:tcPr>
          <w:p w14:paraId="305C5522" w14:textId="1D7E8DB5" w:rsidR="001E0951" w:rsidRPr="00927173" w:rsidRDefault="001E0951" w:rsidP="001E0951">
            <w:pPr>
              <w:pStyle w:val="TableText"/>
              <w:rPr>
                <w:lang w:eastAsia="en-NZ"/>
              </w:rPr>
            </w:pPr>
            <w:r w:rsidRPr="00927173">
              <w:rPr>
                <w:lang w:eastAsia="en-NZ"/>
              </w:rPr>
              <w:t>1.02</w:t>
            </w:r>
          </w:p>
        </w:tc>
        <w:tc>
          <w:tcPr>
            <w:tcW w:w="2977" w:type="dxa"/>
            <w:shd w:val="clear" w:color="auto" w:fill="auto"/>
            <w:vAlign w:val="center"/>
            <w:hideMark/>
          </w:tcPr>
          <w:p w14:paraId="613AD67C" w14:textId="2B83030A" w:rsidR="001E0951" w:rsidRPr="00927173" w:rsidRDefault="001E0951" w:rsidP="001E0951">
            <w:pPr>
              <w:pStyle w:val="TableText"/>
              <w:rPr>
                <w:lang w:eastAsia="en-NZ"/>
              </w:rPr>
            </w:pPr>
            <w:r w:rsidRPr="00927173">
              <w:rPr>
                <w:lang w:eastAsia="en-NZ"/>
              </w:rPr>
              <w:t xml:space="preserve">Strengthened focus on prevention and early intervention </w:t>
            </w:r>
            <w:r>
              <w:rPr>
                <w:lang w:eastAsia="en-NZ"/>
              </w:rPr>
              <w:t>(</w:t>
            </w:r>
            <w:r w:rsidRPr="00927173">
              <w:rPr>
                <w:lang w:eastAsia="en-NZ"/>
              </w:rPr>
              <w:t>Mental Health &amp; Addiction (MH&amp;A</w:t>
            </w:r>
            <w:r>
              <w:rPr>
                <w:lang w:eastAsia="en-NZ"/>
              </w:rPr>
              <w:t>)</w:t>
            </w:r>
            <w:r w:rsidRPr="00927173">
              <w:rPr>
                <w:lang w:eastAsia="en-NZ"/>
              </w:rPr>
              <w:t xml:space="preserve"> </w:t>
            </w:r>
            <w:r>
              <w:rPr>
                <w:lang w:eastAsia="en-NZ"/>
              </w:rPr>
              <w:t>t</w:t>
            </w:r>
            <w:r w:rsidRPr="00927173">
              <w:rPr>
                <w:lang w:eastAsia="en-NZ"/>
              </w:rPr>
              <w:t>arget)</w:t>
            </w:r>
          </w:p>
        </w:tc>
        <w:tc>
          <w:tcPr>
            <w:tcW w:w="4252" w:type="dxa"/>
            <w:shd w:val="clear" w:color="auto" w:fill="auto"/>
            <w:vAlign w:val="center"/>
            <w:hideMark/>
          </w:tcPr>
          <w:p w14:paraId="29434AC9" w14:textId="2C6C9400" w:rsidR="001E0951" w:rsidRPr="00927173" w:rsidRDefault="001E0951" w:rsidP="001E0951">
            <w:pPr>
              <w:pStyle w:val="TableText"/>
              <w:rPr>
                <w:lang w:eastAsia="en-NZ"/>
              </w:rPr>
            </w:pPr>
            <w:r w:rsidRPr="00927173">
              <w:rPr>
                <w:lang w:eastAsia="en-NZ"/>
              </w:rPr>
              <w:t>Percentage of MH&amp;A investment allocated to prevention and early intervention</w:t>
            </w:r>
          </w:p>
        </w:tc>
        <w:tc>
          <w:tcPr>
            <w:tcW w:w="5387" w:type="dxa"/>
            <w:shd w:val="clear" w:color="auto" w:fill="auto"/>
            <w:vAlign w:val="center"/>
            <w:hideMark/>
          </w:tcPr>
          <w:p w14:paraId="1598BE8A" w14:textId="48C3CA21" w:rsidR="001E0951" w:rsidRPr="00927173" w:rsidRDefault="001E0951" w:rsidP="001E0951">
            <w:pPr>
              <w:pStyle w:val="TableText"/>
            </w:pPr>
            <w:r w:rsidRPr="00181169">
              <w:rPr>
                <w:lang w:eastAsia="en-NZ"/>
              </w:rPr>
              <w:t xml:space="preserve">MH&amp;A </w:t>
            </w:r>
            <w:r>
              <w:rPr>
                <w:lang w:eastAsia="en-NZ"/>
              </w:rPr>
              <w:t>t</w:t>
            </w:r>
            <w:r w:rsidRPr="00181169">
              <w:rPr>
                <w:lang w:eastAsia="en-NZ"/>
              </w:rPr>
              <w:t>arget</w:t>
            </w:r>
            <w:r>
              <w:rPr>
                <w:lang w:eastAsia="en-NZ"/>
              </w:rPr>
              <w:t>:</w:t>
            </w:r>
            <w:r w:rsidRPr="00927173">
              <w:t xml:space="preserve"> 25% of MH&amp;A investment is allocated </w:t>
            </w:r>
            <w:r w:rsidRPr="00927173">
              <w:rPr>
                <w:lang w:eastAsia="en-NZ"/>
              </w:rPr>
              <w:t>towards</w:t>
            </w:r>
            <w:r w:rsidRPr="00927173">
              <w:t xml:space="preserve"> prevention and early intervention</w:t>
            </w:r>
          </w:p>
        </w:tc>
      </w:tr>
      <w:tr w:rsidR="001E0951" w:rsidRPr="000F3AF0" w14:paraId="413B8459" w14:textId="77777777" w:rsidTr="00473432">
        <w:tc>
          <w:tcPr>
            <w:tcW w:w="851" w:type="dxa"/>
            <w:shd w:val="clear" w:color="auto" w:fill="auto"/>
            <w:noWrap/>
            <w:vAlign w:val="center"/>
            <w:hideMark/>
          </w:tcPr>
          <w:p w14:paraId="669874EF" w14:textId="786D3203" w:rsidR="001E0951" w:rsidRPr="00927173" w:rsidRDefault="001E0951" w:rsidP="001E0951">
            <w:pPr>
              <w:pStyle w:val="TableText"/>
              <w:rPr>
                <w:lang w:eastAsia="en-NZ"/>
              </w:rPr>
            </w:pPr>
            <w:r w:rsidRPr="00927173">
              <w:rPr>
                <w:lang w:eastAsia="en-NZ"/>
              </w:rPr>
              <w:t>1.03</w:t>
            </w:r>
          </w:p>
        </w:tc>
        <w:tc>
          <w:tcPr>
            <w:tcW w:w="2977" w:type="dxa"/>
            <w:shd w:val="clear" w:color="auto" w:fill="auto"/>
            <w:vAlign w:val="center"/>
            <w:hideMark/>
          </w:tcPr>
          <w:p w14:paraId="01CAF541" w14:textId="67401D2A" w:rsidR="001E0951" w:rsidRPr="00927173" w:rsidRDefault="001E0951" w:rsidP="001E0951">
            <w:pPr>
              <w:pStyle w:val="TableText"/>
              <w:rPr>
                <w:lang w:eastAsia="en-NZ"/>
              </w:rPr>
            </w:pPr>
            <w:r w:rsidRPr="00927173">
              <w:rPr>
                <w:lang w:eastAsia="en-NZ"/>
              </w:rPr>
              <w:t>Improved access through the care journey</w:t>
            </w:r>
          </w:p>
        </w:tc>
        <w:tc>
          <w:tcPr>
            <w:tcW w:w="4252" w:type="dxa"/>
            <w:shd w:val="clear" w:color="auto" w:fill="auto"/>
            <w:vAlign w:val="center"/>
            <w:hideMark/>
          </w:tcPr>
          <w:p w14:paraId="622F7ED3" w14:textId="54F1C7D8" w:rsidR="001E0951" w:rsidRPr="00927173" w:rsidRDefault="001E0951" w:rsidP="001E0951">
            <w:pPr>
              <w:pStyle w:val="TableText"/>
              <w:rPr>
                <w:lang w:eastAsia="en-NZ"/>
              </w:rPr>
            </w:pPr>
            <w:r w:rsidRPr="00927173">
              <w:rPr>
                <w:lang w:eastAsia="en-NZ"/>
              </w:rPr>
              <w:t xml:space="preserve">Enrolment with a primary maternity care provider in the first trimester of pregnancy </w:t>
            </w:r>
          </w:p>
        </w:tc>
        <w:tc>
          <w:tcPr>
            <w:tcW w:w="5387" w:type="dxa"/>
            <w:shd w:val="clear" w:color="auto" w:fill="auto"/>
            <w:vAlign w:val="center"/>
            <w:hideMark/>
          </w:tcPr>
          <w:p w14:paraId="5321580B" w14:textId="5D650A8C" w:rsidR="001E0951" w:rsidRPr="00927173" w:rsidRDefault="001E0951" w:rsidP="001E0951">
            <w:pPr>
              <w:pStyle w:val="TableText"/>
              <w:rPr>
                <w:lang w:eastAsia="en-NZ"/>
              </w:rPr>
            </w:pPr>
            <w:r w:rsidRPr="00927173">
              <w:rPr>
                <w:lang w:eastAsia="en-NZ"/>
              </w:rPr>
              <w:t>Improvement in enrolment rates from 2021</w:t>
            </w:r>
          </w:p>
        </w:tc>
      </w:tr>
      <w:tr w:rsidR="001E0951" w:rsidRPr="000F3AF0" w14:paraId="39522A66" w14:textId="77777777" w:rsidTr="00473432">
        <w:tc>
          <w:tcPr>
            <w:tcW w:w="851" w:type="dxa"/>
            <w:shd w:val="clear" w:color="auto" w:fill="auto"/>
            <w:noWrap/>
            <w:vAlign w:val="center"/>
            <w:hideMark/>
          </w:tcPr>
          <w:p w14:paraId="235128D2" w14:textId="629CF4C9" w:rsidR="001E0951" w:rsidRPr="00927173" w:rsidRDefault="001E0951" w:rsidP="001E0951">
            <w:pPr>
              <w:pStyle w:val="TableText"/>
              <w:rPr>
                <w:lang w:eastAsia="en-NZ"/>
              </w:rPr>
            </w:pPr>
            <w:r w:rsidRPr="00927173">
              <w:rPr>
                <w:lang w:eastAsia="en-NZ"/>
              </w:rPr>
              <w:t>1.04</w:t>
            </w:r>
          </w:p>
        </w:tc>
        <w:tc>
          <w:tcPr>
            <w:tcW w:w="2977" w:type="dxa"/>
            <w:shd w:val="clear" w:color="auto" w:fill="auto"/>
            <w:vAlign w:val="center"/>
            <w:hideMark/>
          </w:tcPr>
          <w:p w14:paraId="7B97B5A2" w14:textId="38E19D14" w:rsidR="001E0951" w:rsidRPr="00927173" w:rsidRDefault="001E0951" w:rsidP="001E0951">
            <w:pPr>
              <w:pStyle w:val="TableText"/>
              <w:rPr>
                <w:lang w:eastAsia="en-NZ"/>
              </w:rPr>
            </w:pPr>
            <w:r w:rsidRPr="00927173">
              <w:rPr>
                <w:lang w:eastAsia="en-NZ"/>
              </w:rPr>
              <w:t>Avoidable hospitalisations are reduced</w:t>
            </w:r>
          </w:p>
        </w:tc>
        <w:tc>
          <w:tcPr>
            <w:tcW w:w="4252" w:type="dxa"/>
            <w:shd w:val="clear" w:color="auto" w:fill="auto"/>
            <w:vAlign w:val="center"/>
            <w:hideMark/>
          </w:tcPr>
          <w:p w14:paraId="062014A5" w14:textId="27581482" w:rsidR="001E0951" w:rsidRPr="00927173" w:rsidRDefault="001E0951" w:rsidP="001E0951">
            <w:pPr>
              <w:pStyle w:val="TableText"/>
              <w:rPr>
                <w:lang w:eastAsia="en-NZ"/>
              </w:rPr>
            </w:pPr>
            <w:r w:rsidRPr="00927173">
              <w:rPr>
                <w:lang w:eastAsia="en-NZ"/>
              </w:rPr>
              <w:t>Ambulatory sensitive hospitalisation (ASH) rates, grouped by age</w:t>
            </w:r>
          </w:p>
        </w:tc>
        <w:tc>
          <w:tcPr>
            <w:tcW w:w="5387" w:type="dxa"/>
            <w:shd w:val="clear" w:color="auto" w:fill="auto"/>
            <w:vAlign w:val="center"/>
            <w:hideMark/>
          </w:tcPr>
          <w:p w14:paraId="1691F2CB" w14:textId="77777777" w:rsidR="001E0951" w:rsidRDefault="001E0951" w:rsidP="001E0951">
            <w:pPr>
              <w:pStyle w:val="TableText"/>
              <w:rPr>
                <w:lang w:eastAsia="en-NZ"/>
              </w:rPr>
            </w:pPr>
            <w:r w:rsidRPr="00927173">
              <w:rPr>
                <w:lang w:eastAsia="en-NZ"/>
              </w:rPr>
              <w:t>Reduction in the rate of ambulatory sensitive hospital admissions</w:t>
            </w:r>
            <w:r w:rsidRPr="00927173">
              <w:rPr>
                <w:b/>
                <w:bCs/>
                <w:color w:val="FF0000"/>
                <w:lang w:eastAsia="en-NZ"/>
              </w:rPr>
              <w:t xml:space="preserve"> </w:t>
            </w:r>
            <w:r w:rsidRPr="00927173">
              <w:rPr>
                <w:lang w:eastAsia="en-NZ"/>
              </w:rPr>
              <w:t xml:space="preserve">for: </w:t>
            </w:r>
          </w:p>
          <w:p w14:paraId="781C1D4D" w14:textId="77777777" w:rsidR="001E0951" w:rsidRDefault="001E0951" w:rsidP="001E0951">
            <w:pPr>
              <w:pStyle w:val="TableBullet"/>
              <w:framePr w:wrap="around"/>
              <w:spacing w:before="0"/>
            </w:pPr>
            <w:r w:rsidRPr="005F3284">
              <w:t>children under five years of age</w:t>
            </w:r>
          </w:p>
          <w:p w14:paraId="5EFD5FD4" w14:textId="699CFEB8" w:rsidR="001E0951" w:rsidRPr="005F3284" w:rsidRDefault="001E0951" w:rsidP="001E0951">
            <w:pPr>
              <w:pStyle w:val="TableBullet"/>
              <w:framePr w:wrap="around"/>
            </w:pPr>
            <w:r w:rsidRPr="009A31A0">
              <w:t>people aged 45–64 years</w:t>
            </w:r>
          </w:p>
        </w:tc>
      </w:tr>
      <w:tr w:rsidR="001E0951" w:rsidRPr="000F3AF0" w14:paraId="1AA5EC16" w14:textId="77777777" w:rsidTr="00473432">
        <w:tc>
          <w:tcPr>
            <w:tcW w:w="851" w:type="dxa"/>
            <w:shd w:val="clear" w:color="auto" w:fill="auto"/>
            <w:noWrap/>
            <w:vAlign w:val="center"/>
            <w:hideMark/>
          </w:tcPr>
          <w:p w14:paraId="2031517D" w14:textId="4FD2A7CC" w:rsidR="001E0951" w:rsidRPr="00927173" w:rsidRDefault="001E0951" w:rsidP="001E0951">
            <w:pPr>
              <w:pStyle w:val="TableText"/>
              <w:rPr>
                <w:lang w:eastAsia="en-NZ"/>
              </w:rPr>
            </w:pPr>
            <w:r w:rsidRPr="00927173">
              <w:rPr>
                <w:lang w:eastAsia="en-NZ"/>
              </w:rPr>
              <w:t>1.05</w:t>
            </w:r>
          </w:p>
        </w:tc>
        <w:tc>
          <w:tcPr>
            <w:tcW w:w="2977" w:type="dxa"/>
            <w:shd w:val="clear" w:color="auto" w:fill="auto"/>
            <w:vAlign w:val="center"/>
            <w:hideMark/>
          </w:tcPr>
          <w:p w14:paraId="1F0FF85C" w14:textId="357B061B" w:rsidR="001E0951" w:rsidRPr="00927173" w:rsidRDefault="001E0951" w:rsidP="001E0951">
            <w:pPr>
              <w:pStyle w:val="TableText"/>
              <w:rPr>
                <w:lang w:eastAsia="en-NZ"/>
              </w:rPr>
            </w:pPr>
            <w:r w:rsidRPr="00927173">
              <w:rPr>
                <w:lang w:eastAsia="en-NZ"/>
              </w:rPr>
              <w:t xml:space="preserve">Improved cancer screening (bowel) </w:t>
            </w:r>
          </w:p>
        </w:tc>
        <w:tc>
          <w:tcPr>
            <w:tcW w:w="4252" w:type="dxa"/>
            <w:shd w:val="clear" w:color="auto" w:fill="auto"/>
            <w:vAlign w:val="center"/>
            <w:hideMark/>
          </w:tcPr>
          <w:p w14:paraId="42B7B3FE" w14:textId="3DCB1349" w:rsidR="001E0951" w:rsidRPr="00927173" w:rsidRDefault="001E0951" w:rsidP="001E0951">
            <w:pPr>
              <w:pStyle w:val="TableText"/>
              <w:rPr>
                <w:lang w:eastAsia="en-NZ"/>
              </w:rPr>
            </w:pPr>
            <w:r w:rsidRPr="00927173">
              <w:rPr>
                <w:lang w:eastAsia="en-NZ"/>
              </w:rPr>
              <w:t>Bowel screening rates of adults aged 60–74 years (two-yearly screening interval)</w:t>
            </w:r>
          </w:p>
        </w:tc>
        <w:tc>
          <w:tcPr>
            <w:tcW w:w="5387" w:type="dxa"/>
            <w:shd w:val="clear" w:color="auto" w:fill="auto"/>
            <w:vAlign w:val="center"/>
            <w:hideMark/>
          </w:tcPr>
          <w:p w14:paraId="1C80F78F" w14:textId="1AB516C4" w:rsidR="001E0951" w:rsidRPr="00927173" w:rsidRDefault="001E0951" w:rsidP="001E0951">
            <w:pPr>
              <w:pStyle w:val="TableText"/>
              <w:rPr>
                <w:lang w:eastAsia="en-NZ"/>
              </w:rPr>
            </w:pPr>
            <w:r w:rsidRPr="00927173">
              <w:rPr>
                <w:lang w:eastAsia="en-NZ"/>
              </w:rPr>
              <w:t>Bowel screening participation to target 60% of Māori and Pacific adults aged 60–74 years (two-yearly screening interval)</w:t>
            </w:r>
          </w:p>
        </w:tc>
      </w:tr>
      <w:tr w:rsidR="001E0951" w:rsidRPr="000F3AF0" w14:paraId="715BB15C" w14:textId="77777777" w:rsidTr="00473432">
        <w:tc>
          <w:tcPr>
            <w:tcW w:w="851" w:type="dxa"/>
            <w:shd w:val="clear" w:color="auto" w:fill="auto"/>
            <w:noWrap/>
            <w:vAlign w:val="center"/>
            <w:hideMark/>
          </w:tcPr>
          <w:p w14:paraId="6A5ED83D" w14:textId="4EF18D91" w:rsidR="001E0951" w:rsidRPr="00927173" w:rsidRDefault="001E0951" w:rsidP="001E0951">
            <w:pPr>
              <w:pStyle w:val="TableText"/>
              <w:rPr>
                <w:lang w:eastAsia="en-NZ"/>
              </w:rPr>
            </w:pPr>
            <w:r w:rsidRPr="00927173">
              <w:rPr>
                <w:lang w:eastAsia="en-NZ"/>
              </w:rPr>
              <w:t>1.06</w:t>
            </w:r>
          </w:p>
        </w:tc>
        <w:tc>
          <w:tcPr>
            <w:tcW w:w="2977" w:type="dxa"/>
            <w:shd w:val="clear" w:color="auto" w:fill="auto"/>
            <w:vAlign w:val="center"/>
            <w:hideMark/>
          </w:tcPr>
          <w:p w14:paraId="539A8A9B" w14:textId="1E51BCA4" w:rsidR="001E0951" w:rsidRPr="00927173" w:rsidRDefault="001E0951" w:rsidP="001E0951">
            <w:pPr>
              <w:pStyle w:val="TableText"/>
              <w:rPr>
                <w:lang w:eastAsia="en-NZ"/>
              </w:rPr>
            </w:pPr>
            <w:r w:rsidRPr="00927173">
              <w:rPr>
                <w:lang w:eastAsia="en-NZ"/>
              </w:rPr>
              <w:t xml:space="preserve">Improved cancer screening (cervical) </w:t>
            </w:r>
          </w:p>
        </w:tc>
        <w:tc>
          <w:tcPr>
            <w:tcW w:w="4252" w:type="dxa"/>
            <w:shd w:val="clear" w:color="auto" w:fill="auto"/>
            <w:vAlign w:val="center"/>
            <w:hideMark/>
          </w:tcPr>
          <w:p w14:paraId="6AC42C1B" w14:textId="6E49A1A5" w:rsidR="001E0951" w:rsidRPr="00927173" w:rsidRDefault="001E0951" w:rsidP="001E0951">
            <w:pPr>
              <w:pStyle w:val="TableText"/>
              <w:rPr>
                <w:lang w:eastAsia="en-NZ"/>
              </w:rPr>
            </w:pPr>
            <w:r w:rsidRPr="00927173">
              <w:rPr>
                <w:lang w:eastAsia="en-NZ"/>
              </w:rPr>
              <w:t>Cervical (HPV) screening rates of eligible women aged 25–69 years (five-yearly screening interval)</w:t>
            </w:r>
          </w:p>
        </w:tc>
        <w:tc>
          <w:tcPr>
            <w:tcW w:w="5387" w:type="dxa"/>
            <w:shd w:val="clear" w:color="auto" w:fill="auto"/>
            <w:vAlign w:val="center"/>
            <w:hideMark/>
          </w:tcPr>
          <w:p w14:paraId="02DCF2CF" w14:textId="24379661" w:rsidR="001E0951" w:rsidRPr="00927173" w:rsidRDefault="001E0951" w:rsidP="001E0951">
            <w:pPr>
              <w:pStyle w:val="TableText"/>
              <w:rPr>
                <w:lang w:eastAsia="en-NZ"/>
              </w:rPr>
            </w:pPr>
            <w:r w:rsidRPr="00927173">
              <w:rPr>
                <w:lang w:eastAsia="en-NZ"/>
              </w:rPr>
              <w:t>Increase cervical (HPV) screening coverage to 80% of eligible women aged 25–69 years (five-yearly screening interval)</w:t>
            </w:r>
          </w:p>
        </w:tc>
      </w:tr>
      <w:tr w:rsidR="001E0951" w:rsidRPr="000F3AF0" w14:paraId="7F5A5347" w14:textId="77777777" w:rsidTr="00473432">
        <w:tc>
          <w:tcPr>
            <w:tcW w:w="851" w:type="dxa"/>
            <w:shd w:val="clear" w:color="auto" w:fill="auto"/>
            <w:noWrap/>
            <w:vAlign w:val="center"/>
            <w:hideMark/>
          </w:tcPr>
          <w:p w14:paraId="65AFFF2C" w14:textId="662C040D" w:rsidR="001E0951" w:rsidRPr="00927173" w:rsidRDefault="001E0951" w:rsidP="001E0951">
            <w:pPr>
              <w:pStyle w:val="TableText"/>
              <w:rPr>
                <w:lang w:eastAsia="en-NZ"/>
              </w:rPr>
            </w:pPr>
            <w:r w:rsidRPr="00927173">
              <w:rPr>
                <w:lang w:eastAsia="en-NZ"/>
              </w:rPr>
              <w:t>1.07</w:t>
            </w:r>
          </w:p>
        </w:tc>
        <w:tc>
          <w:tcPr>
            <w:tcW w:w="2977" w:type="dxa"/>
            <w:shd w:val="clear" w:color="auto" w:fill="auto"/>
            <w:vAlign w:val="center"/>
            <w:hideMark/>
          </w:tcPr>
          <w:p w14:paraId="2BDD295B" w14:textId="575BAE51" w:rsidR="001E0951" w:rsidRPr="00927173" w:rsidRDefault="001E0951" w:rsidP="001E0951">
            <w:pPr>
              <w:pStyle w:val="TableText"/>
              <w:rPr>
                <w:lang w:eastAsia="en-NZ"/>
              </w:rPr>
            </w:pPr>
            <w:r w:rsidRPr="00927173">
              <w:rPr>
                <w:lang w:eastAsia="en-NZ"/>
              </w:rPr>
              <w:t xml:space="preserve">Improved cancer screening (breast) </w:t>
            </w:r>
          </w:p>
        </w:tc>
        <w:tc>
          <w:tcPr>
            <w:tcW w:w="4252" w:type="dxa"/>
            <w:shd w:val="clear" w:color="auto" w:fill="auto"/>
            <w:vAlign w:val="center"/>
            <w:hideMark/>
          </w:tcPr>
          <w:p w14:paraId="5E8850E3" w14:textId="43105385" w:rsidR="001E0951" w:rsidRPr="00927173" w:rsidRDefault="001E0951" w:rsidP="001E0951">
            <w:pPr>
              <w:pStyle w:val="TableText"/>
              <w:rPr>
                <w:lang w:eastAsia="en-NZ"/>
              </w:rPr>
            </w:pPr>
            <w:r w:rsidRPr="00927173">
              <w:rPr>
                <w:lang w:eastAsia="en-NZ"/>
              </w:rPr>
              <w:t xml:space="preserve">Breast screening rates of eligible women aged 45–69 years (two-year screening interval) </w:t>
            </w:r>
          </w:p>
        </w:tc>
        <w:tc>
          <w:tcPr>
            <w:tcW w:w="5387" w:type="dxa"/>
            <w:shd w:val="clear" w:color="auto" w:fill="auto"/>
            <w:vAlign w:val="center"/>
            <w:hideMark/>
          </w:tcPr>
          <w:p w14:paraId="2E940396" w14:textId="74D22E10" w:rsidR="001E0951" w:rsidRPr="00927173" w:rsidRDefault="001E0951" w:rsidP="001E0951">
            <w:pPr>
              <w:pStyle w:val="TableText"/>
              <w:rPr>
                <w:lang w:eastAsia="en-NZ"/>
              </w:rPr>
            </w:pPr>
            <w:r w:rsidRPr="00927173">
              <w:rPr>
                <w:lang w:eastAsia="en-NZ"/>
              </w:rPr>
              <w:t xml:space="preserve">Increase breast screening coverage to target of 70% or greater of eligible women aged 45–69 years (two-year screening interval) </w:t>
            </w:r>
          </w:p>
        </w:tc>
      </w:tr>
      <w:tr w:rsidR="001E0951" w:rsidRPr="000F3AF0" w14:paraId="6EBC29EE" w14:textId="77777777" w:rsidTr="00473432">
        <w:tc>
          <w:tcPr>
            <w:tcW w:w="851" w:type="dxa"/>
            <w:shd w:val="clear" w:color="auto" w:fill="auto"/>
            <w:noWrap/>
            <w:vAlign w:val="center"/>
            <w:hideMark/>
          </w:tcPr>
          <w:p w14:paraId="4739B710" w14:textId="6FD6D66C" w:rsidR="001E0951" w:rsidRPr="00927173" w:rsidRDefault="001E0951" w:rsidP="001E0951">
            <w:pPr>
              <w:pStyle w:val="TableText"/>
              <w:rPr>
                <w:lang w:eastAsia="en-NZ"/>
              </w:rPr>
            </w:pPr>
            <w:r w:rsidRPr="00927173">
              <w:rPr>
                <w:lang w:eastAsia="en-NZ"/>
              </w:rPr>
              <w:t>1.08</w:t>
            </w:r>
          </w:p>
        </w:tc>
        <w:tc>
          <w:tcPr>
            <w:tcW w:w="2977" w:type="dxa"/>
            <w:shd w:val="clear" w:color="000000" w:fill="FFFFFF"/>
            <w:vAlign w:val="center"/>
            <w:hideMark/>
          </w:tcPr>
          <w:p w14:paraId="0C30CCCA" w14:textId="5CA332C9" w:rsidR="001E0951" w:rsidRPr="00927173" w:rsidRDefault="001E0951" w:rsidP="001E0951">
            <w:pPr>
              <w:pStyle w:val="TableText"/>
              <w:rPr>
                <w:lang w:eastAsia="en-NZ"/>
              </w:rPr>
            </w:pPr>
            <w:r w:rsidRPr="00927173">
              <w:rPr>
                <w:lang w:eastAsia="en-NZ"/>
              </w:rPr>
              <w:t xml:space="preserve">Increased action on non-communicable diseases - diabetes </w:t>
            </w:r>
          </w:p>
        </w:tc>
        <w:tc>
          <w:tcPr>
            <w:tcW w:w="4252" w:type="dxa"/>
            <w:shd w:val="clear" w:color="auto" w:fill="auto"/>
            <w:vAlign w:val="center"/>
            <w:hideMark/>
          </w:tcPr>
          <w:p w14:paraId="472D0B0B" w14:textId="612D3D84" w:rsidR="001E0951" w:rsidRPr="00927173" w:rsidRDefault="001E0951" w:rsidP="001E0951">
            <w:pPr>
              <w:pStyle w:val="TableText"/>
              <w:rPr>
                <w:lang w:eastAsia="en-NZ"/>
              </w:rPr>
            </w:pPr>
            <w:r w:rsidRPr="00927173">
              <w:rPr>
                <w:lang w:eastAsia="en-NZ"/>
              </w:rPr>
              <w:t>People with diabetes regularly receiving any hypoglycaemic medication in the relevant year</w:t>
            </w:r>
          </w:p>
        </w:tc>
        <w:tc>
          <w:tcPr>
            <w:tcW w:w="5387" w:type="dxa"/>
            <w:shd w:val="clear" w:color="auto" w:fill="auto"/>
            <w:vAlign w:val="center"/>
            <w:hideMark/>
          </w:tcPr>
          <w:p w14:paraId="260D7E8A" w14:textId="7BB24799" w:rsidR="001E0951" w:rsidRPr="00927173" w:rsidRDefault="001E0951" w:rsidP="001E0951">
            <w:pPr>
              <w:pStyle w:val="TableText"/>
            </w:pPr>
            <w:r w:rsidRPr="00927173">
              <w:t xml:space="preserve">Reduction in variation between </w:t>
            </w:r>
            <w:r w:rsidRPr="00927173">
              <w:rPr>
                <w:lang w:eastAsia="en-NZ"/>
              </w:rPr>
              <w:t>geographic and</w:t>
            </w:r>
            <w:r w:rsidRPr="00927173">
              <w:t xml:space="preserve"> demographic groups in the number of people with diabetes regularly receiving any hypoglycaemic medication in the relevant year </w:t>
            </w:r>
            <w:r w:rsidRPr="00927173">
              <w:rPr>
                <w:lang w:eastAsia="en-NZ"/>
              </w:rPr>
              <w:t>(currently measured by HQSC)</w:t>
            </w:r>
          </w:p>
        </w:tc>
      </w:tr>
      <w:tr w:rsidR="001E0951" w:rsidRPr="000F3AF0" w14:paraId="5E599ABA" w14:textId="77777777" w:rsidTr="00473432">
        <w:tc>
          <w:tcPr>
            <w:tcW w:w="851" w:type="dxa"/>
            <w:shd w:val="clear" w:color="auto" w:fill="auto"/>
            <w:noWrap/>
            <w:vAlign w:val="center"/>
            <w:hideMark/>
          </w:tcPr>
          <w:p w14:paraId="43A17956" w14:textId="0110637D" w:rsidR="001E0951" w:rsidRPr="00927173" w:rsidRDefault="001E0951" w:rsidP="001E0951">
            <w:pPr>
              <w:pStyle w:val="TableText"/>
              <w:rPr>
                <w:lang w:eastAsia="en-NZ"/>
              </w:rPr>
            </w:pPr>
            <w:r w:rsidRPr="00927173">
              <w:rPr>
                <w:lang w:eastAsia="en-NZ"/>
              </w:rPr>
              <w:lastRenderedPageBreak/>
              <w:t>1.09</w:t>
            </w:r>
          </w:p>
        </w:tc>
        <w:tc>
          <w:tcPr>
            <w:tcW w:w="2977" w:type="dxa"/>
            <w:shd w:val="clear" w:color="auto" w:fill="auto"/>
            <w:vAlign w:val="center"/>
            <w:hideMark/>
          </w:tcPr>
          <w:p w14:paraId="24B8A50C" w14:textId="6BD147E9" w:rsidR="001E0951" w:rsidRPr="00927173" w:rsidRDefault="001E0951" w:rsidP="001E0951">
            <w:pPr>
              <w:pStyle w:val="TableText"/>
              <w:rPr>
                <w:lang w:eastAsia="en-NZ"/>
              </w:rPr>
            </w:pPr>
            <w:r w:rsidRPr="00927173">
              <w:rPr>
                <w:lang w:eastAsia="en-NZ"/>
              </w:rPr>
              <w:t>Increased access to medicines</w:t>
            </w:r>
          </w:p>
        </w:tc>
        <w:tc>
          <w:tcPr>
            <w:tcW w:w="4252" w:type="dxa"/>
            <w:shd w:val="clear" w:color="auto" w:fill="auto"/>
            <w:vAlign w:val="center"/>
            <w:hideMark/>
          </w:tcPr>
          <w:p w14:paraId="5AA077CD" w14:textId="39AB5BFA" w:rsidR="001E0951" w:rsidRPr="00927173" w:rsidRDefault="001E0951" w:rsidP="001E0951">
            <w:pPr>
              <w:pStyle w:val="TableText"/>
              <w:rPr>
                <w:lang w:eastAsia="en-NZ"/>
              </w:rPr>
            </w:pPr>
            <w:r w:rsidRPr="00927173">
              <w:rPr>
                <w:lang w:eastAsia="en-NZ"/>
              </w:rPr>
              <w:t>New Medsafe and Pharmac based measures on regulatory processes</w:t>
            </w:r>
          </w:p>
        </w:tc>
        <w:tc>
          <w:tcPr>
            <w:tcW w:w="5387" w:type="dxa"/>
            <w:shd w:val="clear" w:color="auto" w:fill="auto"/>
            <w:vAlign w:val="center"/>
            <w:hideMark/>
          </w:tcPr>
          <w:p w14:paraId="5920E763" w14:textId="220113D6" w:rsidR="001E0951" w:rsidRPr="00927173" w:rsidRDefault="001E0951" w:rsidP="001E0951">
            <w:pPr>
              <w:pStyle w:val="TableText"/>
              <w:rPr>
                <w:lang w:eastAsia="en-NZ"/>
              </w:rPr>
            </w:pPr>
            <w:r>
              <w:rPr>
                <w:lang w:eastAsia="en-NZ"/>
              </w:rPr>
              <w:t>Measure yet to be determined</w:t>
            </w:r>
          </w:p>
        </w:tc>
      </w:tr>
      <w:tr w:rsidR="001E0951" w:rsidRPr="000F3AF0" w14:paraId="419D4AF6" w14:textId="77777777" w:rsidTr="00473432">
        <w:tc>
          <w:tcPr>
            <w:tcW w:w="851" w:type="dxa"/>
            <w:shd w:val="clear" w:color="auto" w:fill="auto"/>
            <w:vAlign w:val="center"/>
            <w:hideMark/>
          </w:tcPr>
          <w:p w14:paraId="2E91C2A3" w14:textId="4EDC7F52" w:rsidR="001E0951" w:rsidRPr="00927173" w:rsidRDefault="001E0951" w:rsidP="001E0951">
            <w:pPr>
              <w:pStyle w:val="TableText"/>
              <w:rPr>
                <w:lang w:eastAsia="en-NZ"/>
              </w:rPr>
            </w:pPr>
            <w:r w:rsidRPr="00927173">
              <w:rPr>
                <w:lang w:eastAsia="en-NZ"/>
              </w:rPr>
              <w:t>1.10</w:t>
            </w:r>
          </w:p>
        </w:tc>
        <w:tc>
          <w:tcPr>
            <w:tcW w:w="2977" w:type="dxa"/>
            <w:shd w:val="clear" w:color="auto" w:fill="auto"/>
            <w:vAlign w:val="center"/>
            <w:hideMark/>
          </w:tcPr>
          <w:p w14:paraId="28E4C4BA" w14:textId="23A9282E" w:rsidR="001E0951" w:rsidRPr="00927173" w:rsidRDefault="001E0951" w:rsidP="001E0951">
            <w:pPr>
              <w:pStyle w:val="TableText"/>
              <w:rPr>
                <w:lang w:eastAsia="en-NZ"/>
              </w:rPr>
            </w:pPr>
            <w:r w:rsidRPr="00927173">
              <w:rPr>
                <w:lang w:eastAsia="en-NZ"/>
              </w:rPr>
              <w:t>Reduced unmet need due to cost</w:t>
            </w:r>
          </w:p>
        </w:tc>
        <w:tc>
          <w:tcPr>
            <w:tcW w:w="4252" w:type="dxa"/>
            <w:shd w:val="clear" w:color="auto" w:fill="auto"/>
            <w:vAlign w:val="center"/>
            <w:hideMark/>
          </w:tcPr>
          <w:p w14:paraId="6B5BE16B" w14:textId="17D4F82D" w:rsidR="001E0951" w:rsidRPr="00927173" w:rsidRDefault="001E0951" w:rsidP="001E0951">
            <w:pPr>
              <w:pStyle w:val="TableText"/>
              <w:rPr>
                <w:lang w:eastAsia="en-NZ"/>
              </w:rPr>
            </w:pPr>
            <w:r w:rsidRPr="00927173">
              <w:rPr>
                <w:lang w:eastAsia="en-NZ"/>
              </w:rPr>
              <w:t xml:space="preserve">The percentage of people who experience unmet need to see a GP in the past 12 months due to cost  </w:t>
            </w:r>
          </w:p>
        </w:tc>
        <w:tc>
          <w:tcPr>
            <w:tcW w:w="5387" w:type="dxa"/>
            <w:shd w:val="clear" w:color="auto" w:fill="auto"/>
            <w:vAlign w:val="center"/>
            <w:hideMark/>
          </w:tcPr>
          <w:p w14:paraId="3EE3BB82" w14:textId="5C8E52BD" w:rsidR="001E0951" w:rsidRPr="00927173" w:rsidRDefault="001E0951" w:rsidP="001E0951">
            <w:pPr>
              <w:pStyle w:val="TableText"/>
              <w:rPr>
                <w:lang w:eastAsia="en-NZ"/>
              </w:rPr>
            </w:pPr>
            <w:r w:rsidRPr="00927173">
              <w:rPr>
                <w:lang w:eastAsia="en-NZ"/>
              </w:rPr>
              <w:t>Improvement in the response to the Health Survey question 'In the past 12 months, was there a time when you had a medical problem but did not visit a GP because of cost?'</w:t>
            </w:r>
          </w:p>
        </w:tc>
      </w:tr>
      <w:tr w:rsidR="001E0951" w:rsidRPr="000F3AF0" w14:paraId="333E8023" w14:textId="77777777" w:rsidTr="00473432">
        <w:tc>
          <w:tcPr>
            <w:tcW w:w="851" w:type="dxa"/>
            <w:shd w:val="clear" w:color="auto" w:fill="auto"/>
            <w:vAlign w:val="center"/>
            <w:hideMark/>
          </w:tcPr>
          <w:p w14:paraId="4A5185F3" w14:textId="0B86C662" w:rsidR="001E0951" w:rsidRPr="00927173" w:rsidRDefault="001E0951" w:rsidP="001E0951">
            <w:pPr>
              <w:pStyle w:val="TableText"/>
              <w:rPr>
                <w:lang w:eastAsia="en-NZ"/>
              </w:rPr>
            </w:pPr>
            <w:r w:rsidRPr="00927173">
              <w:rPr>
                <w:lang w:eastAsia="en-NZ"/>
              </w:rPr>
              <w:t>1.11</w:t>
            </w:r>
          </w:p>
        </w:tc>
        <w:tc>
          <w:tcPr>
            <w:tcW w:w="2977" w:type="dxa"/>
            <w:shd w:val="clear" w:color="auto" w:fill="auto"/>
            <w:vAlign w:val="center"/>
            <w:hideMark/>
          </w:tcPr>
          <w:p w14:paraId="348C992A" w14:textId="4DF8E3D0" w:rsidR="001E0951" w:rsidRPr="00927173" w:rsidRDefault="001E0951" w:rsidP="001E0951">
            <w:pPr>
              <w:pStyle w:val="TableText"/>
            </w:pPr>
            <w:r w:rsidRPr="00927173">
              <w:t xml:space="preserve">Reduced unmet need for Mental Health </w:t>
            </w:r>
            <w:r w:rsidRPr="00927173">
              <w:rPr>
                <w:lang w:eastAsia="en-NZ"/>
              </w:rPr>
              <w:t>support</w:t>
            </w:r>
          </w:p>
        </w:tc>
        <w:tc>
          <w:tcPr>
            <w:tcW w:w="4252" w:type="dxa"/>
            <w:shd w:val="clear" w:color="auto" w:fill="auto"/>
            <w:vAlign w:val="center"/>
            <w:hideMark/>
          </w:tcPr>
          <w:p w14:paraId="10DCAA97" w14:textId="5982B9F3" w:rsidR="001E0951" w:rsidRPr="00927173" w:rsidRDefault="001E0951" w:rsidP="001E0951">
            <w:pPr>
              <w:pStyle w:val="TableText"/>
            </w:pPr>
            <w:r w:rsidRPr="00927173">
              <w:t xml:space="preserve">The </w:t>
            </w:r>
            <w:r w:rsidRPr="00927173">
              <w:rPr>
                <w:lang w:eastAsia="en-NZ"/>
              </w:rPr>
              <w:t>percentage</w:t>
            </w:r>
            <w:r w:rsidRPr="00927173">
              <w:t xml:space="preserve"> of people who experience unmet need for mental health </w:t>
            </w:r>
            <w:r w:rsidRPr="00927173">
              <w:rPr>
                <w:lang w:eastAsia="en-NZ"/>
              </w:rPr>
              <w:t>support</w:t>
            </w:r>
            <w:r w:rsidRPr="00927173">
              <w:t xml:space="preserve"> in the past 12 months</w:t>
            </w:r>
          </w:p>
        </w:tc>
        <w:tc>
          <w:tcPr>
            <w:tcW w:w="5387" w:type="dxa"/>
            <w:shd w:val="clear" w:color="auto" w:fill="auto"/>
            <w:vAlign w:val="center"/>
            <w:hideMark/>
          </w:tcPr>
          <w:p w14:paraId="7C891D85" w14:textId="591CFED6" w:rsidR="001E0951" w:rsidRPr="00927173" w:rsidRDefault="001E0951" w:rsidP="001E0951">
            <w:pPr>
              <w:pStyle w:val="TableText"/>
              <w:rPr>
                <w:lang w:eastAsia="en-NZ"/>
              </w:rPr>
            </w:pPr>
            <w:r w:rsidRPr="00927173">
              <w:rPr>
                <w:lang w:eastAsia="en-NZ"/>
              </w:rPr>
              <w:t>Improvement in the response to the Health Survey question 'In the past 12 months, did you ever feel that you needed professional help for your emotions, stress, mental health, or substance use, but you didn't receive that help?'</w:t>
            </w:r>
          </w:p>
        </w:tc>
      </w:tr>
      <w:tr w:rsidR="001E0951" w:rsidRPr="000F3AF0" w14:paraId="1F1DB7C4" w14:textId="77777777" w:rsidTr="00473432">
        <w:tc>
          <w:tcPr>
            <w:tcW w:w="851" w:type="dxa"/>
            <w:shd w:val="clear" w:color="auto" w:fill="auto"/>
            <w:vAlign w:val="center"/>
            <w:hideMark/>
          </w:tcPr>
          <w:p w14:paraId="7FC68C43" w14:textId="4BF37283" w:rsidR="001E0951" w:rsidRPr="00927173" w:rsidRDefault="001E0951" w:rsidP="001E0951">
            <w:pPr>
              <w:pStyle w:val="TableText"/>
              <w:rPr>
                <w:lang w:eastAsia="en-NZ"/>
              </w:rPr>
            </w:pPr>
            <w:r w:rsidRPr="00927173">
              <w:rPr>
                <w:lang w:eastAsia="en-NZ"/>
              </w:rPr>
              <w:t>1.12</w:t>
            </w:r>
          </w:p>
        </w:tc>
        <w:tc>
          <w:tcPr>
            <w:tcW w:w="2977" w:type="dxa"/>
            <w:shd w:val="clear" w:color="auto" w:fill="auto"/>
            <w:vAlign w:val="center"/>
            <w:hideMark/>
          </w:tcPr>
          <w:p w14:paraId="7EFFE677" w14:textId="35D6237A" w:rsidR="001E0951" w:rsidRPr="00927173" w:rsidRDefault="001E0951" w:rsidP="001E0951">
            <w:pPr>
              <w:pStyle w:val="TableText"/>
            </w:pPr>
            <w:r w:rsidRPr="00927173">
              <w:t xml:space="preserve">Improved access to primary and </w:t>
            </w:r>
            <w:r w:rsidRPr="00927173">
              <w:rPr>
                <w:lang w:eastAsia="en-NZ"/>
              </w:rPr>
              <w:t>specialist</w:t>
            </w:r>
            <w:r w:rsidRPr="00927173">
              <w:t xml:space="preserve"> </w:t>
            </w:r>
            <w:r w:rsidRPr="00927173">
              <w:rPr>
                <w:lang w:eastAsia="en-NZ"/>
              </w:rPr>
              <w:t xml:space="preserve">MH&amp;A </w:t>
            </w:r>
            <w:r w:rsidRPr="00927173">
              <w:t>services</w:t>
            </w:r>
          </w:p>
        </w:tc>
        <w:tc>
          <w:tcPr>
            <w:tcW w:w="4252" w:type="dxa"/>
            <w:shd w:val="clear" w:color="auto" w:fill="auto"/>
            <w:vAlign w:val="center"/>
            <w:hideMark/>
          </w:tcPr>
          <w:p w14:paraId="3A395473" w14:textId="0B1F7155" w:rsidR="001E0951" w:rsidRPr="00927173" w:rsidRDefault="001E0951" w:rsidP="001E0951">
            <w:pPr>
              <w:pStyle w:val="TableText"/>
              <w:rPr>
                <w:lang w:eastAsia="en-NZ"/>
              </w:rPr>
            </w:pPr>
            <w:r w:rsidRPr="00927173">
              <w:rPr>
                <w:lang w:eastAsia="en-NZ"/>
              </w:rPr>
              <w:t>The numbers and rates of people accessing primary and specialist mental health and addiction services</w:t>
            </w:r>
          </w:p>
        </w:tc>
        <w:tc>
          <w:tcPr>
            <w:tcW w:w="5387" w:type="dxa"/>
            <w:shd w:val="clear" w:color="auto" w:fill="auto"/>
            <w:vAlign w:val="center"/>
            <w:hideMark/>
          </w:tcPr>
          <w:p w14:paraId="446984F0" w14:textId="7D25C5EE" w:rsidR="001E0951" w:rsidRPr="00927173" w:rsidRDefault="001E0951" w:rsidP="001E0951">
            <w:pPr>
              <w:pStyle w:val="TableText"/>
            </w:pPr>
            <w:r w:rsidRPr="00927173">
              <w:rPr>
                <w:lang w:eastAsia="en-NZ"/>
              </w:rPr>
              <w:t>Increase in access rates for primary and specialist mental health and addiction services</w:t>
            </w:r>
          </w:p>
        </w:tc>
      </w:tr>
    </w:tbl>
    <w:p w14:paraId="2482BBEE" w14:textId="15D33A3A" w:rsidR="00A147BF" w:rsidRDefault="00A147BF" w:rsidP="00A147BF">
      <w:pPr>
        <w:ind w:firstLine="567"/>
      </w:pPr>
    </w:p>
    <w:tbl>
      <w:tblPr>
        <w:tblW w:w="13467" w:type="dxa"/>
        <w:tblInd w:w="-5" w:type="dxa"/>
        <w:tblLayout w:type="fixed"/>
        <w:tblLook w:val="04A0" w:firstRow="1" w:lastRow="0" w:firstColumn="1" w:lastColumn="0" w:noHBand="0" w:noVBand="1"/>
      </w:tblPr>
      <w:tblGrid>
        <w:gridCol w:w="851"/>
        <w:gridCol w:w="2977"/>
        <w:gridCol w:w="4252"/>
        <w:gridCol w:w="5387"/>
      </w:tblGrid>
      <w:tr w:rsidR="00473432" w:rsidRPr="000F3AF0" w14:paraId="35F36665" w14:textId="77777777" w:rsidTr="00473432">
        <w:trPr>
          <w:tblHeader/>
        </w:trPr>
        <w:tc>
          <w:tcPr>
            <w:tcW w:w="1346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59F93BB" w14:textId="77777777" w:rsidR="00473432" w:rsidRPr="00473432" w:rsidRDefault="00473432" w:rsidP="00363713">
            <w:pPr>
              <w:pStyle w:val="TableText"/>
              <w:jc w:val="center"/>
              <w:rPr>
                <w:b/>
                <w:bCs/>
              </w:rPr>
            </w:pPr>
            <w:r w:rsidRPr="00473432">
              <w:rPr>
                <w:b/>
                <w:bCs/>
              </w:rPr>
              <w:t>GPS priority area 2: Timeliness</w:t>
            </w:r>
          </w:p>
        </w:tc>
      </w:tr>
      <w:tr w:rsidR="00473432" w:rsidRPr="000F3AF0" w14:paraId="40E3DA32" w14:textId="77777777" w:rsidTr="00473432">
        <w:trPr>
          <w:tblHeader/>
        </w:trPr>
        <w:tc>
          <w:tcPr>
            <w:tcW w:w="1346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5ABF506" w14:textId="77777777" w:rsidR="00473432" w:rsidRPr="00473432" w:rsidRDefault="00473432" w:rsidP="0075595B">
            <w:pPr>
              <w:pStyle w:val="TableText"/>
              <w:jc w:val="center"/>
              <w:rPr>
                <w:b/>
                <w:bCs/>
              </w:rPr>
            </w:pPr>
            <w:r w:rsidRPr="00473432">
              <w:rPr>
                <w:b/>
                <w:bCs/>
              </w:rPr>
              <w:t>People can access the health care and services they need, when they need it in a prompt and efficient way</w:t>
            </w:r>
          </w:p>
        </w:tc>
      </w:tr>
      <w:tr w:rsidR="00473432" w:rsidRPr="000F3AF0" w14:paraId="30BB0A5E" w14:textId="77777777" w:rsidTr="00473432">
        <w:trPr>
          <w:tblHeader/>
        </w:trPr>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036830A" w14:textId="77777777" w:rsidR="00473432" w:rsidRPr="00473432" w:rsidRDefault="00473432" w:rsidP="00363713">
            <w:pPr>
              <w:pStyle w:val="TableText"/>
              <w:rPr>
                <w:b/>
                <w:bCs/>
              </w:rPr>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64DC610" w14:textId="77777777" w:rsidR="00473432" w:rsidRPr="00473432" w:rsidRDefault="00473432" w:rsidP="00363713">
            <w:pPr>
              <w:pStyle w:val="TableText"/>
              <w:rPr>
                <w:b/>
                <w:bCs/>
              </w:rPr>
            </w:pPr>
            <w:r w:rsidRPr="00473432">
              <w:rPr>
                <w:b/>
                <w:bCs/>
              </w:rPr>
              <w:t xml:space="preserve">Indicator </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0B42CD4" w14:textId="77777777" w:rsidR="00473432" w:rsidRPr="00473432" w:rsidRDefault="00473432" w:rsidP="00363713">
            <w:pPr>
              <w:pStyle w:val="TableText"/>
              <w:rPr>
                <w:b/>
                <w:bCs/>
              </w:rPr>
            </w:pPr>
            <w:r w:rsidRPr="00473432">
              <w:rPr>
                <w:b/>
                <w:bCs/>
              </w:rPr>
              <w:t>Measure</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B28A127" w14:textId="77777777" w:rsidR="00473432" w:rsidRPr="00473432" w:rsidRDefault="00473432" w:rsidP="00363713">
            <w:pPr>
              <w:pStyle w:val="TableText"/>
              <w:rPr>
                <w:b/>
                <w:bCs/>
              </w:rPr>
            </w:pPr>
            <w:r w:rsidRPr="00473432">
              <w:rPr>
                <w:b/>
                <w:bCs/>
              </w:rPr>
              <w:t>Expectation</w:t>
            </w:r>
          </w:p>
        </w:tc>
      </w:tr>
      <w:tr w:rsidR="001E0951" w:rsidRPr="000F3AF0" w14:paraId="1B32249C"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28990A4" w14:textId="24316471" w:rsidR="001E0951" w:rsidRPr="00181169" w:rsidRDefault="001E0951" w:rsidP="001E0951">
            <w:pPr>
              <w:pStyle w:val="TableText"/>
              <w:rPr>
                <w:lang w:eastAsia="en-NZ"/>
              </w:rPr>
            </w:pPr>
            <w:r w:rsidRPr="00181169">
              <w:rPr>
                <w:lang w:eastAsia="en-NZ"/>
              </w:rPr>
              <w:t>2.01</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27EAAE9" w14:textId="5A63D581" w:rsidR="001E0951" w:rsidRPr="00181169" w:rsidRDefault="001E0951" w:rsidP="001E0951">
            <w:pPr>
              <w:pStyle w:val="TableText"/>
              <w:rPr>
                <w:lang w:eastAsia="en-NZ"/>
              </w:rPr>
            </w:pPr>
            <w:r w:rsidRPr="00181169">
              <w:rPr>
                <w:lang w:eastAsia="en-NZ"/>
              </w:rPr>
              <w:t>Faster cancer treatment (</w:t>
            </w:r>
            <w:r>
              <w:rPr>
                <w:lang w:eastAsia="en-NZ"/>
              </w:rPr>
              <w:t>h</w:t>
            </w:r>
            <w:r w:rsidRPr="00181169">
              <w:rPr>
                <w:lang w:eastAsia="en-NZ"/>
              </w:rPr>
              <w:t xml:space="preserve">ealth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06F837D" w14:textId="5671E57D" w:rsidR="001E0951" w:rsidRPr="00181169" w:rsidRDefault="001E0951" w:rsidP="001E0951">
            <w:pPr>
              <w:pStyle w:val="TableText"/>
              <w:rPr>
                <w:lang w:eastAsia="en-NZ"/>
              </w:rPr>
            </w:pPr>
            <w:r w:rsidRPr="00181169">
              <w:rPr>
                <w:lang w:eastAsia="en-NZ"/>
              </w:rPr>
              <w:t>Percentage of patients receiving cancer management within 31 days of the decision to treat</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11419E5" w14:textId="797E30A3" w:rsidR="001E0951" w:rsidRPr="00181169" w:rsidRDefault="001E0951" w:rsidP="001E0951">
            <w:pPr>
              <w:pStyle w:val="TableText"/>
              <w:rPr>
                <w:lang w:eastAsia="en-NZ"/>
              </w:rPr>
            </w:pPr>
            <w:r w:rsidRPr="00181169">
              <w:rPr>
                <w:lang w:eastAsia="en-NZ"/>
              </w:rPr>
              <w:t xml:space="preserve">Health </w:t>
            </w:r>
            <w:r>
              <w:rPr>
                <w:lang w:eastAsia="en-NZ"/>
              </w:rPr>
              <w:t>t</w:t>
            </w:r>
            <w:r w:rsidRPr="00181169">
              <w:rPr>
                <w:lang w:eastAsia="en-NZ"/>
              </w:rPr>
              <w:t>arget: 90% of patients receive cancer management within 31 days of the decision to treat</w:t>
            </w:r>
          </w:p>
        </w:tc>
      </w:tr>
      <w:tr w:rsidR="001E0951" w:rsidRPr="000F3AF0" w14:paraId="6B69DE8B"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DB333E9" w14:textId="6480D6F1" w:rsidR="001E0951" w:rsidRPr="00181169" w:rsidRDefault="001E0951" w:rsidP="001E0951">
            <w:pPr>
              <w:pStyle w:val="TableText"/>
              <w:rPr>
                <w:lang w:eastAsia="en-NZ"/>
              </w:rPr>
            </w:pPr>
            <w:r w:rsidRPr="00181169">
              <w:rPr>
                <w:lang w:eastAsia="en-NZ"/>
              </w:rPr>
              <w:t>2.02</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EDB572D" w14:textId="756A2452" w:rsidR="001E0951" w:rsidRPr="00181169" w:rsidRDefault="001E0951" w:rsidP="001E0951">
            <w:pPr>
              <w:pStyle w:val="TableText"/>
              <w:rPr>
                <w:lang w:eastAsia="en-NZ"/>
              </w:rPr>
            </w:pPr>
            <w:r w:rsidRPr="00181169">
              <w:rPr>
                <w:lang w:eastAsia="en-NZ"/>
              </w:rPr>
              <w:t>Shorter wait times for first specialist assessment (FSA) (</w:t>
            </w:r>
            <w:r>
              <w:rPr>
                <w:lang w:eastAsia="en-NZ"/>
              </w:rPr>
              <w:t>h</w:t>
            </w:r>
            <w:r w:rsidRPr="00181169">
              <w:rPr>
                <w:lang w:eastAsia="en-NZ"/>
              </w:rPr>
              <w:t xml:space="preserve">ealth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FAC119F" w14:textId="1A7C498B" w:rsidR="001E0951" w:rsidRPr="00181169" w:rsidRDefault="001E0951" w:rsidP="001E0951">
            <w:pPr>
              <w:pStyle w:val="TableText"/>
              <w:rPr>
                <w:lang w:eastAsia="en-NZ"/>
              </w:rPr>
            </w:pPr>
            <w:r w:rsidRPr="00181169">
              <w:rPr>
                <w:lang w:eastAsia="en-NZ"/>
              </w:rPr>
              <w:t xml:space="preserve">Percentage of patients waiting less than </w:t>
            </w:r>
            <w:r>
              <w:rPr>
                <w:lang w:eastAsia="en-NZ"/>
              </w:rPr>
              <w:t>four</w:t>
            </w:r>
            <w:r w:rsidRPr="00181169">
              <w:rPr>
                <w:lang w:eastAsia="en-NZ"/>
              </w:rPr>
              <w:t xml:space="preserve"> months for a first specialist assessment</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72CC40C" w14:textId="77E3FB99" w:rsidR="001E0951" w:rsidRPr="00181169" w:rsidRDefault="001E0951" w:rsidP="001E0951">
            <w:pPr>
              <w:pStyle w:val="TableText"/>
              <w:rPr>
                <w:lang w:eastAsia="en-NZ"/>
              </w:rPr>
            </w:pPr>
            <w:r w:rsidRPr="00181169">
              <w:rPr>
                <w:lang w:eastAsia="en-NZ"/>
              </w:rPr>
              <w:t xml:space="preserve">Health </w:t>
            </w:r>
            <w:r>
              <w:rPr>
                <w:lang w:eastAsia="en-NZ"/>
              </w:rPr>
              <w:t>t</w:t>
            </w:r>
            <w:r w:rsidRPr="00181169">
              <w:rPr>
                <w:lang w:eastAsia="en-NZ"/>
              </w:rPr>
              <w:t xml:space="preserve">arget: 95% of patients wait less than </w:t>
            </w:r>
            <w:r>
              <w:rPr>
                <w:lang w:eastAsia="en-NZ"/>
              </w:rPr>
              <w:t>four</w:t>
            </w:r>
            <w:r w:rsidRPr="00181169">
              <w:rPr>
                <w:lang w:eastAsia="en-NZ"/>
              </w:rPr>
              <w:t xml:space="preserve"> months for a first specialist assessment</w:t>
            </w:r>
          </w:p>
        </w:tc>
      </w:tr>
      <w:tr w:rsidR="001E0951" w:rsidRPr="000F3AF0" w14:paraId="336D92CB"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78B60B2" w14:textId="7FB8AA99" w:rsidR="001E0951" w:rsidRPr="00181169" w:rsidRDefault="001E0951" w:rsidP="001E0951">
            <w:pPr>
              <w:pStyle w:val="TableText"/>
              <w:rPr>
                <w:lang w:eastAsia="en-NZ"/>
              </w:rPr>
            </w:pPr>
            <w:r w:rsidRPr="00181169">
              <w:rPr>
                <w:lang w:eastAsia="en-NZ"/>
              </w:rPr>
              <w:t>2.03</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9098394" w14:textId="409AA9EE" w:rsidR="001E0951" w:rsidRPr="00181169" w:rsidRDefault="001E0951" w:rsidP="001E0951">
            <w:pPr>
              <w:pStyle w:val="TableText"/>
              <w:rPr>
                <w:lang w:eastAsia="en-NZ"/>
              </w:rPr>
            </w:pPr>
            <w:r w:rsidRPr="00181169">
              <w:rPr>
                <w:lang w:eastAsia="en-NZ"/>
              </w:rPr>
              <w:t>Shorter wait times for treatment (</w:t>
            </w:r>
            <w:r>
              <w:rPr>
                <w:lang w:eastAsia="en-NZ"/>
              </w:rPr>
              <w:t>h</w:t>
            </w:r>
            <w:r w:rsidRPr="00181169">
              <w:rPr>
                <w:lang w:eastAsia="en-NZ"/>
              </w:rPr>
              <w:t xml:space="preserve">ealth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D09825C" w14:textId="2F10DA4F" w:rsidR="001E0951" w:rsidRPr="00181169" w:rsidRDefault="001E0951" w:rsidP="001E0951">
            <w:pPr>
              <w:pStyle w:val="TableText"/>
              <w:rPr>
                <w:lang w:eastAsia="en-NZ"/>
              </w:rPr>
            </w:pPr>
            <w:r w:rsidRPr="00181169">
              <w:rPr>
                <w:lang w:eastAsia="en-NZ"/>
              </w:rPr>
              <w:t xml:space="preserve">Percentage of patients waiting less than </w:t>
            </w:r>
            <w:r>
              <w:rPr>
                <w:lang w:eastAsia="en-NZ"/>
              </w:rPr>
              <w:t>four</w:t>
            </w:r>
            <w:r w:rsidRPr="00181169">
              <w:rPr>
                <w:lang w:eastAsia="en-NZ"/>
              </w:rPr>
              <w:t xml:space="preserve"> months for elective treatment</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0DAC2BD" w14:textId="26D14C0B" w:rsidR="001E0951" w:rsidRPr="00181169" w:rsidRDefault="001E0951" w:rsidP="001E0951">
            <w:pPr>
              <w:pStyle w:val="TableText"/>
              <w:rPr>
                <w:lang w:eastAsia="en-NZ"/>
              </w:rPr>
            </w:pPr>
            <w:r w:rsidRPr="00181169">
              <w:rPr>
                <w:lang w:eastAsia="en-NZ"/>
              </w:rPr>
              <w:t xml:space="preserve">Health </w:t>
            </w:r>
            <w:r>
              <w:rPr>
                <w:lang w:eastAsia="en-NZ"/>
              </w:rPr>
              <w:t>t</w:t>
            </w:r>
            <w:r w:rsidRPr="00181169">
              <w:rPr>
                <w:lang w:eastAsia="en-NZ"/>
              </w:rPr>
              <w:t xml:space="preserve">arget: 95% of patients wait less than </w:t>
            </w:r>
            <w:r>
              <w:rPr>
                <w:lang w:eastAsia="en-NZ"/>
              </w:rPr>
              <w:t>four</w:t>
            </w:r>
            <w:r w:rsidRPr="00181169">
              <w:rPr>
                <w:lang w:eastAsia="en-NZ"/>
              </w:rPr>
              <w:t xml:space="preserve"> months for elective treatment</w:t>
            </w:r>
          </w:p>
        </w:tc>
      </w:tr>
      <w:tr w:rsidR="001E0951" w:rsidRPr="000F3AF0" w14:paraId="4A165D1C"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A55030" w14:textId="44C24BB5" w:rsidR="001E0951" w:rsidRPr="00181169" w:rsidRDefault="001E0951" w:rsidP="001E0951">
            <w:pPr>
              <w:pStyle w:val="TableText"/>
              <w:rPr>
                <w:lang w:eastAsia="en-NZ"/>
              </w:rPr>
            </w:pPr>
            <w:r w:rsidRPr="00181169">
              <w:rPr>
                <w:lang w:eastAsia="en-NZ"/>
              </w:rPr>
              <w:t>2.04</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01FE22" w14:textId="481B2CF4" w:rsidR="001E0951" w:rsidRPr="00181169" w:rsidRDefault="001E0951" w:rsidP="001E0951">
            <w:pPr>
              <w:pStyle w:val="TableText"/>
              <w:rPr>
                <w:lang w:eastAsia="en-NZ"/>
              </w:rPr>
            </w:pPr>
            <w:r w:rsidRPr="00181169">
              <w:rPr>
                <w:lang w:eastAsia="en-NZ"/>
              </w:rPr>
              <w:t>Shorter stays in emergency departments (</w:t>
            </w:r>
            <w:r>
              <w:rPr>
                <w:lang w:eastAsia="en-NZ"/>
              </w:rPr>
              <w:t>h</w:t>
            </w:r>
            <w:r w:rsidRPr="00181169">
              <w:rPr>
                <w:lang w:eastAsia="en-NZ"/>
              </w:rPr>
              <w:t xml:space="preserve">ealth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7F16C5" w14:textId="545AFA70" w:rsidR="001E0951" w:rsidRPr="00181169" w:rsidRDefault="001E0951" w:rsidP="001E0951">
            <w:pPr>
              <w:pStyle w:val="TableText"/>
              <w:rPr>
                <w:lang w:eastAsia="en-NZ"/>
              </w:rPr>
            </w:pPr>
            <w:r w:rsidRPr="00181169">
              <w:rPr>
                <w:lang w:eastAsia="en-NZ"/>
              </w:rPr>
              <w:t>Percentage of patients to be admitted, discharged or transferred from an emergency department (ED) within six hours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997B26" w14:textId="4980933A" w:rsidR="001E0951" w:rsidRPr="00181169" w:rsidRDefault="001E0951" w:rsidP="001E0951">
            <w:pPr>
              <w:pStyle w:val="TableText"/>
              <w:rPr>
                <w:lang w:eastAsia="en-NZ"/>
              </w:rPr>
            </w:pPr>
            <w:r w:rsidRPr="00181169">
              <w:rPr>
                <w:lang w:eastAsia="en-NZ"/>
              </w:rPr>
              <w:t xml:space="preserve">Health </w:t>
            </w:r>
            <w:r>
              <w:rPr>
                <w:lang w:eastAsia="en-NZ"/>
              </w:rPr>
              <w:t>t</w:t>
            </w:r>
            <w:r w:rsidRPr="00181169">
              <w:rPr>
                <w:lang w:eastAsia="en-NZ"/>
              </w:rPr>
              <w:t>arget: 95% of patients to be admitted, discharged or transferred from an ED within six hours</w:t>
            </w:r>
          </w:p>
        </w:tc>
      </w:tr>
      <w:tr w:rsidR="001E0951" w:rsidRPr="000F3AF0" w14:paraId="26887C18"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6FEE232" w14:textId="76D36877" w:rsidR="001E0951" w:rsidRPr="00181169" w:rsidRDefault="001E0951" w:rsidP="001E0951">
            <w:pPr>
              <w:pStyle w:val="TableText"/>
              <w:rPr>
                <w:lang w:eastAsia="en-NZ"/>
              </w:rPr>
            </w:pPr>
            <w:r w:rsidRPr="00181169">
              <w:rPr>
                <w:lang w:eastAsia="en-NZ"/>
              </w:rPr>
              <w:lastRenderedPageBreak/>
              <w:t>2.05</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B388F01" w14:textId="7EFE90BA" w:rsidR="001E0951" w:rsidRPr="00181169" w:rsidRDefault="001E0951" w:rsidP="001E0951">
            <w:pPr>
              <w:pStyle w:val="TableText"/>
              <w:rPr>
                <w:lang w:eastAsia="en-NZ"/>
              </w:rPr>
            </w:pPr>
            <w:r w:rsidRPr="00181169">
              <w:rPr>
                <w:lang w:eastAsia="en-NZ"/>
              </w:rPr>
              <w:t xml:space="preserve">Faster access to specialist MH&amp;A services (MH&amp;A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3D2CFFD" w14:textId="1D69D1FE" w:rsidR="001E0951" w:rsidRPr="00181169" w:rsidRDefault="001E0951" w:rsidP="001E0951">
            <w:pPr>
              <w:pStyle w:val="TableText"/>
              <w:rPr>
                <w:lang w:eastAsia="en-NZ"/>
              </w:rPr>
            </w:pPr>
            <w:r w:rsidRPr="00181169">
              <w:rPr>
                <w:lang w:eastAsia="en-NZ"/>
              </w:rPr>
              <w:t>Percentage of people accessing specialist MH&amp;A services seen within three weeks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981E059" w14:textId="2BB22A24" w:rsidR="001E0951" w:rsidRPr="00181169" w:rsidRDefault="001E0951" w:rsidP="001E0951">
            <w:pPr>
              <w:pStyle w:val="TableText"/>
              <w:rPr>
                <w:lang w:eastAsia="en-NZ"/>
              </w:rPr>
            </w:pPr>
            <w:r w:rsidRPr="00181169">
              <w:rPr>
                <w:lang w:eastAsia="en-NZ"/>
              </w:rPr>
              <w:t xml:space="preserve">MH&amp;A </w:t>
            </w:r>
            <w:r>
              <w:rPr>
                <w:lang w:eastAsia="en-NZ"/>
              </w:rPr>
              <w:t>t</w:t>
            </w:r>
            <w:r w:rsidRPr="00181169">
              <w:rPr>
                <w:lang w:eastAsia="en-NZ"/>
              </w:rPr>
              <w:t>arget: 80% of people accessing specialist MH&amp;A services are seen within three weeks</w:t>
            </w:r>
          </w:p>
        </w:tc>
      </w:tr>
      <w:tr w:rsidR="001E0951" w:rsidRPr="000F3AF0" w14:paraId="3283B2D0"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D0D5C50" w14:textId="4F93FAF6" w:rsidR="001E0951" w:rsidRPr="00181169" w:rsidRDefault="001E0951" w:rsidP="001E0951">
            <w:pPr>
              <w:pStyle w:val="TableText"/>
              <w:rPr>
                <w:lang w:eastAsia="en-NZ"/>
              </w:rPr>
            </w:pPr>
            <w:r w:rsidRPr="00181169">
              <w:rPr>
                <w:lang w:eastAsia="en-NZ"/>
              </w:rPr>
              <w:t>2.06</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49B60B9" w14:textId="20AA69ED" w:rsidR="001E0951" w:rsidRPr="00181169" w:rsidRDefault="001E0951" w:rsidP="001E0951">
            <w:pPr>
              <w:pStyle w:val="TableText"/>
              <w:rPr>
                <w:lang w:eastAsia="en-NZ"/>
              </w:rPr>
            </w:pPr>
            <w:r w:rsidRPr="00181169">
              <w:rPr>
                <w:lang w:eastAsia="en-NZ"/>
              </w:rPr>
              <w:t xml:space="preserve">Faster access to MH&amp;A services (MH&amp;A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7DA761E" w14:textId="7089C06A" w:rsidR="001E0951" w:rsidRPr="00181169" w:rsidRDefault="001E0951" w:rsidP="001E0951">
            <w:pPr>
              <w:pStyle w:val="TableText"/>
            </w:pPr>
            <w:r w:rsidRPr="00181169">
              <w:t xml:space="preserve">Percentage of people accessing primary MH&amp;A services </w:t>
            </w:r>
            <w:r w:rsidRPr="00181169">
              <w:rPr>
                <w:lang w:eastAsia="en-NZ"/>
              </w:rPr>
              <w:t>through</w:t>
            </w:r>
            <w:r w:rsidRPr="00181169">
              <w:t xml:space="preserve"> the Access and Choice programme seen within one week</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2F23FBA" w14:textId="0DCC29D9" w:rsidR="001E0951" w:rsidRPr="00181169" w:rsidRDefault="001E0951" w:rsidP="001E0951">
            <w:pPr>
              <w:pStyle w:val="TableText"/>
              <w:rPr>
                <w:lang w:eastAsia="en-NZ"/>
              </w:rPr>
            </w:pPr>
            <w:r w:rsidRPr="00181169">
              <w:rPr>
                <w:lang w:eastAsia="en-NZ"/>
              </w:rPr>
              <w:t xml:space="preserve">MH&amp;A </w:t>
            </w:r>
            <w:r>
              <w:rPr>
                <w:lang w:eastAsia="en-NZ"/>
              </w:rPr>
              <w:t>t</w:t>
            </w:r>
            <w:r w:rsidRPr="00181169">
              <w:rPr>
                <w:lang w:eastAsia="en-NZ"/>
              </w:rPr>
              <w:t>arget: 80% of people accessing primary MH&amp;A services within the Access and Choice programme are seen within one week</w:t>
            </w:r>
          </w:p>
        </w:tc>
      </w:tr>
      <w:tr w:rsidR="001E0951" w:rsidRPr="000F3AF0" w14:paraId="51983F59"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16FB327" w14:textId="5A584F7D" w:rsidR="001E0951" w:rsidRPr="00181169" w:rsidRDefault="001E0951" w:rsidP="001E0951">
            <w:pPr>
              <w:pStyle w:val="TableText"/>
              <w:rPr>
                <w:lang w:eastAsia="en-NZ"/>
              </w:rPr>
            </w:pPr>
            <w:r w:rsidRPr="00181169">
              <w:rPr>
                <w:lang w:eastAsia="en-NZ"/>
              </w:rPr>
              <w:t>2.07</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5388DA0" w14:textId="37709B45" w:rsidR="001E0951" w:rsidRPr="00181169" w:rsidRDefault="001E0951" w:rsidP="001E0951">
            <w:pPr>
              <w:pStyle w:val="TableText"/>
              <w:rPr>
                <w:lang w:eastAsia="en-NZ"/>
              </w:rPr>
            </w:pPr>
            <w:r w:rsidRPr="00181169">
              <w:rPr>
                <w:lang w:eastAsia="en-NZ"/>
              </w:rPr>
              <w:t xml:space="preserve">Shorter mental health and addiction-related stays in emergency departments (MH&amp;A </w:t>
            </w:r>
            <w:r>
              <w:rPr>
                <w:lang w:eastAsia="en-NZ"/>
              </w:rPr>
              <w:t>t</w:t>
            </w:r>
            <w:r w:rsidRPr="00181169">
              <w:rPr>
                <w:lang w:eastAsia="en-NZ"/>
              </w:rPr>
              <w:t>arget)</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59DFE47" w14:textId="302D94A1" w:rsidR="001E0951" w:rsidRPr="00181169" w:rsidRDefault="001E0951" w:rsidP="001E0951">
            <w:pPr>
              <w:pStyle w:val="TableText"/>
              <w:rPr>
                <w:lang w:eastAsia="en-NZ"/>
              </w:rPr>
            </w:pPr>
            <w:r w:rsidRPr="00181169">
              <w:rPr>
                <w:lang w:eastAsia="en-NZ"/>
              </w:rPr>
              <w:t>Percentage of MH&amp;A-related ED presentations admitted, discharged or transferred from an ED within six hours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930D641" w14:textId="5A8EEFBD" w:rsidR="001E0951" w:rsidRPr="00181169" w:rsidRDefault="001E0951" w:rsidP="001E0951">
            <w:pPr>
              <w:pStyle w:val="TableText"/>
              <w:rPr>
                <w:lang w:eastAsia="en-NZ"/>
              </w:rPr>
            </w:pPr>
            <w:r w:rsidRPr="00181169">
              <w:rPr>
                <w:lang w:eastAsia="en-NZ"/>
              </w:rPr>
              <w:t xml:space="preserve">MH&amp;A </w:t>
            </w:r>
            <w:r>
              <w:rPr>
                <w:lang w:eastAsia="en-NZ"/>
              </w:rPr>
              <w:t>t</w:t>
            </w:r>
            <w:r w:rsidRPr="00181169">
              <w:rPr>
                <w:lang w:eastAsia="en-NZ"/>
              </w:rPr>
              <w:t>arget: 95% of MH&amp;A-related ED presentations are admitted, discharged or transferred from an ED within six hours</w:t>
            </w:r>
          </w:p>
        </w:tc>
      </w:tr>
      <w:tr w:rsidR="001E0951" w:rsidRPr="000F3AF0" w14:paraId="612527FF"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C31AF6" w14:textId="08E1D0D0" w:rsidR="001E0951" w:rsidRPr="00181169" w:rsidRDefault="001E0951" w:rsidP="001E0951">
            <w:pPr>
              <w:pStyle w:val="TableText"/>
              <w:rPr>
                <w:lang w:eastAsia="en-NZ"/>
              </w:rPr>
            </w:pPr>
            <w:r w:rsidRPr="00181169">
              <w:rPr>
                <w:lang w:eastAsia="en-NZ"/>
              </w:rPr>
              <w:t>2.08</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FEE4335" w14:textId="5B6DB5E4" w:rsidR="001E0951" w:rsidRPr="00181169" w:rsidRDefault="001E0951" w:rsidP="001E0951">
            <w:pPr>
              <w:pStyle w:val="TableText"/>
              <w:rPr>
                <w:lang w:eastAsia="en-NZ"/>
              </w:rPr>
            </w:pPr>
            <w:r w:rsidRPr="00181169">
              <w:rPr>
                <w:lang w:eastAsia="en-NZ"/>
              </w:rPr>
              <w:t>Reduced waiting times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2951B0E" w14:textId="4C069B38" w:rsidR="001E0951" w:rsidRPr="00181169" w:rsidRDefault="001E0951" w:rsidP="001E0951">
            <w:pPr>
              <w:pStyle w:val="TableText"/>
              <w:rPr>
                <w:lang w:eastAsia="en-NZ"/>
              </w:rPr>
            </w:pPr>
            <w:r w:rsidRPr="00181169">
              <w:rPr>
                <w:lang w:eastAsia="en-NZ"/>
              </w:rPr>
              <w:t>Access to first specialist assessments (total, and standardised rates)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D3B908C" w14:textId="504A8DFC" w:rsidR="001E0951" w:rsidRPr="00181169" w:rsidRDefault="001E0951" w:rsidP="001E0951">
            <w:pPr>
              <w:pStyle w:val="TableText"/>
            </w:pPr>
            <w:r w:rsidRPr="00181169">
              <w:rPr>
                <w:lang w:eastAsia="en-NZ"/>
              </w:rPr>
              <w:t>Improve</w:t>
            </w:r>
            <w:r w:rsidRPr="00181169">
              <w:t xml:space="preserve"> access for first specialist assessments </w:t>
            </w:r>
          </w:p>
        </w:tc>
      </w:tr>
      <w:tr w:rsidR="001E0951" w:rsidRPr="000F3AF0" w14:paraId="057750CE"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7C4A02" w14:textId="4A8D81AF" w:rsidR="001E0951" w:rsidRPr="00181169" w:rsidRDefault="001E0951" w:rsidP="001E0951">
            <w:pPr>
              <w:pStyle w:val="TableText"/>
              <w:rPr>
                <w:lang w:eastAsia="en-NZ"/>
              </w:rPr>
            </w:pPr>
            <w:r w:rsidRPr="00181169">
              <w:rPr>
                <w:lang w:eastAsia="en-NZ"/>
              </w:rPr>
              <w:t>2.09</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0302FE7" w14:textId="062FDBE8" w:rsidR="001E0951" w:rsidRPr="00181169" w:rsidRDefault="001E0951" w:rsidP="001E0951">
            <w:pPr>
              <w:pStyle w:val="TableText"/>
              <w:rPr>
                <w:lang w:eastAsia="en-NZ"/>
              </w:rPr>
            </w:pPr>
            <w:r w:rsidRPr="00181169">
              <w:rPr>
                <w:lang w:eastAsia="en-NZ"/>
              </w:rPr>
              <w:t xml:space="preserve">Reduced waiting times </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3AA9074" w14:textId="1CFACAA6" w:rsidR="001E0951" w:rsidRPr="00181169" w:rsidRDefault="001E0951" w:rsidP="001E0951">
            <w:pPr>
              <w:pStyle w:val="TableText"/>
              <w:rPr>
                <w:lang w:eastAsia="en-NZ"/>
              </w:rPr>
            </w:pPr>
            <w:r w:rsidRPr="00181169">
              <w:rPr>
                <w:lang w:eastAsia="en-NZ"/>
              </w:rPr>
              <w:t xml:space="preserve">Missed appointments in specialist care </w:t>
            </w:r>
            <w:r w:rsidRPr="005E3CA3">
              <w:rPr>
                <w:lang w:eastAsia="en-NZ"/>
              </w:rPr>
              <w:t>and</w:t>
            </w:r>
            <w:r w:rsidRPr="00181169">
              <w:rPr>
                <w:lang w:eastAsia="en-NZ"/>
              </w:rPr>
              <w:t xml:space="preserve"> variation in missed appointments between Māori and Pacific people</w:t>
            </w:r>
            <w:r>
              <w:rPr>
                <w:lang w:eastAsia="en-NZ"/>
              </w:rPr>
              <w:t>s</w:t>
            </w:r>
            <w:r w:rsidRPr="00181169">
              <w:rPr>
                <w:lang w:eastAsia="en-NZ"/>
              </w:rPr>
              <w:t xml:space="preserve"> and non-Māori, non-Pacific people</w:t>
            </w:r>
            <w:r>
              <w:rPr>
                <w:lang w:eastAsia="en-NZ"/>
              </w:rPr>
              <w:t>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C3D12DA" w14:textId="77777777" w:rsidR="001E0951" w:rsidRPr="00181169" w:rsidRDefault="001E0951" w:rsidP="001E0951">
            <w:pPr>
              <w:pStyle w:val="TableText"/>
              <w:rPr>
                <w:lang w:eastAsia="en-NZ"/>
              </w:rPr>
            </w:pPr>
            <w:r w:rsidRPr="00181169">
              <w:rPr>
                <w:lang w:eastAsia="en-NZ"/>
              </w:rPr>
              <w:t>A decreased percentage of missed appointments</w:t>
            </w:r>
          </w:p>
          <w:p w14:paraId="5CD228E2" w14:textId="77777777" w:rsidR="001E0951" w:rsidRPr="00181169" w:rsidRDefault="001E0951" w:rsidP="001E0951">
            <w:pPr>
              <w:pStyle w:val="TableText"/>
              <w:rPr>
                <w:lang w:eastAsia="en-NZ"/>
              </w:rPr>
            </w:pPr>
          </w:p>
        </w:tc>
      </w:tr>
      <w:tr w:rsidR="001E0951" w:rsidRPr="000F3AF0" w14:paraId="4865FF71"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D639520" w14:textId="2E16AC7C" w:rsidR="001E0951" w:rsidRPr="00181169" w:rsidRDefault="001E0951" w:rsidP="001E0951">
            <w:pPr>
              <w:pStyle w:val="TableText"/>
              <w:rPr>
                <w:lang w:eastAsia="en-NZ"/>
              </w:rPr>
            </w:pPr>
            <w:r w:rsidRPr="00181169">
              <w:rPr>
                <w:lang w:eastAsia="en-NZ"/>
              </w:rPr>
              <w:t>2.10</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05CBF80" w14:textId="5DC2DA26" w:rsidR="001E0951" w:rsidRPr="00181169" w:rsidRDefault="001E0951" w:rsidP="001E0951">
            <w:pPr>
              <w:pStyle w:val="TableText"/>
              <w:rPr>
                <w:lang w:eastAsia="en-NZ"/>
              </w:rPr>
            </w:pPr>
            <w:r w:rsidRPr="00181169">
              <w:rPr>
                <w:lang w:eastAsia="en-NZ"/>
              </w:rPr>
              <w:t>Reduced waiting times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12B40EF" w14:textId="51D4C4B5" w:rsidR="001E0951" w:rsidRPr="00181169" w:rsidRDefault="001E0951" w:rsidP="001E0951">
            <w:pPr>
              <w:pStyle w:val="TableText"/>
              <w:rPr>
                <w:lang w:eastAsia="en-NZ"/>
              </w:rPr>
            </w:pPr>
            <w:r w:rsidRPr="00181169">
              <w:rPr>
                <w:lang w:eastAsia="en-NZ"/>
              </w:rPr>
              <w:t xml:space="preserve">Elective </w:t>
            </w:r>
            <w:r>
              <w:rPr>
                <w:lang w:eastAsia="en-NZ"/>
              </w:rPr>
              <w:t>s</w:t>
            </w:r>
            <w:r w:rsidRPr="00181169">
              <w:rPr>
                <w:lang w:eastAsia="en-NZ"/>
              </w:rPr>
              <w:t>urgical discharges (total, and standardised rates)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366C379" w14:textId="771660C3" w:rsidR="001E0951" w:rsidRPr="00181169" w:rsidRDefault="001E0951" w:rsidP="001E0951">
            <w:pPr>
              <w:pStyle w:val="TableText"/>
              <w:rPr>
                <w:lang w:eastAsia="en-NZ"/>
              </w:rPr>
            </w:pPr>
            <w:r w:rsidRPr="00181169">
              <w:rPr>
                <w:lang w:eastAsia="en-NZ"/>
              </w:rPr>
              <w:t xml:space="preserve">Improve access for elective treatment </w:t>
            </w:r>
          </w:p>
        </w:tc>
      </w:tr>
      <w:tr w:rsidR="001E0951" w:rsidRPr="000F3AF0" w14:paraId="1D3E709C" w14:textId="77777777" w:rsidTr="0047343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C05624D" w14:textId="5F83D866" w:rsidR="001E0951" w:rsidRPr="00181169" w:rsidRDefault="001E0951" w:rsidP="001E0951">
            <w:pPr>
              <w:pStyle w:val="TableText"/>
              <w:rPr>
                <w:lang w:eastAsia="en-NZ"/>
              </w:rPr>
            </w:pPr>
            <w:r w:rsidRPr="00181169">
              <w:rPr>
                <w:lang w:eastAsia="en-NZ"/>
              </w:rPr>
              <w:t>2.11</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598EC0E" w14:textId="219D9044" w:rsidR="001E0951" w:rsidRPr="00181169" w:rsidRDefault="001E0951" w:rsidP="001E0951">
            <w:pPr>
              <w:pStyle w:val="TableText"/>
              <w:rPr>
                <w:lang w:eastAsia="en-NZ"/>
              </w:rPr>
            </w:pPr>
            <w:r w:rsidRPr="00181169">
              <w:rPr>
                <w:lang w:eastAsia="en-NZ"/>
              </w:rPr>
              <w:t xml:space="preserve">Faster access to primary and community </w:t>
            </w:r>
            <w:r>
              <w:rPr>
                <w:lang w:eastAsia="en-NZ"/>
              </w:rPr>
              <w:t>health care</w:t>
            </w:r>
            <w:r w:rsidRPr="00181169">
              <w:rPr>
                <w:lang w:eastAsia="en-NZ"/>
              </w:rPr>
              <w:t xml:space="preserve"> services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A4A4E3" w14:textId="03A3D376" w:rsidR="001E0951" w:rsidRPr="00181169" w:rsidRDefault="001E0951" w:rsidP="001E0951">
            <w:pPr>
              <w:pStyle w:val="TableText"/>
              <w:rPr>
                <w:lang w:eastAsia="en-NZ"/>
              </w:rPr>
            </w:pPr>
            <w:r w:rsidRPr="00181169">
              <w:rPr>
                <w:lang w:eastAsia="en-NZ"/>
              </w:rPr>
              <w:t>The percentage of people who experience unmet need to see a GP in the past 12 months due to time taken to get an appointment</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5565D19" w14:textId="27603504" w:rsidR="001E0951" w:rsidRPr="00181169" w:rsidRDefault="001E0951" w:rsidP="001E0951">
            <w:pPr>
              <w:pStyle w:val="TableText"/>
              <w:rPr>
                <w:lang w:eastAsia="en-NZ"/>
              </w:rPr>
            </w:pPr>
            <w:r w:rsidRPr="00181169">
              <w:rPr>
                <w:lang w:eastAsia="en-NZ"/>
              </w:rPr>
              <w:t xml:space="preserve">Improvement in the response to the Health Survey question 'In the past 12 months, was there a time when you had a medical problem but did not visit a GP for any of the following reasons? </w:t>
            </w:r>
            <w:r w:rsidR="00CF507C">
              <w:rPr>
                <w:lang w:eastAsia="en-NZ"/>
              </w:rPr>
              <w:br/>
            </w:r>
            <w:r w:rsidRPr="00181169">
              <w:rPr>
                <w:lang w:eastAsia="en-NZ"/>
              </w:rPr>
              <w:t>- Time taken to get an appointment was too long'</w:t>
            </w:r>
          </w:p>
        </w:tc>
      </w:tr>
    </w:tbl>
    <w:p w14:paraId="6614B5E3" w14:textId="77777777" w:rsidR="00A147BF" w:rsidRDefault="00A147BF"/>
    <w:tbl>
      <w:tblPr>
        <w:tblW w:w="13467" w:type="dxa"/>
        <w:tblInd w:w="-5" w:type="dxa"/>
        <w:tblLayout w:type="fixed"/>
        <w:tblLook w:val="04A0" w:firstRow="1" w:lastRow="0" w:firstColumn="1" w:lastColumn="0" w:noHBand="0" w:noVBand="1"/>
      </w:tblPr>
      <w:tblGrid>
        <w:gridCol w:w="851"/>
        <w:gridCol w:w="2977"/>
        <w:gridCol w:w="4252"/>
        <w:gridCol w:w="5387"/>
      </w:tblGrid>
      <w:tr w:rsidR="00473432" w:rsidRPr="000F3AF0" w14:paraId="39DBBDE9" w14:textId="77777777" w:rsidTr="00E02472">
        <w:trPr>
          <w:tblHeader/>
        </w:trPr>
        <w:tc>
          <w:tcPr>
            <w:tcW w:w="1346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36C3937" w14:textId="77777777" w:rsidR="00473432" w:rsidRPr="00E02472" w:rsidRDefault="00473432" w:rsidP="00E02472">
            <w:pPr>
              <w:pStyle w:val="TableText"/>
              <w:jc w:val="center"/>
              <w:rPr>
                <w:b/>
                <w:bCs/>
              </w:rPr>
            </w:pPr>
            <w:r w:rsidRPr="00E02472">
              <w:rPr>
                <w:b/>
                <w:bCs/>
              </w:rPr>
              <w:t>GPS priority area 3: Quality</w:t>
            </w:r>
          </w:p>
        </w:tc>
      </w:tr>
      <w:tr w:rsidR="00473432" w:rsidRPr="000F3AF0" w14:paraId="3B911784" w14:textId="77777777" w:rsidTr="00E02472">
        <w:trPr>
          <w:tblHeader/>
        </w:trPr>
        <w:tc>
          <w:tcPr>
            <w:tcW w:w="1346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E115FB2" w14:textId="77777777" w:rsidR="00473432" w:rsidRPr="00E02472" w:rsidRDefault="00473432" w:rsidP="0075595B">
            <w:pPr>
              <w:pStyle w:val="TableText"/>
              <w:jc w:val="center"/>
              <w:rPr>
                <w:b/>
                <w:bCs/>
              </w:rPr>
            </w:pPr>
            <w:r w:rsidRPr="00E02472">
              <w:rPr>
                <w:b/>
                <w:bCs/>
              </w:rPr>
              <w:t>Health care and services delivered in New Zealand are safe, easy to navigate, understandable and welcoming to users, and are continuously improving</w:t>
            </w:r>
          </w:p>
        </w:tc>
      </w:tr>
      <w:tr w:rsidR="00E02472" w:rsidRPr="000F3AF0" w14:paraId="1EFD5CF0" w14:textId="77777777" w:rsidTr="00E02472">
        <w:trPr>
          <w:tblHeader/>
        </w:trPr>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83FF35A" w14:textId="77777777" w:rsidR="00473432" w:rsidRPr="00E02472" w:rsidRDefault="00473432" w:rsidP="00363713">
            <w:pPr>
              <w:pStyle w:val="TableText"/>
              <w:rPr>
                <w:b/>
                <w:bCs/>
              </w:rPr>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86799B6" w14:textId="77777777" w:rsidR="00473432" w:rsidRPr="00E02472" w:rsidRDefault="00473432" w:rsidP="00363713">
            <w:pPr>
              <w:pStyle w:val="TableText"/>
              <w:rPr>
                <w:b/>
                <w:bCs/>
              </w:rPr>
            </w:pPr>
            <w:r w:rsidRPr="00E02472">
              <w:rPr>
                <w:b/>
                <w:bCs/>
              </w:rPr>
              <w:t xml:space="preserve">Indicator </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980C90A" w14:textId="77777777" w:rsidR="00473432" w:rsidRPr="00E02472" w:rsidRDefault="00473432" w:rsidP="00363713">
            <w:pPr>
              <w:pStyle w:val="TableText"/>
              <w:rPr>
                <w:b/>
                <w:bCs/>
              </w:rPr>
            </w:pPr>
            <w:r w:rsidRPr="00E02472">
              <w:rPr>
                <w:b/>
                <w:bCs/>
              </w:rPr>
              <w:t>Measure</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CAD4A03" w14:textId="77777777" w:rsidR="00473432" w:rsidRPr="00E02472" w:rsidRDefault="00473432" w:rsidP="00363713">
            <w:pPr>
              <w:pStyle w:val="TableText"/>
              <w:rPr>
                <w:b/>
                <w:bCs/>
              </w:rPr>
            </w:pPr>
            <w:r w:rsidRPr="00E02472">
              <w:rPr>
                <w:b/>
                <w:bCs/>
              </w:rPr>
              <w:t xml:space="preserve">Expectation </w:t>
            </w:r>
          </w:p>
        </w:tc>
      </w:tr>
      <w:tr w:rsidR="001E0951" w:rsidRPr="000F3AF0" w14:paraId="7BE07F69"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8E322CC" w14:textId="71080651" w:rsidR="001E0951" w:rsidRPr="001E0951" w:rsidRDefault="001E0951" w:rsidP="001E0951">
            <w:pPr>
              <w:pStyle w:val="TableText"/>
            </w:pPr>
            <w:r w:rsidRPr="001E0951">
              <w:t>3.01</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CBAF47B" w14:textId="521417C0" w:rsidR="001E0951" w:rsidRPr="001E0951" w:rsidRDefault="001E0951" w:rsidP="001E0951">
            <w:pPr>
              <w:pStyle w:val="TableText"/>
            </w:pPr>
            <w:r w:rsidRPr="001E0951">
              <w:t>Improved patient safety and overall health outcomes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B41DCA3" w14:textId="1A603935" w:rsidR="001E0951" w:rsidRPr="001E0951" w:rsidRDefault="001E0951" w:rsidP="001E0951">
            <w:pPr>
              <w:pStyle w:val="TableText"/>
            </w:pPr>
            <w:r w:rsidRPr="001E0951">
              <w:t xml:space="preserve">Avoidable injuries: Hospital falls </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BA3DC4" w14:textId="48A50C7A" w:rsidR="001E0951" w:rsidRPr="001E0951" w:rsidRDefault="001E0951" w:rsidP="001E0951">
            <w:pPr>
              <w:pStyle w:val="TableText"/>
            </w:pPr>
            <w:r w:rsidRPr="001E0951">
              <w:t>Reduction in the number of inpatient discharges where a fall occurred while in hospital</w:t>
            </w:r>
          </w:p>
        </w:tc>
      </w:tr>
      <w:tr w:rsidR="001E0951" w:rsidRPr="000F3AF0" w14:paraId="14092AC2"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E84DEF8" w14:textId="6B344453" w:rsidR="001E0951" w:rsidRPr="001E0951" w:rsidRDefault="001E0951" w:rsidP="001E0951">
            <w:pPr>
              <w:pStyle w:val="TableText"/>
            </w:pPr>
            <w:r w:rsidRPr="001E0951">
              <w:lastRenderedPageBreak/>
              <w:t>3.02</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A6ACBCC" w14:textId="34F9AE0D" w:rsidR="001E0951" w:rsidRPr="001E0951" w:rsidRDefault="001E0951" w:rsidP="001E0951">
            <w:pPr>
              <w:pStyle w:val="TableText"/>
            </w:pPr>
            <w:r w:rsidRPr="001E0951">
              <w:t>Improved patient safety and overall health outcomes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E194D1D" w14:textId="61E838DF" w:rsidR="001E0951" w:rsidRPr="001E0951" w:rsidRDefault="001E0951" w:rsidP="001E0951">
            <w:pPr>
              <w:pStyle w:val="TableText"/>
            </w:pPr>
            <w:r w:rsidRPr="001E0951">
              <w:t>Avoidable injuries: Pressure injuries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BB0430D" w14:textId="72360390" w:rsidR="001E0951" w:rsidRPr="001E0951" w:rsidRDefault="001E0951" w:rsidP="001E0951">
            <w:pPr>
              <w:pStyle w:val="TableText"/>
            </w:pPr>
            <w:r w:rsidRPr="001E0951">
              <w:t>Reduction in the number and proportion of inpatient events with a pressure injury diagnosis</w:t>
            </w:r>
          </w:p>
        </w:tc>
      </w:tr>
      <w:tr w:rsidR="001E0951" w:rsidRPr="000F3AF0" w14:paraId="0228CF58"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EBA1092" w14:textId="5FE37452" w:rsidR="001E0951" w:rsidRPr="001E0951" w:rsidRDefault="001E0951" w:rsidP="001E0951">
            <w:pPr>
              <w:pStyle w:val="TableText"/>
            </w:pPr>
            <w:r w:rsidRPr="001E0951">
              <w:t>3.03</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031A7E72" w14:textId="7208CDC5" w:rsidR="001E0951" w:rsidRPr="001E0951" w:rsidRDefault="001E0951" w:rsidP="001E0951">
            <w:pPr>
              <w:pStyle w:val="TableText"/>
            </w:pPr>
            <w:r w:rsidRPr="001E0951">
              <w:t>People receive the care that best meets their needs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180E1" w14:textId="400AB1E0" w:rsidR="001E0951" w:rsidRPr="001E0951" w:rsidRDefault="001E0951" w:rsidP="001E0951">
            <w:pPr>
              <w:pStyle w:val="TableText"/>
            </w:pPr>
            <w:r w:rsidRPr="001E0951">
              <w:t>Acute readmissions to hospital</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F6A0AAF" w14:textId="19399AED" w:rsidR="001E0951" w:rsidRPr="001E0951" w:rsidRDefault="001E0951" w:rsidP="001E0951">
            <w:pPr>
              <w:pStyle w:val="TableText"/>
            </w:pPr>
            <w:r w:rsidRPr="001E0951">
              <w:t>Reduction in the readmission rate at 0–7 days and 0–28 days</w:t>
            </w:r>
          </w:p>
        </w:tc>
      </w:tr>
      <w:tr w:rsidR="001E0951" w:rsidRPr="000F3AF0" w14:paraId="12F92A34"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2A7086E" w14:textId="5EB6FE55" w:rsidR="001E0951" w:rsidRPr="001E0951" w:rsidRDefault="001E0951" w:rsidP="001E0951">
            <w:pPr>
              <w:pStyle w:val="TableText"/>
            </w:pPr>
            <w:r w:rsidRPr="001E0951">
              <w:t>3.04</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CFB5D47" w14:textId="3A164311" w:rsidR="001E0951" w:rsidRPr="001E0951" w:rsidRDefault="001E0951" w:rsidP="001E0951">
            <w:pPr>
              <w:pStyle w:val="TableText"/>
            </w:pPr>
            <w:r w:rsidRPr="001E0951">
              <w:t xml:space="preserve">Improved patient experience </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23613D5" w14:textId="3FACE048" w:rsidR="001E0951" w:rsidRPr="001E0951" w:rsidRDefault="001E0951" w:rsidP="001E0951">
            <w:pPr>
              <w:pStyle w:val="TableText"/>
            </w:pPr>
            <w:r w:rsidRPr="001E0951">
              <w:t>People report being involved in the decisions about their care and treatment (as captured in the Code of Health and Disability Services Consumers’ Rights)</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FA39E36" w14:textId="3595B09F" w:rsidR="001E0951" w:rsidRPr="001E0951" w:rsidRDefault="001E0951" w:rsidP="001E0951">
            <w:pPr>
              <w:pStyle w:val="TableText"/>
            </w:pPr>
            <w:r w:rsidRPr="001E0951">
              <w:t>Improvement in results from June 2023, as reported in the HQSC patient experience survey</w:t>
            </w:r>
          </w:p>
        </w:tc>
      </w:tr>
      <w:tr w:rsidR="001E0951" w:rsidRPr="000F3AF0" w14:paraId="4DF266B9"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BD4C349" w14:textId="4EC14CEF" w:rsidR="001E0951" w:rsidRPr="001E0951" w:rsidRDefault="001E0951" w:rsidP="001E0951">
            <w:pPr>
              <w:pStyle w:val="TableText"/>
            </w:pPr>
            <w:r w:rsidRPr="001E0951">
              <w:t>3.05</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C54C2C7" w14:textId="7757B23E" w:rsidR="001E0951" w:rsidRPr="001E0951" w:rsidRDefault="001E0951" w:rsidP="001E0951">
            <w:pPr>
              <w:pStyle w:val="TableText"/>
            </w:pPr>
            <w:r w:rsidRPr="001E0951">
              <w:t xml:space="preserve">Improved patient experience </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AC11E7D" w14:textId="7E495A5B" w:rsidR="001E0951" w:rsidRPr="001E0951" w:rsidRDefault="001E0951" w:rsidP="001E0951">
            <w:pPr>
              <w:pStyle w:val="TableText"/>
            </w:pPr>
            <w:r w:rsidRPr="001E0951">
              <w:t xml:space="preserve">Responsiveness, engagement and experience as captured in the Code of expectations for health entities’ engagement with consumers and whānau </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DBB8536" w14:textId="5BF748FC" w:rsidR="001E0951" w:rsidRPr="001E0951" w:rsidRDefault="001E0951" w:rsidP="001E0951">
            <w:pPr>
              <w:pStyle w:val="TableText"/>
            </w:pPr>
            <w:r w:rsidRPr="001E0951">
              <w:t xml:space="preserve">Increase in average score for each of the three areas, across all entities </w:t>
            </w:r>
          </w:p>
        </w:tc>
      </w:tr>
      <w:tr w:rsidR="001E0951" w:rsidRPr="000F3AF0" w14:paraId="37EEBD68"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75B95A8" w14:textId="7D69D524" w:rsidR="001E0951" w:rsidRPr="001E0951" w:rsidRDefault="001E0951" w:rsidP="001E0951">
            <w:pPr>
              <w:pStyle w:val="TableText"/>
            </w:pPr>
            <w:r w:rsidRPr="001E0951">
              <w:t>3.06</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F892EB0" w14:textId="319EE402" w:rsidR="001E0951" w:rsidRPr="001E0951" w:rsidRDefault="001E0951" w:rsidP="001E0951">
            <w:pPr>
              <w:pStyle w:val="TableText"/>
            </w:pPr>
            <w:r w:rsidRPr="001E0951">
              <w:t xml:space="preserve">Improved patient experience </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CD0FBEB" w14:textId="43857422" w:rsidR="001E0951" w:rsidRPr="001E0951" w:rsidRDefault="001E0951" w:rsidP="001E0951">
            <w:pPr>
              <w:pStyle w:val="TableText"/>
            </w:pPr>
            <w:r w:rsidRPr="001E0951">
              <w:t>People understanding the information about their care</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85D2204" w14:textId="2E142874" w:rsidR="001E0951" w:rsidRPr="001E0951" w:rsidRDefault="001E0951" w:rsidP="001E0951">
            <w:pPr>
              <w:pStyle w:val="TableText"/>
            </w:pPr>
            <w:r w:rsidRPr="001E0951">
              <w:t>Increase in positive responses to the question 'Did the health care provider explain things in a way you could understand?'</w:t>
            </w:r>
          </w:p>
        </w:tc>
      </w:tr>
      <w:tr w:rsidR="001E0951" w:rsidRPr="000F3AF0" w14:paraId="237DAF5A" w14:textId="77777777" w:rsidTr="00E02472">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CE52355" w14:textId="55BEEEB9" w:rsidR="001E0951" w:rsidRPr="001E0951" w:rsidRDefault="001E0951" w:rsidP="001E0951">
            <w:pPr>
              <w:pStyle w:val="TableText"/>
            </w:pPr>
            <w:r w:rsidRPr="001E0951">
              <w:t>3.07</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D896AF0" w14:textId="58DB276D" w:rsidR="001E0951" w:rsidRPr="001E0951" w:rsidRDefault="001E0951" w:rsidP="001E0951">
            <w:pPr>
              <w:pStyle w:val="TableText"/>
            </w:pPr>
            <w:r w:rsidRPr="001E0951">
              <w:t>People receive the care that best meets their needs</w:t>
            </w:r>
          </w:p>
        </w:tc>
        <w:tc>
          <w:tcPr>
            <w:tcW w:w="4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BD86B13" w14:textId="763D21F0" w:rsidR="001E0951" w:rsidRPr="001E0951" w:rsidRDefault="001E0951" w:rsidP="001E0951">
            <w:pPr>
              <w:pStyle w:val="TableText"/>
            </w:pPr>
            <w:r w:rsidRPr="001E0951">
              <w:t>Polypharmacy in people aged 65 years and over</w:t>
            </w: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890BBB4" w14:textId="5581425E" w:rsidR="001E0951" w:rsidRPr="001E0951" w:rsidRDefault="001E0951" w:rsidP="001E0951">
            <w:pPr>
              <w:pStyle w:val="TableText"/>
            </w:pPr>
            <w:r w:rsidRPr="001E0951">
              <w:t>Percentage of people aged 65 years and over who were dispensed five or more unique long-term medicines</w:t>
            </w:r>
          </w:p>
        </w:tc>
      </w:tr>
    </w:tbl>
    <w:p w14:paraId="6E491EBA" w14:textId="77777777" w:rsidR="00E02472" w:rsidRDefault="00E02472" w:rsidP="00E02472"/>
    <w:tbl>
      <w:tblPr>
        <w:tblW w:w="13467" w:type="dxa"/>
        <w:tblInd w:w="-5" w:type="dxa"/>
        <w:tblLayout w:type="fixed"/>
        <w:tblLook w:val="04A0" w:firstRow="1" w:lastRow="0" w:firstColumn="1" w:lastColumn="0" w:noHBand="0" w:noVBand="1"/>
      </w:tblPr>
      <w:tblGrid>
        <w:gridCol w:w="854"/>
        <w:gridCol w:w="2982"/>
        <w:gridCol w:w="4227"/>
        <w:gridCol w:w="5404"/>
      </w:tblGrid>
      <w:tr w:rsidR="00E02472" w:rsidRPr="00E02472" w14:paraId="64671EC5" w14:textId="77777777" w:rsidTr="00E02472">
        <w:trPr>
          <w:tblHeader/>
        </w:trPr>
        <w:tc>
          <w:tcPr>
            <w:tcW w:w="1346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9900045" w14:textId="5DBD2DBF" w:rsidR="00E02472" w:rsidRPr="00E02472" w:rsidRDefault="00E02472" w:rsidP="00E02472">
            <w:pPr>
              <w:pStyle w:val="TableText"/>
              <w:jc w:val="center"/>
              <w:rPr>
                <w:b/>
                <w:bCs/>
              </w:rPr>
            </w:pPr>
            <w:r w:rsidRPr="00E02472">
              <w:rPr>
                <w:b/>
                <w:bCs/>
              </w:rPr>
              <w:t>GPS priority area 4: Workforce</w:t>
            </w:r>
          </w:p>
        </w:tc>
      </w:tr>
      <w:tr w:rsidR="00E02472" w:rsidRPr="00E02472" w14:paraId="207D217E" w14:textId="77777777" w:rsidTr="00E02472">
        <w:trPr>
          <w:tblHeader/>
        </w:trPr>
        <w:tc>
          <w:tcPr>
            <w:tcW w:w="1346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3146540" w14:textId="77777777" w:rsidR="00E02472" w:rsidRPr="00E02472" w:rsidRDefault="00E02472" w:rsidP="0075595B">
            <w:pPr>
              <w:pStyle w:val="TableText"/>
              <w:jc w:val="center"/>
              <w:rPr>
                <w:b/>
                <w:bCs/>
              </w:rPr>
            </w:pPr>
            <w:r w:rsidRPr="00E02472">
              <w:rPr>
                <w:b/>
                <w:bCs/>
              </w:rPr>
              <w:t>The health workforce is available, accessible, and responsive to the range and complexity of health needs</w:t>
            </w:r>
          </w:p>
        </w:tc>
      </w:tr>
      <w:tr w:rsidR="00E02472" w:rsidRPr="00E02472" w14:paraId="03F3BAF1" w14:textId="77777777" w:rsidTr="00E02472">
        <w:trPr>
          <w:tblHead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B7A9F0F" w14:textId="77777777" w:rsidR="00E02472" w:rsidRPr="00E02472" w:rsidRDefault="00E02472" w:rsidP="00363713">
            <w:pPr>
              <w:pStyle w:val="TableText"/>
              <w:rPr>
                <w:b/>
                <w:bCs/>
              </w:rPr>
            </w:pP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A34FCCF" w14:textId="77777777" w:rsidR="00E02472" w:rsidRPr="00E02472" w:rsidRDefault="00E02472" w:rsidP="00363713">
            <w:pPr>
              <w:pStyle w:val="TableText"/>
              <w:rPr>
                <w:b/>
                <w:bCs/>
              </w:rPr>
            </w:pPr>
            <w:r w:rsidRPr="00E02472">
              <w:rPr>
                <w:b/>
                <w:bCs/>
              </w:rPr>
              <w:t xml:space="preserve">Indicator </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DD35C80" w14:textId="77777777" w:rsidR="00E02472" w:rsidRPr="00E02472" w:rsidRDefault="00E02472" w:rsidP="00363713">
            <w:pPr>
              <w:pStyle w:val="TableText"/>
              <w:rPr>
                <w:b/>
                <w:bCs/>
              </w:rPr>
            </w:pPr>
            <w:r w:rsidRPr="00E02472">
              <w:rPr>
                <w:b/>
                <w:bCs/>
              </w:rPr>
              <w:t>Measure</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0908965" w14:textId="77777777" w:rsidR="00E02472" w:rsidRPr="00E02472" w:rsidRDefault="00E02472" w:rsidP="00363713">
            <w:pPr>
              <w:pStyle w:val="TableText"/>
              <w:rPr>
                <w:b/>
                <w:bCs/>
              </w:rPr>
            </w:pPr>
            <w:r w:rsidRPr="00E02472">
              <w:rPr>
                <w:b/>
                <w:bCs/>
              </w:rPr>
              <w:t>Expectation</w:t>
            </w:r>
          </w:p>
        </w:tc>
      </w:tr>
      <w:tr w:rsidR="001E0951" w:rsidRPr="000F3AF0" w14:paraId="376F0025"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8575B76" w14:textId="48C38CB6" w:rsidR="001E0951" w:rsidRPr="001E0951" w:rsidRDefault="001E0951" w:rsidP="001E0951">
            <w:pPr>
              <w:pStyle w:val="TableText"/>
            </w:pPr>
            <w:r w:rsidRPr="001E0951">
              <w:t>4.01</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A5C8248" w14:textId="6043E32F" w:rsidR="001E0951" w:rsidRPr="001E0951" w:rsidRDefault="001E0951" w:rsidP="001E0951">
            <w:pPr>
              <w:pStyle w:val="TableText"/>
            </w:pPr>
            <w:r w:rsidRPr="001E0951">
              <w:t>Increased mental health and addiction workforce development (MH&amp;A target)</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9FEB16A" w14:textId="794DAD56" w:rsidR="001E0951" w:rsidRPr="001E0951" w:rsidRDefault="001E0951" w:rsidP="001E0951">
            <w:pPr>
              <w:pStyle w:val="TableText"/>
            </w:pPr>
            <w:r w:rsidRPr="001E0951">
              <w:t>MH&amp;A professionals trained each year</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AE8FE42" w14:textId="73CAE04B" w:rsidR="001E0951" w:rsidRPr="001E0951" w:rsidRDefault="001E0951" w:rsidP="001E0951">
            <w:pPr>
              <w:pStyle w:val="TableText"/>
            </w:pPr>
            <w:r w:rsidRPr="001E0951">
              <w:t>MH&amp;A target: Train 500 MH&amp;A professionals each year</w:t>
            </w:r>
          </w:p>
        </w:tc>
      </w:tr>
      <w:tr w:rsidR="001E0951" w:rsidRPr="000F3AF0" w14:paraId="036B2B3B"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86560EF" w14:textId="5ECC2947" w:rsidR="001E0951" w:rsidRPr="001E0951" w:rsidRDefault="001E0951" w:rsidP="001E0951">
            <w:pPr>
              <w:pStyle w:val="TableText"/>
            </w:pPr>
            <w:r w:rsidRPr="001E0951">
              <w:t>4.02</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4449455" w14:textId="22C0CFF3" w:rsidR="001E0951" w:rsidRPr="001E0951" w:rsidRDefault="001E0951" w:rsidP="001E0951">
            <w:pPr>
              <w:pStyle w:val="TableText"/>
            </w:pPr>
            <w:r w:rsidRPr="001E0951">
              <w:t>The health workforce is representative of the people it serves</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5FB3CBE" w14:textId="6A4DC692" w:rsidR="001E0951" w:rsidRPr="001E0951" w:rsidRDefault="001E0951" w:rsidP="001E0951">
            <w:pPr>
              <w:pStyle w:val="TableText"/>
            </w:pPr>
            <w:r w:rsidRPr="001E0951">
              <w:t>Proportion of Māori and other priority groups in the regulated and unregulated health workforce (including consumer, peer support and lived experience workforce), compared with the proportion of the total population</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2564A3F" w14:textId="3B72A83B" w:rsidR="001E0951" w:rsidRPr="001E0951" w:rsidRDefault="001E0951" w:rsidP="001E0951">
            <w:pPr>
              <w:pStyle w:val="TableText"/>
            </w:pPr>
            <w:r w:rsidRPr="001E0951">
              <w:t>Increase in proportion of priority groups in the regulated and unregulated health workforce, compared with the proportion of the total population from the 12 months to 30 June 2023</w:t>
            </w:r>
          </w:p>
        </w:tc>
      </w:tr>
      <w:tr w:rsidR="001E0951" w:rsidRPr="000F3AF0" w14:paraId="34DBBB26"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1662FD4" w14:textId="51A08E64" w:rsidR="001E0951" w:rsidRPr="001E0951" w:rsidRDefault="001E0951" w:rsidP="001E0951">
            <w:pPr>
              <w:pStyle w:val="TableText"/>
            </w:pPr>
            <w:r w:rsidRPr="001E0951">
              <w:lastRenderedPageBreak/>
              <w:t>4.03</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845B71A" w14:textId="59F6741E" w:rsidR="001E0951" w:rsidRPr="001E0951" w:rsidRDefault="001E0951" w:rsidP="001E0951">
            <w:pPr>
              <w:pStyle w:val="TableText"/>
            </w:pPr>
            <w:r w:rsidRPr="001E0951">
              <w:t>The health workforce is representative of the people it serves</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58E272D" w14:textId="66476C67" w:rsidR="001E0951" w:rsidRPr="001E0951" w:rsidRDefault="001E0951" w:rsidP="001E0951">
            <w:pPr>
              <w:pStyle w:val="TableText"/>
            </w:pPr>
            <w:r w:rsidRPr="001E0951">
              <w:t xml:space="preserve">Proportion of Māori and Pacific people and other priority groups in governance roles in Health statutory committees </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81D52B" w14:textId="4542184B" w:rsidR="001E0951" w:rsidRPr="001E0951" w:rsidRDefault="001E0951" w:rsidP="001E0951">
            <w:pPr>
              <w:pStyle w:val="TableText"/>
            </w:pPr>
            <w:r w:rsidRPr="001E0951">
              <w:t xml:space="preserve">The proportion of priority groups across governance roles are better reflective of the population </w:t>
            </w:r>
          </w:p>
        </w:tc>
      </w:tr>
      <w:tr w:rsidR="001E0951" w:rsidRPr="000F3AF0" w14:paraId="2A29C9AC"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CA76330" w14:textId="1B362C66" w:rsidR="001E0951" w:rsidRPr="001E0951" w:rsidRDefault="001E0951" w:rsidP="001E0951">
            <w:pPr>
              <w:pStyle w:val="TableText"/>
            </w:pPr>
            <w:r w:rsidRPr="001E0951">
              <w:t>4.04</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C952617" w14:textId="4E44CDB8" w:rsidR="001E0951" w:rsidRPr="001E0951" w:rsidRDefault="001E0951" w:rsidP="001E0951">
            <w:pPr>
              <w:pStyle w:val="TableText"/>
            </w:pPr>
            <w:r w:rsidRPr="001E0951">
              <w:t>Improved retention, valuing, and recognition of the workforce (Health NZ)</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0E331B9" w14:textId="2EB47449" w:rsidR="001E0951" w:rsidRPr="001E0951" w:rsidRDefault="001E0951" w:rsidP="001E0951">
            <w:pPr>
              <w:pStyle w:val="TableText"/>
            </w:pPr>
            <w:r w:rsidRPr="001E0951">
              <w:t>Health NZ workforce turnover rates</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F7594E" w14:textId="6AE03EAC" w:rsidR="001E0951" w:rsidRPr="001E0951" w:rsidRDefault="001E0951" w:rsidP="001E0951">
            <w:pPr>
              <w:pStyle w:val="TableText"/>
            </w:pPr>
            <w:r w:rsidRPr="001E0951">
              <w:t>Decreased rate of turnover</w:t>
            </w:r>
          </w:p>
        </w:tc>
      </w:tr>
      <w:tr w:rsidR="001E0951" w:rsidRPr="000F3AF0" w14:paraId="18F59B85"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02A9823" w14:textId="6F41DE1B" w:rsidR="001E0951" w:rsidRPr="001E0951" w:rsidRDefault="001E0951" w:rsidP="001E0951">
            <w:pPr>
              <w:pStyle w:val="TableText"/>
            </w:pPr>
            <w:r w:rsidRPr="001E0951">
              <w:t>4.05</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D1B4997" w14:textId="1173BF27" w:rsidR="001E0951" w:rsidRPr="001E0951" w:rsidRDefault="001E0951" w:rsidP="001E0951">
            <w:pPr>
              <w:pStyle w:val="TableText"/>
            </w:pPr>
            <w:r w:rsidRPr="001E0951">
              <w:t>Improved retention, valuing, and recognition of the workforce (Health NZ)</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AE2D549" w14:textId="5CD205CF" w:rsidR="001E0951" w:rsidRPr="001E0951" w:rsidRDefault="001E0951" w:rsidP="001E0951">
            <w:pPr>
              <w:pStyle w:val="TableText"/>
            </w:pPr>
            <w:r w:rsidRPr="001E0951">
              <w:t xml:space="preserve">Health NZ workforce retention rates </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B1D2A89" w14:textId="2611286B" w:rsidR="001E0951" w:rsidRPr="001E0951" w:rsidRDefault="001E0951" w:rsidP="001E0951">
            <w:pPr>
              <w:pStyle w:val="TableText"/>
            </w:pPr>
            <w:r w:rsidRPr="001E0951">
              <w:t>Increase in retention rates post qualification or registration</w:t>
            </w:r>
          </w:p>
        </w:tc>
      </w:tr>
      <w:tr w:rsidR="001E0951" w:rsidRPr="000F3AF0" w14:paraId="21CEC289"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15BF750" w14:textId="239A4F08" w:rsidR="001E0951" w:rsidRPr="001E0951" w:rsidRDefault="001E0951" w:rsidP="001E0951">
            <w:pPr>
              <w:pStyle w:val="TableText"/>
            </w:pPr>
            <w:r w:rsidRPr="001E0951">
              <w:t>4.06</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02B822A" w14:textId="53FD3149" w:rsidR="001E0951" w:rsidRPr="001E0951" w:rsidRDefault="001E0951" w:rsidP="001E0951">
            <w:pPr>
              <w:pStyle w:val="TableText"/>
            </w:pPr>
            <w:r w:rsidRPr="001E0951">
              <w:t>Improved training pathways and a more culturally safe and competent workforce</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02D77C1" w14:textId="6A3A6481" w:rsidR="001E0951" w:rsidRPr="001E0951" w:rsidRDefault="001E0951" w:rsidP="001E0951">
            <w:pPr>
              <w:pStyle w:val="TableText"/>
            </w:pPr>
            <w:r w:rsidRPr="001E0951">
              <w:t>Number and proportion of Māori and other priority groups graduating in a health field, by field of study</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B57C934" w14:textId="5E86ABF9" w:rsidR="001E0951" w:rsidRPr="001E0951" w:rsidRDefault="001E0951" w:rsidP="001E0951">
            <w:pPr>
              <w:pStyle w:val="TableText"/>
            </w:pPr>
            <w:r w:rsidRPr="001E0951">
              <w:t>Increase in the proportion of priority groups graduating in a health field to be better reflective of the population</w:t>
            </w:r>
          </w:p>
        </w:tc>
      </w:tr>
      <w:tr w:rsidR="001E0951" w:rsidRPr="000F3AF0" w14:paraId="5B487401" w14:textId="77777777" w:rsidTr="00E02472">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9C030" w14:textId="28633074" w:rsidR="001E0951" w:rsidRPr="001E0951" w:rsidRDefault="001E0951" w:rsidP="001E0951">
            <w:pPr>
              <w:pStyle w:val="TableText"/>
            </w:pPr>
            <w:r w:rsidRPr="001E0951">
              <w:t>4.07</w:t>
            </w:r>
          </w:p>
        </w:tc>
        <w:tc>
          <w:tcPr>
            <w:tcW w:w="2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1EB0AD" w14:textId="3143993D" w:rsidR="001E0951" w:rsidRPr="001E0951" w:rsidRDefault="001E0951" w:rsidP="001E0951">
            <w:pPr>
              <w:pStyle w:val="TableText"/>
            </w:pPr>
            <w:r w:rsidRPr="001E0951">
              <w:t>Improved health workforce satisfaction and sentiment</w:t>
            </w:r>
          </w:p>
        </w:tc>
        <w:tc>
          <w:tcPr>
            <w:tcW w:w="4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6CC261" w14:textId="6F902C0B" w:rsidR="001E0951" w:rsidRPr="001E0951" w:rsidRDefault="001E0951" w:rsidP="001E0951">
            <w:pPr>
              <w:pStyle w:val="TableText"/>
            </w:pPr>
            <w:r w:rsidRPr="001E0951">
              <w:t>Health workforce satisfaction and sentiment as reported through Health NZ staff survey</w:t>
            </w:r>
          </w:p>
        </w:tc>
        <w:tc>
          <w:tcPr>
            <w:tcW w:w="5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69BB70" w14:textId="7657EBB0" w:rsidR="001E0951" w:rsidRPr="001E0951" w:rsidRDefault="001E0951" w:rsidP="001E0951">
            <w:pPr>
              <w:pStyle w:val="TableText"/>
            </w:pPr>
            <w:r w:rsidRPr="001E0951">
              <w:t>Increase in health workforce satisfaction and sentiment as reported through Health NZ staff survey, including increased participation and improvement in overall results</w:t>
            </w:r>
          </w:p>
        </w:tc>
      </w:tr>
    </w:tbl>
    <w:p w14:paraId="04C6A5AE" w14:textId="77777777" w:rsidR="00E02472" w:rsidRDefault="00E02472" w:rsidP="00E02472"/>
    <w:tbl>
      <w:tblPr>
        <w:tblW w:w="1345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4"/>
        <w:gridCol w:w="2982"/>
        <w:gridCol w:w="4227"/>
        <w:gridCol w:w="5389"/>
      </w:tblGrid>
      <w:tr w:rsidR="00E02472" w:rsidRPr="000F3AF0" w14:paraId="35CB1A9F" w14:textId="77777777" w:rsidTr="00E02472">
        <w:trPr>
          <w:tblHeader/>
        </w:trPr>
        <w:tc>
          <w:tcPr>
            <w:tcW w:w="13452" w:type="dxa"/>
            <w:gridSpan w:val="4"/>
            <w:shd w:val="clear" w:color="auto" w:fill="D9D9D9" w:themeFill="background1" w:themeFillShade="D9"/>
            <w:vAlign w:val="center"/>
            <w:hideMark/>
          </w:tcPr>
          <w:p w14:paraId="5D558B3A" w14:textId="77777777" w:rsidR="00E02472" w:rsidRPr="0039657B" w:rsidRDefault="00E02472" w:rsidP="00E02472">
            <w:pPr>
              <w:pStyle w:val="TableText"/>
              <w:jc w:val="center"/>
              <w:rPr>
                <w:b/>
              </w:rPr>
            </w:pPr>
            <w:r w:rsidRPr="0039657B">
              <w:rPr>
                <w:b/>
              </w:rPr>
              <w:t xml:space="preserve">GPS </w:t>
            </w:r>
            <w:r>
              <w:rPr>
                <w:b/>
              </w:rPr>
              <w:t>p</w:t>
            </w:r>
            <w:r w:rsidRPr="0039657B">
              <w:rPr>
                <w:b/>
              </w:rPr>
              <w:t>riority</w:t>
            </w:r>
            <w:r>
              <w:rPr>
                <w:b/>
              </w:rPr>
              <w:t xml:space="preserve"> area 5</w:t>
            </w:r>
            <w:r w:rsidRPr="0039657B">
              <w:rPr>
                <w:b/>
              </w:rPr>
              <w:t>: Infrastructure</w:t>
            </w:r>
          </w:p>
        </w:tc>
      </w:tr>
      <w:tr w:rsidR="00E02472" w:rsidRPr="000F3AF0" w14:paraId="79BD976E" w14:textId="77777777" w:rsidTr="00E02472">
        <w:trPr>
          <w:tblHeader/>
        </w:trPr>
        <w:tc>
          <w:tcPr>
            <w:tcW w:w="13452" w:type="dxa"/>
            <w:gridSpan w:val="4"/>
            <w:shd w:val="clear" w:color="auto" w:fill="D9D9D9" w:themeFill="background1" w:themeFillShade="D9"/>
            <w:vAlign w:val="center"/>
            <w:hideMark/>
          </w:tcPr>
          <w:p w14:paraId="4BC9047A" w14:textId="77777777" w:rsidR="00E02472" w:rsidRPr="0039657B" w:rsidRDefault="00E02472" w:rsidP="0075595B">
            <w:pPr>
              <w:pStyle w:val="TableText"/>
              <w:jc w:val="center"/>
              <w:rPr>
                <w:b/>
              </w:rPr>
            </w:pPr>
            <w:r w:rsidRPr="0039657B">
              <w:rPr>
                <w:b/>
              </w:rPr>
              <w:t>The health system has the digital and physical infrastructure it needs to meet people’s needs now and into the future</w:t>
            </w:r>
          </w:p>
        </w:tc>
      </w:tr>
      <w:tr w:rsidR="009B6A8F" w:rsidRPr="000F3AF0" w14:paraId="05614078" w14:textId="77777777" w:rsidTr="00E02472">
        <w:trPr>
          <w:tblHeader/>
        </w:trPr>
        <w:tc>
          <w:tcPr>
            <w:tcW w:w="854" w:type="dxa"/>
            <w:shd w:val="clear" w:color="auto" w:fill="D9D9D9" w:themeFill="background1" w:themeFillShade="D9"/>
            <w:vAlign w:val="center"/>
            <w:hideMark/>
          </w:tcPr>
          <w:p w14:paraId="7967525D" w14:textId="77777777" w:rsidR="00E02472" w:rsidRPr="0039657B" w:rsidRDefault="00E02472" w:rsidP="00E02472">
            <w:pPr>
              <w:pStyle w:val="TableText"/>
              <w:rPr>
                <w:b/>
              </w:rPr>
            </w:pPr>
          </w:p>
        </w:tc>
        <w:tc>
          <w:tcPr>
            <w:tcW w:w="2982" w:type="dxa"/>
            <w:shd w:val="clear" w:color="auto" w:fill="D9D9D9" w:themeFill="background1" w:themeFillShade="D9"/>
            <w:vAlign w:val="center"/>
            <w:hideMark/>
          </w:tcPr>
          <w:p w14:paraId="0BCFC049" w14:textId="77777777" w:rsidR="00E02472" w:rsidRPr="0039657B" w:rsidRDefault="00E02472" w:rsidP="00E02472">
            <w:pPr>
              <w:pStyle w:val="TableText"/>
              <w:rPr>
                <w:b/>
              </w:rPr>
            </w:pPr>
            <w:r w:rsidRPr="0039657B">
              <w:rPr>
                <w:b/>
              </w:rPr>
              <w:t xml:space="preserve">Indicator </w:t>
            </w:r>
          </w:p>
        </w:tc>
        <w:tc>
          <w:tcPr>
            <w:tcW w:w="4227" w:type="dxa"/>
            <w:shd w:val="clear" w:color="auto" w:fill="D9D9D9" w:themeFill="background1" w:themeFillShade="D9"/>
            <w:vAlign w:val="center"/>
            <w:hideMark/>
          </w:tcPr>
          <w:p w14:paraId="3C1065CB" w14:textId="77777777" w:rsidR="00E02472" w:rsidRPr="0039657B" w:rsidRDefault="00E02472" w:rsidP="00E02472">
            <w:pPr>
              <w:pStyle w:val="TableText"/>
              <w:rPr>
                <w:b/>
              </w:rPr>
            </w:pPr>
            <w:r w:rsidRPr="0039657B">
              <w:rPr>
                <w:b/>
              </w:rPr>
              <w:t>Measure</w:t>
            </w:r>
          </w:p>
        </w:tc>
        <w:tc>
          <w:tcPr>
            <w:tcW w:w="5389" w:type="dxa"/>
            <w:shd w:val="clear" w:color="auto" w:fill="D9D9D9" w:themeFill="background1" w:themeFillShade="D9"/>
            <w:vAlign w:val="center"/>
            <w:hideMark/>
          </w:tcPr>
          <w:p w14:paraId="5C1DFC34" w14:textId="77777777" w:rsidR="00E02472" w:rsidRPr="0039657B" w:rsidRDefault="00E02472" w:rsidP="00E02472">
            <w:pPr>
              <w:pStyle w:val="TableText"/>
              <w:rPr>
                <w:b/>
              </w:rPr>
            </w:pPr>
            <w:r>
              <w:rPr>
                <w:b/>
              </w:rPr>
              <w:t>E</w:t>
            </w:r>
            <w:r w:rsidRPr="0039657B">
              <w:rPr>
                <w:b/>
              </w:rPr>
              <w:t>xpectation</w:t>
            </w:r>
          </w:p>
        </w:tc>
      </w:tr>
      <w:tr w:rsidR="0027179A" w:rsidRPr="000F3AF0" w14:paraId="2462B260" w14:textId="77777777" w:rsidTr="00E02472">
        <w:tc>
          <w:tcPr>
            <w:tcW w:w="854" w:type="dxa"/>
            <w:shd w:val="clear" w:color="auto" w:fill="auto"/>
            <w:noWrap/>
            <w:vAlign w:val="center"/>
            <w:hideMark/>
          </w:tcPr>
          <w:p w14:paraId="7EF2EC72" w14:textId="17584EBD" w:rsidR="0027179A" w:rsidRPr="0027179A" w:rsidRDefault="0027179A" w:rsidP="0027179A">
            <w:pPr>
              <w:pStyle w:val="TableText"/>
            </w:pPr>
            <w:r w:rsidRPr="0027179A">
              <w:t>5.01</w:t>
            </w:r>
          </w:p>
        </w:tc>
        <w:tc>
          <w:tcPr>
            <w:tcW w:w="2982" w:type="dxa"/>
            <w:shd w:val="clear" w:color="auto" w:fill="auto"/>
            <w:vAlign w:val="center"/>
            <w:hideMark/>
          </w:tcPr>
          <w:p w14:paraId="4865BBBD" w14:textId="4B85B152" w:rsidR="0027179A" w:rsidRPr="0027179A" w:rsidRDefault="0027179A" w:rsidP="0027179A">
            <w:pPr>
              <w:pStyle w:val="TableText"/>
            </w:pPr>
            <w:r w:rsidRPr="0027179A">
              <w:t xml:space="preserve">Infrastructure enables people's needs to be met </w:t>
            </w:r>
          </w:p>
        </w:tc>
        <w:tc>
          <w:tcPr>
            <w:tcW w:w="4227" w:type="dxa"/>
            <w:shd w:val="clear" w:color="auto" w:fill="auto"/>
            <w:vAlign w:val="center"/>
            <w:hideMark/>
          </w:tcPr>
          <w:p w14:paraId="01E011EA" w14:textId="3E5CB3CE" w:rsidR="0027179A" w:rsidRPr="0027179A" w:rsidRDefault="0027179A" w:rsidP="0027179A">
            <w:pPr>
              <w:pStyle w:val="TableText"/>
            </w:pPr>
            <w:r w:rsidRPr="0027179A">
              <w:t>First Specialist Assessment and follow up outpatient appointments delivered via telehealth</w:t>
            </w:r>
          </w:p>
        </w:tc>
        <w:tc>
          <w:tcPr>
            <w:tcW w:w="5389" w:type="dxa"/>
            <w:shd w:val="clear" w:color="auto" w:fill="auto"/>
            <w:vAlign w:val="center"/>
            <w:hideMark/>
          </w:tcPr>
          <w:p w14:paraId="0C1BDFBB" w14:textId="6BA6FD40" w:rsidR="0027179A" w:rsidRPr="0027179A" w:rsidRDefault="0027179A" w:rsidP="0027179A">
            <w:pPr>
              <w:pStyle w:val="TableText"/>
            </w:pPr>
            <w:r w:rsidRPr="0027179A">
              <w:t>Increased delivery of outpatient appointments via telehealth</w:t>
            </w:r>
          </w:p>
        </w:tc>
      </w:tr>
      <w:tr w:rsidR="0027179A" w:rsidRPr="000F3AF0" w14:paraId="69D9CCF8" w14:textId="77777777" w:rsidTr="00E02472">
        <w:tc>
          <w:tcPr>
            <w:tcW w:w="854" w:type="dxa"/>
            <w:shd w:val="clear" w:color="auto" w:fill="auto"/>
            <w:noWrap/>
            <w:vAlign w:val="center"/>
            <w:hideMark/>
          </w:tcPr>
          <w:p w14:paraId="7961C223" w14:textId="5B6F78D2" w:rsidR="0027179A" w:rsidRPr="0027179A" w:rsidRDefault="0027179A" w:rsidP="0027179A">
            <w:pPr>
              <w:pStyle w:val="TableText"/>
            </w:pPr>
            <w:r w:rsidRPr="0027179A">
              <w:t>5.02</w:t>
            </w:r>
          </w:p>
        </w:tc>
        <w:tc>
          <w:tcPr>
            <w:tcW w:w="2982" w:type="dxa"/>
            <w:shd w:val="clear" w:color="auto" w:fill="auto"/>
            <w:vAlign w:val="center"/>
            <w:hideMark/>
          </w:tcPr>
          <w:p w14:paraId="3661AF4A" w14:textId="2C43F63F" w:rsidR="0027179A" w:rsidRPr="0027179A" w:rsidRDefault="0027179A" w:rsidP="0027179A">
            <w:pPr>
              <w:pStyle w:val="TableText"/>
            </w:pPr>
            <w:r w:rsidRPr="0027179A">
              <w:t xml:space="preserve">Infrastructure enables people's needs to be met </w:t>
            </w:r>
          </w:p>
        </w:tc>
        <w:tc>
          <w:tcPr>
            <w:tcW w:w="4227" w:type="dxa"/>
            <w:shd w:val="clear" w:color="auto" w:fill="auto"/>
            <w:vAlign w:val="center"/>
            <w:hideMark/>
          </w:tcPr>
          <w:p w14:paraId="5C8E81C6" w14:textId="376EADCE" w:rsidR="0027179A" w:rsidRPr="0027179A" w:rsidRDefault="0027179A" w:rsidP="0027179A">
            <w:pPr>
              <w:pStyle w:val="TableText"/>
            </w:pPr>
            <w:r w:rsidRPr="0027179A">
              <w:t>Access to My Health Record</w:t>
            </w:r>
          </w:p>
        </w:tc>
        <w:tc>
          <w:tcPr>
            <w:tcW w:w="5389" w:type="dxa"/>
            <w:shd w:val="clear" w:color="auto" w:fill="auto"/>
            <w:vAlign w:val="center"/>
            <w:hideMark/>
          </w:tcPr>
          <w:p w14:paraId="6215653D" w14:textId="465C06FE" w:rsidR="0027179A" w:rsidRPr="0027179A" w:rsidRDefault="0027179A" w:rsidP="0027179A">
            <w:pPr>
              <w:pStyle w:val="TableText"/>
            </w:pPr>
            <w:r w:rsidRPr="0027179A">
              <w:t>Increased access to My Health Record</w:t>
            </w:r>
          </w:p>
        </w:tc>
      </w:tr>
      <w:tr w:rsidR="0027179A" w:rsidRPr="000F3AF0" w14:paraId="4A2F8295" w14:textId="77777777" w:rsidTr="00E02472">
        <w:tc>
          <w:tcPr>
            <w:tcW w:w="854" w:type="dxa"/>
            <w:shd w:val="clear" w:color="auto" w:fill="auto"/>
            <w:noWrap/>
            <w:vAlign w:val="center"/>
            <w:hideMark/>
          </w:tcPr>
          <w:p w14:paraId="639930F1" w14:textId="354B3314" w:rsidR="0027179A" w:rsidRPr="0027179A" w:rsidRDefault="0027179A" w:rsidP="0027179A">
            <w:pPr>
              <w:pStyle w:val="TableText"/>
            </w:pPr>
            <w:r w:rsidRPr="0027179A">
              <w:t>5.03</w:t>
            </w:r>
          </w:p>
        </w:tc>
        <w:tc>
          <w:tcPr>
            <w:tcW w:w="2982" w:type="dxa"/>
            <w:shd w:val="clear" w:color="auto" w:fill="auto"/>
            <w:vAlign w:val="center"/>
            <w:hideMark/>
          </w:tcPr>
          <w:p w14:paraId="06F76825" w14:textId="306503E4" w:rsidR="0027179A" w:rsidRPr="0027179A" w:rsidRDefault="0027179A" w:rsidP="0027179A">
            <w:pPr>
              <w:pStyle w:val="TableText"/>
            </w:pPr>
            <w:r w:rsidRPr="0027179A">
              <w:t>Crown entity accountability documents meet expectations</w:t>
            </w:r>
          </w:p>
        </w:tc>
        <w:tc>
          <w:tcPr>
            <w:tcW w:w="4227" w:type="dxa"/>
            <w:shd w:val="clear" w:color="auto" w:fill="auto"/>
            <w:vAlign w:val="center"/>
            <w:hideMark/>
          </w:tcPr>
          <w:p w14:paraId="5C62F7B5" w14:textId="44BB27E8" w:rsidR="0027179A" w:rsidRPr="0027179A" w:rsidRDefault="0027179A" w:rsidP="0027179A">
            <w:pPr>
              <w:pStyle w:val="TableText"/>
            </w:pPr>
            <w:r w:rsidRPr="0027179A">
              <w:t>Statement of Intent (SOI) and Statement of Performance Expectations (SPE)</w:t>
            </w:r>
          </w:p>
        </w:tc>
        <w:tc>
          <w:tcPr>
            <w:tcW w:w="5389" w:type="dxa"/>
            <w:shd w:val="clear" w:color="auto" w:fill="auto"/>
            <w:vAlign w:val="center"/>
            <w:hideMark/>
          </w:tcPr>
          <w:p w14:paraId="5BC5B14B" w14:textId="47F622CA" w:rsidR="0027179A" w:rsidRPr="0027179A" w:rsidRDefault="0027179A" w:rsidP="0027179A">
            <w:pPr>
              <w:pStyle w:val="TableText"/>
            </w:pPr>
            <w:r w:rsidRPr="0027179A">
              <w:t>SOI and SPE are finalised and published at the beginning of the relevant financial year</w:t>
            </w:r>
          </w:p>
        </w:tc>
      </w:tr>
      <w:tr w:rsidR="0027179A" w:rsidRPr="000F3AF0" w14:paraId="1047042B" w14:textId="77777777" w:rsidTr="00E02472">
        <w:tc>
          <w:tcPr>
            <w:tcW w:w="854" w:type="dxa"/>
            <w:shd w:val="clear" w:color="auto" w:fill="auto"/>
            <w:noWrap/>
            <w:vAlign w:val="center"/>
          </w:tcPr>
          <w:p w14:paraId="1BB15D08" w14:textId="73DFC675" w:rsidR="0027179A" w:rsidRPr="0027179A" w:rsidRDefault="0027179A" w:rsidP="0027179A">
            <w:pPr>
              <w:pStyle w:val="TableText"/>
              <w:keepNext/>
            </w:pPr>
            <w:r w:rsidRPr="0027179A">
              <w:lastRenderedPageBreak/>
              <w:t>5.04</w:t>
            </w:r>
          </w:p>
        </w:tc>
        <w:tc>
          <w:tcPr>
            <w:tcW w:w="2982" w:type="dxa"/>
            <w:shd w:val="clear" w:color="auto" w:fill="auto"/>
            <w:vAlign w:val="center"/>
          </w:tcPr>
          <w:p w14:paraId="7E4AB9A5" w14:textId="646D10CF" w:rsidR="0027179A" w:rsidRPr="0027179A" w:rsidRDefault="0027179A" w:rsidP="0027179A">
            <w:pPr>
              <w:pStyle w:val="TableText"/>
              <w:keepNext/>
            </w:pPr>
            <w:r w:rsidRPr="0027179A">
              <w:t>Value for money is demonstrated</w:t>
            </w:r>
          </w:p>
        </w:tc>
        <w:tc>
          <w:tcPr>
            <w:tcW w:w="4227" w:type="dxa"/>
            <w:shd w:val="clear" w:color="auto" w:fill="auto"/>
            <w:vAlign w:val="center"/>
          </w:tcPr>
          <w:p w14:paraId="13C0E28F" w14:textId="511024AD" w:rsidR="0027179A" w:rsidRPr="0027179A" w:rsidRDefault="0027179A" w:rsidP="0027179A">
            <w:pPr>
              <w:pStyle w:val="TableText"/>
              <w:keepNext/>
            </w:pPr>
            <w:r w:rsidRPr="0027179A">
              <w:t>All investments submitted for Ministerial or Cabinet approval demonstrate rigorous planning that complies with the Better Business Case process, are supported by relevant health planning inputs and demonstrate value for money</w:t>
            </w:r>
          </w:p>
        </w:tc>
        <w:tc>
          <w:tcPr>
            <w:tcW w:w="5389" w:type="dxa"/>
            <w:shd w:val="clear" w:color="auto" w:fill="auto"/>
            <w:vAlign w:val="center"/>
          </w:tcPr>
          <w:p w14:paraId="69C045EA" w14:textId="26AA9A8F" w:rsidR="0027179A" w:rsidRPr="0027179A" w:rsidRDefault="0027179A" w:rsidP="0027179A">
            <w:pPr>
              <w:pStyle w:val="TableText"/>
              <w:keepNext/>
            </w:pPr>
            <w:r w:rsidRPr="0027179A">
              <w:t>All investments submitted for Ministerial or Cabinet approval comply with the Better Business Case process, demonstrate value for money and are supported by relevant inputs such as service plans, asset management plans and site masterplans</w:t>
            </w:r>
          </w:p>
        </w:tc>
      </w:tr>
      <w:tr w:rsidR="0027179A" w:rsidRPr="000F3AF0" w14:paraId="3ADE5B63" w14:textId="77777777" w:rsidTr="00E02472">
        <w:tc>
          <w:tcPr>
            <w:tcW w:w="854" w:type="dxa"/>
            <w:shd w:val="clear" w:color="auto" w:fill="auto"/>
            <w:noWrap/>
            <w:vAlign w:val="center"/>
            <w:hideMark/>
          </w:tcPr>
          <w:p w14:paraId="0F779727" w14:textId="3FBFEF3B" w:rsidR="0027179A" w:rsidRPr="0027179A" w:rsidRDefault="0027179A" w:rsidP="0027179A">
            <w:pPr>
              <w:pStyle w:val="TableText"/>
            </w:pPr>
            <w:r w:rsidRPr="0027179A">
              <w:t>5.05</w:t>
            </w:r>
          </w:p>
        </w:tc>
        <w:tc>
          <w:tcPr>
            <w:tcW w:w="2982" w:type="dxa"/>
            <w:shd w:val="clear" w:color="auto" w:fill="auto"/>
            <w:vAlign w:val="center"/>
            <w:hideMark/>
          </w:tcPr>
          <w:p w14:paraId="79EE691D" w14:textId="3D9AB523" w:rsidR="0027179A" w:rsidRPr="0027179A" w:rsidRDefault="0027179A" w:rsidP="0027179A">
            <w:pPr>
              <w:pStyle w:val="TableText"/>
            </w:pPr>
            <w:r w:rsidRPr="0027179A">
              <w:t>Improved long-term planning for health infrastructure</w:t>
            </w:r>
          </w:p>
        </w:tc>
        <w:tc>
          <w:tcPr>
            <w:tcW w:w="4227" w:type="dxa"/>
            <w:shd w:val="clear" w:color="auto" w:fill="auto"/>
            <w:vAlign w:val="center"/>
            <w:hideMark/>
          </w:tcPr>
          <w:p w14:paraId="4A437558" w14:textId="3DD756DE" w:rsidR="0027179A" w:rsidRPr="0027179A" w:rsidRDefault="0027179A" w:rsidP="0027179A">
            <w:pPr>
              <w:pStyle w:val="TableText"/>
            </w:pPr>
            <w:r w:rsidRPr="0027179A">
              <w:t xml:space="preserve">Delivery of a service-led 10-year infrastructure plan that incorporates associated performance expectations </w:t>
            </w:r>
            <w:r w:rsidRPr="0027179A">
              <w:br/>
              <w:t xml:space="preserve"> </w:t>
            </w:r>
          </w:p>
        </w:tc>
        <w:tc>
          <w:tcPr>
            <w:tcW w:w="5389" w:type="dxa"/>
            <w:shd w:val="clear" w:color="auto" w:fill="auto"/>
            <w:vAlign w:val="center"/>
            <w:hideMark/>
          </w:tcPr>
          <w:p w14:paraId="18F99BE5" w14:textId="04470BB5" w:rsidR="0027179A" w:rsidRPr="0027179A" w:rsidRDefault="0027179A" w:rsidP="0027179A">
            <w:pPr>
              <w:pStyle w:val="TableText"/>
            </w:pPr>
            <w:r w:rsidRPr="0027179A">
              <w:t>Delivery of a service-led, 10-year infrastructure plan that integrates physical and digital infrastructure, is achievable within expected market and financial constraints, and aligns with workforce planning. First plan to be delivered before December 2024, with regular updates</w:t>
            </w:r>
          </w:p>
        </w:tc>
      </w:tr>
      <w:tr w:rsidR="0027179A" w:rsidRPr="000F3AF0" w14:paraId="0CFFE9D4" w14:textId="77777777" w:rsidTr="00E02472">
        <w:tc>
          <w:tcPr>
            <w:tcW w:w="854" w:type="dxa"/>
            <w:shd w:val="clear" w:color="auto" w:fill="auto"/>
            <w:noWrap/>
            <w:vAlign w:val="center"/>
            <w:hideMark/>
          </w:tcPr>
          <w:p w14:paraId="7F64AB78" w14:textId="686694D7" w:rsidR="0027179A" w:rsidRPr="0027179A" w:rsidRDefault="0027179A" w:rsidP="0027179A">
            <w:pPr>
              <w:pStyle w:val="TableText"/>
            </w:pPr>
            <w:r w:rsidRPr="0027179A">
              <w:t>5.06</w:t>
            </w:r>
          </w:p>
        </w:tc>
        <w:tc>
          <w:tcPr>
            <w:tcW w:w="2982" w:type="dxa"/>
            <w:shd w:val="clear" w:color="auto" w:fill="auto"/>
            <w:vAlign w:val="center"/>
            <w:hideMark/>
          </w:tcPr>
          <w:p w14:paraId="541317DF" w14:textId="4FC9BE33" w:rsidR="0027179A" w:rsidRPr="0027179A" w:rsidRDefault="0027179A" w:rsidP="0027179A">
            <w:pPr>
              <w:pStyle w:val="TableText"/>
            </w:pPr>
            <w:r w:rsidRPr="0027179A">
              <w:t>Improved long-term planning for health infrastructure</w:t>
            </w:r>
          </w:p>
        </w:tc>
        <w:tc>
          <w:tcPr>
            <w:tcW w:w="4227" w:type="dxa"/>
            <w:shd w:val="clear" w:color="auto" w:fill="auto"/>
            <w:vAlign w:val="center"/>
            <w:hideMark/>
          </w:tcPr>
          <w:p w14:paraId="7B87BAD2" w14:textId="55CD11BB" w:rsidR="0027179A" w:rsidRPr="0027179A" w:rsidRDefault="0027179A" w:rsidP="0027179A">
            <w:pPr>
              <w:pStyle w:val="TableText"/>
            </w:pPr>
            <w:r w:rsidRPr="0027179A">
              <w:t xml:space="preserve">Improved management of the investment portfolio, with accurate and consistent reporting against forecasts and key milestones for major projects across the digital and physical infrastructure portfolios is demonstrated in monthly reporting; includes details as set out in the associated performance expectations </w:t>
            </w:r>
          </w:p>
        </w:tc>
        <w:tc>
          <w:tcPr>
            <w:tcW w:w="5389" w:type="dxa"/>
            <w:shd w:val="clear" w:color="auto" w:fill="auto"/>
            <w:vAlign w:val="center"/>
            <w:hideMark/>
          </w:tcPr>
          <w:p w14:paraId="21171150" w14:textId="002DB142" w:rsidR="0027179A" w:rsidRPr="0027179A" w:rsidRDefault="0027179A" w:rsidP="0027179A">
            <w:pPr>
              <w:pStyle w:val="TableText"/>
            </w:pPr>
            <w:r w:rsidRPr="0027179A">
              <w:t>Health NZ provides monthly reporting across the digital and physical infrastructure portfolios that demonstrates risk management and progress against project milestones and actual and forecast cash drawdowns for all projects requiring Ministerial or Cabinet approval</w:t>
            </w:r>
          </w:p>
        </w:tc>
      </w:tr>
      <w:tr w:rsidR="0027179A" w:rsidRPr="000F3AF0" w14:paraId="4C3C426B" w14:textId="77777777" w:rsidTr="00E02472">
        <w:tc>
          <w:tcPr>
            <w:tcW w:w="854" w:type="dxa"/>
            <w:shd w:val="clear" w:color="auto" w:fill="auto"/>
            <w:noWrap/>
            <w:vAlign w:val="center"/>
            <w:hideMark/>
          </w:tcPr>
          <w:p w14:paraId="50BA3398" w14:textId="3841EABC" w:rsidR="0027179A" w:rsidRPr="0027179A" w:rsidRDefault="0027179A" w:rsidP="0027179A">
            <w:pPr>
              <w:pStyle w:val="TableText"/>
            </w:pPr>
            <w:r w:rsidRPr="0027179A">
              <w:t>5.07</w:t>
            </w:r>
          </w:p>
        </w:tc>
        <w:tc>
          <w:tcPr>
            <w:tcW w:w="2982" w:type="dxa"/>
            <w:shd w:val="clear" w:color="auto" w:fill="auto"/>
            <w:vAlign w:val="center"/>
            <w:hideMark/>
          </w:tcPr>
          <w:p w14:paraId="125A364C" w14:textId="77BCA249" w:rsidR="0027179A" w:rsidRPr="0027179A" w:rsidRDefault="0027179A" w:rsidP="0027179A">
            <w:pPr>
              <w:pStyle w:val="TableText"/>
            </w:pPr>
            <w:r w:rsidRPr="0027179A">
              <w:t>Improved long-term planning for health infrastructure</w:t>
            </w:r>
          </w:p>
        </w:tc>
        <w:tc>
          <w:tcPr>
            <w:tcW w:w="4227" w:type="dxa"/>
            <w:shd w:val="clear" w:color="auto" w:fill="auto"/>
            <w:vAlign w:val="center"/>
            <w:hideMark/>
          </w:tcPr>
          <w:p w14:paraId="29E1C08D" w14:textId="23FF3AAA" w:rsidR="0027179A" w:rsidRPr="0027179A" w:rsidRDefault="0027179A" w:rsidP="0027179A">
            <w:pPr>
              <w:pStyle w:val="TableText"/>
            </w:pPr>
            <w:r w:rsidRPr="0027179A">
              <w:t xml:space="preserve">Progress against milestones to implement the Asset Management Strategy is demonstrated in quarterly reporting; includes details as set out in the associated performance expectations </w:t>
            </w:r>
          </w:p>
        </w:tc>
        <w:tc>
          <w:tcPr>
            <w:tcW w:w="5389" w:type="dxa"/>
            <w:shd w:val="clear" w:color="auto" w:fill="auto"/>
            <w:vAlign w:val="center"/>
            <w:hideMark/>
          </w:tcPr>
          <w:p w14:paraId="54A4AAE0" w14:textId="1D0BED9D" w:rsidR="0027179A" w:rsidRPr="0027179A" w:rsidRDefault="0027179A" w:rsidP="0027179A">
            <w:pPr>
              <w:pStyle w:val="TableText"/>
            </w:pPr>
            <w:r w:rsidRPr="0027179A">
              <w:t>Health NZ provides quarterly reports on progress against milestones to achieve Horizon One activities in the Asset Management Strategy</w:t>
            </w:r>
          </w:p>
        </w:tc>
      </w:tr>
      <w:tr w:rsidR="0027179A" w:rsidRPr="000F3AF0" w14:paraId="5DB42B72" w14:textId="77777777" w:rsidTr="00E02472">
        <w:tc>
          <w:tcPr>
            <w:tcW w:w="854" w:type="dxa"/>
            <w:shd w:val="clear" w:color="auto" w:fill="auto"/>
            <w:noWrap/>
            <w:vAlign w:val="center"/>
            <w:hideMark/>
          </w:tcPr>
          <w:p w14:paraId="3ECCE40E" w14:textId="4960A18F" w:rsidR="0027179A" w:rsidRPr="0027179A" w:rsidRDefault="0027179A" w:rsidP="0027179A">
            <w:pPr>
              <w:pStyle w:val="TableText"/>
            </w:pPr>
            <w:r w:rsidRPr="0027179A">
              <w:t>5.08</w:t>
            </w:r>
          </w:p>
        </w:tc>
        <w:tc>
          <w:tcPr>
            <w:tcW w:w="2982" w:type="dxa"/>
            <w:shd w:val="clear" w:color="auto" w:fill="auto"/>
            <w:vAlign w:val="center"/>
            <w:hideMark/>
          </w:tcPr>
          <w:p w14:paraId="5555B71D" w14:textId="229BEBC3" w:rsidR="0027179A" w:rsidRPr="0027179A" w:rsidRDefault="0027179A" w:rsidP="0027179A">
            <w:pPr>
              <w:pStyle w:val="TableText"/>
            </w:pPr>
            <w:r w:rsidRPr="0027179A">
              <w:t>Improved long-term planning for health infrastructure</w:t>
            </w:r>
          </w:p>
        </w:tc>
        <w:tc>
          <w:tcPr>
            <w:tcW w:w="4227" w:type="dxa"/>
            <w:shd w:val="clear" w:color="auto" w:fill="auto"/>
            <w:vAlign w:val="center"/>
            <w:hideMark/>
          </w:tcPr>
          <w:p w14:paraId="545EBF0E" w14:textId="503AB49D" w:rsidR="0027179A" w:rsidRPr="0027179A" w:rsidRDefault="0027179A" w:rsidP="0027179A">
            <w:pPr>
              <w:pStyle w:val="TableText"/>
            </w:pPr>
            <w:r w:rsidRPr="0027179A">
              <w:t xml:space="preserve">Sufficiency of expenditure on repairs and maintenance is demonstrated in monthly financial reporting; includes details as set out in the associated performance expectations </w:t>
            </w:r>
          </w:p>
        </w:tc>
        <w:tc>
          <w:tcPr>
            <w:tcW w:w="5389" w:type="dxa"/>
            <w:shd w:val="clear" w:color="auto" w:fill="auto"/>
            <w:vAlign w:val="center"/>
            <w:hideMark/>
          </w:tcPr>
          <w:p w14:paraId="51D46F06" w14:textId="0107BB60" w:rsidR="0027179A" w:rsidRPr="0027179A" w:rsidRDefault="0027179A" w:rsidP="0027179A">
            <w:pPr>
              <w:pStyle w:val="TableText"/>
            </w:pPr>
            <w:r w:rsidRPr="0027179A">
              <w:t>Health NZ demonstrates that it has sufficiently planned for the maintenance and renewal of assets and reports quarterly on progress against the plan</w:t>
            </w:r>
          </w:p>
        </w:tc>
      </w:tr>
      <w:tr w:rsidR="0027179A" w:rsidRPr="000F3AF0" w14:paraId="3FA87035" w14:textId="77777777" w:rsidTr="00E02472">
        <w:tc>
          <w:tcPr>
            <w:tcW w:w="854" w:type="dxa"/>
            <w:shd w:val="clear" w:color="auto" w:fill="auto"/>
            <w:vAlign w:val="center"/>
            <w:hideMark/>
          </w:tcPr>
          <w:p w14:paraId="63F38E53" w14:textId="02561F5F" w:rsidR="0027179A" w:rsidRPr="0027179A" w:rsidRDefault="0027179A" w:rsidP="0027179A">
            <w:pPr>
              <w:pStyle w:val="TableText"/>
            </w:pPr>
            <w:r w:rsidRPr="0027179A">
              <w:t>5.09</w:t>
            </w:r>
          </w:p>
        </w:tc>
        <w:tc>
          <w:tcPr>
            <w:tcW w:w="2982" w:type="dxa"/>
            <w:shd w:val="clear" w:color="auto" w:fill="auto"/>
            <w:vAlign w:val="center"/>
            <w:hideMark/>
          </w:tcPr>
          <w:p w14:paraId="11A80529" w14:textId="009EE283" w:rsidR="0027179A" w:rsidRPr="0027179A" w:rsidRDefault="0027179A" w:rsidP="0027179A">
            <w:pPr>
              <w:pStyle w:val="TableText"/>
            </w:pPr>
            <w:r w:rsidRPr="0027179A">
              <w:t>Delivery of projects against time and budget</w:t>
            </w:r>
          </w:p>
        </w:tc>
        <w:tc>
          <w:tcPr>
            <w:tcW w:w="4227" w:type="dxa"/>
            <w:shd w:val="clear" w:color="auto" w:fill="auto"/>
            <w:vAlign w:val="center"/>
            <w:hideMark/>
          </w:tcPr>
          <w:p w14:paraId="75DAA4CC" w14:textId="2B6A20D0" w:rsidR="0027179A" w:rsidRPr="0027179A" w:rsidRDefault="0027179A" w:rsidP="0027179A">
            <w:pPr>
              <w:pStyle w:val="TableText"/>
            </w:pPr>
            <w:r w:rsidRPr="0027179A">
              <w:t>Performance against budgets and timeframe milestones of major projects across the digital and physical infrastructure portfolios is demonstrated in monthly reporting; includes details as set out in the associated performance expectations</w:t>
            </w:r>
          </w:p>
        </w:tc>
        <w:tc>
          <w:tcPr>
            <w:tcW w:w="5389" w:type="dxa"/>
            <w:shd w:val="clear" w:color="auto" w:fill="auto"/>
            <w:vAlign w:val="center"/>
            <w:hideMark/>
          </w:tcPr>
          <w:p w14:paraId="5FF11B12" w14:textId="529A544A" w:rsidR="0027179A" w:rsidRPr="0027179A" w:rsidRDefault="0027179A" w:rsidP="0027179A">
            <w:pPr>
              <w:pStyle w:val="TableText"/>
            </w:pPr>
            <w:r w:rsidRPr="0027179A">
              <w:t>Projects are delivered on time and within budget</w:t>
            </w:r>
          </w:p>
        </w:tc>
      </w:tr>
      <w:tr w:rsidR="0027179A" w:rsidRPr="000F3AF0" w14:paraId="4B543189" w14:textId="77777777" w:rsidTr="00E02472">
        <w:tc>
          <w:tcPr>
            <w:tcW w:w="854" w:type="dxa"/>
            <w:shd w:val="clear" w:color="auto" w:fill="auto"/>
            <w:vAlign w:val="center"/>
            <w:hideMark/>
          </w:tcPr>
          <w:p w14:paraId="3BE585F5" w14:textId="76999B29" w:rsidR="0027179A" w:rsidRPr="0027179A" w:rsidRDefault="0027179A" w:rsidP="0027179A">
            <w:pPr>
              <w:pStyle w:val="TableText"/>
              <w:keepNext/>
            </w:pPr>
            <w:r w:rsidRPr="0027179A">
              <w:lastRenderedPageBreak/>
              <w:t>5.10</w:t>
            </w:r>
          </w:p>
        </w:tc>
        <w:tc>
          <w:tcPr>
            <w:tcW w:w="2982" w:type="dxa"/>
            <w:shd w:val="clear" w:color="auto" w:fill="auto"/>
            <w:vAlign w:val="center"/>
            <w:hideMark/>
          </w:tcPr>
          <w:p w14:paraId="6F50E6A3" w14:textId="74A94819" w:rsidR="0027179A" w:rsidRPr="0027179A" w:rsidRDefault="0027179A" w:rsidP="0027179A">
            <w:pPr>
              <w:pStyle w:val="TableText"/>
              <w:keepNext/>
            </w:pPr>
            <w:r w:rsidRPr="0027179A">
              <w:t>Compliance with capital settings</w:t>
            </w:r>
          </w:p>
        </w:tc>
        <w:tc>
          <w:tcPr>
            <w:tcW w:w="4227" w:type="dxa"/>
            <w:shd w:val="clear" w:color="auto" w:fill="auto"/>
            <w:vAlign w:val="center"/>
            <w:hideMark/>
          </w:tcPr>
          <w:p w14:paraId="0DACE4DE" w14:textId="35FABFE4" w:rsidR="0027179A" w:rsidRPr="0027179A" w:rsidRDefault="0027179A" w:rsidP="0027179A">
            <w:pPr>
              <w:pStyle w:val="TableText"/>
              <w:keepNext/>
            </w:pPr>
            <w:r w:rsidRPr="0027179A">
              <w:t>Approvals of new investments and changes to scope, timeframes and budgets of approved projects comply with capital settings as demonstrated in monthly reporting</w:t>
            </w:r>
          </w:p>
        </w:tc>
        <w:tc>
          <w:tcPr>
            <w:tcW w:w="5389" w:type="dxa"/>
            <w:shd w:val="clear" w:color="auto" w:fill="auto"/>
            <w:vAlign w:val="center"/>
            <w:hideMark/>
          </w:tcPr>
          <w:p w14:paraId="3CD4D09F" w14:textId="75A214B7" w:rsidR="0027179A" w:rsidRPr="0027179A" w:rsidRDefault="0027179A" w:rsidP="0027179A">
            <w:pPr>
              <w:pStyle w:val="TableText"/>
              <w:keepNext/>
            </w:pPr>
            <w:r w:rsidRPr="0027179A">
              <w:t>All investments submitted for Ministerial or Cabinet approval comply with capital settings and have followed the Treasury’s Investment Life Cycle process, comprising a Risk Profile Assessment and Strategic Assessment before entering and completing the Better Business Case process</w:t>
            </w:r>
          </w:p>
        </w:tc>
      </w:tr>
    </w:tbl>
    <w:p w14:paraId="3575EA95" w14:textId="77777777" w:rsidR="00E02472" w:rsidRDefault="00E02472" w:rsidP="00E02472">
      <w:pPr>
        <w:tabs>
          <w:tab w:val="left" w:pos="2208"/>
        </w:tabs>
      </w:pPr>
    </w:p>
    <w:tbl>
      <w:tblPr>
        <w:tblW w:w="1346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2977"/>
        <w:gridCol w:w="4252"/>
        <w:gridCol w:w="5387"/>
      </w:tblGrid>
      <w:tr w:rsidR="00E02472" w:rsidRPr="000F3AF0" w14:paraId="24920B4C" w14:textId="77777777" w:rsidTr="00E02472">
        <w:trPr>
          <w:tblHeader/>
        </w:trPr>
        <w:tc>
          <w:tcPr>
            <w:tcW w:w="13467" w:type="dxa"/>
            <w:gridSpan w:val="4"/>
            <w:shd w:val="clear" w:color="auto" w:fill="D9D9D9" w:themeFill="background1" w:themeFillShade="D9"/>
            <w:vAlign w:val="center"/>
            <w:hideMark/>
          </w:tcPr>
          <w:p w14:paraId="5A7A656E" w14:textId="77777777" w:rsidR="00E02472" w:rsidRPr="00E02472" w:rsidRDefault="00E02472" w:rsidP="00E02472">
            <w:pPr>
              <w:pStyle w:val="TableText"/>
              <w:jc w:val="center"/>
              <w:rPr>
                <w:b/>
                <w:bCs/>
              </w:rPr>
            </w:pPr>
            <w:r w:rsidRPr="00E02472">
              <w:rPr>
                <w:b/>
                <w:bCs/>
              </w:rPr>
              <w:t>GPS expectation: Financial Sustainability</w:t>
            </w:r>
          </w:p>
        </w:tc>
      </w:tr>
      <w:tr w:rsidR="00E02472" w:rsidRPr="000F3AF0" w14:paraId="47F50E45" w14:textId="77777777" w:rsidTr="00E02472">
        <w:trPr>
          <w:tblHeader/>
        </w:trPr>
        <w:tc>
          <w:tcPr>
            <w:tcW w:w="13467" w:type="dxa"/>
            <w:gridSpan w:val="4"/>
            <w:shd w:val="clear" w:color="auto" w:fill="D9D9D9" w:themeFill="background1" w:themeFillShade="D9"/>
            <w:vAlign w:val="center"/>
            <w:hideMark/>
          </w:tcPr>
          <w:p w14:paraId="11C83063" w14:textId="77777777" w:rsidR="00E02472" w:rsidRPr="00E02472" w:rsidRDefault="00E02472" w:rsidP="0075595B">
            <w:pPr>
              <w:pStyle w:val="TableText"/>
              <w:jc w:val="center"/>
              <w:rPr>
                <w:b/>
                <w:bCs/>
              </w:rPr>
            </w:pPr>
            <w:r w:rsidRPr="00E02472">
              <w:rPr>
                <w:b/>
                <w:bCs/>
              </w:rPr>
              <w:t>The health system makes best use of resources now to ensure long-term sustainability</w:t>
            </w:r>
          </w:p>
        </w:tc>
      </w:tr>
      <w:tr w:rsidR="009B6A8F" w:rsidRPr="000F3AF0" w14:paraId="3D30869C" w14:textId="77777777" w:rsidTr="00E02472">
        <w:trPr>
          <w:tblHeader/>
        </w:trPr>
        <w:tc>
          <w:tcPr>
            <w:tcW w:w="851" w:type="dxa"/>
            <w:shd w:val="clear" w:color="auto" w:fill="D9D9D9" w:themeFill="background1" w:themeFillShade="D9"/>
            <w:vAlign w:val="center"/>
            <w:hideMark/>
          </w:tcPr>
          <w:p w14:paraId="1F3151C6" w14:textId="77777777" w:rsidR="00E02472" w:rsidRPr="00E02472" w:rsidRDefault="00E02472" w:rsidP="00E02472">
            <w:pPr>
              <w:pStyle w:val="TableText"/>
              <w:rPr>
                <w:b/>
                <w:bCs/>
              </w:rPr>
            </w:pPr>
          </w:p>
        </w:tc>
        <w:tc>
          <w:tcPr>
            <w:tcW w:w="2977" w:type="dxa"/>
            <w:shd w:val="clear" w:color="auto" w:fill="D9D9D9" w:themeFill="background1" w:themeFillShade="D9"/>
            <w:vAlign w:val="center"/>
            <w:hideMark/>
          </w:tcPr>
          <w:p w14:paraId="421AD133" w14:textId="77777777" w:rsidR="00E02472" w:rsidRPr="00E02472" w:rsidRDefault="00E02472" w:rsidP="00E02472">
            <w:pPr>
              <w:pStyle w:val="TableText"/>
              <w:rPr>
                <w:b/>
                <w:bCs/>
              </w:rPr>
            </w:pPr>
            <w:r w:rsidRPr="00E02472">
              <w:rPr>
                <w:b/>
                <w:bCs/>
              </w:rPr>
              <w:t xml:space="preserve">Indicator </w:t>
            </w:r>
          </w:p>
        </w:tc>
        <w:tc>
          <w:tcPr>
            <w:tcW w:w="4252" w:type="dxa"/>
            <w:shd w:val="clear" w:color="auto" w:fill="D9D9D9" w:themeFill="background1" w:themeFillShade="D9"/>
            <w:vAlign w:val="center"/>
            <w:hideMark/>
          </w:tcPr>
          <w:p w14:paraId="19D87B2E" w14:textId="77777777" w:rsidR="00E02472" w:rsidRPr="00E02472" w:rsidRDefault="00E02472" w:rsidP="00E02472">
            <w:pPr>
              <w:pStyle w:val="TableText"/>
              <w:rPr>
                <w:b/>
                <w:bCs/>
              </w:rPr>
            </w:pPr>
            <w:r w:rsidRPr="00E02472">
              <w:rPr>
                <w:b/>
                <w:bCs/>
              </w:rPr>
              <w:t xml:space="preserve"> Measure</w:t>
            </w:r>
          </w:p>
        </w:tc>
        <w:tc>
          <w:tcPr>
            <w:tcW w:w="5387" w:type="dxa"/>
            <w:shd w:val="clear" w:color="auto" w:fill="D9D9D9" w:themeFill="background1" w:themeFillShade="D9"/>
            <w:vAlign w:val="center"/>
            <w:hideMark/>
          </w:tcPr>
          <w:p w14:paraId="20FA4B89" w14:textId="77777777" w:rsidR="00E02472" w:rsidRPr="00E02472" w:rsidRDefault="00E02472" w:rsidP="00E02472">
            <w:pPr>
              <w:pStyle w:val="TableText"/>
              <w:rPr>
                <w:b/>
                <w:bCs/>
              </w:rPr>
            </w:pPr>
            <w:r w:rsidRPr="00E02472">
              <w:rPr>
                <w:b/>
                <w:bCs/>
              </w:rPr>
              <w:t>Expectation</w:t>
            </w:r>
          </w:p>
        </w:tc>
      </w:tr>
      <w:tr w:rsidR="0027179A" w:rsidRPr="000F3AF0" w14:paraId="5CBE84E4" w14:textId="77777777" w:rsidTr="00E02472">
        <w:tc>
          <w:tcPr>
            <w:tcW w:w="851" w:type="dxa"/>
            <w:shd w:val="clear" w:color="auto" w:fill="auto"/>
            <w:vAlign w:val="center"/>
            <w:hideMark/>
          </w:tcPr>
          <w:p w14:paraId="09A8DF39" w14:textId="64E76809" w:rsidR="0027179A" w:rsidRPr="00181169" w:rsidRDefault="0027179A" w:rsidP="0027179A">
            <w:pPr>
              <w:pStyle w:val="TableText"/>
            </w:pPr>
            <w:r w:rsidRPr="00181169">
              <w:t>6.01</w:t>
            </w:r>
          </w:p>
        </w:tc>
        <w:tc>
          <w:tcPr>
            <w:tcW w:w="2977" w:type="dxa"/>
            <w:shd w:val="clear" w:color="auto" w:fill="auto"/>
            <w:vAlign w:val="center"/>
            <w:hideMark/>
          </w:tcPr>
          <w:p w14:paraId="2E884B4D" w14:textId="38C4DEFC" w:rsidR="0027179A" w:rsidRPr="00181169" w:rsidRDefault="0027179A" w:rsidP="0027179A">
            <w:pPr>
              <w:pStyle w:val="TableText"/>
            </w:pPr>
            <w:r w:rsidRPr="00181169">
              <w:t xml:space="preserve">The health system delivers on its priorities and achieves an annual operating breakeven or surplus position against budget </w:t>
            </w:r>
          </w:p>
        </w:tc>
        <w:tc>
          <w:tcPr>
            <w:tcW w:w="4252" w:type="dxa"/>
            <w:shd w:val="clear" w:color="auto" w:fill="auto"/>
            <w:vAlign w:val="center"/>
            <w:hideMark/>
          </w:tcPr>
          <w:p w14:paraId="3DBD884A" w14:textId="0BC3A476" w:rsidR="0027179A" w:rsidRPr="00181169" w:rsidRDefault="0027179A" w:rsidP="0027179A">
            <w:pPr>
              <w:pStyle w:val="TableText"/>
            </w:pPr>
            <w:r w:rsidRPr="00181169">
              <w:rPr>
                <w:lang w:eastAsia="en-NZ"/>
              </w:rPr>
              <w:t xml:space="preserve">Delivery by Health NZ within its budget of commitments set out in the </w:t>
            </w:r>
            <w:r>
              <w:rPr>
                <w:lang w:eastAsia="en-NZ"/>
              </w:rPr>
              <w:t>New Zealand Health Plan (</w:t>
            </w:r>
            <w:r w:rsidRPr="00181169">
              <w:rPr>
                <w:lang w:eastAsia="en-NZ"/>
              </w:rPr>
              <w:t>NZHP</w:t>
            </w:r>
            <w:r>
              <w:rPr>
                <w:lang w:eastAsia="en-NZ"/>
              </w:rPr>
              <w:t>)</w:t>
            </w:r>
            <w:r w:rsidRPr="00181169">
              <w:rPr>
                <w:lang w:eastAsia="en-NZ"/>
              </w:rPr>
              <w:t xml:space="preserve"> or otherwise agreed with the Minister, such as ensuring minimum service coverage expectations are met</w:t>
            </w:r>
          </w:p>
        </w:tc>
        <w:tc>
          <w:tcPr>
            <w:tcW w:w="5387" w:type="dxa"/>
            <w:shd w:val="clear" w:color="auto" w:fill="auto"/>
            <w:vAlign w:val="center"/>
            <w:hideMark/>
          </w:tcPr>
          <w:p w14:paraId="2B224504" w14:textId="7F5CAB47" w:rsidR="0027179A" w:rsidRPr="00181169" w:rsidRDefault="0027179A" w:rsidP="0027179A">
            <w:pPr>
              <w:pStyle w:val="TableText"/>
            </w:pPr>
            <w:r w:rsidRPr="00181169">
              <w:rPr>
                <w:lang w:eastAsia="en-NZ"/>
              </w:rPr>
              <w:t>Concordant with its statutory obligations, the</w:t>
            </w:r>
            <w:r>
              <w:rPr>
                <w:lang w:eastAsia="en-NZ"/>
              </w:rPr>
              <w:t xml:space="preserve"> Health NZ</w:t>
            </w:r>
            <w:r w:rsidRPr="00181169">
              <w:rPr>
                <w:lang w:eastAsia="en-NZ"/>
              </w:rPr>
              <w:t xml:space="preserve"> </w:t>
            </w:r>
            <w:r w:rsidRPr="00181169">
              <w:t xml:space="preserve">Board </w:t>
            </w:r>
            <w:r w:rsidRPr="00181169">
              <w:rPr>
                <w:lang w:eastAsia="en-NZ"/>
              </w:rPr>
              <w:t>sets for itself, for each financial year, a detailed</w:t>
            </w:r>
            <w:r w:rsidRPr="00181169">
              <w:t xml:space="preserve"> budget </w:t>
            </w:r>
            <w:r w:rsidRPr="00181169">
              <w:rPr>
                <w:lang w:eastAsia="en-NZ"/>
              </w:rPr>
              <w:t xml:space="preserve">that reflects its best estimate of costs and revenue for that year, making adequate provision for financial risks. </w:t>
            </w:r>
            <w:r>
              <w:rPr>
                <w:lang w:eastAsia="en-NZ"/>
              </w:rPr>
              <w:t>Health NZ</w:t>
            </w:r>
            <w:r w:rsidRPr="00181169">
              <w:rPr>
                <w:lang w:eastAsia="en-NZ"/>
              </w:rPr>
              <w:t xml:space="preserve"> shares an aggregated version of this budget with the Ministry of Health, and updates it as needed during the year to reflect</w:t>
            </w:r>
            <w:r w:rsidRPr="00181169">
              <w:t xml:space="preserve"> changes to annual baselines agreed by Cabinet or </w:t>
            </w:r>
            <w:r>
              <w:t>j</w:t>
            </w:r>
            <w:r w:rsidRPr="00181169">
              <w:t>oint Ministers</w:t>
            </w:r>
            <w:r>
              <w:t xml:space="preserve"> (Minister of Health and Minister of Finance)</w:t>
            </w:r>
            <w:r w:rsidRPr="00181169">
              <w:t xml:space="preserve"> during the year</w:t>
            </w:r>
            <w:r w:rsidRPr="00181169">
              <w:rPr>
                <w:lang w:eastAsia="en-NZ"/>
              </w:rPr>
              <w:t xml:space="preserve"> as well as any other significant changes in its financial position. Health NZ delivers on the commitments set out in the NZHP or otherwise agreed with the Minister, such as ensuring minimum service coverage expectations are met,</w:t>
            </w:r>
            <w:r w:rsidRPr="00181169">
              <w:t xml:space="preserve"> while achieving an annual actual financial result that achieves an operating breakeven or surplus position against </w:t>
            </w:r>
            <w:r w:rsidRPr="00181169">
              <w:rPr>
                <w:lang w:eastAsia="en-NZ"/>
              </w:rPr>
              <w:t>this budget</w:t>
            </w:r>
          </w:p>
        </w:tc>
      </w:tr>
      <w:tr w:rsidR="0027179A" w:rsidRPr="000F3AF0" w14:paraId="5C0F99B0" w14:textId="77777777" w:rsidTr="00E02472">
        <w:tc>
          <w:tcPr>
            <w:tcW w:w="851" w:type="dxa"/>
            <w:shd w:val="clear" w:color="auto" w:fill="auto"/>
            <w:noWrap/>
            <w:vAlign w:val="center"/>
            <w:hideMark/>
          </w:tcPr>
          <w:p w14:paraId="13FD01E3" w14:textId="72029924" w:rsidR="0027179A" w:rsidRPr="00181169" w:rsidRDefault="0027179A" w:rsidP="0027179A">
            <w:pPr>
              <w:pStyle w:val="TableText"/>
              <w:rPr>
                <w:lang w:eastAsia="en-NZ"/>
              </w:rPr>
            </w:pPr>
            <w:r w:rsidRPr="00181169">
              <w:rPr>
                <w:color w:val="000000"/>
                <w:lang w:eastAsia="en-NZ"/>
              </w:rPr>
              <w:t>6.02</w:t>
            </w:r>
          </w:p>
        </w:tc>
        <w:tc>
          <w:tcPr>
            <w:tcW w:w="2977" w:type="dxa"/>
            <w:shd w:val="clear" w:color="auto" w:fill="auto"/>
            <w:vAlign w:val="center"/>
            <w:hideMark/>
          </w:tcPr>
          <w:p w14:paraId="6C3E19E2" w14:textId="423388EF" w:rsidR="0027179A" w:rsidRPr="00181169" w:rsidRDefault="0027179A" w:rsidP="0027179A">
            <w:pPr>
              <w:pStyle w:val="TableText"/>
              <w:rPr>
                <w:lang w:eastAsia="en-NZ"/>
              </w:rPr>
            </w:pPr>
            <w:r w:rsidRPr="00181169">
              <w:rPr>
                <w:color w:val="000000"/>
                <w:lang w:eastAsia="en-NZ"/>
              </w:rPr>
              <w:t>Health NZ accurately reports output class expenditure in line with expected levels</w:t>
            </w:r>
          </w:p>
        </w:tc>
        <w:tc>
          <w:tcPr>
            <w:tcW w:w="4252" w:type="dxa"/>
            <w:shd w:val="clear" w:color="auto" w:fill="auto"/>
            <w:vAlign w:val="center"/>
            <w:hideMark/>
          </w:tcPr>
          <w:p w14:paraId="2573EAB0" w14:textId="33DC6AB2" w:rsidR="0027179A" w:rsidRPr="00181169" w:rsidRDefault="0027179A" w:rsidP="0027179A">
            <w:pPr>
              <w:pStyle w:val="TableText"/>
              <w:rPr>
                <w:lang w:eastAsia="en-NZ"/>
              </w:rPr>
            </w:pPr>
            <w:r w:rsidRPr="00181169">
              <w:rPr>
                <w:color w:val="000000"/>
                <w:lang w:eastAsia="en-NZ"/>
              </w:rPr>
              <w:t>Detailed monthly reporting on revenue and expenses by output class, comparing actuals to phased budget, where the budget aligns with the SPE</w:t>
            </w:r>
          </w:p>
        </w:tc>
        <w:tc>
          <w:tcPr>
            <w:tcW w:w="5387" w:type="dxa"/>
            <w:shd w:val="clear" w:color="auto" w:fill="auto"/>
            <w:vAlign w:val="center"/>
            <w:hideMark/>
          </w:tcPr>
          <w:p w14:paraId="6AFF37E1" w14:textId="5F1B69C0" w:rsidR="0027179A" w:rsidRPr="00181169" w:rsidRDefault="0027179A" w:rsidP="0027179A">
            <w:pPr>
              <w:pStyle w:val="TableText"/>
              <w:rPr>
                <w:lang w:eastAsia="en-NZ"/>
              </w:rPr>
            </w:pPr>
            <w:r w:rsidRPr="00181169">
              <w:rPr>
                <w:color w:val="000000"/>
                <w:lang w:eastAsia="en-NZ"/>
              </w:rPr>
              <w:t xml:space="preserve">Actual revenue and expenses by output class are in line with phased budget performance and are reported monthly, including the provision of </w:t>
            </w:r>
            <w:r>
              <w:rPr>
                <w:color w:val="000000"/>
                <w:lang w:eastAsia="en-NZ"/>
              </w:rPr>
              <w:t xml:space="preserve">a </w:t>
            </w:r>
            <w:r w:rsidRPr="00181169">
              <w:rPr>
                <w:color w:val="000000"/>
                <w:lang w:eastAsia="en-NZ"/>
              </w:rPr>
              <w:t>full set of output classes outlined in the SPE and mapped to approved appropriations</w:t>
            </w:r>
          </w:p>
        </w:tc>
      </w:tr>
      <w:tr w:rsidR="0027179A" w:rsidRPr="000F3AF0" w14:paraId="2EBF3563" w14:textId="77777777" w:rsidTr="00E02472">
        <w:tc>
          <w:tcPr>
            <w:tcW w:w="851" w:type="dxa"/>
            <w:shd w:val="clear" w:color="auto" w:fill="auto"/>
            <w:noWrap/>
            <w:vAlign w:val="center"/>
            <w:hideMark/>
          </w:tcPr>
          <w:p w14:paraId="5D87E4F4" w14:textId="66FAC59F" w:rsidR="0027179A" w:rsidRPr="00181169" w:rsidRDefault="0027179A" w:rsidP="0027179A">
            <w:pPr>
              <w:pStyle w:val="TableText"/>
              <w:rPr>
                <w:lang w:eastAsia="en-NZ"/>
              </w:rPr>
            </w:pPr>
            <w:r w:rsidRPr="00181169">
              <w:rPr>
                <w:color w:val="000000"/>
                <w:lang w:eastAsia="en-NZ"/>
              </w:rPr>
              <w:t>6.03</w:t>
            </w:r>
          </w:p>
        </w:tc>
        <w:tc>
          <w:tcPr>
            <w:tcW w:w="2977" w:type="dxa"/>
            <w:shd w:val="clear" w:color="auto" w:fill="auto"/>
            <w:vAlign w:val="center"/>
            <w:hideMark/>
          </w:tcPr>
          <w:p w14:paraId="416753AF" w14:textId="63D63BF8" w:rsidR="0027179A" w:rsidRPr="00181169" w:rsidRDefault="0027179A" w:rsidP="0027179A">
            <w:pPr>
              <w:pStyle w:val="TableText"/>
              <w:rPr>
                <w:lang w:eastAsia="en-NZ"/>
              </w:rPr>
            </w:pPr>
            <w:r w:rsidRPr="00181169">
              <w:rPr>
                <w:color w:val="000000"/>
                <w:lang w:eastAsia="en-NZ"/>
              </w:rPr>
              <w:t xml:space="preserve">Services are delivered in line with expenditure levels with clear </w:t>
            </w:r>
            <w:r w:rsidRPr="00181169">
              <w:rPr>
                <w:color w:val="000000"/>
                <w:lang w:eastAsia="en-NZ"/>
              </w:rPr>
              <w:lastRenderedPageBreak/>
              <w:t>visibility of activity across appropriations</w:t>
            </w:r>
          </w:p>
        </w:tc>
        <w:tc>
          <w:tcPr>
            <w:tcW w:w="4252" w:type="dxa"/>
            <w:shd w:val="clear" w:color="auto" w:fill="auto"/>
            <w:vAlign w:val="center"/>
            <w:hideMark/>
          </w:tcPr>
          <w:p w14:paraId="340241C2" w14:textId="7A82AD24" w:rsidR="0027179A" w:rsidRPr="00181169" w:rsidRDefault="0027179A" w:rsidP="0027179A">
            <w:pPr>
              <w:pStyle w:val="TableText"/>
              <w:rPr>
                <w:lang w:eastAsia="en-NZ"/>
              </w:rPr>
            </w:pPr>
            <w:r w:rsidRPr="00181169">
              <w:rPr>
                <w:color w:val="000000"/>
                <w:lang w:eastAsia="en-NZ"/>
              </w:rPr>
              <w:lastRenderedPageBreak/>
              <w:t xml:space="preserve">Detailed monthly reporting on financial, recruitment and activity forecasts including Hospital and Specialist Services activity reporting </w:t>
            </w:r>
            <w:r w:rsidRPr="00181169">
              <w:rPr>
                <w:color w:val="000000"/>
                <w:lang w:eastAsia="en-NZ"/>
              </w:rPr>
              <w:lastRenderedPageBreak/>
              <w:t>showing actual v</w:t>
            </w:r>
            <w:r>
              <w:rPr>
                <w:color w:val="000000"/>
                <w:lang w:eastAsia="en-NZ"/>
              </w:rPr>
              <w:t>ersus</w:t>
            </w:r>
            <w:r w:rsidRPr="00181169">
              <w:rPr>
                <w:color w:val="000000"/>
                <w:lang w:eastAsia="en-NZ"/>
              </w:rPr>
              <w:t xml:space="preserve"> budgeted production volumes</w:t>
            </w:r>
          </w:p>
        </w:tc>
        <w:tc>
          <w:tcPr>
            <w:tcW w:w="5387" w:type="dxa"/>
            <w:shd w:val="clear" w:color="auto" w:fill="auto"/>
            <w:vAlign w:val="center"/>
            <w:hideMark/>
          </w:tcPr>
          <w:p w14:paraId="55A17981" w14:textId="665CA141" w:rsidR="0027179A" w:rsidRPr="00181169" w:rsidRDefault="0027179A" w:rsidP="0027179A">
            <w:pPr>
              <w:pStyle w:val="TableText"/>
              <w:rPr>
                <w:lang w:eastAsia="en-NZ"/>
              </w:rPr>
            </w:pPr>
            <w:r w:rsidRPr="00181169">
              <w:rPr>
                <w:color w:val="000000"/>
                <w:lang w:eastAsia="en-NZ"/>
              </w:rPr>
              <w:lastRenderedPageBreak/>
              <w:t xml:space="preserve">Forecast levels of activity are achieved across appropriations with monthly updated financial, recruitment and activity forecasts, </w:t>
            </w:r>
            <w:r w:rsidRPr="00181169">
              <w:rPr>
                <w:color w:val="000000"/>
                <w:lang w:eastAsia="en-NZ"/>
              </w:rPr>
              <w:lastRenderedPageBreak/>
              <w:t>including improved granularity and quality of information over time</w:t>
            </w:r>
          </w:p>
        </w:tc>
      </w:tr>
      <w:tr w:rsidR="0027179A" w:rsidRPr="000F3AF0" w14:paraId="0631C54A" w14:textId="77777777" w:rsidTr="00E02472">
        <w:tc>
          <w:tcPr>
            <w:tcW w:w="851" w:type="dxa"/>
            <w:shd w:val="clear" w:color="auto" w:fill="auto"/>
            <w:noWrap/>
            <w:vAlign w:val="center"/>
            <w:hideMark/>
          </w:tcPr>
          <w:p w14:paraId="786FE38A" w14:textId="2DDBA8BD" w:rsidR="0027179A" w:rsidRPr="00181169" w:rsidRDefault="0027179A" w:rsidP="0027179A">
            <w:pPr>
              <w:pStyle w:val="TableText"/>
              <w:rPr>
                <w:lang w:eastAsia="en-NZ"/>
              </w:rPr>
            </w:pPr>
            <w:r w:rsidRPr="00181169">
              <w:rPr>
                <w:color w:val="000000"/>
                <w:lang w:eastAsia="en-NZ"/>
              </w:rPr>
              <w:lastRenderedPageBreak/>
              <w:t>6.04</w:t>
            </w:r>
          </w:p>
        </w:tc>
        <w:tc>
          <w:tcPr>
            <w:tcW w:w="2977" w:type="dxa"/>
            <w:shd w:val="clear" w:color="auto" w:fill="auto"/>
            <w:vAlign w:val="center"/>
            <w:hideMark/>
          </w:tcPr>
          <w:p w14:paraId="77791765" w14:textId="1866F7D5" w:rsidR="0027179A" w:rsidRPr="00181169" w:rsidRDefault="0027179A" w:rsidP="0027179A">
            <w:pPr>
              <w:pStyle w:val="TableText"/>
              <w:rPr>
                <w:lang w:eastAsia="en-NZ"/>
              </w:rPr>
            </w:pPr>
            <w:r w:rsidRPr="00181169">
              <w:rPr>
                <w:color w:val="000000"/>
                <w:lang w:eastAsia="en-NZ"/>
              </w:rPr>
              <w:t xml:space="preserve">The Minister of Health and monitors receive timely and responsive financial risk reporting to inform decision-making </w:t>
            </w:r>
          </w:p>
        </w:tc>
        <w:tc>
          <w:tcPr>
            <w:tcW w:w="4252" w:type="dxa"/>
            <w:shd w:val="clear" w:color="auto" w:fill="auto"/>
            <w:vAlign w:val="center"/>
            <w:hideMark/>
          </w:tcPr>
          <w:p w14:paraId="7B837E0A" w14:textId="11DBA348" w:rsidR="0027179A" w:rsidRPr="00181169" w:rsidRDefault="0027179A" w:rsidP="0027179A">
            <w:pPr>
              <w:pStyle w:val="TableText"/>
              <w:rPr>
                <w:lang w:eastAsia="en-NZ"/>
              </w:rPr>
            </w:pPr>
            <w:r w:rsidRPr="00181169">
              <w:rPr>
                <w:color w:val="000000"/>
                <w:lang w:eastAsia="en-NZ"/>
              </w:rPr>
              <w:t>Detailed quantified quarterly reporting to monitors on financial risks, including addition reporting if risks arise</w:t>
            </w:r>
          </w:p>
        </w:tc>
        <w:tc>
          <w:tcPr>
            <w:tcW w:w="5387" w:type="dxa"/>
            <w:shd w:val="clear" w:color="auto" w:fill="auto"/>
            <w:vAlign w:val="center"/>
            <w:hideMark/>
          </w:tcPr>
          <w:p w14:paraId="3C63D5BA" w14:textId="77777777" w:rsidR="0027179A" w:rsidRDefault="0027179A" w:rsidP="0027179A">
            <w:pPr>
              <w:pStyle w:val="TableText"/>
              <w:rPr>
                <w:color w:val="000000"/>
                <w:lang w:eastAsia="en-NZ"/>
              </w:rPr>
            </w:pPr>
            <w:r w:rsidRPr="00181169">
              <w:rPr>
                <w:color w:val="000000"/>
                <w:lang w:eastAsia="en-NZ"/>
              </w:rPr>
              <w:t xml:space="preserve">Financial risks and how these are being managed and mitigated are reported on a quarterly basis to monitors, with additional timely reporting to monitors and the Minister of Health if there are material risks of exceeding appropriations, including but not limited to if: </w:t>
            </w:r>
          </w:p>
          <w:p w14:paraId="5D0B1144" w14:textId="476FBF55" w:rsidR="0027179A" w:rsidRDefault="0027179A" w:rsidP="0027179A">
            <w:pPr>
              <w:pStyle w:val="TableBullet"/>
              <w:framePr w:wrap="around"/>
            </w:pPr>
            <w:r w:rsidRPr="004954D4">
              <w:t xml:space="preserve">Health </w:t>
            </w:r>
            <w:r w:rsidRPr="005F3284">
              <w:t xml:space="preserve">NZ wishes to offer a wage settlement higher than budgeted for </w:t>
            </w:r>
          </w:p>
          <w:p w14:paraId="0CA24F99" w14:textId="55A4CDA4" w:rsidR="0027179A" w:rsidRDefault="0027179A" w:rsidP="0027179A">
            <w:pPr>
              <w:pStyle w:val="TableBullet"/>
              <w:framePr w:wrap="around"/>
            </w:pPr>
            <w:r>
              <w:t xml:space="preserve">growth in </w:t>
            </w:r>
            <w:r w:rsidR="007A2207">
              <w:t>f</w:t>
            </w:r>
            <w:r>
              <w:t xml:space="preserve">ull-time equivalent </w:t>
            </w:r>
            <w:r w:rsidR="007A2207">
              <w:t xml:space="preserve">(FTE) staff </w:t>
            </w:r>
            <w:r>
              <w:t>in</w:t>
            </w:r>
            <w:r w:rsidRPr="005F3284">
              <w:t xml:space="preserve"> a given month at a national or regional level would not be financially sustainable on an ongoing basis</w:t>
            </w:r>
          </w:p>
          <w:p w14:paraId="044C825C" w14:textId="49D457A7" w:rsidR="0027179A" w:rsidRPr="00256666" w:rsidRDefault="0027179A" w:rsidP="0027179A">
            <w:pPr>
              <w:pStyle w:val="TableBullet"/>
              <w:framePr w:wrap="around"/>
            </w:pPr>
            <w:r w:rsidRPr="005F3284">
              <w:t xml:space="preserve">Health NZ wishes to </w:t>
            </w:r>
            <w:r>
              <w:t>m</w:t>
            </w:r>
            <w:r w:rsidRPr="00256666">
              <w:t>ake decisions around expanding service coverage or scope that cannot be sustainably funded on an ongoing basis</w:t>
            </w:r>
          </w:p>
        </w:tc>
      </w:tr>
      <w:tr w:rsidR="0027179A" w:rsidRPr="000F3AF0" w14:paraId="1EB95DF9" w14:textId="77777777" w:rsidTr="00E02472">
        <w:tc>
          <w:tcPr>
            <w:tcW w:w="851" w:type="dxa"/>
            <w:shd w:val="clear" w:color="auto" w:fill="auto"/>
            <w:noWrap/>
            <w:vAlign w:val="center"/>
            <w:hideMark/>
          </w:tcPr>
          <w:p w14:paraId="3E6A4E65" w14:textId="3EFE7A67" w:rsidR="0027179A" w:rsidRPr="00181169" w:rsidRDefault="0027179A" w:rsidP="0027179A">
            <w:pPr>
              <w:pStyle w:val="TableText"/>
              <w:rPr>
                <w:lang w:eastAsia="en-NZ"/>
              </w:rPr>
            </w:pPr>
            <w:r w:rsidRPr="00181169">
              <w:rPr>
                <w:color w:val="000000"/>
                <w:lang w:eastAsia="en-NZ"/>
              </w:rPr>
              <w:t>6.05</w:t>
            </w:r>
          </w:p>
        </w:tc>
        <w:tc>
          <w:tcPr>
            <w:tcW w:w="2977" w:type="dxa"/>
            <w:shd w:val="clear" w:color="auto" w:fill="auto"/>
            <w:vAlign w:val="center"/>
            <w:hideMark/>
          </w:tcPr>
          <w:p w14:paraId="0F4E6078" w14:textId="040A3988" w:rsidR="0027179A" w:rsidRPr="00181169" w:rsidRDefault="0027179A" w:rsidP="0027179A">
            <w:pPr>
              <w:pStyle w:val="TableText"/>
              <w:rPr>
                <w:lang w:eastAsia="en-NZ"/>
              </w:rPr>
            </w:pPr>
            <w:r w:rsidRPr="00181169">
              <w:rPr>
                <w:color w:val="000000"/>
                <w:lang w:eastAsia="en-NZ"/>
              </w:rPr>
              <w:t>Spending by appropriation does not exceed funding</w:t>
            </w:r>
          </w:p>
        </w:tc>
        <w:tc>
          <w:tcPr>
            <w:tcW w:w="4252" w:type="dxa"/>
            <w:shd w:val="clear" w:color="auto" w:fill="auto"/>
            <w:vAlign w:val="center"/>
            <w:hideMark/>
          </w:tcPr>
          <w:p w14:paraId="4CD7A506" w14:textId="1CD6C554" w:rsidR="0027179A" w:rsidRPr="00181169" w:rsidRDefault="0027179A" w:rsidP="0027179A">
            <w:pPr>
              <w:pStyle w:val="TableText"/>
              <w:rPr>
                <w:lang w:eastAsia="en-NZ"/>
              </w:rPr>
            </w:pPr>
            <w:r w:rsidRPr="00181169">
              <w:rPr>
                <w:color w:val="000000"/>
                <w:lang w:eastAsia="en-NZ"/>
              </w:rPr>
              <w:t xml:space="preserve">Financial reporting on expenditure by appropriation </w:t>
            </w:r>
          </w:p>
        </w:tc>
        <w:tc>
          <w:tcPr>
            <w:tcW w:w="5387" w:type="dxa"/>
            <w:shd w:val="clear" w:color="auto" w:fill="auto"/>
            <w:vAlign w:val="center"/>
            <w:hideMark/>
          </w:tcPr>
          <w:p w14:paraId="07E2B152" w14:textId="6788A30F" w:rsidR="0027179A" w:rsidRPr="00181169" w:rsidRDefault="0027179A" w:rsidP="0027179A">
            <w:pPr>
              <w:pStyle w:val="TableText"/>
              <w:rPr>
                <w:lang w:eastAsia="en-NZ"/>
              </w:rPr>
            </w:pPr>
            <w:r w:rsidRPr="00181169">
              <w:rPr>
                <w:color w:val="000000"/>
                <w:lang w:eastAsia="en-NZ"/>
              </w:rPr>
              <w:t xml:space="preserve">Spend by appropriation does not exceed funding after accounting for other revenue sources and Health NZ seeks joint Ministers’ agreement prior to funding costs in Hospital and Specialist Services from underspends in other appropriations </w:t>
            </w:r>
          </w:p>
        </w:tc>
      </w:tr>
      <w:tr w:rsidR="0027179A" w:rsidRPr="000F3AF0" w14:paraId="00B66281" w14:textId="77777777" w:rsidTr="00E02472">
        <w:tc>
          <w:tcPr>
            <w:tcW w:w="851" w:type="dxa"/>
            <w:shd w:val="clear" w:color="auto" w:fill="auto"/>
            <w:noWrap/>
            <w:vAlign w:val="center"/>
            <w:hideMark/>
          </w:tcPr>
          <w:p w14:paraId="4856E25D" w14:textId="771C5F34" w:rsidR="0027179A" w:rsidRPr="00181169" w:rsidRDefault="0027179A" w:rsidP="0027179A">
            <w:pPr>
              <w:pStyle w:val="TableText"/>
              <w:rPr>
                <w:lang w:eastAsia="en-NZ"/>
              </w:rPr>
            </w:pPr>
            <w:r w:rsidRPr="00181169">
              <w:rPr>
                <w:color w:val="000000"/>
                <w:lang w:eastAsia="en-NZ"/>
              </w:rPr>
              <w:t>6.06</w:t>
            </w:r>
          </w:p>
        </w:tc>
        <w:tc>
          <w:tcPr>
            <w:tcW w:w="2977" w:type="dxa"/>
            <w:shd w:val="clear" w:color="auto" w:fill="auto"/>
            <w:vAlign w:val="center"/>
            <w:hideMark/>
          </w:tcPr>
          <w:p w14:paraId="4836D982" w14:textId="5FCDC49A" w:rsidR="0027179A" w:rsidRPr="00181169" w:rsidRDefault="0027179A" w:rsidP="0027179A">
            <w:pPr>
              <w:pStyle w:val="TableText"/>
              <w:rPr>
                <w:lang w:eastAsia="en-NZ"/>
              </w:rPr>
            </w:pPr>
            <w:r w:rsidRPr="00181169">
              <w:rPr>
                <w:color w:val="000000"/>
                <w:lang w:eastAsia="en-NZ"/>
              </w:rPr>
              <w:t xml:space="preserve">A focus on value for money and continuous improvement is consistent across the health system </w:t>
            </w:r>
          </w:p>
        </w:tc>
        <w:tc>
          <w:tcPr>
            <w:tcW w:w="4252" w:type="dxa"/>
            <w:shd w:val="clear" w:color="auto" w:fill="auto"/>
            <w:vAlign w:val="center"/>
            <w:hideMark/>
          </w:tcPr>
          <w:p w14:paraId="7B433441" w14:textId="2E26E579" w:rsidR="0027179A" w:rsidRPr="00181169" w:rsidRDefault="0027179A" w:rsidP="0027179A">
            <w:pPr>
              <w:pStyle w:val="TableText"/>
              <w:rPr>
                <w:lang w:eastAsia="en-NZ"/>
              </w:rPr>
            </w:pPr>
            <w:r w:rsidRPr="00181169">
              <w:rPr>
                <w:color w:val="000000"/>
                <w:lang w:eastAsia="en-NZ"/>
              </w:rPr>
              <w:t>Visibility for monitors of a consistent approach to investment and disinvestment decision-making</w:t>
            </w:r>
          </w:p>
        </w:tc>
        <w:tc>
          <w:tcPr>
            <w:tcW w:w="5387" w:type="dxa"/>
            <w:shd w:val="clear" w:color="auto" w:fill="auto"/>
            <w:vAlign w:val="center"/>
            <w:hideMark/>
          </w:tcPr>
          <w:p w14:paraId="5C388E42" w14:textId="5AE23B75" w:rsidR="0027179A" w:rsidRPr="00181169" w:rsidRDefault="0027179A" w:rsidP="0027179A">
            <w:pPr>
              <w:pStyle w:val="TableText"/>
              <w:rPr>
                <w:lang w:eastAsia="en-NZ"/>
              </w:rPr>
            </w:pPr>
            <w:r w:rsidRPr="00181169">
              <w:rPr>
                <w:color w:val="000000"/>
                <w:lang w:eastAsia="en-NZ"/>
              </w:rPr>
              <w:t>By 2027, develop investment and disinvestment frameworks that drive towards value maximisation with identified paths of continuous improvement, with cross-system consistency</w:t>
            </w:r>
          </w:p>
        </w:tc>
      </w:tr>
      <w:tr w:rsidR="0027179A" w:rsidRPr="000F3AF0" w14:paraId="09A557AD" w14:textId="77777777" w:rsidTr="00E02472">
        <w:tc>
          <w:tcPr>
            <w:tcW w:w="851" w:type="dxa"/>
            <w:shd w:val="clear" w:color="auto" w:fill="auto"/>
            <w:noWrap/>
            <w:vAlign w:val="center"/>
            <w:hideMark/>
          </w:tcPr>
          <w:p w14:paraId="6FEDB13F" w14:textId="5DBC7031" w:rsidR="0027179A" w:rsidRPr="00181169" w:rsidRDefault="0027179A" w:rsidP="0027179A">
            <w:pPr>
              <w:pStyle w:val="TableText"/>
              <w:rPr>
                <w:lang w:eastAsia="en-NZ"/>
              </w:rPr>
            </w:pPr>
            <w:r w:rsidRPr="00181169">
              <w:rPr>
                <w:color w:val="000000"/>
                <w:lang w:eastAsia="en-NZ"/>
              </w:rPr>
              <w:t>6.07</w:t>
            </w:r>
          </w:p>
        </w:tc>
        <w:tc>
          <w:tcPr>
            <w:tcW w:w="2977" w:type="dxa"/>
            <w:shd w:val="clear" w:color="auto" w:fill="auto"/>
            <w:vAlign w:val="center"/>
            <w:hideMark/>
          </w:tcPr>
          <w:p w14:paraId="0CB5BB8C" w14:textId="39FD4FE3" w:rsidR="0027179A" w:rsidRPr="00181169" w:rsidRDefault="0027179A" w:rsidP="0027179A">
            <w:pPr>
              <w:pStyle w:val="TableText"/>
              <w:rPr>
                <w:lang w:eastAsia="en-NZ"/>
              </w:rPr>
            </w:pPr>
            <w:r w:rsidRPr="00181169">
              <w:rPr>
                <w:color w:val="000000"/>
                <w:lang w:eastAsia="en-NZ"/>
              </w:rPr>
              <w:t>Health NZ closely monitors and actively manages productivity performance, which consequently improves over time</w:t>
            </w:r>
          </w:p>
        </w:tc>
        <w:tc>
          <w:tcPr>
            <w:tcW w:w="4252" w:type="dxa"/>
            <w:shd w:val="clear" w:color="auto" w:fill="auto"/>
            <w:vAlign w:val="center"/>
            <w:hideMark/>
          </w:tcPr>
          <w:p w14:paraId="32E89A0A" w14:textId="3F8E46D4" w:rsidR="0027179A" w:rsidRPr="00181169" w:rsidRDefault="0027179A" w:rsidP="0027179A">
            <w:pPr>
              <w:pStyle w:val="TableText"/>
            </w:pPr>
            <w:r w:rsidRPr="00181169">
              <w:t>Health NZ’s reporting internally and to monitors includes productivity measures and insights, including but not limited to measures of case-weights per</w:t>
            </w:r>
            <w:r>
              <w:t xml:space="preserve"> </w:t>
            </w:r>
            <w:r w:rsidRPr="00181169">
              <w:t>FTE and measures relating to bed days and theatre utilisation</w:t>
            </w:r>
            <w:r w:rsidRPr="00181169">
              <w:rPr>
                <w:lang w:eastAsia="en-NZ"/>
              </w:rPr>
              <w:br/>
            </w:r>
            <w:r w:rsidRPr="00181169">
              <w:rPr>
                <w:lang w:eastAsia="en-NZ"/>
              </w:rPr>
              <w:br/>
            </w:r>
            <w:r w:rsidRPr="00181169">
              <w:lastRenderedPageBreak/>
              <w:t>Health NZ reports at least six-monthly on progress against a productivity improvement plan</w:t>
            </w:r>
          </w:p>
        </w:tc>
        <w:tc>
          <w:tcPr>
            <w:tcW w:w="5387" w:type="dxa"/>
            <w:shd w:val="clear" w:color="auto" w:fill="auto"/>
            <w:vAlign w:val="center"/>
            <w:hideMark/>
          </w:tcPr>
          <w:p w14:paraId="401A668C" w14:textId="77777777" w:rsidR="0027179A" w:rsidRDefault="0027179A" w:rsidP="0027179A">
            <w:pPr>
              <w:pStyle w:val="TableText"/>
            </w:pPr>
            <w:r w:rsidRPr="00181169">
              <w:lastRenderedPageBreak/>
              <w:t>Decision-makers in Health NZ and external monitors receive productivity data and associated data-led insights at least quarterly from February 2025, with the suite of measures being improved and expanded over time. The suite should at the outset include measures of case-weights per FTE and measures relating to bed days and theatre utilisation</w:t>
            </w:r>
            <w:r w:rsidRPr="00181169">
              <w:rPr>
                <w:lang w:eastAsia="en-NZ"/>
              </w:rPr>
              <w:br/>
            </w:r>
            <w:r w:rsidRPr="00181169">
              <w:rPr>
                <w:lang w:eastAsia="en-NZ"/>
              </w:rPr>
              <w:br/>
            </w:r>
            <w:r w:rsidRPr="00181169">
              <w:lastRenderedPageBreak/>
              <w:t>Productivity improves over time as Health NZ generates and implements a productivity improvement plan</w:t>
            </w:r>
            <w:r>
              <w:t xml:space="preserve">, and </w:t>
            </w:r>
            <w:r w:rsidRPr="00181169">
              <w:t xml:space="preserve">reports against </w:t>
            </w:r>
            <w:r>
              <w:t xml:space="preserve">it every </w:t>
            </w:r>
            <w:r w:rsidRPr="00181169">
              <w:t>six-month</w:t>
            </w:r>
            <w:r>
              <w:t>s,</w:t>
            </w:r>
            <w:r w:rsidRPr="00181169">
              <w:t xml:space="preserve"> that supports it to: </w:t>
            </w:r>
          </w:p>
          <w:p w14:paraId="4FDCE732" w14:textId="77777777" w:rsidR="0027179A" w:rsidRDefault="0027179A" w:rsidP="0027179A">
            <w:pPr>
              <w:pStyle w:val="TableBullet"/>
              <w:framePr w:wrap="around"/>
            </w:pPr>
            <w:r w:rsidRPr="00F051EC">
              <w:t>innovate, experimenting sensible to trial new approaches that could improve efficiency</w:t>
            </w:r>
          </w:p>
          <w:p w14:paraId="3467B55C" w14:textId="689E36F0" w:rsidR="0027179A" w:rsidRPr="00F051EC" w:rsidRDefault="0027179A" w:rsidP="0027179A">
            <w:pPr>
              <w:pStyle w:val="TableBullet"/>
              <w:framePr w:wrap="around"/>
            </w:pPr>
            <w:r w:rsidRPr="00F051EC">
              <w:t>reduce unwarranted variation in costs by using productivity data to identify outliers (positive and negative) and responding accordingly, with a particular focus on Hospital and Specialist Services. This should include, by the end of 2025, acting on insights generated by baseline reviews and Hospital Roundtable data</w:t>
            </w:r>
          </w:p>
        </w:tc>
      </w:tr>
      <w:tr w:rsidR="0027179A" w:rsidRPr="000F3AF0" w14:paraId="668912BF" w14:textId="77777777" w:rsidTr="00E02472">
        <w:tc>
          <w:tcPr>
            <w:tcW w:w="851" w:type="dxa"/>
            <w:shd w:val="clear" w:color="auto" w:fill="auto"/>
            <w:noWrap/>
            <w:vAlign w:val="center"/>
            <w:hideMark/>
          </w:tcPr>
          <w:p w14:paraId="272145BE" w14:textId="7A054D42" w:rsidR="0027179A" w:rsidRPr="00181169" w:rsidRDefault="0027179A" w:rsidP="0027179A">
            <w:pPr>
              <w:pStyle w:val="TableText"/>
              <w:rPr>
                <w:lang w:eastAsia="en-NZ"/>
              </w:rPr>
            </w:pPr>
            <w:r w:rsidRPr="00181169">
              <w:rPr>
                <w:color w:val="000000"/>
                <w:lang w:eastAsia="en-NZ"/>
              </w:rPr>
              <w:lastRenderedPageBreak/>
              <w:t>6.08</w:t>
            </w:r>
          </w:p>
        </w:tc>
        <w:tc>
          <w:tcPr>
            <w:tcW w:w="2977" w:type="dxa"/>
            <w:shd w:val="clear" w:color="auto" w:fill="auto"/>
            <w:vAlign w:val="center"/>
            <w:hideMark/>
          </w:tcPr>
          <w:p w14:paraId="427D3ED9" w14:textId="03F6F72F" w:rsidR="0027179A" w:rsidRPr="00181169" w:rsidRDefault="0027179A" w:rsidP="0027179A">
            <w:pPr>
              <w:pStyle w:val="TableText"/>
              <w:rPr>
                <w:lang w:eastAsia="en-NZ"/>
              </w:rPr>
            </w:pPr>
            <w:r w:rsidRPr="00181169">
              <w:rPr>
                <w:color w:val="000000"/>
                <w:lang w:eastAsia="en-NZ"/>
              </w:rPr>
              <w:t>Reduction in unwarranted variation in costs</w:t>
            </w:r>
          </w:p>
        </w:tc>
        <w:tc>
          <w:tcPr>
            <w:tcW w:w="4252" w:type="dxa"/>
            <w:shd w:val="clear" w:color="auto" w:fill="auto"/>
            <w:vAlign w:val="center"/>
            <w:hideMark/>
          </w:tcPr>
          <w:p w14:paraId="59E0E6D8" w14:textId="1B76F45E" w:rsidR="0027179A" w:rsidRPr="00181169" w:rsidRDefault="0027179A" w:rsidP="0027179A">
            <w:pPr>
              <w:pStyle w:val="TableText"/>
            </w:pPr>
            <w:r w:rsidRPr="00181169">
              <w:t xml:space="preserve">Performance against measures in </w:t>
            </w:r>
            <w:r w:rsidRPr="00181169">
              <w:rPr>
                <w:lang w:eastAsia="en-NZ"/>
              </w:rPr>
              <w:t xml:space="preserve">the productivity </w:t>
            </w:r>
            <w:r w:rsidRPr="00181169">
              <w:t>plan</w:t>
            </w:r>
            <w:r w:rsidRPr="00181169">
              <w:rPr>
                <w:strike/>
              </w:rPr>
              <w:t xml:space="preserve"> </w:t>
            </w:r>
            <w:r w:rsidRPr="00181169">
              <w:rPr>
                <w:lang w:eastAsia="en-NZ"/>
              </w:rPr>
              <w:t>referenced</w:t>
            </w:r>
            <w:r w:rsidRPr="00181169">
              <w:t xml:space="preserve"> in </w:t>
            </w:r>
            <w:r w:rsidRPr="00181169">
              <w:rPr>
                <w:lang w:eastAsia="en-NZ"/>
              </w:rPr>
              <w:t>6.07 above</w:t>
            </w:r>
            <w:r w:rsidRPr="00181169">
              <w:t xml:space="preserve"> to reduce unwarranted variation in costs </w:t>
            </w:r>
          </w:p>
        </w:tc>
        <w:tc>
          <w:tcPr>
            <w:tcW w:w="5387" w:type="dxa"/>
            <w:shd w:val="clear" w:color="auto" w:fill="auto"/>
            <w:vAlign w:val="center"/>
            <w:hideMark/>
          </w:tcPr>
          <w:p w14:paraId="2404C868" w14:textId="60A911F8" w:rsidR="0027179A" w:rsidRPr="00181169" w:rsidRDefault="0027179A" w:rsidP="0027179A">
            <w:pPr>
              <w:pStyle w:val="TableText"/>
            </w:pPr>
            <w:r w:rsidRPr="00181169">
              <w:t xml:space="preserve">Deliver on measures within the </w:t>
            </w:r>
            <w:r w:rsidRPr="00181169">
              <w:rPr>
                <w:lang w:eastAsia="en-NZ"/>
              </w:rPr>
              <w:t xml:space="preserve">productivity </w:t>
            </w:r>
            <w:r w:rsidRPr="00181169">
              <w:t xml:space="preserve">plan referenced in </w:t>
            </w:r>
            <w:r w:rsidRPr="00181169">
              <w:rPr>
                <w:lang w:eastAsia="en-NZ"/>
              </w:rPr>
              <w:t>6.07 above</w:t>
            </w:r>
            <w:r w:rsidRPr="00181169">
              <w:t xml:space="preserve"> to reduce unwarranted variation in costs</w:t>
            </w:r>
            <w:r w:rsidRPr="00181169">
              <w:rPr>
                <w:lang w:eastAsia="en-NZ"/>
              </w:rPr>
              <w:t>, noting this is only one aspect in reducing</w:t>
            </w:r>
            <w:r w:rsidRPr="00181169">
              <w:t xml:space="preserve"> unwarranted variation in </w:t>
            </w:r>
            <w:r w:rsidRPr="00181169">
              <w:rPr>
                <w:lang w:eastAsia="en-NZ"/>
              </w:rPr>
              <w:t xml:space="preserve">performance </w:t>
            </w:r>
            <w:r w:rsidRPr="00181169">
              <w:t xml:space="preserve">and </w:t>
            </w:r>
            <w:r w:rsidRPr="00181169">
              <w:rPr>
                <w:lang w:eastAsia="en-NZ"/>
              </w:rPr>
              <w:t>improvements across the system are planned</w:t>
            </w:r>
          </w:p>
        </w:tc>
      </w:tr>
      <w:tr w:rsidR="0027179A" w:rsidRPr="000F3AF0" w14:paraId="02BA9A4A" w14:textId="77777777" w:rsidTr="00E02472">
        <w:tc>
          <w:tcPr>
            <w:tcW w:w="851" w:type="dxa"/>
            <w:shd w:val="clear" w:color="auto" w:fill="auto"/>
            <w:noWrap/>
            <w:vAlign w:val="center"/>
            <w:hideMark/>
          </w:tcPr>
          <w:p w14:paraId="33A128D7" w14:textId="52887F69" w:rsidR="0027179A" w:rsidRPr="00181169" w:rsidRDefault="0027179A" w:rsidP="0027179A">
            <w:pPr>
              <w:pStyle w:val="TableText"/>
              <w:rPr>
                <w:lang w:eastAsia="en-NZ"/>
              </w:rPr>
            </w:pPr>
            <w:r w:rsidRPr="00181169">
              <w:rPr>
                <w:color w:val="000000"/>
                <w:lang w:eastAsia="en-NZ"/>
              </w:rPr>
              <w:t>6.09</w:t>
            </w:r>
          </w:p>
        </w:tc>
        <w:tc>
          <w:tcPr>
            <w:tcW w:w="2977" w:type="dxa"/>
            <w:shd w:val="clear" w:color="auto" w:fill="auto"/>
            <w:vAlign w:val="center"/>
            <w:hideMark/>
          </w:tcPr>
          <w:p w14:paraId="48A898D2" w14:textId="09D4A85D" w:rsidR="0027179A" w:rsidRPr="00181169" w:rsidRDefault="0027179A" w:rsidP="0027179A">
            <w:pPr>
              <w:pStyle w:val="TableText"/>
              <w:rPr>
                <w:lang w:eastAsia="en-NZ"/>
              </w:rPr>
            </w:pPr>
            <w:r w:rsidRPr="00181169">
              <w:rPr>
                <w:color w:val="000000"/>
                <w:lang w:eastAsia="en-NZ"/>
              </w:rPr>
              <w:t>Decision-makers and monitors have improved visibility of cost structures across the system</w:t>
            </w:r>
          </w:p>
        </w:tc>
        <w:tc>
          <w:tcPr>
            <w:tcW w:w="4252" w:type="dxa"/>
            <w:shd w:val="clear" w:color="auto" w:fill="auto"/>
            <w:vAlign w:val="center"/>
            <w:hideMark/>
          </w:tcPr>
          <w:p w14:paraId="06FB8C88" w14:textId="7A1B024F" w:rsidR="0027179A" w:rsidRPr="00181169" w:rsidRDefault="0027179A" w:rsidP="0027179A">
            <w:pPr>
              <w:pStyle w:val="TableText"/>
              <w:rPr>
                <w:lang w:eastAsia="en-NZ"/>
              </w:rPr>
            </w:pPr>
            <w:r w:rsidRPr="00181169">
              <w:rPr>
                <w:color w:val="000000"/>
                <w:lang w:eastAsia="en-NZ"/>
              </w:rPr>
              <w:t xml:space="preserve">Quarterly reporting against Costing Initiative Plans and milestones provided to monitors </w:t>
            </w:r>
          </w:p>
        </w:tc>
        <w:tc>
          <w:tcPr>
            <w:tcW w:w="5387" w:type="dxa"/>
            <w:shd w:val="clear" w:color="auto" w:fill="auto"/>
            <w:vAlign w:val="center"/>
            <w:hideMark/>
          </w:tcPr>
          <w:p w14:paraId="7B4AE185" w14:textId="6D9CC2A2" w:rsidR="0027179A" w:rsidRPr="00181169" w:rsidRDefault="0027179A" w:rsidP="0027179A">
            <w:pPr>
              <w:pStyle w:val="TableText"/>
              <w:rPr>
                <w:lang w:eastAsia="en-NZ"/>
              </w:rPr>
            </w:pPr>
            <w:r w:rsidRPr="00181169">
              <w:rPr>
                <w:color w:val="000000"/>
                <w:lang w:eastAsia="en-NZ"/>
              </w:rPr>
              <w:t>From 2024/25, there is clear visibility of and regular quarterly reporting against Costing Initiative Plans and milestones</w:t>
            </w:r>
          </w:p>
        </w:tc>
      </w:tr>
      <w:tr w:rsidR="0027179A" w:rsidRPr="000F3AF0" w14:paraId="0CBA2275" w14:textId="77777777" w:rsidTr="00E02472">
        <w:tc>
          <w:tcPr>
            <w:tcW w:w="851" w:type="dxa"/>
            <w:shd w:val="clear" w:color="auto" w:fill="auto"/>
            <w:noWrap/>
            <w:vAlign w:val="center"/>
            <w:hideMark/>
          </w:tcPr>
          <w:p w14:paraId="4BBDBCCF" w14:textId="0A07811D" w:rsidR="0027179A" w:rsidRPr="00181169" w:rsidRDefault="0027179A" w:rsidP="0027179A">
            <w:pPr>
              <w:pStyle w:val="TableText"/>
              <w:rPr>
                <w:lang w:eastAsia="en-NZ"/>
              </w:rPr>
            </w:pPr>
            <w:r w:rsidRPr="00181169">
              <w:rPr>
                <w:color w:val="000000"/>
                <w:lang w:eastAsia="en-NZ"/>
              </w:rPr>
              <w:t>6.10</w:t>
            </w:r>
          </w:p>
        </w:tc>
        <w:tc>
          <w:tcPr>
            <w:tcW w:w="2977" w:type="dxa"/>
            <w:shd w:val="clear" w:color="auto" w:fill="auto"/>
            <w:vAlign w:val="center"/>
            <w:hideMark/>
          </w:tcPr>
          <w:p w14:paraId="49012652" w14:textId="1EC3A54F" w:rsidR="0027179A" w:rsidRPr="00181169" w:rsidRDefault="0027179A" w:rsidP="0027179A">
            <w:pPr>
              <w:pStyle w:val="TableText"/>
              <w:rPr>
                <w:lang w:eastAsia="en-NZ"/>
              </w:rPr>
            </w:pPr>
            <w:r w:rsidRPr="00181169">
              <w:rPr>
                <w:color w:val="000000"/>
                <w:lang w:eastAsia="en-NZ"/>
              </w:rPr>
              <w:t>Strengthened focus on prevention and early intervention</w:t>
            </w:r>
          </w:p>
        </w:tc>
        <w:tc>
          <w:tcPr>
            <w:tcW w:w="4252" w:type="dxa"/>
            <w:shd w:val="clear" w:color="auto" w:fill="auto"/>
            <w:vAlign w:val="center"/>
            <w:hideMark/>
          </w:tcPr>
          <w:p w14:paraId="4C27EF74" w14:textId="4FE66578" w:rsidR="0027179A" w:rsidRPr="00181169" w:rsidRDefault="0027179A" w:rsidP="0027179A">
            <w:pPr>
              <w:pStyle w:val="TableText"/>
              <w:rPr>
                <w:lang w:eastAsia="en-NZ"/>
              </w:rPr>
            </w:pPr>
            <w:r w:rsidRPr="00181169">
              <w:rPr>
                <w:color w:val="000000"/>
                <w:lang w:eastAsia="en-NZ"/>
              </w:rPr>
              <w:t>Plan for improving visibility of spend on and better targeting of funding towards preventative measures and early interventions</w:t>
            </w:r>
          </w:p>
        </w:tc>
        <w:tc>
          <w:tcPr>
            <w:tcW w:w="5387" w:type="dxa"/>
            <w:shd w:val="clear" w:color="auto" w:fill="auto"/>
            <w:vAlign w:val="center"/>
            <w:hideMark/>
          </w:tcPr>
          <w:p w14:paraId="331A22E9" w14:textId="397635B6" w:rsidR="0027179A" w:rsidRPr="00181169" w:rsidRDefault="0027179A" w:rsidP="0027179A">
            <w:pPr>
              <w:pStyle w:val="TableText"/>
              <w:rPr>
                <w:lang w:eastAsia="en-NZ"/>
              </w:rPr>
            </w:pPr>
            <w:r w:rsidRPr="00181169">
              <w:rPr>
                <w:color w:val="000000"/>
                <w:lang w:eastAsia="en-NZ"/>
              </w:rPr>
              <w:t>Health NZ provides a clear plan for improved visibility of spend</w:t>
            </w:r>
            <w:r>
              <w:rPr>
                <w:color w:val="000000"/>
                <w:lang w:eastAsia="en-NZ"/>
              </w:rPr>
              <w:t>ing</w:t>
            </w:r>
            <w:r w:rsidRPr="00181169">
              <w:rPr>
                <w:color w:val="000000"/>
                <w:lang w:eastAsia="en-NZ"/>
              </w:rPr>
              <w:t xml:space="preserve"> on preventative measures and early interventions across all appropriations, as well as identify</w:t>
            </w:r>
            <w:r>
              <w:rPr>
                <w:color w:val="000000"/>
                <w:lang w:eastAsia="en-NZ"/>
              </w:rPr>
              <w:t>ing</w:t>
            </w:r>
            <w:r w:rsidRPr="00181169">
              <w:rPr>
                <w:color w:val="000000"/>
                <w:lang w:eastAsia="en-NZ"/>
              </w:rPr>
              <w:t xml:space="preserve"> opportunities to better target funding within baseline towards prevention activities </w:t>
            </w:r>
          </w:p>
        </w:tc>
      </w:tr>
      <w:tr w:rsidR="0027179A" w:rsidRPr="000F3AF0" w14:paraId="058117D9" w14:textId="77777777" w:rsidTr="00E02472">
        <w:tc>
          <w:tcPr>
            <w:tcW w:w="851" w:type="dxa"/>
            <w:shd w:val="clear" w:color="auto" w:fill="auto"/>
            <w:noWrap/>
            <w:vAlign w:val="center"/>
            <w:hideMark/>
          </w:tcPr>
          <w:p w14:paraId="5BC8A5DD" w14:textId="5A105708" w:rsidR="0027179A" w:rsidRPr="00181169" w:rsidRDefault="0027179A" w:rsidP="0027179A">
            <w:pPr>
              <w:pStyle w:val="TableText"/>
              <w:rPr>
                <w:lang w:eastAsia="en-NZ"/>
              </w:rPr>
            </w:pPr>
            <w:r w:rsidRPr="00181169">
              <w:rPr>
                <w:color w:val="000000"/>
                <w:lang w:eastAsia="en-NZ"/>
              </w:rPr>
              <w:t>6.11</w:t>
            </w:r>
          </w:p>
        </w:tc>
        <w:tc>
          <w:tcPr>
            <w:tcW w:w="2977" w:type="dxa"/>
            <w:shd w:val="clear" w:color="auto" w:fill="auto"/>
            <w:vAlign w:val="center"/>
            <w:hideMark/>
          </w:tcPr>
          <w:p w14:paraId="3B8FF470" w14:textId="3499C1E1" w:rsidR="0027179A" w:rsidRPr="00181169" w:rsidRDefault="0027179A" w:rsidP="0027179A">
            <w:pPr>
              <w:pStyle w:val="TableText"/>
              <w:rPr>
                <w:lang w:eastAsia="en-NZ"/>
              </w:rPr>
            </w:pPr>
            <w:r w:rsidRPr="00181169">
              <w:rPr>
                <w:color w:val="000000"/>
                <w:lang w:eastAsia="en-NZ"/>
              </w:rPr>
              <w:t>Expenditure and FTE resources align with the mental health and addiction ringfence expectations set by the Ministry</w:t>
            </w:r>
            <w:r>
              <w:rPr>
                <w:color w:val="000000"/>
                <w:lang w:eastAsia="en-NZ"/>
              </w:rPr>
              <w:t xml:space="preserve"> of Health</w:t>
            </w:r>
          </w:p>
        </w:tc>
        <w:tc>
          <w:tcPr>
            <w:tcW w:w="4252" w:type="dxa"/>
            <w:shd w:val="clear" w:color="auto" w:fill="auto"/>
            <w:vAlign w:val="center"/>
            <w:hideMark/>
          </w:tcPr>
          <w:p w14:paraId="1CA14EC5" w14:textId="32C3A135" w:rsidR="0027179A" w:rsidRPr="00181169" w:rsidRDefault="0027179A" w:rsidP="0027179A">
            <w:pPr>
              <w:pStyle w:val="TableText"/>
              <w:rPr>
                <w:lang w:eastAsia="en-NZ"/>
              </w:rPr>
            </w:pPr>
            <w:r w:rsidRPr="00181169">
              <w:rPr>
                <w:color w:val="000000"/>
                <w:lang w:eastAsia="en-NZ"/>
              </w:rPr>
              <w:t>Expenditure and FTE resources on mental health and addiction as per expectation</w:t>
            </w:r>
            <w:r>
              <w:rPr>
                <w:color w:val="000000"/>
                <w:lang w:eastAsia="en-NZ"/>
              </w:rPr>
              <w:t xml:space="preserve"> set</w:t>
            </w:r>
          </w:p>
        </w:tc>
        <w:tc>
          <w:tcPr>
            <w:tcW w:w="5387" w:type="dxa"/>
            <w:shd w:val="clear" w:color="auto" w:fill="auto"/>
            <w:vAlign w:val="center"/>
            <w:hideMark/>
          </w:tcPr>
          <w:p w14:paraId="7357AC7C" w14:textId="6EDAC209" w:rsidR="0027179A" w:rsidRPr="00181169" w:rsidRDefault="0027179A" w:rsidP="0027179A">
            <w:pPr>
              <w:pStyle w:val="TableText"/>
              <w:rPr>
                <w:lang w:eastAsia="en-NZ"/>
              </w:rPr>
            </w:pPr>
            <w:r w:rsidRPr="00181169">
              <w:rPr>
                <w:color w:val="000000"/>
                <w:lang w:eastAsia="en-NZ"/>
              </w:rPr>
              <w:t>Mental health and addiction funding and resources are prioritised and allocated in line with the ringfence expectations set by the Ministry</w:t>
            </w:r>
            <w:r>
              <w:rPr>
                <w:color w:val="000000"/>
                <w:lang w:eastAsia="en-NZ"/>
              </w:rPr>
              <w:t xml:space="preserve"> of Health</w:t>
            </w:r>
            <w:r w:rsidRPr="00181169">
              <w:rPr>
                <w:color w:val="000000"/>
                <w:lang w:eastAsia="en-NZ"/>
              </w:rPr>
              <w:t>. Expenditure and FTE resources at minimum meet the ringfence level set</w:t>
            </w:r>
          </w:p>
        </w:tc>
      </w:tr>
    </w:tbl>
    <w:p w14:paraId="044DF675" w14:textId="77777777" w:rsidR="00A147BF" w:rsidRDefault="00A147BF" w:rsidP="00E02472">
      <w:pPr>
        <w:tabs>
          <w:tab w:val="left" w:pos="2208"/>
        </w:tabs>
        <w:sectPr w:rsidR="00A147BF" w:rsidSect="00473432">
          <w:footerReference w:type="even" r:id="rId46"/>
          <w:footerReference w:type="default" r:id="rId47"/>
          <w:pgSz w:w="16840" w:h="11907" w:orient="landscape" w:code="9"/>
          <w:pgMar w:top="1134" w:right="1701" w:bottom="1134" w:left="1701" w:header="284" w:footer="425" w:gutter="284"/>
          <w:cols w:space="720"/>
          <w:docGrid w:linePitch="286"/>
        </w:sectPr>
      </w:pPr>
    </w:p>
    <w:tbl>
      <w:tblPr>
        <w:tblW w:w="13178" w:type="dxa"/>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54"/>
        <w:gridCol w:w="3293"/>
        <w:gridCol w:w="3969"/>
        <w:gridCol w:w="4962"/>
      </w:tblGrid>
      <w:tr w:rsidR="00A147BF" w:rsidRPr="00A147BF" w14:paraId="0F14C3D0" w14:textId="77777777" w:rsidTr="00A147BF">
        <w:tc>
          <w:tcPr>
            <w:tcW w:w="13178" w:type="dxa"/>
            <w:gridSpan w:val="4"/>
            <w:shd w:val="clear" w:color="auto" w:fill="D9D9D9" w:themeFill="background1" w:themeFillShade="D9"/>
            <w:vAlign w:val="center"/>
            <w:hideMark/>
          </w:tcPr>
          <w:p w14:paraId="77D059DF" w14:textId="24D545BD" w:rsidR="00A147BF" w:rsidRPr="00A147BF" w:rsidRDefault="00A147BF" w:rsidP="00A147BF">
            <w:pPr>
              <w:pStyle w:val="TableText"/>
              <w:jc w:val="center"/>
              <w:rPr>
                <w:b/>
                <w:bCs/>
              </w:rPr>
            </w:pPr>
            <w:r w:rsidRPr="00A147BF">
              <w:rPr>
                <w:b/>
                <w:bCs/>
              </w:rPr>
              <w:lastRenderedPageBreak/>
              <w:t>Expectation of accelerated actions for Non-communicable diseases</w:t>
            </w:r>
            <w:r w:rsidRPr="00A147BF">
              <w:rPr>
                <w:rFonts w:cs="Segoe UI"/>
                <w:b/>
                <w:bCs/>
                <w:lang w:eastAsia="en-NZ"/>
              </w:rPr>
              <w:t xml:space="preserve"> (NCDs)</w:t>
            </w:r>
          </w:p>
        </w:tc>
      </w:tr>
      <w:tr w:rsidR="00A147BF" w:rsidRPr="00A147BF" w14:paraId="2847CDAF" w14:textId="77777777" w:rsidTr="00A147BF">
        <w:tc>
          <w:tcPr>
            <w:tcW w:w="13178" w:type="dxa"/>
            <w:gridSpan w:val="4"/>
            <w:shd w:val="clear" w:color="auto" w:fill="D9D9D9" w:themeFill="background1" w:themeFillShade="D9"/>
            <w:vAlign w:val="center"/>
            <w:hideMark/>
          </w:tcPr>
          <w:p w14:paraId="2AA8C985" w14:textId="24E12EBE" w:rsidR="00A147BF" w:rsidRPr="00A147BF" w:rsidRDefault="00A147BF" w:rsidP="00A147BF">
            <w:pPr>
              <w:pStyle w:val="TableText"/>
              <w:jc w:val="center"/>
              <w:rPr>
                <w:b/>
                <w:bCs/>
              </w:rPr>
            </w:pPr>
            <w:r w:rsidRPr="00A147BF">
              <w:rPr>
                <w:b/>
                <w:bCs/>
              </w:rPr>
              <w:t>Accelerated action to prevent and reduce the impact of significant non-communicable diseases</w:t>
            </w:r>
          </w:p>
        </w:tc>
      </w:tr>
      <w:tr w:rsidR="00A147BF" w:rsidRPr="00A147BF" w14:paraId="767A1761" w14:textId="77777777" w:rsidTr="00A147BF">
        <w:tc>
          <w:tcPr>
            <w:tcW w:w="954" w:type="dxa"/>
            <w:shd w:val="clear" w:color="auto" w:fill="D9D9D9" w:themeFill="background1" w:themeFillShade="D9"/>
            <w:vAlign w:val="center"/>
            <w:hideMark/>
          </w:tcPr>
          <w:p w14:paraId="65AA684C" w14:textId="77777777" w:rsidR="00A147BF" w:rsidRPr="00A147BF" w:rsidRDefault="00A147BF" w:rsidP="00A147BF">
            <w:pPr>
              <w:pStyle w:val="TableText"/>
              <w:rPr>
                <w:b/>
                <w:bCs/>
              </w:rPr>
            </w:pPr>
          </w:p>
        </w:tc>
        <w:tc>
          <w:tcPr>
            <w:tcW w:w="3293" w:type="dxa"/>
            <w:shd w:val="clear" w:color="auto" w:fill="D9D9D9" w:themeFill="background1" w:themeFillShade="D9"/>
            <w:vAlign w:val="center"/>
            <w:hideMark/>
          </w:tcPr>
          <w:p w14:paraId="55700E84" w14:textId="77777777" w:rsidR="00A147BF" w:rsidRPr="00A147BF" w:rsidRDefault="00A147BF" w:rsidP="00A147BF">
            <w:pPr>
              <w:pStyle w:val="TableText"/>
              <w:rPr>
                <w:b/>
                <w:bCs/>
              </w:rPr>
            </w:pPr>
            <w:r w:rsidRPr="00A147BF">
              <w:rPr>
                <w:b/>
                <w:bCs/>
              </w:rPr>
              <w:t xml:space="preserve">Indicator </w:t>
            </w:r>
          </w:p>
        </w:tc>
        <w:tc>
          <w:tcPr>
            <w:tcW w:w="3969" w:type="dxa"/>
            <w:shd w:val="clear" w:color="auto" w:fill="D9D9D9" w:themeFill="background1" w:themeFillShade="D9"/>
            <w:vAlign w:val="center"/>
            <w:hideMark/>
          </w:tcPr>
          <w:p w14:paraId="46E9AECD" w14:textId="77777777" w:rsidR="00A147BF" w:rsidRPr="00A147BF" w:rsidRDefault="00A147BF" w:rsidP="00A147BF">
            <w:pPr>
              <w:pStyle w:val="TableText"/>
              <w:rPr>
                <w:b/>
                <w:bCs/>
              </w:rPr>
            </w:pPr>
            <w:r w:rsidRPr="00A147BF">
              <w:rPr>
                <w:b/>
                <w:bCs/>
              </w:rPr>
              <w:t>Measure</w:t>
            </w:r>
          </w:p>
        </w:tc>
        <w:tc>
          <w:tcPr>
            <w:tcW w:w="4962" w:type="dxa"/>
            <w:shd w:val="clear" w:color="auto" w:fill="D9D9D9" w:themeFill="background1" w:themeFillShade="D9"/>
            <w:vAlign w:val="center"/>
            <w:hideMark/>
          </w:tcPr>
          <w:p w14:paraId="0DE3C7F1" w14:textId="77777777" w:rsidR="00A147BF" w:rsidRPr="00A147BF" w:rsidRDefault="00A147BF" w:rsidP="00A147BF">
            <w:pPr>
              <w:pStyle w:val="TableText"/>
              <w:rPr>
                <w:b/>
                <w:bCs/>
              </w:rPr>
            </w:pPr>
            <w:r w:rsidRPr="00A147BF">
              <w:rPr>
                <w:b/>
                <w:bCs/>
              </w:rPr>
              <w:t>Expectation</w:t>
            </w:r>
          </w:p>
        </w:tc>
      </w:tr>
      <w:tr w:rsidR="0027179A" w:rsidRPr="000F3AF0" w14:paraId="03FAD74A" w14:textId="77777777" w:rsidTr="00A147BF">
        <w:tc>
          <w:tcPr>
            <w:tcW w:w="954" w:type="dxa"/>
            <w:shd w:val="clear" w:color="auto" w:fill="auto"/>
            <w:noWrap/>
            <w:vAlign w:val="center"/>
            <w:hideMark/>
          </w:tcPr>
          <w:p w14:paraId="44DFD23C" w14:textId="6D241631" w:rsidR="0027179A" w:rsidRPr="0027179A" w:rsidRDefault="0027179A" w:rsidP="0027179A">
            <w:pPr>
              <w:pStyle w:val="TableText"/>
            </w:pPr>
            <w:r w:rsidRPr="0027179A">
              <w:t>7.01</w:t>
            </w:r>
          </w:p>
        </w:tc>
        <w:tc>
          <w:tcPr>
            <w:tcW w:w="3293" w:type="dxa"/>
            <w:shd w:val="clear" w:color="auto" w:fill="auto"/>
            <w:vAlign w:val="center"/>
            <w:hideMark/>
          </w:tcPr>
          <w:p w14:paraId="59911426" w14:textId="341D2CAB" w:rsidR="0027179A" w:rsidRPr="0027179A" w:rsidRDefault="0027179A" w:rsidP="0027179A">
            <w:pPr>
              <w:pStyle w:val="TableText"/>
            </w:pPr>
            <w:r w:rsidRPr="0027179A">
              <w:t>Increased prevention and reduced impact of NCDs - diabetes</w:t>
            </w:r>
          </w:p>
        </w:tc>
        <w:tc>
          <w:tcPr>
            <w:tcW w:w="3969" w:type="dxa"/>
            <w:shd w:val="clear" w:color="auto" w:fill="auto"/>
            <w:vAlign w:val="center"/>
            <w:hideMark/>
          </w:tcPr>
          <w:p w14:paraId="2DBED32B" w14:textId="754BDE22" w:rsidR="0027179A" w:rsidRPr="0027179A" w:rsidRDefault="0027179A" w:rsidP="0027179A">
            <w:pPr>
              <w:pStyle w:val="TableText"/>
            </w:pPr>
            <w:r w:rsidRPr="0027179A">
              <w:t xml:space="preserve">Rate of registrations on Virtual Diabetes Register (VDR) </w:t>
            </w:r>
          </w:p>
        </w:tc>
        <w:tc>
          <w:tcPr>
            <w:tcW w:w="4962" w:type="dxa"/>
            <w:shd w:val="clear" w:color="auto" w:fill="auto"/>
            <w:vAlign w:val="center"/>
            <w:hideMark/>
          </w:tcPr>
          <w:p w14:paraId="0CB7D88A" w14:textId="5BFE934D" w:rsidR="0027179A" w:rsidRPr="0027179A" w:rsidRDefault="0027179A" w:rsidP="0027179A">
            <w:pPr>
              <w:pStyle w:val="TableText"/>
            </w:pPr>
            <w:r w:rsidRPr="0027179A">
              <w:t>Improved trend</w:t>
            </w:r>
          </w:p>
        </w:tc>
      </w:tr>
      <w:tr w:rsidR="0027179A" w:rsidRPr="000F3AF0" w14:paraId="040BE055" w14:textId="77777777" w:rsidTr="00A147BF">
        <w:tc>
          <w:tcPr>
            <w:tcW w:w="954" w:type="dxa"/>
            <w:shd w:val="clear" w:color="auto" w:fill="auto"/>
            <w:vAlign w:val="center"/>
            <w:hideMark/>
          </w:tcPr>
          <w:p w14:paraId="4921EB5A" w14:textId="6FD134D0" w:rsidR="0027179A" w:rsidRPr="0027179A" w:rsidRDefault="0027179A" w:rsidP="0027179A">
            <w:pPr>
              <w:pStyle w:val="TableText"/>
            </w:pPr>
            <w:r w:rsidRPr="0027179A">
              <w:t>7.02</w:t>
            </w:r>
          </w:p>
        </w:tc>
        <w:tc>
          <w:tcPr>
            <w:tcW w:w="3293" w:type="dxa"/>
            <w:shd w:val="clear" w:color="auto" w:fill="auto"/>
            <w:vAlign w:val="center"/>
            <w:hideMark/>
          </w:tcPr>
          <w:p w14:paraId="354EC1C0" w14:textId="11D37440" w:rsidR="0027179A" w:rsidRPr="0027179A" w:rsidRDefault="0027179A" w:rsidP="0027179A">
            <w:pPr>
              <w:pStyle w:val="TableText"/>
            </w:pPr>
            <w:r w:rsidRPr="0027179A">
              <w:t>Increased prevention and reduced impact of NCDs diabetes</w:t>
            </w:r>
          </w:p>
        </w:tc>
        <w:tc>
          <w:tcPr>
            <w:tcW w:w="3969" w:type="dxa"/>
            <w:shd w:val="clear" w:color="auto" w:fill="auto"/>
            <w:vAlign w:val="center"/>
            <w:hideMark/>
          </w:tcPr>
          <w:p w14:paraId="296BA55D" w14:textId="67359AC5" w:rsidR="0027179A" w:rsidRPr="0027179A" w:rsidRDefault="0027179A" w:rsidP="0027179A">
            <w:pPr>
              <w:pStyle w:val="TableText"/>
            </w:pPr>
            <w:r w:rsidRPr="0027179A">
              <w:t>Rate of diabetes related limb amputation</w:t>
            </w:r>
          </w:p>
        </w:tc>
        <w:tc>
          <w:tcPr>
            <w:tcW w:w="4962" w:type="dxa"/>
            <w:shd w:val="clear" w:color="auto" w:fill="auto"/>
            <w:vAlign w:val="center"/>
            <w:hideMark/>
          </w:tcPr>
          <w:p w14:paraId="21B3A69F" w14:textId="4699467C" w:rsidR="0027179A" w:rsidRPr="0027179A" w:rsidRDefault="0027179A" w:rsidP="0027179A">
            <w:pPr>
              <w:pStyle w:val="TableText"/>
            </w:pPr>
            <w:r w:rsidRPr="0027179A">
              <w:t>Decrease</w:t>
            </w:r>
          </w:p>
        </w:tc>
      </w:tr>
      <w:tr w:rsidR="0027179A" w:rsidRPr="000F3AF0" w14:paraId="147DD8A2" w14:textId="77777777" w:rsidTr="00A147BF">
        <w:tc>
          <w:tcPr>
            <w:tcW w:w="954" w:type="dxa"/>
            <w:shd w:val="clear" w:color="auto" w:fill="auto"/>
            <w:vAlign w:val="center"/>
            <w:hideMark/>
          </w:tcPr>
          <w:p w14:paraId="56A9C3B1" w14:textId="732CE887" w:rsidR="0027179A" w:rsidRPr="0027179A" w:rsidRDefault="0027179A" w:rsidP="0027179A">
            <w:pPr>
              <w:pStyle w:val="TableText"/>
            </w:pPr>
            <w:r w:rsidRPr="0027179A">
              <w:t>7.03</w:t>
            </w:r>
          </w:p>
        </w:tc>
        <w:tc>
          <w:tcPr>
            <w:tcW w:w="3293" w:type="dxa"/>
            <w:shd w:val="clear" w:color="auto" w:fill="auto"/>
            <w:vAlign w:val="center"/>
            <w:hideMark/>
          </w:tcPr>
          <w:p w14:paraId="49C53A96" w14:textId="10D6F7CC" w:rsidR="0027179A" w:rsidRPr="0027179A" w:rsidRDefault="0027179A" w:rsidP="0027179A">
            <w:pPr>
              <w:pStyle w:val="TableText"/>
            </w:pPr>
            <w:r w:rsidRPr="0027179A">
              <w:t>Increased prevention and reduced impact of NCDs - diabetes</w:t>
            </w:r>
          </w:p>
        </w:tc>
        <w:tc>
          <w:tcPr>
            <w:tcW w:w="3969" w:type="dxa"/>
            <w:shd w:val="clear" w:color="auto" w:fill="auto"/>
            <w:vAlign w:val="center"/>
            <w:hideMark/>
          </w:tcPr>
          <w:p w14:paraId="2E656BCD" w14:textId="1FC003B0" w:rsidR="0027179A" w:rsidRPr="0027179A" w:rsidRDefault="0027179A" w:rsidP="0027179A">
            <w:pPr>
              <w:pStyle w:val="TableText"/>
            </w:pPr>
            <w:r w:rsidRPr="0027179A">
              <w:t>Rate of diabetes related renal failure</w:t>
            </w:r>
          </w:p>
        </w:tc>
        <w:tc>
          <w:tcPr>
            <w:tcW w:w="4962" w:type="dxa"/>
            <w:shd w:val="clear" w:color="auto" w:fill="auto"/>
            <w:vAlign w:val="center"/>
            <w:hideMark/>
          </w:tcPr>
          <w:p w14:paraId="03E5731D" w14:textId="34337DFF" w:rsidR="0027179A" w:rsidRPr="0027179A" w:rsidRDefault="0027179A" w:rsidP="0027179A">
            <w:pPr>
              <w:pStyle w:val="TableText"/>
            </w:pPr>
            <w:r w:rsidRPr="0027179A">
              <w:t>Decrease</w:t>
            </w:r>
          </w:p>
        </w:tc>
      </w:tr>
      <w:tr w:rsidR="0027179A" w:rsidRPr="000F3AF0" w14:paraId="21CE1CC4" w14:textId="77777777" w:rsidTr="00A147BF">
        <w:tc>
          <w:tcPr>
            <w:tcW w:w="954" w:type="dxa"/>
            <w:shd w:val="clear" w:color="auto" w:fill="auto"/>
            <w:noWrap/>
            <w:vAlign w:val="center"/>
            <w:hideMark/>
          </w:tcPr>
          <w:p w14:paraId="3AEC8210" w14:textId="532F7596" w:rsidR="0027179A" w:rsidRPr="0027179A" w:rsidRDefault="0027179A" w:rsidP="0027179A">
            <w:pPr>
              <w:pStyle w:val="TableText"/>
            </w:pPr>
            <w:r w:rsidRPr="0027179A">
              <w:t>7.04</w:t>
            </w:r>
          </w:p>
        </w:tc>
        <w:tc>
          <w:tcPr>
            <w:tcW w:w="3293" w:type="dxa"/>
            <w:shd w:val="clear" w:color="auto" w:fill="auto"/>
            <w:vAlign w:val="center"/>
            <w:hideMark/>
          </w:tcPr>
          <w:p w14:paraId="1E467708" w14:textId="5CB9F0A4" w:rsidR="0027179A" w:rsidRPr="0027179A" w:rsidRDefault="0027179A" w:rsidP="0027179A">
            <w:pPr>
              <w:pStyle w:val="TableText"/>
            </w:pPr>
            <w:r w:rsidRPr="0027179A">
              <w:t>Increased prevention and reduced impact of NCDs - respiratory disease</w:t>
            </w:r>
          </w:p>
        </w:tc>
        <w:tc>
          <w:tcPr>
            <w:tcW w:w="3969" w:type="dxa"/>
            <w:shd w:val="clear" w:color="auto" w:fill="auto"/>
            <w:vAlign w:val="center"/>
            <w:hideMark/>
          </w:tcPr>
          <w:p w14:paraId="105131DF" w14:textId="2BDFAEB9" w:rsidR="0027179A" w:rsidRPr="0027179A" w:rsidRDefault="0027179A" w:rsidP="0027179A">
            <w:pPr>
              <w:pStyle w:val="TableText"/>
            </w:pPr>
            <w:r w:rsidRPr="0027179A">
              <w:t>Housing-related hospitalisations</w:t>
            </w:r>
          </w:p>
        </w:tc>
        <w:tc>
          <w:tcPr>
            <w:tcW w:w="4962" w:type="dxa"/>
            <w:shd w:val="clear" w:color="auto" w:fill="auto"/>
            <w:vAlign w:val="center"/>
            <w:hideMark/>
          </w:tcPr>
          <w:p w14:paraId="15F2E1D3" w14:textId="64F05755" w:rsidR="0027179A" w:rsidRPr="0027179A" w:rsidRDefault="0027179A" w:rsidP="0027179A">
            <w:pPr>
              <w:pStyle w:val="TableText"/>
            </w:pPr>
            <w:r w:rsidRPr="0027179A">
              <w:t>Decrease in housing-related illness including rheumatic fever and respiratory disease</w:t>
            </w:r>
          </w:p>
        </w:tc>
      </w:tr>
      <w:tr w:rsidR="0027179A" w:rsidRPr="000F3AF0" w14:paraId="0CA42D6C" w14:textId="77777777" w:rsidTr="00A147BF">
        <w:tc>
          <w:tcPr>
            <w:tcW w:w="954" w:type="dxa"/>
            <w:shd w:val="clear" w:color="auto" w:fill="auto"/>
            <w:vAlign w:val="center"/>
            <w:hideMark/>
          </w:tcPr>
          <w:p w14:paraId="7B325F1F" w14:textId="5E8F5900" w:rsidR="0027179A" w:rsidRPr="0027179A" w:rsidRDefault="0027179A" w:rsidP="0027179A">
            <w:pPr>
              <w:pStyle w:val="TableText"/>
            </w:pPr>
            <w:r w:rsidRPr="0027179A">
              <w:t>7.05</w:t>
            </w:r>
          </w:p>
        </w:tc>
        <w:tc>
          <w:tcPr>
            <w:tcW w:w="3293" w:type="dxa"/>
            <w:shd w:val="clear" w:color="auto" w:fill="auto"/>
            <w:vAlign w:val="center"/>
            <w:hideMark/>
          </w:tcPr>
          <w:p w14:paraId="567812E2" w14:textId="5194BCAC" w:rsidR="0027179A" w:rsidRPr="0027179A" w:rsidRDefault="0027179A" w:rsidP="0027179A">
            <w:pPr>
              <w:pStyle w:val="TableText"/>
            </w:pPr>
            <w:r w:rsidRPr="0027179A">
              <w:t>Increased prevention and reduced impact of NCDs - respiratory disease</w:t>
            </w:r>
          </w:p>
        </w:tc>
        <w:tc>
          <w:tcPr>
            <w:tcW w:w="3969" w:type="dxa"/>
            <w:shd w:val="clear" w:color="auto" w:fill="auto"/>
            <w:vAlign w:val="center"/>
            <w:hideMark/>
          </w:tcPr>
          <w:p w14:paraId="57795439" w14:textId="56D0A2AA" w:rsidR="0027179A" w:rsidRPr="0027179A" w:rsidRDefault="0027179A" w:rsidP="0027179A">
            <w:pPr>
              <w:pStyle w:val="TableText"/>
            </w:pPr>
            <w:r w:rsidRPr="0027179A">
              <w:t xml:space="preserve">Pneumonia hospitalisations </w:t>
            </w:r>
          </w:p>
        </w:tc>
        <w:tc>
          <w:tcPr>
            <w:tcW w:w="4962" w:type="dxa"/>
            <w:shd w:val="clear" w:color="auto" w:fill="auto"/>
            <w:vAlign w:val="center"/>
            <w:hideMark/>
          </w:tcPr>
          <w:p w14:paraId="64A0ECAA" w14:textId="3A437BCE" w:rsidR="0027179A" w:rsidRPr="0027179A" w:rsidRDefault="0027179A" w:rsidP="0027179A">
            <w:pPr>
              <w:pStyle w:val="TableText"/>
            </w:pPr>
            <w:r w:rsidRPr="0027179A">
              <w:t>Decrease</w:t>
            </w:r>
          </w:p>
        </w:tc>
      </w:tr>
      <w:tr w:rsidR="0027179A" w:rsidRPr="000F3AF0" w14:paraId="0EB28628" w14:textId="77777777" w:rsidTr="00A147BF">
        <w:tc>
          <w:tcPr>
            <w:tcW w:w="954" w:type="dxa"/>
            <w:shd w:val="clear" w:color="auto" w:fill="auto"/>
            <w:noWrap/>
            <w:vAlign w:val="center"/>
            <w:hideMark/>
          </w:tcPr>
          <w:p w14:paraId="116F3EC9" w14:textId="496E9432" w:rsidR="0027179A" w:rsidRPr="0027179A" w:rsidRDefault="0027179A" w:rsidP="0027179A">
            <w:pPr>
              <w:pStyle w:val="TableText"/>
            </w:pPr>
            <w:r w:rsidRPr="0027179A">
              <w:t>7.06</w:t>
            </w:r>
          </w:p>
        </w:tc>
        <w:tc>
          <w:tcPr>
            <w:tcW w:w="3293" w:type="dxa"/>
            <w:shd w:val="clear" w:color="auto" w:fill="auto"/>
            <w:vAlign w:val="center"/>
            <w:hideMark/>
          </w:tcPr>
          <w:p w14:paraId="73C8617C" w14:textId="301B0711" w:rsidR="0027179A" w:rsidRPr="0027179A" w:rsidRDefault="0027179A" w:rsidP="0027179A">
            <w:pPr>
              <w:pStyle w:val="TableText"/>
            </w:pPr>
            <w:r w:rsidRPr="0027179A">
              <w:t>Increased prevention and reduced impact of NCDs - respiratory disease or diabetes</w:t>
            </w:r>
          </w:p>
        </w:tc>
        <w:tc>
          <w:tcPr>
            <w:tcW w:w="3969" w:type="dxa"/>
            <w:shd w:val="clear" w:color="auto" w:fill="auto"/>
            <w:vAlign w:val="center"/>
            <w:hideMark/>
          </w:tcPr>
          <w:p w14:paraId="6950C24A" w14:textId="2ABFBD0A" w:rsidR="0027179A" w:rsidRPr="0027179A" w:rsidRDefault="0027179A" w:rsidP="0027179A">
            <w:pPr>
              <w:pStyle w:val="TableText"/>
            </w:pPr>
            <w:r w:rsidRPr="0027179A">
              <w:t xml:space="preserve">Potentially avoidable hospitalisations based on ASH conditions (asthma, chronic obstructive pulmonary disease, ear nose and throat, diabetes) and age brackets (0–4, 5–14, 45–64 years) </w:t>
            </w:r>
          </w:p>
        </w:tc>
        <w:tc>
          <w:tcPr>
            <w:tcW w:w="4962" w:type="dxa"/>
            <w:shd w:val="clear" w:color="auto" w:fill="auto"/>
            <w:vAlign w:val="center"/>
            <w:hideMark/>
          </w:tcPr>
          <w:p w14:paraId="5A3A6E9E" w14:textId="330728F9" w:rsidR="0027179A" w:rsidRPr="0027179A" w:rsidRDefault="0027179A" w:rsidP="0027179A">
            <w:pPr>
              <w:pStyle w:val="TableText"/>
            </w:pPr>
            <w:r w:rsidRPr="0027179A">
              <w:t>Decrease</w:t>
            </w:r>
          </w:p>
        </w:tc>
      </w:tr>
      <w:tr w:rsidR="0027179A" w:rsidRPr="000F3AF0" w14:paraId="5091CC58" w14:textId="77777777" w:rsidTr="00A147BF">
        <w:tc>
          <w:tcPr>
            <w:tcW w:w="954" w:type="dxa"/>
            <w:shd w:val="clear" w:color="auto" w:fill="auto"/>
            <w:noWrap/>
            <w:vAlign w:val="center"/>
            <w:hideMark/>
          </w:tcPr>
          <w:p w14:paraId="71D16F71" w14:textId="20661744" w:rsidR="0027179A" w:rsidRPr="0027179A" w:rsidRDefault="0027179A" w:rsidP="0027179A">
            <w:pPr>
              <w:pStyle w:val="TableText"/>
            </w:pPr>
            <w:r w:rsidRPr="0027179A">
              <w:t>7.07</w:t>
            </w:r>
          </w:p>
        </w:tc>
        <w:tc>
          <w:tcPr>
            <w:tcW w:w="3293" w:type="dxa"/>
            <w:shd w:val="clear" w:color="auto" w:fill="auto"/>
            <w:vAlign w:val="center"/>
            <w:hideMark/>
          </w:tcPr>
          <w:p w14:paraId="0AAD23C3" w14:textId="524283A8" w:rsidR="0027179A" w:rsidRPr="0027179A" w:rsidRDefault="0027179A" w:rsidP="0027179A">
            <w:pPr>
              <w:pStyle w:val="TableText"/>
            </w:pPr>
            <w:r w:rsidRPr="0027179A">
              <w:t xml:space="preserve">Increased prevention and reduced impact of NCDs - mental health </w:t>
            </w:r>
          </w:p>
        </w:tc>
        <w:tc>
          <w:tcPr>
            <w:tcW w:w="3969" w:type="dxa"/>
            <w:shd w:val="clear" w:color="auto" w:fill="auto"/>
            <w:vAlign w:val="center"/>
            <w:hideMark/>
          </w:tcPr>
          <w:p w14:paraId="2F419DEC" w14:textId="0A7C0991" w:rsidR="0027179A" w:rsidRPr="0027179A" w:rsidRDefault="0027179A" w:rsidP="0027179A">
            <w:pPr>
              <w:pStyle w:val="TableText"/>
            </w:pPr>
            <w:r w:rsidRPr="0027179A">
              <w:t>Psychological distress</w:t>
            </w:r>
          </w:p>
        </w:tc>
        <w:tc>
          <w:tcPr>
            <w:tcW w:w="4962" w:type="dxa"/>
            <w:shd w:val="clear" w:color="auto" w:fill="auto"/>
            <w:vAlign w:val="center"/>
            <w:hideMark/>
          </w:tcPr>
          <w:p w14:paraId="0354356A" w14:textId="192722E0" w:rsidR="0027179A" w:rsidRPr="0027179A" w:rsidRDefault="0027179A" w:rsidP="0027179A">
            <w:pPr>
              <w:pStyle w:val="TableText"/>
            </w:pPr>
            <w:r w:rsidRPr="0027179A">
              <w:t>Decrease in people reporting high or very high levels of psychological distress in the New Zealand Health Survey questions</w:t>
            </w:r>
          </w:p>
        </w:tc>
      </w:tr>
      <w:tr w:rsidR="0027179A" w:rsidRPr="000F3AF0" w14:paraId="7556FDB4" w14:textId="77777777" w:rsidTr="00A147BF">
        <w:tc>
          <w:tcPr>
            <w:tcW w:w="954" w:type="dxa"/>
            <w:shd w:val="clear" w:color="auto" w:fill="auto"/>
            <w:vAlign w:val="center"/>
            <w:hideMark/>
          </w:tcPr>
          <w:p w14:paraId="04592597" w14:textId="5D210942" w:rsidR="0027179A" w:rsidRPr="0027179A" w:rsidRDefault="0027179A" w:rsidP="0027179A">
            <w:pPr>
              <w:pStyle w:val="TableText"/>
            </w:pPr>
            <w:r w:rsidRPr="0027179A">
              <w:t>7.08</w:t>
            </w:r>
          </w:p>
        </w:tc>
        <w:tc>
          <w:tcPr>
            <w:tcW w:w="3293" w:type="dxa"/>
            <w:shd w:val="clear" w:color="auto" w:fill="auto"/>
            <w:vAlign w:val="center"/>
            <w:hideMark/>
          </w:tcPr>
          <w:p w14:paraId="6B03BF42" w14:textId="1033AE02" w:rsidR="0027179A" w:rsidRPr="0027179A" w:rsidRDefault="0027179A" w:rsidP="0027179A">
            <w:pPr>
              <w:pStyle w:val="TableText"/>
            </w:pPr>
            <w:r w:rsidRPr="0027179A">
              <w:t>Increased prevention and reduced impact of NCDs - cardiovascular diseases</w:t>
            </w:r>
          </w:p>
        </w:tc>
        <w:tc>
          <w:tcPr>
            <w:tcW w:w="3969" w:type="dxa"/>
            <w:shd w:val="clear" w:color="auto" w:fill="auto"/>
            <w:vAlign w:val="center"/>
            <w:hideMark/>
          </w:tcPr>
          <w:p w14:paraId="09CD4A08" w14:textId="1177DC4E" w:rsidR="0027179A" w:rsidRPr="0027179A" w:rsidRDefault="0027179A" w:rsidP="0027179A">
            <w:pPr>
              <w:pStyle w:val="TableText"/>
            </w:pPr>
            <w:r w:rsidRPr="0027179A">
              <w:t>Hospitalisation for all cardiovascular diseases</w:t>
            </w:r>
          </w:p>
        </w:tc>
        <w:tc>
          <w:tcPr>
            <w:tcW w:w="4962" w:type="dxa"/>
            <w:shd w:val="clear" w:color="auto" w:fill="auto"/>
            <w:vAlign w:val="center"/>
            <w:hideMark/>
          </w:tcPr>
          <w:p w14:paraId="239DBC8C" w14:textId="69673A10" w:rsidR="0027179A" w:rsidRPr="0027179A" w:rsidRDefault="0027179A" w:rsidP="0027179A">
            <w:pPr>
              <w:pStyle w:val="TableText"/>
            </w:pPr>
            <w:r w:rsidRPr="0027179A">
              <w:t>Decrease</w:t>
            </w:r>
          </w:p>
        </w:tc>
      </w:tr>
      <w:tr w:rsidR="0027179A" w:rsidRPr="000F3AF0" w14:paraId="1872F19E" w14:textId="77777777" w:rsidTr="00A147BF">
        <w:tc>
          <w:tcPr>
            <w:tcW w:w="954" w:type="dxa"/>
            <w:shd w:val="clear" w:color="auto" w:fill="auto"/>
            <w:vAlign w:val="center"/>
            <w:hideMark/>
          </w:tcPr>
          <w:p w14:paraId="254FE119" w14:textId="71C87B40" w:rsidR="0027179A" w:rsidRPr="0027179A" w:rsidRDefault="0027179A" w:rsidP="0027179A">
            <w:pPr>
              <w:pStyle w:val="TableText"/>
            </w:pPr>
            <w:r w:rsidRPr="0027179A">
              <w:t>7.09</w:t>
            </w:r>
          </w:p>
        </w:tc>
        <w:tc>
          <w:tcPr>
            <w:tcW w:w="3293" w:type="dxa"/>
            <w:shd w:val="clear" w:color="auto" w:fill="auto"/>
            <w:vAlign w:val="center"/>
            <w:hideMark/>
          </w:tcPr>
          <w:p w14:paraId="047B358E" w14:textId="68B5BBC0" w:rsidR="0027179A" w:rsidRPr="0027179A" w:rsidRDefault="0027179A" w:rsidP="0027179A">
            <w:pPr>
              <w:pStyle w:val="TableText"/>
            </w:pPr>
            <w:r w:rsidRPr="0027179A">
              <w:t>Increased prevention and reduced impact of NCDs - cardiovascular diseases</w:t>
            </w:r>
          </w:p>
        </w:tc>
        <w:tc>
          <w:tcPr>
            <w:tcW w:w="3969" w:type="dxa"/>
            <w:shd w:val="clear" w:color="auto" w:fill="auto"/>
            <w:vAlign w:val="center"/>
            <w:hideMark/>
          </w:tcPr>
          <w:p w14:paraId="05C24847" w14:textId="115DFD35" w:rsidR="0027179A" w:rsidRPr="0027179A" w:rsidRDefault="0027179A" w:rsidP="0027179A">
            <w:pPr>
              <w:pStyle w:val="TableText"/>
            </w:pPr>
            <w:r w:rsidRPr="0027179A">
              <w:t xml:space="preserve">Chronic rheumatic heart disease hospitalisations </w:t>
            </w:r>
          </w:p>
        </w:tc>
        <w:tc>
          <w:tcPr>
            <w:tcW w:w="4962" w:type="dxa"/>
            <w:shd w:val="clear" w:color="auto" w:fill="auto"/>
            <w:vAlign w:val="center"/>
            <w:hideMark/>
          </w:tcPr>
          <w:p w14:paraId="095B8E68" w14:textId="4B97F07A" w:rsidR="0027179A" w:rsidRPr="0027179A" w:rsidRDefault="0027179A" w:rsidP="0027179A">
            <w:pPr>
              <w:pStyle w:val="TableText"/>
            </w:pPr>
            <w:r w:rsidRPr="0027179A">
              <w:t>Decrease</w:t>
            </w:r>
          </w:p>
        </w:tc>
      </w:tr>
    </w:tbl>
    <w:p w14:paraId="1ADE1052" w14:textId="7552CB4B" w:rsidR="00A147BF" w:rsidRDefault="00A147BF" w:rsidP="00E02472">
      <w:pPr>
        <w:tabs>
          <w:tab w:val="left" w:pos="2208"/>
        </w:tabs>
        <w:sectPr w:rsidR="00A147BF" w:rsidSect="00473432">
          <w:pgSz w:w="16840" w:h="11907" w:orient="landscape" w:code="9"/>
          <w:pgMar w:top="1134" w:right="1701" w:bottom="1134" w:left="1701" w:header="284" w:footer="425" w:gutter="284"/>
          <w:cols w:space="720"/>
          <w:docGrid w:linePitch="286"/>
        </w:sectPr>
      </w:pPr>
    </w:p>
    <w:tbl>
      <w:tblPr>
        <w:tblW w:w="1346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2977"/>
        <w:gridCol w:w="4961"/>
        <w:gridCol w:w="4678"/>
      </w:tblGrid>
      <w:tr w:rsidR="00E02472" w:rsidRPr="000F3AF0" w14:paraId="141EAA8E" w14:textId="77777777" w:rsidTr="00E02472">
        <w:trPr>
          <w:tblHeader/>
        </w:trPr>
        <w:tc>
          <w:tcPr>
            <w:tcW w:w="13467" w:type="dxa"/>
            <w:gridSpan w:val="4"/>
            <w:shd w:val="clear" w:color="auto" w:fill="D9D9D9" w:themeFill="background1" w:themeFillShade="D9"/>
            <w:vAlign w:val="center"/>
            <w:hideMark/>
          </w:tcPr>
          <w:p w14:paraId="312FDC2E" w14:textId="0A4E66B2" w:rsidR="00E02472" w:rsidRPr="00E02472" w:rsidRDefault="00E02472" w:rsidP="00E02472">
            <w:pPr>
              <w:pStyle w:val="TableText"/>
              <w:jc w:val="center"/>
              <w:rPr>
                <w:b/>
                <w:bCs/>
              </w:rPr>
            </w:pPr>
            <w:r w:rsidRPr="00E02472">
              <w:rPr>
                <w:b/>
                <w:bCs/>
              </w:rPr>
              <w:lastRenderedPageBreak/>
              <w:t>Expectation of accelerated actions for Modifiable Risk Factors</w:t>
            </w:r>
          </w:p>
        </w:tc>
      </w:tr>
      <w:tr w:rsidR="00E02472" w:rsidRPr="000F3AF0" w14:paraId="46058E95" w14:textId="77777777" w:rsidTr="00E02472">
        <w:trPr>
          <w:tblHeader/>
        </w:trPr>
        <w:tc>
          <w:tcPr>
            <w:tcW w:w="13467" w:type="dxa"/>
            <w:gridSpan w:val="4"/>
            <w:shd w:val="clear" w:color="auto" w:fill="D9D9D9" w:themeFill="background1" w:themeFillShade="D9"/>
            <w:vAlign w:val="center"/>
            <w:hideMark/>
          </w:tcPr>
          <w:p w14:paraId="7781B4E4" w14:textId="64812B62" w:rsidR="00E02472" w:rsidRPr="00E02472" w:rsidRDefault="00E02472" w:rsidP="0075595B">
            <w:pPr>
              <w:pStyle w:val="TableText"/>
              <w:jc w:val="center"/>
              <w:rPr>
                <w:b/>
                <w:bCs/>
              </w:rPr>
            </w:pPr>
            <w:r w:rsidRPr="00E02472">
              <w:rPr>
                <w:b/>
                <w:bCs/>
              </w:rPr>
              <w:t>Improved prevention of non-communicable diseases is achieved by addressing modifiable risk factors</w:t>
            </w:r>
          </w:p>
        </w:tc>
      </w:tr>
      <w:tr w:rsidR="009B6A8F" w:rsidRPr="000F3AF0" w14:paraId="59368557" w14:textId="77777777" w:rsidTr="00A147BF">
        <w:trPr>
          <w:tblHeader/>
        </w:trPr>
        <w:tc>
          <w:tcPr>
            <w:tcW w:w="851" w:type="dxa"/>
            <w:shd w:val="clear" w:color="auto" w:fill="D9D9D9" w:themeFill="background1" w:themeFillShade="D9"/>
            <w:vAlign w:val="center"/>
            <w:hideMark/>
          </w:tcPr>
          <w:p w14:paraId="5E3BB86D" w14:textId="77777777" w:rsidR="00E02472" w:rsidRPr="00E02472" w:rsidRDefault="00E02472" w:rsidP="00E02472">
            <w:pPr>
              <w:pStyle w:val="TableText"/>
              <w:rPr>
                <w:b/>
                <w:bCs/>
              </w:rPr>
            </w:pPr>
          </w:p>
        </w:tc>
        <w:tc>
          <w:tcPr>
            <w:tcW w:w="2977" w:type="dxa"/>
            <w:shd w:val="clear" w:color="auto" w:fill="D9D9D9" w:themeFill="background1" w:themeFillShade="D9"/>
            <w:vAlign w:val="center"/>
            <w:hideMark/>
          </w:tcPr>
          <w:p w14:paraId="341F26AF" w14:textId="77777777" w:rsidR="00E02472" w:rsidRPr="00E02472" w:rsidRDefault="00E02472" w:rsidP="00E02472">
            <w:pPr>
              <w:pStyle w:val="TableText"/>
              <w:rPr>
                <w:b/>
                <w:bCs/>
              </w:rPr>
            </w:pPr>
            <w:r w:rsidRPr="00E02472">
              <w:rPr>
                <w:b/>
                <w:bCs/>
              </w:rPr>
              <w:t xml:space="preserve">Indicator </w:t>
            </w:r>
          </w:p>
        </w:tc>
        <w:tc>
          <w:tcPr>
            <w:tcW w:w="4961" w:type="dxa"/>
            <w:shd w:val="clear" w:color="auto" w:fill="D9D9D9" w:themeFill="background1" w:themeFillShade="D9"/>
            <w:vAlign w:val="center"/>
            <w:hideMark/>
          </w:tcPr>
          <w:p w14:paraId="2A1BCF6F" w14:textId="77777777" w:rsidR="00E02472" w:rsidRPr="00E02472" w:rsidRDefault="00E02472" w:rsidP="00E02472">
            <w:pPr>
              <w:pStyle w:val="TableText"/>
              <w:rPr>
                <w:b/>
                <w:bCs/>
              </w:rPr>
            </w:pPr>
            <w:r w:rsidRPr="00E02472">
              <w:rPr>
                <w:b/>
                <w:bCs/>
              </w:rPr>
              <w:t>Measure</w:t>
            </w:r>
          </w:p>
        </w:tc>
        <w:tc>
          <w:tcPr>
            <w:tcW w:w="4678" w:type="dxa"/>
            <w:shd w:val="clear" w:color="auto" w:fill="D9D9D9" w:themeFill="background1" w:themeFillShade="D9"/>
            <w:vAlign w:val="center"/>
            <w:hideMark/>
          </w:tcPr>
          <w:p w14:paraId="07F19039" w14:textId="77777777" w:rsidR="00E02472" w:rsidRPr="00E02472" w:rsidRDefault="00E02472" w:rsidP="00E02472">
            <w:pPr>
              <w:pStyle w:val="TableText"/>
              <w:rPr>
                <w:b/>
                <w:bCs/>
              </w:rPr>
            </w:pPr>
            <w:r w:rsidRPr="00E02472">
              <w:rPr>
                <w:b/>
                <w:bCs/>
              </w:rPr>
              <w:t>Expectation</w:t>
            </w:r>
          </w:p>
        </w:tc>
      </w:tr>
      <w:tr w:rsidR="0027179A" w:rsidRPr="000F3AF0" w14:paraId="3917438F" w14:textId="77777777" w:rsidTr="00A147BF">
        <w:tc>
          <w:tcPr>
            <w:tcW w:w="851" w:type="dxa"/>
            <w:shd w:val="clear" w:color="auto" w:fill="auto"/>
            <w:noWrap/>
            <w:vAlign w:val="center"/>
            <w:hideMark/>
          </w:tcPr>
          <w:p w14:paraId="1BA64202" w14:textId="234053E4" w:rsidR="0027179A" w:rsidRPr="00181169" w:rsidRDefault="0027179A" w:rsidP="0027179A">
            <w:pPr>
              <w:pStyle w:val="TableText"/>
              <w:rPr>
                <w:lang w:eastAsia="en-NZ"/>
              </w:rPr>
            </w:pPr>
            <w:r w:rsidRPr="00181169">
              <w:rPr>
                <w:lang w:eastAsia="en-NZ"/>
              </w:rPr>
              <w:t>8.01</w:t>
            </w:r>
          </w:p>
        </w:tc>
        <w:tc>
          <w:tcPr>
            <w:tcW w:w="2977" w:type="dxa"/>
            <w:shd w:val="clear" w:color="auto" w:fill="auto"/>
            <w:vAlign w:val="center"/>
            <w:hideMark/>
          </w:tcPr>
          <w:p w14:paraId="543F13AD" w14:textId="09F4DAD4" w:rsidR="0027179A" w:rsidRPr="00181169" w:rsidRDefault="0027179A" w:rsidP="0027179A">
            <w:pPr>
              <w:pStyle w:val="TableText"/>
              <w:rPr>
                <w:lang w:eastAsia="en-NZ"/>
              </w:rPr>
            </w:pPr>
            <w:r w:rsidRPr="00181169">
              <w:rPr>
                <w:lang w:eastAsia="en-NZ"/>
              </w:rPr>
              <w:t xml:space="preserve">Increased action on five modifiable risk factors (all) </w:t>
            </w:r>
          </w:p>
        </w:tc>
        <w:tc>
          <w:tcPr>
            <w:tcW w:w="4961" w:type="dxa"/>
            <w:shd w:val="clear" w:color="auto" w:fill="auto"/>
            <w:vAlign w:val="center"/>
            <w:hideMark/>
          </w:tcPr>
          <w:p w14:paraId="12E2C298" w14:textId="4FB8BBE9" w:rsidR="0027179A" w:rsidRPr="00181169" w:rsidRDefault="0027179A" w:rsidP="0027179A">
            <w:pPr>
              <w:pStyle w:val="TableText"/>
              <w:rPr>
                <w:lang w:eastAsia="en-NZ"/>
              </w:rPr>
            </w:pPr>
            <w:r w:rsidRPr="00181169">
              <w:rPr>
                <w:lang w:eastAsia="en-NZ"/>
              </w:rPr>
              <w:t xml:space="preserve">Percentage of people who have a Body Mass Index (BMI) of 30 or more </w:t>
            </w:r>
          </w:p>
        </w:tc>
        <w:tc>
          <w:tcPr>
            <w:tcW w:w="4678" w:type="dxa"/>
            <w:shd w:val="clear" w:color="auto" w:fill="auto"/>
            <w:vAlign w:val="center"/>
            <w:hideMark/>
          </w:tcPr>
          <w:p w14:paraId="20500688" w14:textId="13BC55ED" w:rsidR="0027179A" w:rsidRPr="00181169" w:rsidRDefault="0027179A" w:rsidP="0027179A">
            <w:pPr>
              <w:pStyle w:val="TableText"/>
              <w:rPr>
                <w:lang w:eastAsia="en-NZ"/>
              </w:rPr>
            </w:pPr>
            <w:r w:rsidRPr="00181169">
              <w:rPr>
                <w:lang w:eastAsia="en-NZ"/>
              </w:rPr>
              <w:t>Decrease</w:t>
            </w:r>
          </w:p>
        </w:tc>
      </w:tr>
      <w:tr w:rsidR="0027179A" w:rsidRPr="000F3AF0" w14:paraId="30373264" w14:textId="77777777" w:rsidTr="00A147BF">
        <w:tc>
          <w:tcPr>
            <w:tcW w:w="851" w:type="dxa"/>
            <w:shd w:val="clear" w:color="auto" w:fill="auto"/>
            <w:noWrap/>
            <w:vAlign w:val="center"/>
            <w:hideMark/>
          </w:tcPr>
          <w:p w14:paraId="4C87889C" w14:textId="19BE0213" w:rsidR="0027179A" w:rsidRPr="00181169" w:rsidRDefault="0027179A" w:rsidP="0027179A">
            <w:pPr>
              <w:pStyle w:val="TableText"/>
              <w:rPr>
                <w:lang w:eastAsia="en-NZ"/>
              </w:rPr>
            </w:pPr>
            <w:r w:rsidRPr="00181169">
              <w:rPr>
                <w:lang w:eastAsia="en-NZ"/>
              </w:rPr>
              <w:t>8.02</w:t>
            </w:r>
          </w:p>
        </w:tc>
        <w:tc>
          <w:tcPr>
            <w:tcW w:w="2977" w:type="dxa"/>
            <w:shd w:val="clear" w:color="auto" w:fill="auto"/>
            <w:vAlign w:val="center"/>
            <w:hideMark/>
          </w:tcPr>
          <w:p w14:paraId="0690A357" w14:textId="3D3AE5FE" w:rsidR="0027179A" w:rsidRPr="00181169" w:rsidRDefault="0027179A" w:rsidP="0027179A">
            <w:pPr>
              <w:pStyle w:val="TableText"/>
              <w:rPr>
                <w:lang w:eastAsia="en-NZ"/>
              </w:rPr>
            </w:pPr>
            <w:r w:rsidRPr="00181169">
              <w:rPr>
                <w:lang w:eastAsia="en-NZ"/>
              </w:rPr>
              <w:t xml:space="preserve">Increased action on five modifiable risk factors (alcohol consumption) </w:t>
            </w:r>
          </w:p>
        </w:tc>
        <w:tc>
          <w:tcPr>
            <w:tcW w:w="4961" w:type="dxa"/>
            <w:shd w:val="clear" w:color="auto" w:fill="auto"/>
            <w:vAlign w:val="center"/>
            <w:hideMark/>
          </w:tcPr>
          <w:p w14:paraId="75D6EBD6" w14:textId="7483FA3D" w:rsidR="0027179A" w:rsidRPr="00181169" w:rsidRDefault="0027179A" w:rsidP="0027179A">
            <w:pPr>
              <w:pStyle w:val="TableText"/>
              <w:rPr>
                <w:lang w:eastAsia="en-NZ"/>
              </w:rPr>
            </w:pPr>
            <w:r w:rsidRPr="00181169">
              <w:rPr>
                <w:lang w:eastAsia="en-NZ"/>
              </w:rPr>
              <w:t>Percentage of p</w:t>
            </w:r>
            <w:r>
              <w:rPr>
                <w:lang w:eastAsia="en-NZ"/>
              </w:rPr>
              <w:t>eople</w:t>
            </w:r>
            <w:r w:rsidRPr="00181169">
              <w:rPr>
                <w:lang w:eastAsia="en-NZ"/>
              </w:rPr>
              <w:t xml:space="preserve"> aged 15 years and over who engage in hazardous alcohol consumption </w:t>
            </w:r>
          </w:p>
        </w:tc>
        <w:tc>
          <w:tcPr>
            <w:tcW w:w="4678" w:type="dxa"/>
            <w:shd w:val="clear" w:color="auto" w:fill="auto"/>
            <w:vAlign w:val="center"/>
            <w:hideMark/>
          </w:tcPr>
          <w:p w14:paraId="51226987" w14:textId="2BCEE99F" w:rsidR="0027179A" w:rsidRPr="00181169" w:rsidRDefault="0027179A" w:rsidP="0027179A">
            <w:pPr>
              <w:pStyle w:val="TableText"/>
              <w:rPr>
                <w:lang w:eastAsia="en-NZ"/>
              </w:rPr>
            </w:pPr>
            <w:r w:rsidRPr="00181169">
              <w:rPr>
                <w:lang w:eastAsia="en-NZ"/>
              </w:rPr>
              <w:t>Year-on-year reduction in proportion of those aged 15 years and over who engage in hazardous alcohol consumption</w:t>
            </w:r>
          </w:p>
        </w:tc>
      </w:tr>
      <w:tr w:rsidR="0027179A" w:rsidRPr="000F3AF0" w14:paraId="00A860AB" w14:textId="77777777" w:rsidTr="00A147BF">
        <w:tc>
          <w:tcPr>
            <w:tcW w:w="851" w:type="dxa"/>
            <w:shd w:val="clear" w:color="auto" w:fill="auto"/>
            <w:noWrap/>
            <w:vAlign w:val="center"/>
            <w:hideMark/>
          </w:tcPr>
          <w:p w14:paraId="5094F1B5" w14:textId="6506AD7D" w:rsidR="0027179A" w:rsidRPr="00181169" w:rsidRDefault="0027179A" w:rsidP="0027179A">
            <w:pPr>
              <w:pStyle w:val="TableText"/>
              <w:rPr>
                <w:lang w:eastAsia="en-NZ"/>
              </w:rPr>
            </w:pPr>
            <w:r w:rsidRPr="00181169">
              <w:rPr>
                <w:lang w:eastAsia="en-NZ"/>
              </w:rPr>
              <w:t>8.03</w:t>
            </w:r>
          </w:p>
        </w:tc>
        <w:tc>
          <w:tcPr>
            <w:tcW w:w="2977" w:type="dxa"/>
            <w:shd w:val="clear" w:color="auto" w:fill="auto"/>
            <w:vAlign w:val="center"/>
            <w:hideMark/>
          </w:tcPr>
          <w:p w14:paraId="7D097C40" w14:textId="7D41C9C4" w:rsidR="0027179A" w:rsidRPr="00181169" w:rsidRDefault="0027179A" w:rsidP="0027179A">
            <w:pPr>
              <w:pStyle w:val="TableText"/>
              <w:rPr>
                <w:lang w:eastAsia="en-NZ"/>
              </w:rPr>
            </w:pPr>
            <w:r w:rsidRPr="00181169">
              <w:rPr>
                <w:lang w:eastAsia="en-NZ"/>
              </w:rPr>
              <w:t>Increased action on five modifiable risk factors (nutrition)</w:t>
            </w:r>
          </w:p>
        </w:tc>
        <w:tc>
          <w:tcPr>
            <w:tcW w:w="4961" w:type="dxa"/>
            <w:shd w:val="clear" w:color="auto" w:fill="auto"/>
            <w:vAlign w:val="center"/>
            <w:hideMark/>
          </w:tcPr>
          <w:p w14:paraId="6FF098BC" w14:textId="23B82630" w:rsidR="0027179A" w:rsidRPr="00181169" w:rsidRDefault="0027179A" w:rsidP="0027179A">
            <w:pPr>
              <w:pStyle w:val="TableText"/>
              <w:rPr>
                <w:lang w:eastAsia="en-NZ"/>
              </w:rPr>
            </w:pPr>
            <w:r w:rsidRPr="00181169">
              <w:rPr>
                <w:lang w:eastAsia="en-NZ"/>
              </w:rPr>
              <w:t>Percentage of people eating the recommended daily intake of vegetables and fruit (</w:t>
            </w:r>
            <w:r>
              <w:rPr>
                <w:lang w:eastAsia="en-NZ"/>
              </w:rPr>
              <w:t>five</w:t>
            </w:r>
            <w:r w:rsidRPr="00181169">
              <w:rPr>
                <w:lang w:eastAsia="en-NZ"/>
              </w:rPr>
              <w:t xml:space="preserve"> </w:t>
            </w:r>
            <w:r>
              <w:rPr>
                <w:lang w:eastAsia="en-NZ"/>
              </w:rPr>
              <w:t xml:space="preserve">or more </w:t>
            </w:r>
            <w:r w:rsidRPr="00181169">
              <w:rPr>
                <w:lang w:eastAsia="en-NZ"/>
              </w:rPr>
              <w:t xml:space="preserve">servings of vegetables, and </w:t>
            </w:r>
            <w:r>
              <w:rPr>
                <w:lang w:eastAsia="en-NZ"/>
              </w:rPr>
              <w:t>two or more</w:t>
            </w:r>
            <w:r w:rsidRPr="00181169">
              <w:rPr>
                <w:lang w:eastAsia="en-NZ"/>
              </w:rPr>
              <w:t xml:space="preserve"> servings of fruit) </w:t>
            </w:r>
          </w:p>
        </w:tc>
        <w:tc>
          <w:tcPr>
            <w:tcW w:w="4678" w:type="dxa"/>
            <w:shd w:val="clear" w:color="auto" w:fill="auto"/>
            <w:vAlign w:val="center"/>
            <w:hideMark/>
          </w:tcPr>
          <w:p w14:paraId="7C205D4D" w14:textId="441870CD" w:rsidR="0027179A" w:rsidRPr="00181169" w:rsidRDefault="0027179A" w:rsidP="0027179A">
            <w:pPr>
              <w:pStyle w:val="TableText"/>
              <w:rPr>
                <w:lang w:eastAsia="en-NZ"/>
              </w:rPr>
            </w:pPr>
            <w:r w:rsidRPr="00181169">
              <w:rPr>
                <w:lang w:eastAsia="en-NZ"/>
              </w:rPr>
              <w:t>Increase</w:t>
            </w:r>
          </w:p>
        </w:tc>
      </w:tr>
      <w:tr w:rsidR="0027179A" w:rsidRPr="000F3AF0" w14:paraId="6D3948F1" w14:textId="77777777" w:rsidTr="00A147BF">
        <w:tc>
          <w:tcPr>
            <w:tcW w:w="851" w:type="dxa"/>
            <w:shd w:val="clear" w:color="auto" w:fill="auto"/>
            <w:noWrap/>
            <w:vAlign w:val="center"/>
            <w:hideMark/>
          </w:tcPr>
          <w:p w14:paraId="56911FD1" w14:textId="04EB980E" w:rsidR="0027179A" w:rsidRPr="00181169" w:rsidRDefault="0027179A" w:rsidP="0027179A">
            <w:pPr>
              <w:pStyle w:val="TableText"/>
              <w:rPr>
                <w:lang w:eastAsia="en-NZ"/>
              </w:rPr>
            </w:pPr>
            <w:r w:rsidRPr="00181169">
              <w:rPr>
                <w:lang w:eastAsia="en-NZ"/>
              </w:rPr>
              <w:t>8.04</w:t>
            </w:r>
          </w:p>
        </w:tc>
        <w:tc>
          <w:tcPr>
            <w:tcW w:w="2977" w:type="dxa"/>
            <w:shd w:val="clear" w:color="auto" w:fill="auto"/>
            <w:vAlign w:val="center"/>
            <w:hideMark/>
          </w:tcPr>
          <w:p w14:paraId="187E6866" w14:textId="56C05130" w:rsidR="0027179A" w:rsidRPr="00181169" w:rsidRDefault="0027179A" w:rsidP="0027179A">
            <w:pPr>
              <w:pStyle w:val="TableText"/>
              <w:rPr>
                <w:lang w:eastAsia="en-NZ"/>
              </w:rPr>
            </w:pPr>
            <w:r w:rsidRPr="00181169">
              <w:rPr>
                <w:lang w:eastAsia="en-NZ"/>
              </w:rPr>
              <w:t xml:space="preserve">Increased action on five modifiable risk factors (all) </w:t>
            </w:r>
          </w:p>
        </w:tc>
        <w:tc>
          <w:tcPr>
            <w:tcW w:w="4961" w:type="dxa"/>
            <w:shd w:val="clear" w:color="auto" w:fill="auto"/>
            <w:vAlign w:val="center"/>
            <w:hideMark/>
          </w:tcPr>
          <w:p w14:paraId="76BC2033" w14:textId="77777777" w:rsidR="0027179A" w:rsidRDefault="0027179A" w:rsidP="0027179A">
            <w:pPr>
              <w:pStyle w:val="TableBullet"/>
              <w:framePr w:wrap="around"/>
            </w:pPr>
            <w:r w:rsidRPr="005F3284">
              <w:t xml:space="preserve">Mean number of decayed, missing and filled teeth (DMFT) teeth in children aged 5 </w:t>
            </w:r>
          </w:p>
          <w:p w14:paraId="2A2C2D5B" w14:textId="77777777" w:rsidR="0027179A" w:rsidRDefault="0027179A" w:rsidP="0027179A">
            <w:pPr>
              <w:pStyle w:val="TableBullet"/>
              <w:framePr w:wrap="around"/>
            </w:pPr>
            <w:r w:rsidRPr="005F3284">
              <w:t xml:space="preserve">Mean number of decayed, missing and filled teeth (DMFT) teeth in children in </w:t>
            </w:r>
            <w:r>
              <w:t>s</w:t>
            </w:r>
            <w:r w:rsidRPr="00256666">
              <w:t xml:space="preserve">chool </w:t>
            </w:r>
            <w:r>
              <w:t>y</w:t>
            </w:r>
            <w:r w:rsidRPr="00256666">
              <w:t xml:space="preserve">ear 8 </w:t>
            </w:r>
          </w:p>
          <w:p w14:paraId="7BD4B407" w14:textId="77777777" w:rsidR="0027179A" w:rsidRDefault="0027179A" w:rsidP="0027179A">
            <w:pPr>
              <w:pStyle w:val="TableBullet"/>
              <w:framePr w:wrap="around"/>
            </w:pPr>
            <w:r w:rsidRPr="005F3284">
              <w:t>Percentage of children caries free at age 5</w:t>
            </w:r>
          </w:p>
          <w:p w14:paraId="5DD2055F" w14:textId="2A0B64AF" w:rsidR="0027179A" w:rsidRPr="005F3284" w:rsidRDefault="0027179A" w:rsidP="0027179A">
            <w:pPr>
              <w:pStyle w:val="TableBullet"/>
              <w:framePr w:wrap="around"/>
            </w:pPr>
            <w:r w:rsidRPr="005F3284">
              <w:t>Percentage of children caries in school year 8</w:t>
            </w:r>
          </w:p>
        </w:tc>
        <w:tc>
          <w:tcPr>
            <w:tcW w:w="4678" w:type="dxa"/>
            <w:shd w:val="clear" w:color="auto" w:fill="auto"/>
            <w:vAlign w:val="center"/>
            <w:hideMark/>
          </w:tcPr>
          <w:p w14:paraId="5D24F0DD" w14:textId="4A4B3D2F" w:rsidR="0027179A" w:rsidRPr="00181169" w:rsidRDefault="0027179A" w:rsidP="0027179A">
            <w:pPr>
              <w:pStyle w:val="TableText"/>
              <w:rPr>
                <w:lang w:eastAsia="en-NZ"/>
              </w:rPr>
            </w:pPr>
            <w:r w:rsidRPr="00181169">
              <w:rPr>
                <w:lang w:eastAsia="en-NZ"/>
              </w:rPr>
              <w:t xml:space="preserve">Decrease in mean number of </w:t>
            </w:r>
            <w:r>
              <w:rPr>
                <w:lang w:eastAsia="en-NZ"/>
              </w:rPr>
              <w:t>DMFT</w:t>
            </w:r>
            <w:r w:rsidRPr="00181169">
              <w:rPr>
                <w:lang w:eastAsia="en-NZ"/>
              </w:rPr>
              <w:t xml:space="preserve"> in children aged 5 and </w:t>
            </w:r>
            <w:r>
              <w:rPr>
                <w:lang w:eastAsia="en-NZ"/>
              </w:rPr>
              <w:t>in</w:t>
            </w:r>
            <w:r w:rsidRPr="00181169">
              <w:rPr>
                <w:lang w:eastAsia="en-NZ"/>
              </w:rPr>
              <w:t xml:space="preserve"> school year 8 and increase in percentage of children caries free at age 5 and </w:t>
            </w:r>
            <w:r>
              <w:rPr>
                <w:lang w:eastAsia="en-NZ"/>
              </w:rPr>
              <w:t xml:space="preserve">in </w:t>
            </w:r>
            <w:r w:rsidRPr="00181169">
              <w:rPr>
                <w:lang w:eastAsia="en-NZ"/>
              </w:rPr>
              <w:t>school year 8</w:t>
            </w:r>
          </w:p>
        </w:tc>
      </w:tr>
      <w:tr w:rsidR="0027179A" w:rsidRPr="000F3AF0" w14:paraId="397413A7" w14:textId="77777777" w:rsidTr="00A147BF">
        <w:tc>
          <w:tcPr>
            <w:tcW w:w="851" w:type="dxa"/>
            <w:shd w:val="clear" w:color="auto" w:fill="auto"/>
            <w:noWrap/>
            <w:vAlign w:val="center"/>
            <w:hideMark/>
          </w:tcPr>
          <w:p w14:paraId="49B02CA7" w14:textId="48D961A1" w:rsidR="0027179A" w:rsidRPr="00181169" w:rsidRDefault="0027179A" w:rsidP="0027179A">
            <w:pPr>
              <w:pStyle w:val="TableText"/>
              <w:rPr>
                <w:lang w:eastAsia="en-NZ"/>
              </w:rPr>
            </w:pPr>
            <w:r w:rsidRPr="00181169">
              <w:rPr>
                <w:lang w:eastAsia="en-NZ"/>
              </w:rPr>
              <w:t>8.05</w:t>
            </w:r>
          </w:p>
        </w:tc>
        <w:tc>
          <w:tcPr>
            <w:tcW w:w="2977" w:type="dxa"/>
            <w:shd w:val="clear" w:color="auto" w:fill="auto"/>
            <w:vAlign w:val="center"/>
            <w:hideMark/>
          </w:tcPr>
          <w:p w14:paraId="06ADDA1D" w14:textId="0286E7D9" w:rsidR="0027179A" w:rsidRPr="00181169" w:rsidRDefault="0027179A" w:rsidP="0027179A">
            <w:pPr>
              <w:pStyle w:val="TableText"/>
              <w:rPr>
                <w:lang w:eastAsia="en-NZ"/>
              </w:rPr>
            </w:pPr>
            <w:r w:rsidRPr="00181169">
              <w:rPr>
                <w:lang w:eastAsia="en-NZ"/>
              </w:rPr>
              <w:t xml:space="preserve">Increased action on five modifiable risk factors (physical activity) </w:t>
            </w:r>
          </w:p>
        </w:tc>
        <w:tc>
          <w:tcPr>
            <w:tcW w:w="4961" w:type="dxa"/>
            <w:shd w:val="clear" w:color="auto" w:fill="auto"/>
            <w:vAlign w:val="center"/>
            <w:hideMark/>
          </w:tcPr>
          <w:p w14:paraId="56953D09" w14:textId="1D77A8F2" w:rsidR="0027179A" w:rsidRPr="00181169" w:rsidRDefault="0027179A" w:rsidP="0027179A">
            <w:pPr>
              <w:pStyle w:val="TableText"/>
              <w:rPr>
                <w:lang w:eastAsia="en-NZ"/>
              </w:rPr>
            </w:pPr>
            <w:r w:rsidRPr="00181169">
              <w:rPr>
                <w:lang w:eastAsia="en-NZ"/>
              </w:rPr>
              <w:t>Percentage of children and adults meeting recommended hours of physical activity / physical activity guidelines</w:t>
            </w:r>
          </w:p>
        </w:tc>
        <w:tc>
          <w:tcPr>
            <w:tcW w:w="4678" w:type="dxa"/>
            <w:shd w:val="clear" w:color="auto" w:fill="auto"/>
            <w:vAlign w:val="center"/>
            <w:hideMark/>
          </w:tcPr>
          <w:p w14:paraId="36536C72" w14:textId="15A09177" w:rsidR="0027179A" w:rsidRPr="00181169" w:rsidRDefault="0027179A" w:rsidP="0027179A">
            <w:pPr>
              <w:pStyle w:val="TableText"/>
              <w:rPr>
                <w:lang w:eastAsia="en-NZ"/>
              </w:rPr>
            </w:pPr>
            <w:r w:rsidRPr="00181169">
              <w:rPr>
                <w:lang w:eastAsia="en-NZ"/>
              </w:rPr>
              <w:t xml:space="preserve">Year-on-year increase </w:t>
            </w:r>
          </w:p>
        </w:tc>
      </w:tr>
      <w:tr w:rsidR="0027179A" w:rsidRPr="000F3AF0" w14:paraId="2F0568A7" w14:textId="77777777" w:rsidTr="00A147BF">
        <w:tc>
          <w:tcPr>
            <w:tcW w:w="851" w:type="dxa"/>
            <w:shd w:val="clear" w:color="auto" w:fill="auto"/>
            <w:noWrap/>
            <w:vAlign w:val="center"/>
            <w:hideMark/>
          </w:tcPr>
          <w:p w14:paraId="3522B706" w14:textId="3275C387" w:rsidR="0027179A" w:rsidRPr="00181169" w:rsidRDefault="0027179A" w:rsidP="0027179A">
            <w:pPr>
              <w:pStyle w:val="TableText"/>
              <w:rPr>
                <w:lang w:eastAsia="en-NZ"/>
              </w:rPr>
            </w:pPr>
            <w:r w:rsidRPr="00181169">
              <w:rPr>
                <w:lang w:eastAsia="en-NZ"/>
              </w:rPr>
              <w:t>8.06</w:t>
            </w:r>
          </w:p>
        </w:tc>
        <w:tc>
          <w:tcPr>
            <w:tcW w:w="2977" w:type="dxa"/>
            <w:shd w:val="clear" w:color="auto" w:fill="auto"/>
            <w:vAlign w:val="center"/>
            <w:hideMark/>
          </w:tcPr>
          <w:p w14:paraId="0FD4345A" w14:textId="68259679" w:rsidR="0027179A" w:rsidRPr="00181169" w:rsidRDefault="0027179A" w:rsidP="0027179A">
            <w:pPr>
              <w:pStyle w:val="TableText"/>
              <w:rPr>
                <w:lang w:eastAsia="en-NZ"/>
              </w:rPr>
            </w:pPr>
            <w:r w:rsidRPr="00181169">
              <w:rPr>
                <w:lang w:eastAsia="en-NZ"/>
              </w:rPr>
              <w:t xml:space="preserve">Increased action on five modifiable risk factors (smoking) </w:t>
            </w:r>
          </w:p>
        </w:tc>
        <w:tc>
          <w:tcPr>
            <w:tcW w:w="4961" w:type="dxa"/>
            <w:shd w:val="clear" w:color="auto" w:fill="auto"/>
            <w:vAlign w:val="center"/>
            <w:hideMark/>
          </w:tcPr>
          <w:p w14:paraId="5AE92BFF" w14:textId="038118A4" w:rsidR="0027179A" w:rsidRPr="00181169" w:rsidRDefault="0027179A" w:rsidP="0027179A">
            <w:pPr>
              <w:pStyle w:val="TableText"/>
              <w:rPr>
                <w:lang w:eastAsia="en-NZ"/>
              </w:rPr>
            </w:pPr>
            <w:r w:rsidRPr="00181169">
              <w:rPr>
                <w:lang w:eastAsia="en-NZ"/>
              </w:rPr>
              <w:t xml:space="preserve">Percentage of </w:t>
            </w:r>
            <w:r>
              <w:rPr>
                <w:lang w:eastAsia="en-NZ"/>
              </w:rPr>
              <w:t xml:space="preserve">people </w:t>
            </w:r>
            <w:r w:rsidRPr="00181169">
              <w:rPr>
                <w:lang w:eastAsia="en-NZ"/>
              </w:rPr>
              <w:t>aged 15 years and over who are daily smokers, reported by population group</w:t>
            </w:r>
          </w:p>
        </w:tc>
        <w:tc>
          <w:tcPr>
            <w:tcW w:w="4678" w:type="dxa"/>
            <w:shd w:val="clear" w:color="auto" w:fill="auto"/>
            <w:vAlign w:val="center"/>
            <w:hideMark/>
          </w:tcPr>
          <w:p w14:paraId="3E49C488" w14:textId="75886127" w:rsidR="0027179A" w:rsidRPr="00181169" w:rsidRDefault="0027179A" w:rsidP="0027179A">
            <w:pPr>
              <w:pStyle w:val="TableText"/>
              <w:rPr>
                <w:lang w:eastAsia="en-NZ"/>
              </w:rPr>
            </w:pPr>
            <w:r w:rsidRPr="00181169">
              <w:rPr>
                <w:lang w:eastAsia="en-NZ"/>
              </w:rPr>
              <w:t>Reduction to 5% or less of p</w:t>
            </w:r>
            <w:r>
              <w:rPr>
                <w:lang w:eastAsia="en-NZ"/>
              </w:rPr>
              <w:t>eople</w:t>
            </w:r>
            <w:r w:rsidRPr="00181169">
              <w:rPr>
                <w:lang w:eastAsia="en-NZ"/>
              </w:rPr>
              <w:t xml:space="preserve"> aged 15 years and over who are daily smokers, reported by population group, with a 5% or less target in each population group</w:t>
            </w:r>
          </w:p>
        </w:tc>
      </w:tr>
      <w:tr w:rsidR="0027179A" w:rsidRPr="000F3AF0" w14:paraId="0A07A075" w14:textId="77777777" w:rsidTr="00A147BF">
        <w:tc>
          <w:tcPr>
            <w:tcW w:w="851" w:type="dxa"/>
            <w:shd w:val="clear" w:color="auto" w:fill="auto"/>
            <w:noWrap/>
            <w:vAlign w:val="center"/>
            <w:hideMark/>
          </w:tcPr>
          <w:p w14:paraId="7D8CA0F0" w14:textId="144A2889" w:rsidR="0027179A" w:rsidRPr="00181169" w:rsidRDefault="0027179A" w:rsidP="0027179A">
            <w:pPr>
              <w:pStyle w:val="TableText"/>
              <w:rPr>
                <w:lang w:eastAsia="en-NZ"/>
              </w:rPr>
            </w:pPr>
            <w:r w:rsidRPr="00181169">
              <w:rPr>
                <w:lang w:eastAsia="en-NZ"/>
              </w:rPr>
              <w:t>8.07</w:t>
            </w:r>
          </w:p>
        </w:tc>
        <w:tc>
          <w:tcPr>
            <w:tcW w:w="2977" w:type="dxa"/>
            <w:shd w:val="clear" w:color="auto" w:fill="auto"/>
            <w:vAlign w:val="center"/>
            <w:hideMark/>
          </w:tcPr>
          <w:p w14:paraId="170701F7" w14:textId="6E0792E3" w:rsidR="0027179A" w:rsidRPr="00181169" w:rsidRDefault="0027179A" w:rsidP="0027179A">
            <w:pPr>
              <w:pStyle w:val="TableText"/>
              <w:rPr>
                <w:lang w:eastAsia="en-NZ"/>
              </w:rPr>
            </w:pPr>
            <w:r w:rsidRPr="00181169">
              <w:rPr>
                <w:lang w:eastAsia="en-NZ"/>
              </w:rPr>
              <w:t>Increased action on five modifiable risk factors (social and environmental factors)</w:t>
            </w:r>
          </w:p>
        </w:tc>
        <w:tc>
          <w:tcPr>
            <w:tcW w:w="4961" w:type="dxa"/>
            <w:shd w:val="clear" w:color="auto" w:fill="auto"/>
            <w:vAlign w:val="center"/>
            <w:hideMark/>
          </w:tcPr>
          <w:p w14:paraId="02E30E11" w14:textId="5DD0D067" w:rsidR="0027179A" w:rsidRPr="00181169" w:rsidRDefault="0027179A" w:rsidP="0027179A">
            <w:pPr>
              <w:pStyle w:val="TableText"/>
              <w:rPr>
                <w:lang w:eastAsia="en-NZ"/>
              </w:rPr>
            </w:pPr>
            <w:r w:rsidRPr="00181169">
              <w:rPr>
                <w:lang w:eastAsia="en-NZ"/>
              </w:rPr>
              <w:t xml:space="preserve">Percentage of children living in households where food runs out often or sometimes in past year (0–14 years) (food insecurity) </w:t>
            </w:r>
          </w:p>
        </w:tc>
        <w:tc>
          <w:tcPr>
            <w:tcW w:w="4678" w:type="dxa"/>
            <w:shd w:val="clear" w:color="auto" w:fill="auto"/>
            <w:vAlign w:val="center"/>
            <w:hideMark/>
          </w:tcPr>
          <w:p w14:paraId="5B9F5187" w14:textId="2B34D973" w:rsidR="0027179A" w:rsidRPr="00181169" w:rsidRDefault="0027179A" w:rsidP="0027179A">
            <w:pPr>
              <w:pStyle w:val="TableText"/>
              <w:rPr>
                <w:lang w:eastAsia="en-NZ"/>
              </w:rPr>
            </w:pPr>
            <w:r w:rsidRPr="00181169">
              <w:rPr>
                <w:lang w:eastAsia="en-NZ"/>
              </w:rPr>
              <w:t>Year-on-year decrease</w:t>
            </w:r>
          </w:p>
        </w:tc>
      </w:tr>
      <w:tr w:rsidR="0027179A" w:rsidRPr="000F3AF0" w14:paraId="292A1358" w14:textId="77777777" w:rsidTr="00A147BF">
        <w:tc>
          <w:tcPr>
            <w:tcW w:w="851" w:type="dxa"/>
            <w:shd w:val="clear" w:color="auto" w:fill="auto"/>
            <w:noWrap/>
            <w:vAlign w:val="center"/>
            <w:hideMark/>
          </w:tcPr>
          <w:p w14:paraId="61A36F02" w14:textId="422BB4DB" w:rsidR="0027179A" w:rsidRPr="00181169" w:rsidRDefault="0027179A" w:rsidP="0027179A">
            <w:pPr>
              <w:pStyle w:val="TableText"/>
              <w:rPr>
                <w:lang w:eastAsia="en-NZ"/>
              </w:rPr>
            </w:pPr>
            <w:r w:rsidRPr="00181169">
              <w:rPr>
                <w:lang w:eastAsia="en-NZ"/>
              </w:rPr>
              <w:t>8.08</w:t>
            </w:r>
          </w:p>
        </w:tc>
        <w:tc>
          <w:tcPr>
            <w:tcW w:w="2977" w:type="dxa"/>
            <w:shd w:val="clear" w:color="auto" w:fill="auto"/>
            <w:vAlign w:val="center"/>
            <w:hideMark/>
          </w:tcPr>
          <w:p w14:paraId="55E69D01" w14:textId="48B951AA" w:rsidR="0027179A" w:rsidRPr="00181169" w:rsidRDefault="0027179A" w:rsidP="0027179A">
            <w:pPr>
              <w:pStyle w:val="TableText"/>
              <w:rPr>
                <w:lang w:eastAsia="en-NZ"/>
              </w:rPr>
            </w:pPr>
            <w:r w:rsidRPr="00181169">
              <w:rPr>
                <w:lang w:eastAsia="en-NZ"/>
              </w:rPr>
              <w:t>Increased action on five modifiable risk factors (social and environmental factors)</w:t>
            </w:r>
          </w:p>
        </w:tc>
        <w:tc>
          <w:tcPr>
            <w:tcW w:w="4961" w:type="dxa"/>
            <w:shd w:val="clear" w:color="auto" w:fill="auto"/>
            <w:vAlign w:val="center"/>
            <w:hideMark/>
          </w:tcPr>
          <w:p w14:paraId="0B22242E" w14:textId="7FD53497" w:rsidR="0027179A" w:rsidRPr="00181169" w:rsidRDefault="0027179A" w:rsidP="0027179A">
            <w:pPr>
              <w:pStyle w:val="TableText"/>
              <w:rPr>
                <w:lang w:eastAsia="en-NZ"/>
              </w:rPr>
            </w:pPr>
            <w:r w:rsidRPr="00181169">
              <w:rPr>
                <w:lang w:eastAsia="en-NZ"/>
              </w:rPr>
              <w:t>Either face-to-face or non-face-to-face contact with family or friends at least once a week (social connection) (question from the two</w:t>
            </w:r>
            <w:r>
              <w:rPr>
                <w:lang w:eastAsia="en-NZ"/>
              </w:rPr>
              <w:t>-</w:t>
            </w:r>
            <w:r w:rsidRPr="00181169">
              <w:rPr>
                <w:lang w:eastAsia="en-NZ"/>
              </w:rPr>
              <w:t>yearly General Social Survey</w:t>
            </w:r>
            <w:r>
              <w:rPr>
                <w:lang w:eastAsia="en-NZ"/>
              </w:rPr>
              <w:t xml:space="preserve"> (GSS)</w:t>
            </w:r>
            <w:r w:rsidRPr="00181169">
              <w:rPr>
                <w:lang w:eastAsia="en-NZ"/>
              </w:rPr>
              <w:t xml:space="preserve">) </w:t>
            </w:r>
          </w:p>
        </w:tc>
        <w:tc>
          <w:tcPr>
            <w:tcW w:w="4678" w:type="dxa"/>
            <w:shd w:val="clear" w:color="auto" w:fill="auto"/>
            <w:vAlign w:val="center"/>
            <w:hideMark/>
          </w:tcPr>
          <w:p w14:paraId="37D2B302" w14:textId="5109D522" w:rsidR="0027179A" w:rsidRPr="00181169" w:rsidRDefault="0027179A" w:rsidP="0027179A">
            <w:pPr>
              <w:pStyle w:val="TableText"/>
              <w:rPr>
                <w:lang w:eastAsia="en-NZ"/>
              </w:rPr>
            </w:pPr>
            <w:r w:rsidRPr="00181169">
              <w:rPr>
                <w:lang w:eastAsia="en-NZ"/>
              </w:rPr>
              <w:t>Increase</w:t>
            </w:r>
          </w:p>
        </w:tc>
      </w:tr>
      <w:tr w:rsidR="0027179A" w:rsidRPr="000F3AF0" w14:paraId="409D2710" w14:textId="77777777" w:rsidTr="00A147BF">
        <w:tc>
          <w:tcPr>
            <w:tcW w:w="851" w:type="dxa"/>
            <w:shd w:val="clear" w:color="auto" w:fill="auto"/>
            <w:noWrap/>
            <w:vAlign w:val="center"/>
            <w:hideMark/>
          </w:tcPr>
          <w:p w14:paraId="4E34D29C" w14:textId="67397F16" w:rsidR="0027179A" w:rsidRPr="00181169" w:rsidRDefault="0027179A" w:rsidP="0027179A">
            <w:pPr>
              <w:pStyle w:val="TableText"/>
              <w:rPr>
                <w:lang w:eastAsia="en-NZ"/>
              </w:rPr>
            </w:pPr>
            <w:r w:rsidRPr="00181169">
              <w:rPr>
                <w:lang w:eastAsia="en-NZ"/>
              </w:rPr>
              <w:lastRenderedPageBreak/>
              <w:t>8.09</w:t>
            </w:r>
          </w:p>
        </w:tc>
        <w:tc>
          <w:tcPr>
            <w:tcW w:w="2977" w:type="dxa"/>
            <w:shd w:val="clear" w:color="auto" w:fill="auto"/>
            <w:vAlign w:val="center"/>
            <w:hideMark/>
          </w:tcPr>
          <w:p w14:paraId="5B809AFD" w14:textId="162AC81D" w:rsidR="0027179A" w:rsidRPr="00181169" w:rsidRDefault="0027179A" w:rsidP="0027179A">
            <w:pPr>
              <w:pStyle w:val="TableText"/>
              <w:rPr>
                <w:lang w:eastAsia="en-NZ"/>
              </w:rPr>
            </w:pPr>
            <w:r w:rsidRPr="00181169">
              <w:rPr>
                <w:lang w:eastAsia="en-NZ"/>
              </w:rPr>
              <w:t>Increased action on five modifiable risk factors (social and environmental factors)</w:t>
            </w:r>
          </w:p>
        </w:tc>
        <w:tc>
          <w:tcPr>
            <w:tcW w:w="4961" w:type="dxa"/>
            <w:shd w:val="clear" w:color="auto" w:fill="auto"/>
            <w:vAlign w:val="center"/>
            <w:hideMark/>
          </w:tcPr>
          <w:p w14:paraId="6FC6C076" w14:textId="2C1AB637" w:rsidR="0027179A" w:rsidRPr="00181169" w:rsidRDefault="0027179A" w:rsidP="0027179A">
            <w:pPr>
              <w:pStyle w:val="TableText"/>
              <w:rPr>
                <w:lang w:eastAsia="en-NZ"/>
              </w:rPr>
            </w:pPr>
            <w:r w:rsidRPr="00181169">
              <w:rPr>
                <w:lang w:eastAsia="en-NZ"/>
              </w:rPr>
              <w:t>Social connection, cohesion and culture (question from the two</w:t>
            </w:r>
            <w:r>
              <w:rPr>
                <w:lang w:eastAsia="en-NZ"/>
              </w:rPr>
              <w:t>-</w:t>
            </w:r>
            <w:r w:rsidRPr="00181169">
              <w:rPr>
                <w:lang w:eastAsia="en-NZ"/>
              </w:rPr>
              <w:t>yearly G</w:t>
            </w:r>
            <w:r>
              <w:rPr>
                <w:lang w:eastAsia="en-NZ"/>
              </w:rPr>
              <w:t>SS</w:t>
            </w:r>
            <w:r w:rsidRPr="00181169">
              <w:rPr>
                <w:lang w:eastAsia="en-NZ"/>
              </w:rPr>
              <w:t xml:space="preserve">) </w:t>
            </w:r>
          </w:p>
        </w:tc>
        <w:tc>
          <w:tcPr>
            <w:tcW w:w="4678" w:type="dxa"/>
            <w:shd w:val="clear" w:color="auto" w:fill="auto"/>
            <w:vAlign w:val="center"/>
            <w:hideMark/>
          </w:tcPr>
          <w:p w14:paraId="36D265EE" w14:textId="31C29993" w:rsidR="0027179A" w:rsidRPr="00181169" w:rsidRDefault="0027179A" w:rsidP="0027179A">
            <w:pPr>
              <w:pStyle w:val="TableText"/>
              <w:rPr>
                <w:lang w:eastAsia="en-NZ"/>
              </w:rPr>
            </w:pPr>
            <w:r w:rsidRPr="00181169">
              <w:rPr>
                <w:lang w:eastAsia="en-NZ"/>
              </w:rPr>
              <w:t>Increase</w:t>
            </w:r>
          </w:p>
        </w:tc>
      </w:tr>
      <w:tr w:rsidR="0027179A" w:rsidRPr="000F3AF0" w14:paraId="2D7B3112" w14:textId="77777777" w:rsidTr="00A147BF">
        <w:tc>
          <w:tcPr>
            <w:tcW w:w="851" w:type="dxa"/>
            <w:shd w:val="clear" w:color="auto" w:fill="auto"/>
            <w:noWrap/>
            <w:vAlign w:val="center"/>
            <w:hideMark/>
          </w:tcPr>
          <w:p w14:paraId="67F07537" w14:textId="07939DF3" w:rsidR="0027179A" w:rsidRPr="00181169" w:rsidRDefault="0027179A" w:rsidP="0027179A">
            <w:pPr>
              <w:pStyle w:val="TableText"/>
              <w:rPr>
                <w:lang w:eastAsia="en-NZ"/>
              </w:rPr>
            </w:pPr>
            <w:r w:rsidRPr="00181169">
              <w:rPr>
                <w:lang w:eastAsia="en-NZ"/>
              </w:rPr>
              <w:t>8.10</w:t>
            </w:r>
          </w:p>
        </w:tc>
        <w:tc>
          <w:tcPr>
            <w:tcW w:w="2977" w:type="dxa"/>
            <w:shd w:val="clear" w:color="auto" w:fill="auto"/>
            <w:vAlign w:val="center"/>
            <w:hideMark/>
          </w:tcPr>
          <w:p w14:paraId="0ECDA81C" w14:textId="57B6E4EE" w:rsidR="0027179A" w:rsidRPr="00181169" w:rsidRDefault="0027179A" w:rsidP="0027179A">
            <w:pPr>
              <w:pStyle w:val="TableText"/>
              <w:rPr>
                <w:lang w:eastAsia="en-NZ"/>
              </w:rPr>
            </w:pPr>
            <w:r w:rsidRPr="00181169">
              <w:rPr>
                <w:lang w:eastAsia="en-NZ"/>
              </w:rPr>
              <w:t xml:space="preserve">Increased action on five modifiable risk factors (social and environmental factors) </w:t>
            </w:r>
          </w:p>
        </w:tc>
        <w:tc>
          <w:tcPr>
            <w:tcW w:w="4961" w:type="dxa"/>
            <w:shd w:val="clear" w:color="auto" w:fill="auto"/>
            <w:vAlign w:val="center"/>
            <w:hideMark/>
          </w:tcPr>
          <w:p w14:paraId="02B6E795" w14:textId="31EF601E" w:rsidR="0027179A" w:rsidRPr="00181169" w:rsidRDefault="0027179A" w:rsidP="0027179A">
            <w:pPr>
              <w:pStyle w:val="TableText"/>
              <w:rPr>
                <w:lang w:eastAsia="en-NZ"/>
              </w:rPr>
            </w:pPr>
            <w:r w:rsidRPr="00181169">
              <w:rPr>
                <w:lang w:eastAsia="en-NZ"/>
              </w:rPr>
              <w:t xml:space="preserve">Loneliness - lonely most or all of the time in the last </w:t>
            </w:r>
            <w:r>
              <w:rPr>
                <w:lang w:eastAsia="en-NZ"/>
              </w:rPr>
              <w:t>four</w:t>
            </w:r>
            <w:r w:rsidRPr="00181169">
              <w:rPr>
                <w:lang w:eastAsia="en-NZ"/>
              </w:rPr>
              <w:t xml:space="preserve"> weeks </w:t>
            </w:r>
          </w:p>
        </w:tc>
        <w:tc>
          <w:tcPr>
            <w:tcW w:w="4678" w:type="dxa"/>
            <w:shd w:val="clear" w:color="auto" w:fill="auto"/>
            <w:vAlign w:val="center"/>
            <w:hideMark/>
          </w:tcPr>
          <w:p w14:paraId="3DDEF574" w14:textId="11026BBA" w:rsidR="0027179A" w:rsidRPr="00181169" w:rsidRDefault="0027179A" w:rsidP="0027179A">
            <w:pPr>
              <w:pStyle w:val="TableText"/>
            </w:pPr>
            <w:r w:rsidRPr="00181169">
              <w:rPr>
                <w:lang w:eastAsia="en-NZ"/>
              </w:rPr>
              <w:t>Decrease in reported rate from the New Zealand Health Survey question</w:t>
            </w:r>
          </w:p>
        </w:tc>
      </w:tr>
    </w:tbl>
    <w:p w14:paraId="6A16466B" w14:textId="77777777" w:rsidR="00E02472" w:rsidRDefault="00E02472" w:rsidP="00E02472">
      <w:pPr>
        <w:spacing w:after="160" w:line="259" w:lineRule="auto"/>
        <w:rPr>
          <w:b/>
        </w:rPr>
      </w:pPr>
    </w:p>
    <w:p w14:paraId="235072F0" w14:textId="77777777" w:rsidR="00E02472" w:rsidRDefault="00E02472" w:rsidP="00E02472">
      <w:pPr>
        <w:tabs>
          <w:tab w:val="left" w:pos="2208"/>
        </w:tabs>
        <w:sectPr w:rsidR="00E02472" w:rsidSect="00473432">
          <w:pgSz w:w="16840" w:h="11907" w:orient="landscape" w:code="9"/>
          <w:pgMar w:top="1134" w:right="1701" w:bottom="1134" w:left="1701" w:header="284" w:footer="425" w:gutter="284"/>
          <w:cols w:space="720"/>
          <w:docGrid w:linePitch="286"/>
        </w:sectPr>
      </w:pPr>
    </w:p>
    <w:p w14:paraId="605632EF" w14:textId="77777777" w:rsidR="00E02472" w:rsidRPr="00A147BF" w:rsidRDefault="00E02472" w:rsidP="00A147BF">
      <w:pPr>
        <w:pStyle w:val="Heading4"/>
        <w:rPr>
          <w:b/>
          <w:bCs/>
          <w:sz w:val="40"/>
          <w:szCs w:val="40"/>
        </w:rPr>
      </w:pPr>
      <w:r w:rsidRPr="00A147BF">
        <w:rPr>
          <w:b/>
          <w:bCs/>
          <w:sz w:val="40"/>
          <w:szCs w:val="40"/>
        </w:rPr>
        <w:lastRenderedPageBreak/>
        <w:t>Performance milestones for health targets and mental health and addiction targets</w:t>
      </w:r>
    </w:p>
    <w:p w14:paraId="65ECDB2E" w14:textId="1C98EE07" w:rsidR="00E02472" w:rsidRPr="00570669" w:rsidRDefault="00A147BF" w:rsidP="00A147BF">
      <w:pPr>
        <w:pStyle w:val="Table"/>
        <w:spacing w:before="240"/>
      </w:pPr>
      <w:bookmarkStart w:id="55" w:name="_Toc170134134"/>
      <w:r>
        <w:t xml:space="preserve">Table </w:t>
      </w:r>
      <w:fldSimple w:instr=" SEQ Table \* ARABIC ">
        <w:r w:rsidR="00D0364A">
          <w:rPr>
            <w:noProof/>
          </w:rPr>
          <w:t>2</w:t>
        </w:r>
      </w:fldSimple>
      <w:r>
        <w:t xml:space="preserve">: </w:t>
      </w:r>
      <w:r w:rsidR="00E02472" w:rsidRPr="00570669">
        <w:t>Summary tables of annual performance</w:t>
      </w:r>
      <w:r w:rsidR="00E02472">
        <w:t xml:space="preserve"> milestone</w:t>
      </w:r>
      <w:r w:rsidR="00E02472" w:rsidRPr="00570669">
        <w:t>s for health and mental health targets</w:t>
      </w:r>
      <w:bookmarkEnd w:id="55"/>
      <w:r w:rsidR="00E02472" w:rsidRPr="00570669">
        <w:t xml:space="preserve"> </w:t>
      </w:r>
    </w:p>
    <w:tbl>
      <w:tblPr>
        <w:tblW w:w="134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5472"/>
        <w:gridCol w:w="2517"/>
        <w:gridCol w:w="2444"/>
        <w:gridCol w:w="2410"/>
      </w:tblGrid>
      <w:tr w:rsidR="00E02472" w:rsidRPr="0039657B" w14:paraId="2C8D04D7" w14:textId="77777777" w:rsidTr="00E02472">
        <w:tc>
          <w:tcPr>
            <w:tcW w:w="13462" w:type="dxa"/>
            <w:gridSpan w:val="5"/>
            <w:shd w:val="clear" w:color="auto" w:fill="D9D9D9" w:themeFill="background1" w:themeFillShade="D9"/>
            <w:vAlign w:val="center"/>
            <w:hideMark/>
          </w:tcPr>
          <w:p w14:paraId="4AA1642E" w14:textId="28677754" w:rsidR="00E02472" w:rsidRPr="00E02472" w:rsidRDefault="00E02472" w:rsidP="0027179A">
            <w:pPr>
              <w:pStyle w:val="TableText"/>
              <w:jc w:val="center"/>
              <w:rPr>
                <w:b/>
                <w:bCs/>
              </w:rPr>
            </w:pPr>
            <w:r w:rsidRPr="00E02472">
              <w:rPr>
                <w:b/>
                <w:bCs/>
              </w:rPr>
              <w:t>Health targets</w:t>
            </w:r>
          </w:p>
        </w:tc>
      </w:tr>
      <w:tr w:rsidR="00E02472" w:rsidRPr="0039657B" w14:paraId="28180BC0" w14:textId="77777777" w:rsidTr="0027179A">
        <w:tc>
          <w:tcPr>
            <w:tcW w:w="619" w:type="dxa"/>
            <w:shd w:val="clear" w:color="auto" w:fill="D9D9D9" w:themeFill="background1" w:themeFillShade="D9"/>
            <w:vAlign w:val="center"/>
            <w:hideMark/>
          </w:tcPr>
          <w:p w14:paraId="38FF7490" w14:textId="77777777" w:rsidR="00E02472" w:rsidRPr="0039657B" w:rsidRDefault="00E02472" w:rsidP="00E02472">
            <w:pPr>
              <w:pStyle w:val="TableText"/>
            </w:pPr>
          </w:p>
        </w:tc>
        <w:tc>
          <w:tcPr>
            <w:tcW w:w="5472" w:type="dxa"/>
            <w:shd w:val="clear" w:color="auto" w:fill="D9D9D9" w:themeFill="background1" w:themeFillShade="D9"/>
            <w:vAlign w:val="center"/>
            <w:hideMark/>
          </w:tcPr>
          <w:p w14:paraId="3B278497" w14:textId="77777777" w:rsidR="00E02472" w:rsidRPr="00E02472" w:rsidRDefault="00E02472" w:rsidP="00E02472">
            <w:pPr>
              <w:pStyle w:val="TableText"/>
              <w:rPr>
                <w:b/>
                <w:bCs/>
              </w:rPr>
            </w:pPr>
            <w:r w:rsidRPr="00E02472">
              <w:rPr>
                <w:b/>
                <w:bCs/>
              </w:rPr>
              <w:t xml:space="preserve">Target </w:t>
            </w:r>
          </w:p>
        </w:tc>
        <w:tc>
          <w:tcPr>
            <w:tcW w:w="2517" w:type="dxa"/>
            <w:shd w:val="clear" w:color="auto" w:fill="D9D9D9" w:themeFill="background1" w:themeFillShade="D9"/>
            <w:vAlign w:val="center"/>
            <w:hideMark/>
          </w:tcPr>
          <w:p w14:paraId="76166B3F" w14:textId="77777777" w:rsidR="00E02472" w:rsidRPr="00E02472" w:rsidRDefault="00E02472" w:rsidP="00E02472">
            <w:pPr>
              <w:pStyle w:val="TableText"/>
              <w:rPr>
                <w:b/>
                <w:bCs/>
              </w:rPr>
            </w:pPr>
            <w:r w:rsidRPr="00E02472">
              <w:rPr>
                <w:b/>
                <w:bCs/>
                <w:color w:val="000000" w:themeColor="text1"/>
              </w:rPr>
              <w:t>Performance milestone 2024/25</w:t>
            </w:r>
          </w:p>
        </w:tc>
        <w:tc>
          <w:tcPr>
            <w:tcW w:w="2444" w:type="dxa"/>
            <w:shd w:val="clear" w:color="auto" w:fill="D9D9D9" w:themeFill="background1" w:themeFillShade="D9"/>
            <w:vAlign w:val="center"/>
            <w:hideMark/>
          </w:tcPr>
          <w:p w14:paraId="551D3A49" w14:textId="77777777" w:rsidR="00E02472" w:rsidRPr="00E02472" w:rsidRDefault="00E02472" w:rsidP="00E02472">
            <w:pPr>
              <w:pStyle w:val="TableText"/>
              <w:rPr>
                <w:b/>
                <w:bCs/>
              </w:rPr>
            </w:pPr>
            <w:r w:rsidRPr="00E02472">
              <w:rPr>
                <w:b/>
                <w:bCs/>
                <w:color w:val="000000" w:themeColor="text1"/>
              </w:rPr>
              <w:t xml:space="preserve">Performance milestone </w:t>
            </w:r>
            <w:r w:rsidRPr="00E02472">
              <w:rPr>
                <w:b/>
                <w:bCs/>
              </w:rPr>
              <w:t>2025/26</w:t>
            </w:r>
          </w:p>
        </w:tc>
        <w:tc>
          <w:tcPr>
            <w:tcW w:w="2410" w:type="dxa"/>
            <w:shd w:val="clear" w:color="auto" w:fill="D9D9D9" w:themeFill="background1" w:themeFillShade="D9"/>
            <w:vAlign w:val="center"/>
          </w:tcPr>
          <w:p w14:paraId="5D51D9A9" w14:textId="77777777" w:rsidR="00E02472" w:rsidRPr="00E02472" w:rsidRDefault="00E02472" w:rsidP="00E02472">
            <w:pPr>
              <w:pStyle w:val="TableText"/>
              <w:rPr>
                <w:b/>
                <w:bCs/>
              </w:rPr>
            </w:pPr>
            <w:r w:rsidRPr="00E02472">
              <w:rPr>
                <w:b/>
                <w:bCs/>
                <w:color w:val="000000" w:themeColor="text1"/>
              </w:rPr>
              <w:t xml:space="preserve">Performance milestone </w:t>
            </w:r>
            <w:r w:rsidRPr="00E02472">
              <w:rPr>
                <w:b/>
                <w:bCs/>
              </w:rPr>
              <w:t>2026/27</w:t>
            </w:r>
          </w:p>
        </w:tc>
      </w:tr>
      <w:tr w:rsidR="0027179A" w:rsidRPr="000F3AF0" w14:paraId="207353B9" w14:textId="77777777" w:rsidTr="0027179A">
        <w:tc>
          <w:tcPr>
            <w:tcW w:w="619" w:type="dxa"/>
            <w:shd w:val="clear" w:color="auto" w:fill="auto"/>
            <w:noWrap/>
            <w:vAlign w:val="center"/>
          </w:tcPr>
          <w:p w14:paraId="3D87990B" w14:textId="1560544F" w:rsidR="0027179A" w:rsidRPr="00B21FF3" w:rsidRDefault="0027179A" w:rsidP="0027179A">
            <w:pPr>
              <w:pStyle w:val="TableText"/>
            </w:pPr>
            <w:r>
              <w:t>1</w:t>
            </w:r>
          </w:p>
        </w:tc>
        <w:tc>
          <w:tcPr>
            <w:tcW w:w="5472" w:type="dxa"/>
            <w:shd w:val="clear" w:color="auto" w:fill="auto"/>
            <w:vAlign w:val="center"/>
          </w:tcPr>
          <w:p w14:paraId="1607221A" w14:textId="2D642063" w:rsidR="0027179A" w:rsidRPr="00B21FF3" w:rsidRDefault="0027179A" w:rsidP="0027179A">
            <w:pPr>
              <w:pStyle w:val="TableText"/>
            </w:pPr>
            <w:r w:rsidRPr="00B21FF3">
              <w:t>90% of patients to receive cancer management within 31 days of the decision to treat</w:t>
            </w:r>
          </w:p>
        </w:tc>
        <w:tc>
          <w:tcPr>
            <w:tcW w:w="2517" w:type="dxa"/>
            <w:shd w:val="clear" w:color="auto" w:fill="auto"/>
            <w:vAlign w:val="center"/>
          </w:tcPr>
          <w:p w14:paraId="2AB3F086" w14:textId="7DE1D57B" w:rsidR="0027179A" w:rsidRPr="00B21FF3" w:rsidRDefault="0027179A" w:rsidP="0027179A">
            <w:pPr>
              <w:pStyle w:val="TableText"/>
            </w:pPr>
            <w:r w:rsidRPr="00B21FF3">
              <w:t>86%</w:t>
            </w:r>
          </w:p>
        </w:tc>
        <w:tc>
          <w:tcPr>
            <w:tcW w:w="2444" w:type="dxa"/>
            <w:shd w:val="clear" w:color="auto" w:fill="auto"/>
            <w:vAlign w:val="center"/>
          </w:tcPr>
          <w:p w14:paraId="541F1D8B" w14:textId="1B0C0E63" w:rsidR="0027179A" w:rsidRPr="00B21FF3" w:rsidRDefault="0027179A" w:rsidP="0027179A">
            <w:pPr>
              <w:pStyle w:val="TableText"/>
            </w:pPr>
            <w:r w:rsidRPr="00B21FF3">
              <w:t>87%</w:t>
            </w:r>
          </w:p>
        </w:tc>
        <w:tc>
          <w:tcPr>
            <w:tcW w:w="2410" w:type="dxa"/>
            <w:vAlign w:val="center"/>
          </w:tcPr>
          <w:p w14:paraId="48BD47AB" w14:textId="21F084D1" w:rsidR="0027179A" w:rsidRPr="00B21FF3" w:rsidRDefault="0027179A" w:rsidP="0027179A">
            <w:pPr>
              <w:pStyle w:val="TableText"/>
            </w:pPr>
            <w:r w:rsidRPr="00B21FF3">
              <w:t>88%</w:t>
            </w:r>
          </w:p>
        </w:tc>
      </w:tr>
      <w:tr w:rsidR="0027179A" w:rsidRPr="000F3AF0" w14:paraId="11E282B3" w14:textId="77777777" w:rsidTr="0027179A">
        <w:tc>
          <w:tcPr>
            <w:tcW w:w="619" w:type="dxa"/>
            <w:shd w:val="clear" w:color="auto" w:fill="auto"/>
            <w:noWrap/>
            <w:vAlign w:val="center"/>
            <w:hideMark/>
          </w:tcPr>
          <w:p w14:paraId="035FA991" w14:textId="37F28145" w:rsidR="0027179A" w:rsidRPr="00B21FF3" w:rsidRDefault="0027179A" w:rsidP="0027179A">
            <w:pPr>
              <w:pStyle w:val="TableText"/>
            </w:pPr>
            <w:r>
              <w:t>2</w:t>
            </w:r>
          </w:p>
        </w:tc>
        <w:tc>
          <w:tcPr>
            <w:tcW w:w="5472" w:type="dxa"/>
            <w:shd w:val="clear" w:color="auto" w:fill="auto"/>
            <w:vAlign w:val="center"/>
            <w:hideMark/>
          </w:tcPr>
          <w:p w14:paraId="07F8CC7D" w14:textId="179D0343" w:rsidR="0027179A" w:rsidRPr="00B21FF3" w:rsidRDefault="0027179A" w:rsidP="0027179A">
            <w:pPr>
              <w:pStyle w:val="TableText"/>
            </w:pPr>
            <w:r w:rsidRPr="00B21FF3">
              <w:t xml:space="preserve">95% of children </w:t>
            </w:r>
            <w:r>
              <w:t>to be</w:t>
            </w:r>
            <w:r w:rsidRPr="00B21FF3">
              <w:t xml:space="preserve"> fully immunised at 24 months of age</w:t>
            </w:r>
          </w:p>
        </w:tc>
        <w:tc>
          <w:tcPr>
            <w:tcW w:w="2517" w:type="dxa"/>
            <w:shd w:val="clear" w:color="auto" w:fill="auto"/>
            <w:vAlign w:val="center"/>
            <w:hideMark/>
          </w:tcPr>
          <w:p w14:paraId="6EC97C59" w14:textId="0426712C" w:rsidR="0027179A" w:rsidRPr="00B21FF3" w:rsidRDefault="0027179A" w:rsidP="0027179A">
            <w:pPr>
              <w:pStyle w:val="TableText"/>
            </w:pPr>
            <w:r w:rsidRPr="00B21FF3">
              <w:t>84%</w:t>
            </w:r>
          </w:p>
        </w:tc>
        <w:tc>
          <w:tcPr>
            <w:tcW w:w="2444" w:type="dxa"/>
            <w:shd w:val="clear" w:color="auto" w:fill="auto"/>
            <w:vAlign w:val="center"/>
            <w:hideMark/>
          </w:tcPr>
          <w:p w14:paraId="42B4513A" w14:textId="40827CAE" w:rsidR="0027179A" w:rsidRPr="00B21FF3" w:rsidRDefault="0027179A" w:rsidP="0027179A">
            <w:pPr>
              <w:pStyle w:val="TableText"/>
            </w:pPr>
            <w:r w:rsidRPr="00B21FF3">
              <w:t>87%</w:t>
            </w:r>
          </w:p>
        </w:tc>
        <w:tc>
          <w:tcPr>
            <w:tcW w:w="2410" w:type="dxa"/>
            <w:vAlign w:val="center"/>
          </w:tcPr>
          <w:p w14:paraId="1A9CF151" w14:textId="3C131F6B" w:rsidR="0027179A" w:rsidRPr="00B21FF3" w:rsidRDefault="0027179A" w:rsidP="0027179A">
            <w:pPr>
              <w:pStyle w:val="TableText"/>
            </w:pPr>
            <w:r w:rsidRPr="00B21FF3">
              <w:t>90%</w:t>
            </w:r>
          </w:p>
        </w:tc>
      </w:tr>
      <w:tr w:rsidR="0027179A" w:rsidRPr="0039657B" w14:paraId="716DF949" w14:textId="77777777" w:rsidTr="0027179A">
        <w:tc>
          <w:tcPr>
            <w:tcW w:w="619" w:type="dxa"/>
            <w:shd w:val="clear" w:color="auto" w:fill="auto"/>
            <w:noWrap/>
            <w:vAlign w:val="center"/>
          </w:tcPr>
          <w:p w14:paraId="39BCD170" w14:textId="25A0253E" w:rsidR="0027179A" w:rsidRPr="00B21FF3" w:rsidRDefault="0027179A" w:rsidP="0027179A">
            <w:pPr>
              <w:pStyle w:val="TableText"/>
            </w:pPr>
            <w:r w:rsidRPr="00B21FF3">
              <w:t>3</w:t>
            </w:r>
          </w:p>
        </w:tc>
        <w:tc>
          <w:tcPr>
            <w:tcW w:w="5472" w:type="dxa"/>
            <w:shd w:val="clear" w:color="auto" w:fill="auto"/>
            <w:vAlign w:val="center"/>
          </w:tcPr>
          <w:p w14:paraId="1BBB894F" w14:textId="1A5E3B8D" w:rsidR="0027179A" w:rsidRPr="00B21FF3" w:rsidRDefault="0027179A" w:rsidP="0027179A">
            <w:pPr>
              <w:pStyle w:val="TableText"/>
            </w:pPr>
            <w:r w:rsidRPr="00B21FF3">
              <w:t xml:space="preserve">95% of patients to be admitted, discharged or transferred from an emergency department within </w:t>
            </w:r>
            <w:r>
              <w:t>six</w:t>
            </w:r>
            <w:r w:rsidRPr="00B21FF3">
              <w:t xml:space="preserve"> hours</w:t>
            </w:r>
          </w:p>
        </w:tc>
        <w:tc>
          <w:tcPr>
            <w:tcW w:w="2517" w:type="dxa"/>
            <w:shd w:val="clear" w:color="auto" w:fill="auto"/>
            <w:vAlign w:val="center"/>
          </w:tcPr>
          <w:p w14:paraId="048F6A74" w14:textId="45780714" w:rsidR="0027179A" w:rsidRPr="00B21FF3" w:rsidRDefault="0027179A" w:rsidP="0027179A">
            <w:pPr>
              <w:pStyle w:val="TableText"/>
            </w:pPr>
            <w:r w:rsidRPr="00B21FF3">
              <w:t>7</w:t>
            </w:r>
            <w:r>
              <w:t>4</w:t>
            </w:r>
            <w:r w:rsidRPr="00B21FF3">
              <w:t>%</w:t>
            </w:r>
          </w:p>
        </w:tc>
        <w:tc>
          <w:tcPr>
            <w:tcW w:w="2444" w:type="dxa"/>
            <w:shd w:val="clear" w:color="auto" w:fill="auto"/>
            <w:vAlign w:val="center"/>
          </w:tcPr>
          <w:p w14:paraId="0CF393F3" w14:textId="2DFAD441" w:rsidR="0027179A" w:rsidRPr="00B21FF3" w:rsidRDefault="0027179A" w:rsidP="0027179A">
            <w:pPr>
              <w:pStyle w:val="TableText"/>
            </w:pPr>
            <w:r w:rsidRPr="00B21FF3">
              <w:t>7</w:t>
            </w:r>
            <w:r>
              <w:t>7</w:t>
            </w:r>
            <w:r w:rsidRPr="00B21FF3">
              <w:t>%</w:t>
            </w:r>
          </w:p>
        </w:tc>
        <w:tc>
          <w:tcPr>
            <w:tcW w:w="2410" w:type="dxa"/>
            <w:vAlign w:val="center"/>
          </w:tcPr>
          <w:p w14:paraId="777F8067" w14:textId="3F8815F4" w:rsidR="0027179A" w:rsidRPr="00B21FF3" w:rsidRDefault="0027179A" w:rsidP="0027179A">
            <w:pPr>
              <w:pStyle w:val="TableText"/>
            </w:pPr>
            <w:r>
              <w:t>80</w:t>
            </w:r>
            <w:r w:rsidRPr="00B21FF3">
              <w:t>%</w:t>
            </w:r>
          </w:p>
        </w:tc>
      </w:tr>
      <w:tr w:rsidR="0027179A" w:rsidRPr="0039657B" w14:paraId="5363C25D" w14:textId="77777777" w:rsidTr="0027179A">
        <w:tc>
          <w:tcPr>
            <w:tcW w:w="619" w:type="dxa"/>
            <w:shd w:val="clear" w:color="auto" w:fill="auto"/>
            <w:noWrap/>
            <w:vAlign w:val="center"/>
          </w:tcPr>
          <w:p w14:paraId="230147C1" w14:textId="558186DB" w:rsidR="0027179A" w:rsidRPr="00B21FF3" w:rsidRDefault="0027179A" w:rsidP="0027179A">
            <w:pPr>
              <w:pStyle w:val="TableText"/>
            </w:pPr>
            <w:r w:rsidRPr="00B21FF3">
              <w:t>4</w:t>
            </w:r>
          </w:p>
        </w:tc>
        <w:tc>
          <w:tcPr>
            <w:tcW w:w="5472" w:type="dxa"/>
            <w:shd w:val="clear" w:color="auto" w:fill="auto"/>
            <w:vAlign w:val="center"/>
          </w:tcPr>
          <w:p w14:paraId="032A6FB0" w14:textId="7FF7613D" w:rsidR="0027179A" w:rsidRPr="00B21FF3" w:rsidRDefault="0027179A" w:rsidP="0027179A">
            <w:pPr>
              <w:pStyle w:val="TableText"/>
            </w:pPr>
            <w:r w:rsidRPr="00B21FF3">
              <w:t xml:space="preserve">95% of patients wait less than </w:t>
            </w:r>
            <w:r>
              <w:t>four</w:t>
            </w:r>
            <w:r w:rsidRPr="00B21FF3">
              <w:t xml:space="preserve"> months for a first specialist assessment</w:t>
            </w:r>
          </w:p>
        </w:tc>
        <w:tc>
          <w:tcPr>
            <w:tcW w:w="2517" w:type="dxa"/>
            <w:shd w:val="clear" w:color="auto" w:fill="auto"/>
            <w:vAlign w:val="center"/>
          </w:tcPr>
          <w:p w14:paraId="0E0B6BBD" w14:textId="3616C161" w:rsidR="0027179A" w:rsidRPr="00B21FF3" w:rsidRDefault="0027179A" w:rsidP="0027179A">
            <w:pPr>
              <w:pStyle w:val="TableText"/>
            </w:pPr>
            <w:r w:rsidRPr="00B21FF3">
              <w:t>6</w:t>
            </w:r>
            <w:r>
              <w:t>2</w:t>
            </w:r>
            <w:r w:rsidRPr="00B21FF3">
              <w:t>%</w:t>
            </w:r>
          </w:p>
        </w:tc>
        <w:tc>
          <w:tcPr>
            <w:tcW w:w="2444" w:type="dxa"/>
            <w:shd w:val="clear" w:color="auto" w:fill="auto"/>
            <w:vAlign w:val="center"/>
          </w:tcPr>
          <w:p w14:paraId="6730D8FF" w14:textId="45604FD9" w:rsidR="0027179A" w:rsidRPr="00B21FF3" w:rsidRDefault="0027179A" w:rsidP="0027179A">
            <w:pPr>
              <w:pStyle w:val="TableText"/>
            </w:pPr>
            <w:r w:rsidRPr="00B21FF3">
              <w:t>6</w:t>
            </w:r>
            <w:r>
              <w:t>5</w:t>
            </w:r>
            <w:r w:rsidRPr="00B21FF3">
              <w:t>%</w:t>
            </w:r>
          </w:p>
        </w:tc>
        <w:tc>
          <w:tcPr>
            <w:tcW w:w="2410" w:type="dxa"/>
            <w:vAlign w:val="center"/>
          </w:tcPr>
          <w:p w14:paraId="5801AD57" w14:textId="38957B88" w:rsidR="0027179A" w:rsidRPr="00B21FF3" w:rsidRDefault="0027179A" w:rsidP="0027179A">
            <w:pPr>
              <w:pStyle w:val="TableText"/>
            </w:pPr>
            <w:r>
              <w:t>70</w:t>
            </w:r>
            <w:r w:rsidRPr="00B21FF3">
              <w:t>%</w:t>
            </w:r>
          </w:p>
        </w:tc>
      </w:tr>
      <w:tr w:rsidR="0027179A" w:rsidRPr="0039657B" w14:paraId="5D116226" w14:textId="77777777" w:rsidTr="0027179A">
        <w:tc>
          <w:tcPr>
            <w:tcW w:w="619" w:type="dxa"/>
            <w:shd w:val="clear" w:color="auto" w:fill="auto"/>
            <w:noWrap/>
            <w:vAlign w:val="center"/>
          </w:tcPr>
          <w:p w14:paraId="352448DF" w14:textId="70A1C0E1" w:rsidR="0027179A" w:rsidRPr="00B21FF3" w:rsidRDefault="0027179A" w:rsidP="0027179A">
            <w:pPr>
              <w:pStyle w:val="TableText"/>
            </w:pPr>
            <w:r w:rsidRPr="00B21FF3">
              <w:t>5</w:t>
            </w:r>
          </w:p>
        </w:tc>
        <w:tc>
          <w:tcPr>
            <w:tcW w:w="5472" w:type="dxa"/>
            <w:shd w:val="clear" w:color="auto" w:fill="auto"/>
            <w:vAlign w:val="center"/>
          </w:tcPr>
          <w:p w14:paraId="4C0C59BE" w14:textId="01476A94" w:rsidR="0027179A" w:rsidRPr="00B21FF3" w:rsidRDefault="0027179A" w:rsidP="0027179A">
            <w:pPr>
              <w:pStyle w:val="TableText"/>
            </w:pPr>
            <w:r w:rsidRPr="00B21FF3">
              <w:t xml:space="preserve">95% of patients wait less than </w:t>
            </w:r>
            <w:r>
              <w:t>four</w:t>
            </w:r>
            <w:r w:rsidRPr="00B21FF3">
              <w:t xml:space="preserve"> months for elective treatment</w:t>
            </w:r>
          </w:p>
        </w:tc>
        <w:tc>
          <w:tcPr>
            <w:tcW w:w="2517" w:type="dxa"/>
            <w:shd w:val="clear" w:color="auto" w:fill="auto"/>
            <w:vAlign w:val="center"/>
          </w:tcPr>
          <w:p w14:paraId="10DBB9D9" w14:textId="750EAC99" w:rsidR="0027179A" w:rsidRPr="00B21FF3" w:rsidRDefault="0027179A" w:rsidP="0027179A">
            <w:pPr>
              <w:pStyle w:val="TableText"/>
            </w:pPr>
            <w:r w:rsidRPr="00B21FF3">
              <w:t>6</w:t>
            </w:r>
            <w:r>
              <w:t>3</w:t>
            </w:r>
            <w:r w:rsidRPr="00B21FF3">
              <w:t>%</w:t>
            </w:r>
          </w:p>
        </w:tc>
        <w:tc>
          <w:tcPr>
            <w:tcW w:w="2444" w:type="dxa"/>
            <w:shd w:val="clear" w:color="auto" w:fill="auto"/>
            <w:vAlign w:val="center"/>
          </w:tcPr>
          <w:p w14:paraId="58757BEB" w14:textId="5CCED256" w:rsidR="0027179A" w:rsidRPr="00B21FF3" w:rsidRDefault="0027179A" w:rsidP="0027179A">
            <w:pPr>
              <w:pStyle w:val="TableText"/>
            </w:pPr>
            <w:r w:rsidRPr="00B21FF3">
              <w:t>6</w:t>
            </w:r>
            <w:r>
              <w:t>7</w:t>
            </w:r>
            <w:r w:rsidRPr="00B21FF3">
              <w:t>%</w:t>
            </w:r>
          </w:p>
        </w:tc>
        <w:tc>
          <w:tcPr>
            <w:tcW w:w="2410" w:type="dxa"/>
            <w:vAlign w:val="center"/>
          </w:tcPr>
          <w:p w14:paraId="1D1C2DAF" w14:textId="50CB5D22" w:rsidR="0027179A" w:rsidRPr="0027179A" w:rsidRDefault="0027179A" w:rsidP="0027179A">
            <w:pPr>
              <w:pStyle w:val="TableText"/>
            </w:pPr>
            <w:r>
              <w:t>71</w:t>
            </w:r>
            <w:r w:rsidRPr="00B21FF3">
              <w:t>%</w:t>
            </w:r>
          </w:p>
        </w:tc>
      </w:tr>
    </w:tbl>
    <w:p w14:paraId="7EEF21E5" w14:textId="77777777" w:rsidR="00E02472" w:rsidRDefault="00E02472" w:rsidP="00E02472">
      <w:pPr>
        <w:spacing w:after="160" w:line="259" w:lineRule="auto"/>
        <w:rPr>
          <w:b/>
        </w:rPr>
      </w:pPr>
    </w:p>
    <w:p w14:paraId="36F44315" w14:textId="77777777" w:rsidR="00E02472" w:rsidRDefault="00E02472" w:rsidP="00E02472">
      <w:pPr>
        <w:spacing w:after="160" w:line="259" w:lineRule="auto"/>
        <w:rPr>
          <w:b/>
        </w:rPr>
      </w:pPr>
      <w:r>
        <w:rPr>
          <w:b/>
        </w:rPr>
        <w:br w:type="page"/>
      </w:r>
    </w:p>
    <w:tbl>
      <w:tblPr>
        <w:tblW w:w="13462" w:type="dxa"/>
        <w:tblLook w:val="04A0" w:firstRow="1" w:lastRow="0" w:firstColumn="1" w:lastColumn="0" w:noHBand="0" w:noVBand="1"/>
      </w:tblPr>
      <w:tblGrid>
        <w:gridCol w:w="619"/>
        <w:gridCol w:w="3204"/>
        <w:gridCol w:w="3260"/>
        <w:gridCol w:w="3260"/>
        <w:gridCol w:w="3119"/>
      </w:tblGrid>
      <w:tr w:rsidR="00E02472" w:rsidRPr="0039657B" w14:paraId="5793E96F" w14:textId="77777777" w:rsidTr="00E02472">
        <w:trPr>
          <w:tblHeader/>
        </w:trPr>
        <w:tc>
          <w:tcPr>
            <w:tcW w:w="1346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45935AF" w14:textId="3DA1585D" w:rsidR="00E02472" w:rsidRPr="00E02472" w:rsidRDefault="00E02472" w:rsidP="00A147BF">
            <w:pPr>
              <w:pStyle w:val="TableText"/>
              <w:jc w:val="center"/>
              <w:rPr>
                <w:b/>
                <w:bCs/>
              </w:rPr>
            </w:pPr>
            <w:r w:rsidRPr="00E02472">
              <w:rPr>
                <w:b/>
                <w:bCs/>
              </w:rPr>
              <w:lastRenderedPageBreak/>
              <w:t>Mental health and addiction targets</w:t>
            </w:r>
          </w:p>
          <w:p w14:paraId="2D6D5CF5" w14:textId="77777777" w:rsidR="00E02472" w:rsidRPr="00A147BF" w:rsidRDefault="00E02472" w:rsidP="00A147BF">
            <w:pPr>
              <w:pStyle w:val="TableText"/>
              <w:jc w:val="center"/>
            </w:pPr>
            <w:r w:rsidRPr="00A147BF">
              <w:t>New Zealanders will have timely access to effective mental health and addiction services and supports, delivered by a skilled and growing workforce</w:t>
            </w:r>
          </w:p>
        </w:tc>
      </w:tr>
      <w:tr w:rsidR="00E02472" w:rsidRPr="0039657B" w14:paraId="6CEFD155" w14:textId="77777777" w:rsidTr="00E02472">
        <w:trPr>
          <w:tblHeader/>
        </w:trPr>
        <w:tc>
          <w:tcPr>
            <w:tcW w:w="6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06F3DA2" w14:textId="77777777" w:rsidR="00E02472" w:rsidRPr="00E02472" w:rsidRDefault="00E02472" w:rsidP="00E02472">
            <w:pPr>
              <w:pStyle w:val="TableText"/>
              <w:rPr>
                <w:b/>
                <w:bCs/>
              </w:rPr>
            </w:pPr>
          </w:p>
        </w:tc>
        <w:tc>
          <w:tcPr>
            <w:tcW w:w="3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69C68CA" w14:textId="77777777" w:rsidR="00E02472" w:rsidRPr="00E02472" w:rsidRDefault="00E02472" w:rsidP="00E02472">
            <w:pPr>
              <w:pStyle w:val="TableText"/>
              <w:rPr>
                <w:b/>
                <w:bCs/>
              </w:rPr>
            </w:pPr>
            <w:r w:rsidRPr="00E02472">
              <w:rPr>
                <w:b/>
                <w:bCs/>
              </w:rPr>
              <w:t xml:space="preserve">Target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96CC74D" w14:textId="77777777" w:rsidR="00E02472" w:rsidRPr="00E02472" w:rsidRDefault="00E02472" w:rsidP="00E02472">
            <w:pPr>
              <w:pStyle w:val="TableText"/>
              <w:rPr>
                <w:b/>
                <w:bCs/>
              </w:rPr>
            </w:pPr>
            <w:r w:rsidRPr="00E02472">
              <w:rPr>
                <w:b/>
                <w:bCs/>
                <w:color w:val="000000" w:themeColor="text1"/>
              </w:rPr>
              <w:t>Performance milestone 2024/25</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D26BE79" w14:textId="77777777" w:rsidR="00E02472" w:rsidRPr="00E02472" w:rsidRDefault="00E02472" w:rsidP="00E02472">
            <w:pPr>
              <w:pStyle w:val="TableText"/>
              <w:rPr>
                <w:b/>
                <w:bCs/>
              </w:rPr>
            </w:pPr>
            <w:r w:rsidRPr="00E02472">
              <w:rPr>
                <w:b/>
                <w:bCs/>
                <w:color w:val="000000" w:themeColor="text1"/>
              </w:rPr>
              <w:t xml:space="preserve">Performance milestone </w:t>
            </w:r>
            <w:r w:rsidRPr="00E02472">
              <w:rPr>
                <w:b/>
                <w:bCs/>
              </w:rPr>
              <w:t>2025/26</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265F835" w14:textId="77777777" w:rsidR="00E02472" w:rsidRPr="00E02472" w:rsidRDefault="00E02472" w:rsidP="00E02472">
            <w:pPr>
              <w:pStyle w:val="TableText"/>
              <w:rPr>
                <w:b/>
                <w:bCs/>
              </w:rPr>
            </w:pPr>
            <w:r w:rsidRPr="00E02472">
              <w:rPr>
                <w:b/>
                <w:bCs/>
                <w:color w:val="000000" w:themeColor="text1"/>
              </w:rPr>
              <w:t xml:space="preserve">Performance milestone </w:t>
            </w:r>
            <w:r w:rsidRPr="00E02472">
              <w:rPr>
                <w:b/>
                <w:bCs/>
              </w:rPr>
              <w:t>2026/27</w:t>
            </w:r>
          </w:p>
        </w:tc>
      </w:tr>
      <w:tr w:rsidR="0027179A" w:rsidRPr="000F3AF0" w14:paraId="67A6A85A" w14:textId="77777777" w:rsidTr="00E02472">
        <w:tc>
          <w:tcPr>
            <w:tcW w:w="6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73EA00A" w14:textId="641CAC31" w:rsidR="0027179A" w:rsidRPr="00B21FF3" w:rsidRDefault="0027179A" w:rsidP="0027179A">
            <w:pPr>
              <w:pStyle w:val="TableText"/>
            </w:pPr>
            <w:r w:rsidRPr="00B21FF3">
              <w:t>1</w:t>
            </w:r>
          </w:p>
        </w:tc>
        <w:tc>
          <w:tcPr>
            <w:tcW w:w="3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88E8AB5" w14:textId="0F92C0F4" w:rsidR="0027179A" w:rsidRPr="00B21FF3" w:rsidRDefault="0027179A" w:rsidP="0027179A">
            <w:pPr>
              <w:pStyle w:val="TableText"/>
            </w:pPr>
            <w:r w:rsidRPr="00B21FF3">
              <w:t>80% of people accessing specialist mental health and addiction services are seen within three weeks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F6C0AE3" w14:textId="1E6F3FEB" w:rsidR="0027179A" w:rsidRPr="00B21FF3" w:rsidRDefault="0027179A" w:rsidP="0027179A">
            <w:pPr>
              <w:pStyle w:val="TableText"/>
            </w:pPr>
            <w:r w:rsidRPr="00B21FF3">
              <w:rPr>
                <w:lang w:eastAsia="en-NZ"/>
              </w:rPr>
              <w:t xml:space="preserve">80% (72% for under 25-year-olds accessing mental health services)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EEA64BC" w14:textId="20DF077D" w:rsidR="0027179A" w:rsidRPr="00B21FF3" w:rsidRDefault="0027179A" w:rsidP="0027179A">
            <w:pPr>
              <w:pStyle w:val="TableText"/>
            </w:pPr>
            <w:r w:rsidRPr="00B21FF3">
              <w:t xml:space="preserve">80% (75% for under 25-year-olds accessing mental health services) </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273199" w14:textId="52183569" w:rsidR="0027179A" w:rsidRPr="00B21FF3" w:rsidRDefault="0027179A" w:rsidP="0027179A">
            <w:pPr>
              <w:pStyle w:val="TableText"/>
            </w:pPr>
            <w:r w:rsidRPr="00B21FF3">
              <w:t xml:space="preserve">80% (78% for under 25-year-olds accessing mental health services) </w:t>
            </w:r>
          </w:p>
        </w:tc>
      </w:tr>
      <w:tr w:rsidR="0027179A" w:rsidRPr="0039657B" w14:paraId="3FFC4F06" w14:textId="77777777" w:rsidTr="00E02472">
        <w:tc>
          <w:tcPr>
            <w:tcW w:w="6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F956281" w14:textId="117F171A" w:rsidR="0027179A" w:rsidRPr="00B21FF3" w:rsidRDefault="0027179A" w:rsidP="0027179A">
            <w:pPr>
              <w:pStyle w:val="TableText"/>
            </w:pPr>
            <w:r w:rsidRPr="00B21FF3">
              <w:t>2</w:t>
            </w:r>
          </w:p>
        </w:tc>
        <w:tc>
          <w:tcPr>
            <w:tcW w:w="3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0F0D897" w14:textId="21C1E871" w:rsidR="0027179A" w:rsidRPr="00B21FF3" w:rsidRDefault="0027179A" w:rsidP="0027179A">
            <w:pPr>
              <w:pStyle w:val="TableText"/>
            </w:pPr>
            <w:r w:rsidRPr="00B21FF3">
              <w:t>80% of people accessing primary mental health and addiction services through the Access and Choice programme are seen within one week</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EB1351C" w14:textId="77777777" w:rsidR="0027179A" w:rsidRPr="00B21FF3" w:rsidRDefault="0027179A" w:rsidP="0027179A">
            <w:pPr>
              <w:pStyle w:val="TableText"/>
            </w:pPr>
            <w:r w:rsidRPr="00B21FF3">
              <w:t>Establish routine data collection for Integrated Primary Mental Health and Addiction (IPMHA) providers (from October 2024) and youth providers (from January 2025)</w:t>
            </w:r>
          </w:p>
          <w:p w14:paraId="0BAD96E6" w14:textId="0F4F4239" w:rsidR="0027179A" w:rsidRPr="00B21FF3" w:rsidRDefault="0027179A" w:rsidP="0027179A">
            <w:pPr>
              <w:pStyle w:val="TableText"/>
            </w:pPr>
            <w:r w:rsidRPr="00B21FF3">
              <w:t>Set baselines for IPMHA (by February 2025) and youth services (by May 2025)</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394AAF9" w14:textId="77777777" w:rsidR="0027179A" w:rsidRPr="00B21FF3" w:rsidRDefault="0027179A" w:rsidP="0027179A">
            <w:pPr>
              <w:pStyle w:val="TableText"/>
            </w:pPr>
            <w:r w:rsidRPr="00B21FF3">
              <w:t xml:space="preserve">80% or </w:t>
            </w:r>
            <w:r>
              <w:t>a percentage</w:t>
            </w:r>
            <w:r w:rsidRPr="00B21FF3">
              <w:t xml:space="preserve"> increase from IPMHA and youth baseline (TBC once baselines are established)</w:t>
            </w:r>
          </w:p>
          <w:p w14:paraId="596FF789" w14:textId="77777777" w:rsidR="0027179A" w:rsidRPr="00B21FF3" w:rsidRDefault="0027179A" w:rsidP="0027179A">
            <w:pPr>
              <w:pStyle w:val="TableText"/>
            </w:pPr>
            <w:r w:rsidRPr="00B21FF3">
              <w:t xml:space="preserve">Establish routine data collection for Pacific providers (from October 2025) </w:t>
            </w:r>
          </w:p>
          <w:p w14:paraId="4952332E" w14:textId="37781DE2" w:rsidR="0027179A" w:rsidRPr="00B21FF3" w:rsidRDefault="0027179A" w:rsidP="0027179A">
            <w:pPr>
              <w:pStyle w:val="TableText"/>
            </w:pPr>
            <w:r w:rsidRPr="00B21FF3">
              <w:t>Set baselines for Pacific services (by February 2026)</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33780" w14:textId="77777777" w:rsidR="0027179A" w:rsidRPr="00B21FF3" w:rsidRDefault="0027179A" w:rsidP="0027179A">
            <w:pPr>
              <w:pStyle w:val="TableText"/>
            </w:pPr>
            <w:r w:rsidRPr="00B21FF3">
              <w:t xml:space="preserve">80% or </w:t>
            </w:r>
            <w:r>
              <w:t>a percentage</w:t>
            </w:r>
            <w:r w:rsidRPr="00B21FF3">
              <w:t xml:space="preserve"> increase from IPMHA, youth and Pacific baseline (TBC once baselines are established)</w:t>
            </w:r>
          </w:p>
          <w:p w14:paraId="5E84FE18" w14:textId="77777777" w:rsidR="0027179A" w:rsidRPr="00B21FF3" w:rsidRDefault="0027179A" w:rsidP="0027179A">
            <w:pPr>
              <w:pStyle w:val="TableText"/>
            </w:pPr>
            <w:r w:rsidRPr="00B21FF3">
              <w:t xml:space="preserve">Establish routine data collection for </w:t>
            </w:r>
            <w:r>
              <w:t>k</w:t>
            </w:r>
            <w:r w:rsidRPr="00B21FF3">
              <w:t>aupapa Māori providers (from July 2026)</w:t>
            </w:r>
          </w:p>
          <w:p w14:paraId="5962D7C4" w14:textId="2F14BB55" w:rsidR="0027179A" w:rsidRPr="00B21FF3" w:rsidRDefault="0027179A" w:rsidP="0027179A">
            <w:pPr>
              <w:pStyle w:val="TableText"/>
            </w:pPr>
            <w:r w:rsidRPr="00B21FF3">
              <w:t xml:space="preserve">Set baselines for </w:t>
            </w:r>
            <w:r>
              <w:t>k</w:t>
            </w:r>
            <w:r w:rsidRPr="00B21FF3">
              <w:t>aupapa Māori services (by October 2026)</w:t>
            </w:r>
          </w:p>
        </w:tc>
      </w:tr>
      <w:tr w:rsidR="0027179A" w:rsidRPr="0039657B" w14:paraId="154F4CDD" w14:textId="77777777" w:rsidTr="00E02472">
        <w:tc>
          <w:tcPr>
            <w:tcW w:w="6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D706455" w14:textId="0739561C" w:rsidR="0027179A" w:rsidRPr="00B21FF3" w:rsidRDefault="0027179A" w:rsidP="0027179A">
            <w:pPr>
              <w:pStyle w:val="TableText"/>
            </w:pPr>
            <w:r w:rsidRPr="00B21FF3">
              <w:t>3</w:t>
            </w:r>
          </w:p>
        </w:tc>
        <w:tc>
          <w:tcPr>
            <w:tcW w:w="3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C5F1D5" w14:textId="1D1FA519" w:rsidR="0027179A" w:rsidRPr="00B21FF3" w:rsidRDefault="0027179A" w:rsidP="0027179A">
            <w:pPr>
              <w:pStyle w:val="TableText"/>
            </w:pPr>
            <w:r w:rsidRPr="00B21FF3">
              <w:t>95% of mental health and addiction-related emergency department presentations are admitted, discharged, or transferred from an emergency department within six hours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DB7A3B" w14:textId="242D4EFF" w:rsidR="0027179A" w:rsidRPr="00B21FF3" w:rsidRDefault="0027179A" w:rsidP="0027179A">
            <w:pPr>
              <w:pStyle w:val="TableText"/>
            </w:pPr>
            <w:r w:rsidRPr="00B21FF3">
              <w:t>7</w:t>
            </w:r>
            <w:r w:rsidR="00DB078F">
              <w:t>4</w:t>
            </w:r>
            <w:r w:rsidRPr="00B21FF3">
              <w:t>%</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ECFB08" w14:textId="793C5BFC" w:rsidR="0027179A" w:rsidRPr="00B21FF3" w:rsidRDefault="0027179A" w:rsidP="0027179A">
            <w:pPr>
              <w:pStyle w:val="TableText"/>
            </w:pPr>
            <w:r w:rsidRPr="00B21FF3">
              <w:t>7</w:t>
            </w:r>
            <w:r w:rsidR="00DB078F">
              <w:t>7</w:t>
            </w:r>
            <w:r w:rsidRPr="00B21FF3">
              <w:t>%</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673453" w14:textId="1BA1BA1A" w:rsidR="0027179A" w:rsidRPr="00B21FF3" w:rsidRDefault="00DB078F" w:rsidP="0027179A">
            <w:pPr>
              <w:pStyle w:val="TableText"/>
            </w:pPr>
            <w:r>
              <w:t>80</w:t>
            </w:r>
            <w:r w:rsidR="0027179A" w:rsidRPr="00B21FF3">
              <w:t>%</w:t>
            </w:r>
          </w:p>
        </w:tc>
      </w:tr>
      <w:tr w:rsidR="0027179A" w:rsidRPr="0039657B" w14:paraId="784825AF" w14:textId="77777777" w:rsidTr="00E02472">
        <w:tc>
          <w:tcPr>
            <w:tcW w:w="6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485AA" w14:textId="254342FF" w:rsidR="0027179A" w:rsidRPr="00B21FF3" w:rsidRDefault="0027179A" w:rsidP="0027179A">
            <w:pPr>
              <w:pStyle w:val="TableText"/>
            </w:pPr>
            <w:r w:rsidRPr="00B21FF3">
              <w:t>4</w:t>
            </w:r>
          </w:p>
        </w:tc>
        <w:tc>
          <w:tcPr>
            <w:tcW w:w="3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C89A42" w14:textId="33BAF3DD" w:rsidR="0027179A" w:rsidRPr="00B21FF3" w:rsidRDefault="0027179A" w:rsidP="0027179A">
            <w:pPr>
              <w:pStyle w:val="TableText"/>
            </w:pPr>
            <w:r w:rsidRPr="00B21FF3">
              <w:t>Train 500 mental health and addiction professionals each year</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D2A51A" w14:textId="3A496863" w:rsidR="0027179A" w:rsidRPr="00B21FF3" w:rsidRDefault="0027179A" w:rsidP="0027179A">
            <w:pPr>
              <w:pStyle w:val="TableText"/>
            </w:pPr>
            <w:r w:rsidRPr="00B21FF3">
              <w:t>Confirm baseline for 2024 calendar year</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14A918" w14:textId="1F48585F" w:rsidR="0027179A" w:rsidRPr="00B21FF3" w:rsidRDefault="0027179A" w:rsidP="0027179A">
            <w:pPr>
              <w:pStyle w:val="TableText"/>
            </w:pPr>
            <w:r w:rsidRPr="00B21FF3">
              <w:t>500 (for 2025 calendar year)</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A7BE9C" w14:textId="14BEE0A3" w:rsidR="0027179A" w:rsidRPr="00B21FF3" w:rsidRDefault="0027179A" w:rsidP="0027179A">
            <w:pPr>
              <w:pStyle w:val="TableText"/>
            </w:pPr>
            <w:r w:rsidRPr="00B21FF3">
              <w:t>500 (for 2026 calendar year)</w:t>
            </w:r>
          </w:p>
        </w:tc>
      </w:tr>
      <w:tr w:rsidR="0027179A" w:rsidRPr="0039657B" w14:paraId="204A27D4" w14:textId="77777777" w:rsidTr="00E02472">
        <w:tc>
          <w:tcPr>
            <w:tcW w:w="6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DAA191" w14:textId="4FE6D4DE" w:rsidR="0027179A" w:rsidRPr="00B21FF3" w:rsidRDefault="0027179A" w:rsidP="0027179A">
            <w:pPr>
              <w:pStyle w:val="TableText"/>
            </w:pPr>
            <w:r w:rsidRPr="00B21FF3">
              <w:t>5</w:t>
            </w:r>
          </w:p>
        </w:tc>
        <w:tc>
          <w:tcPr>
            <w:tcW w:w="3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74ECF4" w14:textId="28764BAB" w:rsidR="0027179A" w:rsidRPr="00B21FF3" w:rsidRDefault="0027179A" w:rsidP="0027179A">
            <w:pPr>
              <w:pStyle w:val="TableText"/>
            </w:pPr>
            <w:r w:rsidRPr="00B21FF3">
              <w:t>25% of mental health and addiction investment is allocated towards prevention and early intervention</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305BD" w14:textId="38DDFB07" w:rsidR="0027179A" w:rsidRPr="00B21FF3" w:rsidRDefault="0027179A" w:rsidP="0027179A">
            <w:pPr>
              <w:pStyle w:val="TableText"/>
            </w:pPr>
            <w:r w:rsidRPr="00B21FF3">
              <w:t>TBC once 2022/23 baseline is validated. Mechanism for extraction of data established (by July 2024)</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EFFDDF" w14:textId="4DE216E4" w:rsidR="0027179A" w:rsidRPr="00B21FF3" w:rsidRDefault="0027179A" w:rsidP="0027179A">
            <w:pPr>
              <w:pStyle w:val="TableText"/>
            </w:pPr>
            <w:r w:rsidRPr="00B21FF3">
              <w:t>TBC once 2022/23 baseline is validated</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EB4887" w14:textId="73A7C85B" w:rsidR="0027179A" w:rsidRPr="00B21FF3" w:rsidRDefault="0027179A" w:rsidP="0027179A">
            <w:pPr>
              <w:pStyle w:val="TableText"/>
            </w:pPr>
            <w:r w:rsidRPr="00B21FF3">
              <w:t>TBC once 2022/23 baseline is validated</w:t>
            </w:r>
          </w:p>
        </w:tc>
      </w:tr>
    </w:tbl>
    <w:p w14:paraId="2D4E4E60" w14:textId="77777777" w:rsidR="00112CF0" w:rsidRDefault="00112CF0" w:rsidP="006F5032">
      <w:pPr>
        <w:sectPr w:rsidR="00112CF0" w:rsidSect="006F5032">
          <w:headerReference w:type="default" r:id="rId48"/>
          <w:pgSz w:w="16840" w:h="11907" w:orient="landscape" w:code="9"/>
          <w:pgMar w:top="1134" w:right="1701" w:bottom="1134" w:left="1701" w:header="284" w:footer="425" w:gutter="284"/>
          <w:cols w:space="720"/>
          <w:docGrid w:linePitch="286"/>
        </w:sectPr>
      </w:pPr>
    </w:p>
    <w:p w14:paraId="10266943" w14:textId="77777777" w:rsidR="00112CF0" w:rsidRDefault="00112CF0" w:rsidP="006F5032">
      <w:pPr>
        <w:sectPr w:rsidR="00112CF0" w:rsidSect="00935E08">
          <w:footerReference w:type="even" r:id="rId49"/>
          <w:pgSz w:w="11907" w:h="16840" w:code="9"/>
          <w:pgMar w:top="1418" w:right="1701" w:bottom="1134" w:left="1843" w:header="284" w:footer="425" w:gutter="284"/>
          <w:cols w:space="720"/>
          <w:docGrid w:linePitch="286"/>
        </w:sectPr>
      </w:pPr>
    </w:p>
    <w:p w14:paraId="35F8DD44" w14:textId="77777777" w:rsidR="00112CF0" w:rsidRDefault="00112CF0" w:rsidP="006F5032">
      <w:pPr>
        <w:sectPr w:rsidR="00112CF0" w:rsidSect="00935E08">
          <w:footerReference w:type="default" r:id="rId50"/>
          <w:pgSz w:w="11907" w:h="16840" w:code="9"/>
          <w:pgMar w:top="1418" w:right="1701" w:bottom="1134" w:left="1843" w:header="284" w:footer="425" w:gutter="284"/>
          <w:cols w:space="720"/>
          <w:docGrid w:linePitch="286"/>
        </w:sectPr>
      </w:pPr>
    </w:p>
    <w:p w14:paraId="28235804" w14:textId="2CA0F58D" w:rsidR="009A42D5" w:rsidRDefault="009A42D5" w:rsidP="006F5032"/>
    <w:sectPr w:rsidR="009A42D5" w:rsidSect="00935E08">
      <w:pgSz w:w="11907" w:h="16840"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102D" w14:textId="77777777" w:rsidR="00E467ED" w:rsidRDefault="00E467ED">
      <w:r>
        <w:separator/>
      </w:r>
    </w:p>
    <w:p w14:paraId="07E1401B" w14:textId="77777777" w:rsidR="00E467ED" w:rsidRDefault="00E467ED"/>
  </w:endnote>
  <w:endnote w:type="continuationSeparator" w:id="0">
    <w:p w14:paraId="26637F0F" w14:textId="77777777" w:rsidR="00E467ED" w:rsidRDefault="00E467ED">
      <w:r>
        <w:continuationSeparator/>
      </w:r>
    </w:p>
    <w:p w14:paraId="520E280F" w14:textId="77777777" w:rsidR="00E467ED" w:rsidRDefault="00E467ED"/>
  </w:endnote>
  <w:endnote w:type="continuationNotice" w:id="1">
    <w:p w14:paraId="6476D67F" w14:textId="77777777" w:rsidR="00E467ED" w:rsidRDefault="00E4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ta Normal LF">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64A80FA" w:rsidR="00C7553D" w:rsidRPr="00581136" w:rsidRDefault="00C7553D"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C7553D" w:rsidRPr="005A79E5" w:rsidRDefault="00C7553D">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35E08" w14:paraId="09D6ED02" w14:textId="77777777" w:rsidTr="005F2EF4">
      <w:trPr>
        <w:cantSplit/>
      </w:trPr>
      <w:tc>
        <w:tcPr>
          <w:tcW w:w="709" w:type="dxa"/>
          <w:vAlign w:val="center"/>
        </w:tcPr>
        <w:p w14:paraId="11FB46D8" w14:textId="77777777" w:rsidR="00935E08" w:rsidRPr="00931466" w:rsidRDefault="00935E08" w:rsidP="00935E0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6FD99931" w14:textId="77777777" w:rsidR="00935E08" w:rsidRDefault="00935E08" w:rsidP="00935E08">
          <w:pPr>
            <w:pStyle w:val="RectoFooter"/>
            <w:jc w:val="left"/>
          </w:pPr>
          <w:r w:rsidRPr="00447030">
            <w:t>GOVERNMENT POLICY STATEMENT ON HEALTH 2024 – 2027</w:t>
          </w:r>
        </w:p>
      </w:tc>
    </w:tr>
  </w:tbl>
  <w:p w14:paraId="3DFA84C2" w14:textId="77777777" w:rsidR="00112CF0" w:rsidRPr="00447030" w:rsidRDefault="00112CF0">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25"/>
      <w:gridCol w:w="709"/>
    </w:tblGrid>
    <w:tr w:rsidR="00935E08" w14:paraId="6A47B292" w14:textId="77777777" w:rsidTr="00935E08">
      <w:trPr>
        <w:cantSplit/>
      </w:trPr>
      <w:tc>
        <w:tcPr>
          <w:tcW w:w="13325" w:type="dxa"/>
          <w:vAlign w:val="center"/>
        </w:tcPr>
        <w:p w14:paraId="0086C26D" w14:textId="77777777" w:rsidR="00935E08" w:rsidRDefault="00935E08" w:rsidP="00935E08">
          <w:pPr>
            <w:pStyle w:val="RectoFooter"/>
          </w:pPr>
          <w:r w:rsidRPr="00447030">
            <w:t>GOVERNMENT POLICY STATEMENT ON HEALTH 2024 – 2027</w:t>
          </w:r>
        </w:p>
      </w:tc>
      <w:tc>
        <w:tcPr>
          <w:tcW w:w="709" w:type="dxa"/>
          <w:vAlign w:val="center"/>
        </w:tcPr>
        <w:p w14:paraId="4CDD8BC4" w14:textId="77777777" w:rsidR="00935E08" w:rsidRPr="00931466" w:rsidRDefault="00935E08" w:rsidP="00935E08">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45DA6052" w14:textId="77777777" w:rsidR="00C7553D" w:rsidRPr="00447030" w:rsidRDefault="00C7553D">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FBF" w14:textId="77777777" w:rsidR="00935E08" w:rsidRPr="00447030" w:rsidRDefault="00935E08">
    <w:pPr>
      <w:rPr>
        <w:sz w:val="2"/>
        <w:szCs w:val="2"/>
      </w:rPr>
    </w:pPr>
    <w:r>
      <w:rPr>
        <w:sz w:val="2"/>
        <w:szCs w:val="2"/>
      </w:rPr>
      <w:t>v</w:t>
    </w:r>
  </w:p>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35E08" w14:paraId="51532D53" w14:textId="77777777" w:rsidTr="005F2EF4">
      <w:trPr>
        <w:cantSplit/>
      </w:trPr>
      <w:tc>
        <w:tcPr>
          <w:tcW w:w="709" w:type="dxa"/>
          <w:vAlign w:val="center"/>
        </w:tcPr>
        <w:p w14:paraId="40AA3691" w14:textId="77777777" w:rsidR="00935E08" w:rsidRPr="00931466" w:rsidRDefault="00935E08" w:rsidP="00935E0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5CFC2CE5" w14:textId="77777777" w:rsidR="00935E08" w:rsidRDefault="00935E08" w:rsidP="00935E08">
          <w:pPr>
            <w:pStyle w:val="RectoFooter"/>
            <w:jc w:val="left"/>
          </w:pPr>
          <w:r w:rsidRPr="00447030">
            <w:t>GOVERNMENT POLICY STATEMENT ON HEALTH 2024 – 2027</w:t>
          </w:r>
        </w:p>
      </w:tc>
    </w:tr>
  </w:tbl>
  <w:p w14:paraId="390C4217" w14:textId="6982959B" w:rsidR="00935E08" w:rsidRPr="00447030" w:rsidRDefault="00935E08">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35E08" w14:paraId="7E864A42" w14:textId="77777777" w:rsidTr="005F2EF4">
      <w:trPr>
        <w:cantSplit/>
      </w:trPr>
      <w:tc>
        <w:tcPr>
          <w:tcW w:w="8080" w:type="dxa"/>
          <w:vAlign w:val="center"/>
        </w:tcPr>
        <w:p w14:paraId="6743CCD6" w14:textId="77777777" w:rsidR="00935E08" w:rsidRDefault="00935E08" w:rsidP="00935E08">
          <w:pPr>
            <w:pStyle w:val="RectoFooter"/>
          </w:pPr>
          <w:r w:rsidRPr="00447030">
            <w:t>GOVERNMENT POLICY STATEMENT ON HEALTH 2024 – 2027</w:t>
          </w:r>
        </w:p>
      </w:tc>
      <w:tc>
        <w:tcPr>
          <w:tcW w:w="709" w:type="dxa"/>
          <w:vAlign w:val="center"/>
        </w:tcPr>
        <w:p w14:paraId="2F161DE9" w14:textId="77777777" w:rsidR="00935E08" w:rsidRPr="00931466" w:rsidRDefault="00935E08" w:rsidP="00935E08">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636FB61D" w14:textId="77777777" w:rsidR="00935E08" w:rsidRPr="00447030" w:rsidRDefault="00935E0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C7553D" w:rsidRDefault="00C7553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C7553D" w:rsidRDefault="00C75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C7553D" w14:paraId="41B9FD17" w14:textId="77777777" w:rsidTr="00571223">
      <w:tc>
        <w:tcPr>
          <w:tcW w:w="1146" w:type="dxa"/>
          <w:vAlign w:val="center"/>
        </w:tcPr>
        <w:p w14:paraId="392E5685" w14:textId="77777777" w:rsidR="00C7553D" w:rsidRPr="00931466" w:rsidRDefault="00C7553D" w:rsidP="00571223">
          <w:pPr>
            <w:pStyle w:val="Footer"/>
            <w:rPr>
              <w:sz w:val="15"/>
              <w:szCs w:val="15"/>
            </w:rPr>
          </w:pPr>
          <w:r w:rsidRPr="00931466">
            <w:rPr>
              <w:rFonts w:eastAsia="Arial Unicode MS"/>
              <w:noProof/>
              <w:sz w:val="15"/>
              <w:szCs w:val="15"/>
              <w:lang w:eastAsia="en-NZ"/>
            </w:rPr>
            <w:drawing>
              <wp:inline distT="0" distB="0" distL="0" distR="0" wp14:anchorId="075272BC" wp14:editId="010850E5">
                <wp:extent cx="582612" cy="1174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C7553D" w:rsidRPr="00571223" w:rsidRDefault="00C7553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7553D" w14:paraId="71F3685B" w14:textId="77777777" w:rsidTr="00D662F8">
      <w:trPr>
        <w:cantSplit/>
      </w:trPr>
      <w:tc>
        <w:tcPr>
          <w:tcW w:w="8080" w:type="dxa"/>
          <w:vAlign w:val="center"/>
        </w:tcPr>
        <w:p w14:paraId="5784B1D8" w14:textId="727C1BCA" w:rsidR="00C7553D" w:rsidRDefault="00C7553D" w:rsidP="00926083">
          <w:pPr>
            <w:pStyle w:val="RectoFooter"/>
          </w:pPr>
          <w:r w:rsidRPr="00447030">
            <w:t>Government Policy Statement on Health 2024 – 202</w:t>
          </w:r>
          <w:r>
            <w:t>7</w:t>
          </w:r>
        </w:p>
      </w:tc>
      <w:tc>
        <w:tcPr>
          <w:tcW w:w="709" w:type="dxa"/>
          <w:vAlign w:val="center"/>
        </w:tcPr>
        <w:p w14:paraId="18A7A1B5" w14:textId="77777777" w:rsidR="00C7553D" w:rsidRPr="00931466" w:rsidRDefault="00C7553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C7553D" w:rsidRPr="00581EB8" w:rsidRDefault="00C7553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7553D" w14:paraId="4C3A3BF7" w14:textId="77777777" w:rsidTr="00D662F8">
      <w:trPr>
        <w:cantSplit/>
      </w:trPr>
      <w:tc>
        <w:tcPr>
          <w:tcW w:w="709" w:type="dxa"/>
          <w:vAlign w:val="center"/>
        </w:tcPr>
        <w:p w14:paraId="28F87ED7" w14:textId="77777777" w:rsidR="00C7553D" w:rsidRPr="00931466" w:rsidRDefault="00C7553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1E430274" w:rsidR="00C7553D" w:rsidRDefault="00C7553D" w:rsidP="00926083">
          <w:pPr>
            <w:pStyle w:val="RectoFooter"/>
            <w:jc w:val="left"/>
          </w:pPr>
          <w:r w:rsidRPr="00447030">
            <w:t>GOVERNMENT POLICY STATEMENT ON HEALTH 2024 – 2027</w:t>
          </w:r>
        </w:p>
      </w:tc>
    </w:tr>
  </w:tbl>
  <w:p w14:paraId="711B5D80" w14:textId="77777777" w:rsidR="00C7553D" w:rsidRPr="00571223" w:rsidRDefault="00C7553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7553D" w14:paraId="58AAB149" w14:textId="77777777" w:rsidTr="00D662F8">
      <w:trPr>
        <w:cantSplit/>
      </w:trPr>
      <w:tc>
        <w:tcPr>
          <w:tcW w:w="8080" w:type="dxa"/>
          <w:vAlign w:val="center"/>
        </w:tcPr>
        <w:p w14:paraId="20E2F0CC" w14:textId="3F9F6B5A" w:rsidR="00C7553D" w:rsidRDefault="00C7553D" w:rsidP="00926083">
          <w:pPr>
            <w:pStyle w:val="RectoFooter"/>
          </w:pPr>
          <w:r w:rsidRPr="00447030">
            <w:t>Government Policy Statement on Health 2024 – 202</w:t>
          </w:r>
          <w:r>
            <w:t>7</w:t>
          </w:r>
        </w:p>
      </w:tc>
      <w:tc>
        <w:tcPr>
          <w:tcW w:w="709" w:type="dxa"/>
          <w:vAlign w:val="center"/>
        </w:tcPr>
        <w:p w14:paraId="3D3C9847" w14:textId="77777777" w:rsidR="00C7553D" w:rsidRPr="00931466" w:rsidRDefault="00C7553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C7553D" w:rsidRPr="00581EB8" w:rsidRDefault="00C7553D"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7553D" w14:paraId="7DB74E0B" w14:textId="77777777" w:rsidTr="00D662F8">
      <w:trPr>
        <w:cantSplit/>
      </w:trPr>
      <w:tc>
        <w:tcPr>
          <w:tcW w:w="709" w:type="dxa"/>
          <w:vAlign w:val="center"/>
        </w:tcPr>
        <w:p w14:paraId="7FB9EB7B" w14:textId="77777777" w:rsidR="00C7553D" w:rsidRPr="00931466" w:rsidRDefault="00C7553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54DD7A41" w:rsidR="00C7553D" w:rsidRDefault="00C7553D" w:rsidP="00926083">
          <w:pPr>
            <w:pStyle w:val="RectoFooter"/>
            <w:jc w:val="left"/>
          </w:pPr>
          <w:r w:rsidRPr="00447030">
            <w:t>GOVERNMENT POLICY STATEMENT ON HEALTH 2024 – 2027</w:t>
          </w:r>
        </w:p>
      </w:tc>
    </w:tr>
  </w:tbl>
  <w:p w14:paraId="6EE331BB" w14:textId="77777777" w:rsidR="00C7553D" w:rsidRPr="00447030" w:rsidRDefault="00C7553D">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7553D" w14:paraId="423138CB" w14:textId="77777777" w:rsidTr="00D662F8">
      <w:trPr>
        <w:cantSplit/>
      </w:trPr>
      <w:tc>
        <w:tcPr>
          <w:tcW w:w="8080" w:type="dxa"/>
          <w:vAlign w:val="center"/>
        </w:tcPr>
        <w:p w14:paraId="520A68A6" w14:textId="61E6231A" w:rsidR="00C7553D" w:rsidRDefault="00C7553D" w:rsidP="00926083">
          <w:pPr>
            <w:pStyle w:val="RectoFooter"/>
          </w:pPr>
          <w:r w:rsidRPr="00447030">
            <w:t>GOVERNMENT POLICY STATEMENT ON HEALTH 2024 – 2027</w:t>
          </w:r>
        </w:p>
      </w:tc>
      <w:tc>
        <w:tcPr>
          <w:tcW w:w="709" w:type="dxa"/>
          <w:vAlign w:val="center"/>
        </w:tcPr>
        <w:p w14:paraId="745D812B" w14:textId="77777777" w:rsidR="00C7553D" w:rsidRPr="00931466" w:rsidRDefault="00C7553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2DF6D1B7" w14:textId="77777777" w:rsidR="00C7553D" w:rsidRPr="00447030" w:rsidRDefault="00C7553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61B4" w14:textId="77777777" w:rsidR="00E467ED" w:rsidRPr="00A26E6B" w:rsidRDefault="00E467ED" w:rsidP="00A26E6B"/>
  </w:footnote>
  <w:footnote w:type="continuationSeparator" w:id="0">
    <w:p w14:paraId="60CEC5D6" w14:textId="77777777" w:rsidR="00E467ED" w:rsidRDefault="00E467ED">
      <w:r>
        <w:continuationSeparator/>
      </w:r>
    </w:p>
    <w:p w14:paraId="77887BFB" w14:textId="77777777" w:rsidR="00E467ED" w:rsidRDefault="00E467ED"/>
  </w:footnote>
  <w:footnote w:type="continuationNotice" w:id="1">
    <w:p w14:paraId="5DF00FE3" w14:textId="77777777" w:rsidR="00E467ED" w:rsidRDefault="00E467ED"/>
  </w:footnote>
  <w:footnote w:id="2">
    <w:p w14:paraId="3CE1950F" w14:textId="77777777" w:rsidR="00C7553D" w:rsidRDefault="00C7553D" w:rsidP="00363713">
      <w:pPr>
        <w:rPr>
          <w:rFonts w:eastAsia="Segoe UI" w:cs="Segoe UI"/>
          <w:color w:val="00B050"/>
          <w:szCs w:val="21"/>
        </w:rPr>
      </w:pPr>
      <w:r w:rsidRPr="010F0386">
        <w:rPr>
          <w:rStyle w:val="FootnoteReference"/>
        </w:rPr>
        <w:footnoteRef/>
      </w:r>
      <w:r>
        <w:t xml:space="preserve"> </w:t>
      </w:r>
      <w:r w:rsidRPr="00864BC3">
        <w:rPr>
          <w:sz w:val="17"/>
        </w:rPr>
        <w:t xml:space="preserve">In addition to </w:t>
      </w:r>
      <w:r>
        <w:rPr>
          <w:sz w:val="17"/>
        </w:rPr>
        <w:t>non-communicable diseases</w:t>
      </w:r>
      <w:r w:rsidRPr="00864BC3">
        <w:rPr>
          <w:sz w:val="17"/>
        </w:rPr>
        <w:t>, other important (and preventable) causes of health loss include communicable diseases and injuries, particularly for children and young people.</w:t>
      </w:r>
    </w:p>
  </w:footnote>
  <w:footnote w:id="3">
    <w:p w14:paraId="6AB1D9DA" w14:textId="68EB4CF4" w:rsidR="00C7553D" w:rsidRPr="00864BC3" w:rsidRDefault="00C7553D" w:rsidP="00363713">
      <w:pPr>
        <w:pStyle w:val="FootnoteText"/>
        <w:ind w:left="0" w:firstLine="0"/>
        <w:rPr>
          <w:lang w:val="mi-NZ"/>
        </w:rPr>
      </w:pPr>
      <w:r>
        <w:rPr>
          <w:rStyle w:val="FootnoteReference"/>
        </w:rPr>
        <w:footnoteRef/>
      </w:r>
      <w:r>
        <w:t xml:space="preserve"> A</w:t>
      </w:r>
      <w:r w:rsidRPr="00270ACC">
        <w:t>ccess is defined as the opportunity to reach and obtain appropriate health care services in situations of perceived need for care</w:t>
      </w:r>
      <w:r>
        <w:t xml:space="preserve"> (</w:t>
      </w:r>
      <w:r w:rsidRPr="00270ACC">
        <w:t xml:space="preserve">Levesque JF, Harris M, Russell G. 2013. Patient-centred access to health care: conceptualising access at the interface of health systems and populations. </w:t>
      </w:r>
      <w:r w:rsidRPr="00B37A1F">
        <w:rPr>
          <w:i/>
        </w:rPr>
        <w:t>International Journal for Equity in Health</w:t>
      </w:r>
      <w:r w:rsidRPr="00270ACC">
        <w:t xml:space="preserve"> 12</w:t>
      </w:r>
      <w:r>
        <w:t>,</w:t>
      </w:r>
      <w:r w:rsidRPr="00270ACC">
        <w:t xml:space="preserve"> 18</w:t>
      </w:r>
      <w:r>
        <w:t xml:space="preserve">). DOI: </w:t>
      </w:r>
      <w:hyperlink r:id="rId1" w:history="1">
        <w:r w:rsidRPr="00F61D54">
          <w:rPr>
            <w:rStyle w:val="Hyperlink"/>
          </w:rPr>
          <w:t>https://doi.org/10.1186/1475-9276-12-18</w:t>
        </w:r>
      </w:hyperlink>
      <w:r>
        <w:t>)</w:t>
      </w:r>
      <w:r w:rsidRPr="00270ACC">
        <w:t>.</w:t>
      </w:r>
    </w:p>
  </w:footnote>
  <w:footnote w:id="4">
    <w:p w14:paraId="21F460F9" w14:textId="77777777" w:rsidR="00C7553D" w:rsidRDefault="00C7553D" w:rsidP="00813300">
      <w:pPr>
        <w:pStyle w:val="FootnoteText"/>
      </w:pPr>
      <w:r>
        <w:rPr>
          <w:rStyle w:val="FootnoteReference"/>
        </w:rPr>
        <w:footnoteRef/>
      </w:r>
      <w:r>
        <w:t xml:space="preserve"> Ministry of Health. 2023. </w:t>
      </w:r>
      <w:r w:rsidRPr="003C21D8">
        <w:rPr>
          <w:i/>
          <w:iCs/>
        </w:rPr>
        <w:t>2022/23 New Zealand Health Survey</w:t>
      </w:r>
      <w:r>
        <w:t>. Wellington: Ministry of Health.</w:t>
      </w:r>
    </w:p>
  </w:footnote>
  <w:footnote w:id="5">
    <w:p w14:paraId="3738FE3C" w14:textId="77777777" w:rsidR="00C7553D" w:rsidRDefault="00C7553D" w:rsidP="00813300">
      <w:pPr>
        <w:pStyle w:val="FootnoteText"/>
      </w:pPr>
      <w:r>
        <w:rPr>
          <w:rStyle w:val="FootnoteReference"/>
        </w:rPr>
        <w:footnoteRef/>
      </w:r>
      <w:r>
        <w:t xml:space="preserve"> Ministry of Health. 2023. </w:t>
      </w:r>
      <w:r w:rsidRPr="003C21D8">
        <w:rPr>
          <w:i/>
          <w:iCs/>
        </w:rPr>
        <w:t>2022/23 New Zealand Health Survey</w:t>
      </w:r>
      <w:r>
        <w:t>. Wellington: Ministry of Health.</w:t>
      </w:r>
    </w:p>
  </w:footnote>
  <w:footnote w:id="6">
    <w:p w14:paraId="73896FA2" w14:textId="77777777" w:rsidR="00C7553D" w:rsidRPr="00EA249B" w:rsidRDefault="00C7553D" w:rsidP="00813300">
      <w:pPr>
        <w:pStyle w:val="FootnoteText"/>
        <w:rPr>
          <w:lang w:val="mi-NZ"/>
        </w:rPr>
      </w:pPr>
      <w:r>
        <w:rPr>
          <w:rStyle w:val="FootnoteReference"/>
        </w:rPr>
        <w:footnoteRef/>
      </w:r>
      <w:r>
        <w:t xml:space="preserve"> Ministry of Health. 2023. </w:t>
      </w:r>
      <w:r w:rsidRPr="003C21D8">
        <w:rPr>
          <w:i/>
          <w:iCs/>
        </w:rPr>
        <w:t>2022/23 New Zealand Health Survey</w:t>
      </w:r>
      <w:r>
        <w:t>. Wellington: Ministry of Health.</w:t>
      </w:r>
    </w:p>
  </w:footnote>
  <w:footnote w:id="7">
    <w:p w14:paraId="19B02EC9" w14:textId="77777777" w:rsidR="00C7553D" w:rsidRPr="00041D36" w:rsidRDefault="00C7553D" w:rsidP="00813300">
      <w:pPr>
        <w:pStyle w:val="FootnoteText"/>
        <w:ind w:left="0" w:firstLine="0"/>
        <w:rPr>
          <w:lang w:val="mi-NZ"/>
        </w:rPr>
      </w:pPr>
      <w:r>
        <w:rPr>
          <w:rStyle w:val="FootnoteReference"/>
        </w:rPr>
        <w:footnoteRef/>
      </w:r>
      <w:r>
        <w:t xml:space="preserve"> World Health Organization definition:</w:t>
      </w:r>
      <w:r w:rsidRPr="001A4A40">
        <w:t xml:space="preserve"> </w:t>
      </w:r>
      <w:r>
        <w:t>o</w:t>
      </w:r>
      <w:r w:rsidRPr="001A4A40">
        <w:t xml:space="preserve">ne </w:t>
      </w:r>
      <w:r>
        <w:t>disability adjusted life year (</w:t>
      </w:r>
      <w:r w:rsidRPr="001A4A40">
        <w:t>DALY</w:t>
      </w:r>
      <w:r>
        <w:t>)</w:t>
      </w:r>
      <w:r w:rsidRPr="001A4A40">
        <w:t xml:space="preserve"> represents the loss of the equivalent of one year of full health. DALYs for a disease or health condition are the sum of the years of life lost to due to premature mortality (YLLs) and the years lived with a disability (YLDs) due to prevalent cases of the disease or health condition in a population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7553D" w14:paraId="11530A0D" w14:textId="77777777" w:rsidTr="008F2B72">
      <w:trPr>
        <w:cantSplit/>
      </w:trPr>
      <w:tc>
        <w:tcPr>
          <w:tcW w:w="5210" w:type="dxa"/>
          <w:vAlign w:val="center"/>
        </w:tcPr>
        <w:p w14:paraId="2BDE3162" w14:textId="4E67EED4" w:rsidR="00C7553D" w:rsidRDefault="00C7553D" w:rsidP="00B26F0F">
          <w:pPr>
            <w:pStyle w:val="Header"/>
          </w:pPr>
          <w:bookmarkStart w:id="0" w:name="_Hlk110933925"/>
          <w:r>
            <w:rPr>
              <w:noProof/>
              <w:lang w:eastAsia="en-NZ"/>
            </w:rPr>
            <w:drawing>
              <wp:inline distT="0" distB="0" distL="0" distR="0" wp14:anchorId="04421456" wp14:editId="64C50BE0">
                <wp:extent cx="2294626" cy="542925"/>
                <wp:effectExtent l="0" t="0" r="0" b="0"/>
                <wp:docPr id="1" name="Picture 1" descr="NZ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Z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0566A166" w:rsidR="00C7553D" w:rsidRDefault="00C7553D" w:rsidP="00C0337C">
          <w:pPr>
            <w:pStyle w:val="Header"/>
            <w:jc w:val="right"/>
          </w:pPr>
        </w:p>
      </w:tc>
    </w:tr>
    <w:bookmarkEnd w:id="0"/>
  </w:tbl>
  <w:p w14:paraId="4AC8EC99" w14:textId="1B35D83E" w:rsidR="00C7553D" w:rsidRDefault="00C75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C7553D" w:rsidRDefault="00C7553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C7553D" w:rsidRDefault="00C7553D"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C7553D" w:rsidRDefault="00C7553D"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C7553D" w:rsidRDefault="00C7553D"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C7553D" w:rsidRDefault="00C75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50"/>
    <w:multiLevelType w:val="multilevel"/>
    <w:tmpl w:val="B8F875CC"/>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ind w:left="992" w:hanging="99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F5457"/>
    <w:multiLevelType w:val="hybridMultilevel"/>
    <w:tmpl w:val="989C13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2E1B55"/>
    <w:multiLevelType w:val="singleLevel"/>
    <w:tmpl w:val="05420D76"/>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9B75B95"/>
    <w:multiLevelType w:val="hybridMultilevel"/>
    <w:tmpl w:val="95207966"/>
    <w:lvl w:ilvl="0" w:tplc="E1CAA810">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C1622B"/>
    <w:multiLevelType w:val="hybridMultilevel"/>
    <w:tmpl w:val="A8F44C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E85390D"/>
    <w:multiLevelType w:val="multilevel"/>
    <w:tmpl w:val="A9D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71DC1"/>
    <w:multiLevelType w:val="hybridMultilevel"/>
    <w:tmpl w:val="646E4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2C647E"/>
    <w:multiLevelType w:val="hybridMultilevel"/>
    <w:tmpl w:val="F4249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524F73"/>
    <w:multiLevelType w:val="multilevel"/>
    <w:tmpl w:val="EE8AE8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A87623"/>
    <w:multiLevelType w:val="hybridMultilevel"/>
    <w:tmpl w:val="7128AE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172E0"/>
    <w:multiLevelType w:val="hybridMultilevel"/>
    <w:tmpl w:val="84763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5B79C1"/>
    <w:multiLevelType w:val="hybridMultilevel"/>
    <w:tmpl w:val="662E8C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9630C"/>
    <w:multiLevelType w:val="hybridMultilevel"/>
    <w:tmpl w:val="C04009D4"/>
    <w:lvl w:ilvl="0" w:tplc="577E16E2">
      <w:start w:val="1"/>
      <w:numFmt w:val="bullet"/>
      <w:lvlText w:val=""/>
      <w:lvlJc w:val="left"/>
      <w:pPr>
        <w:ind w:left="360" w:hanging="360"/>
      </w:pPr>
      <w:rPr>
        <w:rFonts w:ascii="Symbol" w:hAnsi="Symbol" w:hint="default"/>
        <w:sz w:val="18"/>
        <w:szCs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4772EC6"/>
    <w:multiLevelType w:val="hybridMultilevel"/>
    <w:tmpl w:val="2996E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C974F17"/>
    <w:multiLevelType w:val="hybridMultilevel"/>
    <w:tmpl w:val="CE0C2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7921C7"/>
    <w:multiLevelType w:val="hybridMultilevel"/>
    <w:tmpl w:val="FF889F7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886852"/>
    <w:multiLevelType w:val="hybridMultilevel"/>
    <w:tmpl w:val="D0587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159924253">
    <w:abstractNumId w:val="20"/>
  </w:num>
  <w:num w:numId="2" w16cid:durableId="1160805172">
    <w:abstractNumId w:val="11"/>
  </w:num>
  <w:num w:numId="3" w16cid:durableId="565335823">
    <w:abstractNumId w:val="14"/>
  </w:num>
  <w:num w:numId="4" w16cid:durableId="92482666">
    <w:abstractNumId w:val="2"/>
  </w:num>
  <w:num w:numId="5" w16cid:durableId="221595987">
    <w:abstractNumId w:val="7"/>
  </w:num>
  <w:num w:numId="6" w16cid:durableId="603928914">
    <w:abstractNumId w:val="3"/>
  </w:num>
  <w:num w:numId="7" w16cid:durableId="788859916">
    <w:abstractNumId w:val="15"/>
  </w:num>
  <w:num w:numId="8" w16cid:durableId="1478457423">
    <w:abstractNumId w:val="1"/>
  </w:num>
  <w:num w:numId="9" w16cid:durableId="501941566">
    <w:abstractNumId w:val="5"/>
  </w:num>
  <w:num w:numId="10" w16cid:durableId="467549095">
    <w:abstractNumId w:val="9"/>
  </w:num>
  <w:num w:numId="11" w16cid:durableId="779373637">
    <w:abstractNumId w:val="6"/>
  </w:num>
  <w:num w:numId="12" w16cid:durableId="1204173577">
    <w:abstractNumId w:val="0"/>
  </w:num>
  <w:num w:numId="13" w16cid:durableId="2032954856">
    <w:abstractNumId w:val="12"/>
  </w:num>
  <w:num w:numId="14" w16cid:durableId="1731610581">
    <w:abstractNumId w:val="16"/>
  </w:num>
  <w:num w:numId="15" w16cid:durableId="1427381668">
    <w:abstractNumId w:val="8"/>
  </w:num>
  <w:num w:numId="16" w16cid:durableId="853956369">
    <w:abstractNumId w:val="13"/>
  </w:num>
  <w:num w:numId="17" w16cid:durableId="1450658470">
    <w:abstractNumId w:val="10"/>
  </w:num>
  <w:num w:numId="18" w16cid:durableId="6307937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30655">
    <w:abstractNumId w:val="4"/>
  </w:num>
  <w:num w:numId="20" w16cid:durableId="177432704">
    <w:abstractNumId w:val="17"/>
  </w:num>
  <w:num w:numId="21" w16cid:durableId="3312991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0BA2"/>
    <w:rsid w:val="00010CC8"/>
    <w:rsid w:val="0001337C"/>
    <w:rsid w:val="000240A0"/>
    <w:rsid w:val="00025A6F"/>
    <w:rsid w:val="0002618D"/>
    <w:rsid w:val="00030B26"/>
    <w:rsid w:val="00030B31"/>
    <w:rsid w:val="00030E84"/>
    <w:rsid w:val="00032C0A"/>
    <w:rsid w:val="00035257"/>
    <w:rsid w:val="00035D68"/>
    <w:rsid w:val="000376E2"/>
    <w:rsid w:val="000416A9"/>
    <w:rsid w:val="00045FED"/>
    <w:rsid w:val="000516AE"/>
    <w:rsid w:val="00054B44"/>
    <w:rsid w:val="0006228D"/>
    <w:rsid w:val="00070BA7"/>
    <w:rsid w:val="00072BD6"/>
    <w:rsid w:val="00075702"/>
    <w:rsid w:val="00075B78"/>
    <w:rsid w:val="000763E9"/>
    <w:rsid w:val="00082CD6"/>
    <w:rsid w:val="00083198"/>
    <w:rsid w:val="0008437D"/>
    <w:rsid w:val="00085AFE"/>
    <w:rsid w:val="00087529"/>
    <w:rsid w:val="000930A1"/>
    <w:rsid w:val="00094800"/>
    <w:rsid w:val="00094D79"/>
    <w:rsid w:val="000A0E77"/>
    <w:rsid w:val="000A41ED"/>
    <w:rsid w:val="000B0730"/>
    <w:rsid w:val="000C2C37"/>
    <w:rsid w:val="000C6A0E"/>
    <w:rsid w:val="000D19F4"/>
    <w:rsid w:val="000D2835"/>
    <w:rsid w:val="000D58DD"/>
    <w:rsid w:val="000F2AE2"/>
    <w:rsid w:val="000F2BFF"/>
    <w:rsid w:val="00102063"/>
    <w:rsid w:val="0010541C"/>
    <w:rsid w:val="00106F93"/>
    <w:rsid w:val="00111D50"/>
    <w:rsid w:val="00112CF0"/>
    <w:rsid w:val="00113B8E"/>
    <w:rsid w:val="0012053C"/>
    <w:rsid w:val="00122363"/>
    <w:rsid w:val="00126821"/>
    <w:rsid w:val="001342C7"/>
    <w:rsid w:val="0013585C"/>
    <w:rsid w:val="00142261"/>
    <w:rsid w:val="00142954"/>
    <w:rsid w:val="00144071"/>
    <w:rsid w:val="001456D4"/>
    <w:rsid w:val="001460E0"/>
    <w:rsid w:val="001472F0"/>
    <w:rsid w:val="00147F71"/>
    <w:rsid w:val="00150A6E"/>
    <w:rsid w:val="00155301"/>
    <w:rsid w:val="00156EE9"/>
    <w:rsid w:val="0016304B"/>
    <w:rsid w:val="0016468A"/>
    <w:rsid w:val="00172F7F"/>
    <w:rsid w:val="00173F2B"/>
    <w:rsid w:val="001823D6"/>
    <w:rsid w:val="00185F36"/>
    <w:rsid w:val="0018662D"/>
    <w:rsid w:val="00187C7A"/>
    <w:rsid w:val="00196429"/>
    <w:rsid w:val="00197427"/>
    <w:rsid w:val="001A21B4"/>
    <w:rsid w:val="001A5CF5"/>
    <w:rsid w:val="001B39D2"/>
    <w:rsid w:val="001B4464"/>
    <w:rsid w:val="001B4BF8"/>
    <w:rsid w:val="001C4326"/>
    <w:rsid w:val="001C665E"/>
    <w:rsid w:val="001C6793"/>
    <w:rsid w:val="001D3541"/>
    <w:rsid w:val="001D3E4E"/>
    <w:rsid w:val="001D4925"/>
    <w:rsid w:val="001D593D"/>
    <w:rsid w:val="001D671E"/>
    <w:rsid w:val="001E0951"/>
    <w:rsid w:val="001E254A"/>
    <w:rsid w:val="001E255E"/>
    <w:rsid w:val="001E7386"/>
    <w:rsid w:val="001F45A7"/>
    <w:rsid w:val="00201A01"/>
    <w:rsid w:val="00204482"/>
    <w:rsid w:val="0020754B"/>
    <w:rsid w:val="002078D0"/>
    <w:rsid w:val="002104D3"/>
    <w:rsid w:val="00213A33"/>
    <w:rsid w:val="0021763B"/>
    <w:rsid w:val="0022031B"/>
    <w:rsid w:val="00221CAC"/>
    <w:rsid w:val="00236584"/>
    <w:rsid w:val="002376A9"/>
    <w:rsid w:val="00244D16"/>
    <w:rsid w:val="00246DB1"/>
    <w:rsid w:val="002476B5"/>
    <w:rsid w:val="002520CC"/>
    <w:rsid w:val="00253E7C"/>
    <w:rsid w:val="00253ECF"/>
    <w:rsid w:val="002546A1"/>
    <w:rsid w:val="002622C2"/>
    <w:rsid w:val="002628F4"/>
    <w:rsid w:val="002639E6"/>
    <w:rsid w:val="00264B6F"/>
    <w:rsid w:val="0027179A"/>
    <w:rsid w:val="00275D08"/>
    <w:rsid w:val="002858E3"/>
    <w:rsid w:val="00286463"/>
    <w:rsid w:val="00286A2A"/>
    <w:rsid w:val="0029190A"/>
    <w:rsid w:val="00292C5A"/>
    <w:rsid w:val="00295241"/>
    <w:rsid w:val="00296F25"/>
    <w:rsid w:val="002A4DFC"/>
    <w:rsid w:val="002B047D"/>
    <w:rsid w:val="002B2D3C"/>
    <w:rsid w:val="002B36B6"/>
    <w:rsid w:val="002B5CC2"/>
    <w:rsid w:val="002B732B"/>
    <w:rsid w:val="002B76A7"/>
    <w:rsid w:val="002B7CCB"/>
    <w:rsid w:val="002C2219"/>
    <w:rsid w:val="002C2552"/>
    <w:rsid w:val="002C380A"/>
    <w:rsid w:val="002D0AA7"/>
    <w:rsid w:val="002D0DF2"/>
    <w:rsid w:val="002D23BD"/>
    <w:rsid w:val="002D5D14"/>
    <w:rsid w:val="002E01C1"/>
    <w:rsid w:val="002E0B47"/>
    <w:rsid w:val="002E49D9"/>
    <w:rsid w:val="002F4685"/>
    <w:rsid w:val="002F6DDE"/>
    <w:rsid w:val="002F7213"/>
    <w:rsid w:val="00300BEF"/>
    <w:rsid w:val="0030382F"/>
    <w:rsid w:val="0030408D"/>
    <w:rsid w:val="003060E4"/>
    <w:rsid w:val="00307AA3"/>
    <w:rsid w:val="003160E7"/>
    <w:rsid w:val="0031739E"/>
    <w:rsid w:val="003309CA"/>
    <w:rsid w:val="003325AB"/>
    <w:rsid w:val="003332D1"/>
    <w:rsid w:val="0033412B"/>
    <w:rsid w:val="003352FA"/>
    <w:rsid w:val="003369A0"/>
    <w:rsid w:val="00341161"/>
    <w:rsid w:val="00343365"/>
    <w:rsid w:val="003445F4"/>
    <w:rsid w:val="00346CEE"/>
    <w:rsid w:val="003470CB"/>
    <w:rsid w:val="00353501"/>
    <w:rsid w:val="00353734"/>
    <w:rsid w:val="003606F8"/>
    <w:rsid w:val="00363713"/>
    <w:rsid w:val="003648EF"/>
    <w:rsid w:val="003673E6"/>
    <w:rsid w:val="00371376"/>
    <w:rsid w:val="00377264"/>
    <w:rsid w:val="003779D2"/>
    <w:rsid w:val="00385E38"/>
    <w:rsid w:val="0038659A"/>
    <w:rsid w:val="00394FA3"/>
    <w:rsid w:val="003A0FB2"/>
    <w:rsid w:val="003A26A5"/>
    <w:rsid w:val="003A3750"/>
    <w:rsid w:val="003A3761"/>
    <w:rsid w:val="003A512D"/>
    <w:rsid w:val="003A5FEA"/>
    <w:rsid w:val="003A74ED"/>
    <w:rsid w:val="003B1D10"/>
    <w:rsid w:val="003B20E0"/>
    <w:rsid w:val="003C6756"/>
    <w:rsid w:val="003C76D4"/>
    <w:rsid w:val="003D137D"/>
    <w:rsid w:val="003D2CC5"/>
    <w:rsid w:val="003D43A2"/>
    <w:rsid w:val="003E04C1"/>
    <w:rsid w:val="003E0887"/>
    <w:rsid w:val="003E74C8"/>
    <w:rsid w:val="003E7C46"/>
    <w:rsid w:val="003F06D2"/>
    <w:rsid w:val="003F1C92"/>
    <w:rsid w:val="003F2106"/>
    <w:rsid w:val="003F52A7"/>
    <w:rsid w:val="003F5A5E"/>
    <w:rsid w:val="003F7013"/>
    <w:rsid w:val="00400408"/>
    <w:rsid w:val="0040240C"/>
    <w:rsid w:val="00411327"/>
    <w:rsid w:val="00413021"/>
    <w:rsid w:val="00421F4D"/>
    <w:rsid w:val="004301C6"/>
    <w:rsid w:val="004344BA"/>
    <w:rsid w:val="0043478F"/>
    <w:rsid w:val="0043602B"/>
    <w:rsid w:val="00440BE0"/>
    <w:rsid w:val="00442C1C"/>
    <w:rsid w:val="0044584B"/>
    <w:rsid w:val="00447030"/>
    <w:rsid w:val="00447CB7"/>
    <w:rsid w:val="00455CC9"/>
    <w:rsid w:val="00460826"/>
    <w:rsid w:val="00460EA7"/>
    <w:rsid w:val="00460FB7"/>
    <w:rsid w:val="0046195B"/>
    <w:rsid w:val="004632D0"/>
    <w:rsid w:val="0046362D"/>
    <w:rsid w:val="0046596D"/>
    <w:rsid w:val="00473432"/>
    <w:rsid w:val="0047680F"/>
    <w:rsid w:val="00477D79"/>
    <w:rsid w:val="00487C04"/>
    <w:rsid w:val="004907E1"/>
    <w:rsid w:val="004A035B"/>
    <w:rsid w:val="004A2108"/>
    <w:rsid w:val="004A38D7"/>
    <w:rsid w:val="004A778C"/>
    <w:rsid w:val="004B48C7"/>
    <w:rsid w:val="004B5681"/>
    <w:rsid w:val="004C2E6A"/>
    <w:rsid w:val="004C64B8"/>
    <w:rsid w:val="004D2A2D"/>
    <w:rsid w:val="004D3264"/>
    <w:rsid w:val="004D479F"/>
    <w:rsid w:val="004D6689"/>
    <w:rsid w:val="004E1D1D"/>
    <w:rsid w:val="004E7AC8"/>
    <w:rsid w:val="004F09B3"/>
    <w:rsid w:val="004F0C94"/>
    <w:rsid w:val="004F1EC3"/>
    <w:rsid w:val="004F29F9"/>
    <w:rsid w:val="004F4358"/>
    <w:rsid w:val="004F5180"/>
    <w:rsid w:val="005019AE"/>
    <w:rsid w:val="00503749"/>
    <w:rsid w:val="00504CF4"/>
    <w:rsid w:val="00504E04"/>
    <w:rsid w:val="00505649"/>
    <w:rsid w:val="0050635B"/>
    <w:rsid w:val="005151C2"/>
    <w:rsid w:val="00522BCD"/>
    <w:rsid w:val="0053199F"/>
    <w:rsid w:val="00531E12"/>
    <w:rsid w:val="00533B90"/>
    <w:rsid w:val="0053638E"/>
    <w:rsid w:val="00536CAF"/>
    <w:rsid w:val="005410F8"/>
    <w:rsid w:val="005448EC"/>
    <w:rsid w:val="00545963"/>
    <w:rsid w:val="00546533"/>
    <w:rsid w:val="00550256"/>
    <w:rsid w:val="00553165"/>
    <w:rsid w:val="00553958"/>
    <w:rsid w:val="00556711"/>
    <w:rsid w:val="00556BB7"/>
    <w:rsid w:val="0055763D"/>
    <w:rsid w:val="00561516"/>
    <w:rsid w:val="0056189F"/>
    <w:rsid w:val="005621F2"/>
    <w:rsid w:val="005665FD"/>
    <w:rsid w:val="00567B58"/>
    <w:rsid w:val="00571223"/>
    <w:rsid w:val="005763E0"/>
    <w:rsid w:val="00581136"/>
    <w:rsid w:val="00581EB8"/>
    <w:rsid w:val="00583BF3"/>
    <w:rsid w:val="00594F78"/>
    <w:rsid w:val="005A27CA"/>
    <w:rsid w:val="005A27EE"/>
    <w:rsid w:val="005A303F"/>
    <w:rsid w:val="005A43BD"/>
    <w:rsid w:val="005A4468"/>
    <w:rsid w:val="005A79E5"/>
    <w:rsid w:val="005C280E"/>
    <w:rsid w:val="005C5819"/>
    <w:rsid w:val="005D034C"/>
    <w:rsid w:val="005D64E8"/>
    <w:rsid w:val="005E226E"/>
    <w:rsid w:val="005E2636"/>
    <w:rsid w:val="005F28AC"/>
    <w:rsid w:val="005F77FC"/>
    <w:rsid w:val="006015D7"/>
    <w:rsid w:val="00601B21"/>
    <w:rsid w:val="006041F0"/>
    <w:rsid w:val="00605C6D"/>
    <w:rsid w:val="00611FD6"/>
    <w:rsid w:val="006120CA"/>
    <w:rsid w:val="006154E2"/>
    <w:rsid w:val="00617115"/>
    <w:rsid w:val="006177E3"/>
    <w:rsid w:val="00624174"/>
    <w:rsid w:val="00626CF8"/>
    <w:rsid w:val="006314AF"/>
    <w:rsid w:val="00634ED8"/>
    <w:rsid w:val="00635D1A"/>
    <w:rsid w:val="00636D7D"/>
    <w:rsid w:val="00637408"/>
    <w:rsid w:val="00640422"/>
    <w:rsid w:val="00642868"/>
    <w:rsid w:val="00647816"/>
    <w:rsid w:val="00647AFE"/>
    <w:rsid w:val="006512BC"/>
    <w:rsid w:val="00651CC6"/>
    <w:rsid w:val="00653A5A"/>
    <w:rsid w:val="006542C6"/>
    <w:rsid w:val="006554AC"/>
    <w:rsid w:val="00655F39"/>
    <w:rsid w:val="006575F4"/>
    <w:rsid w:val="006579E6"/>
    <w:rsid w:val="00660682"/>
    <w:rsid w:val="00660F74"/>
    <w:rsid w:val="00663EDC"/>
    <w:rsid w:val="00667E20"/>
    <w:rsid w:val="00671078"/>
    <w:rsid w:val="00672CB8"/>
    <w:rsid w:val="006732FA"/>
    <w:rsid w:val="006758CA"/>
    <w:rsid w:val="0067720E"/>
    <w:rsid w:val="00680A04"/>
    <w:rsid w:val="006816F5"/>
    <w:rsid w:val="00686D80"/>
    <w:rsid w:val="00694895"/>
    <w:rsid w:val="0069685C"/>
    <w:rsid w:val="00697E2E"/>
    <w:rsid w:val="006A25A2"/>
    <w:rsid w:val="006A3B87"/>
    <w:rsid w:val="006B003F"/>
    <w:rsid w:val="006B0E73"/>
    <w:rsid w:val="006B1E3D"/>
    <w:rsid w:val="006B4A4D"/>
    <w:rsid w:val="006B5695"/>
    <w:rsid w:val="006B7B2E"/>
    <w:rsid w:val="006C3EE4"/>
    <w:rsid w:val="006C78EB"/>
    <w:rsid w:val="006D13A9"/>
    <w:rsid w:val="006D1660"/>
    <w:rsid w:val="006D3DFE"/>
    <w:rsid w:val="006D4DBC"/>
    <w:rsid w:val="006D63E5"/>
    <w:rsid w:val="006E1753"/>
    <w:rsid w:val="006E3911"/>
    <w:rsid w:val="006F0F9A"/>
    <w:rsid w:val="006F1B67"/>
    <w:rsid w:val="006F1FDB"/>
    <w:rsid w:val="006F4D9C"/>
    <w:rsid w:val="006F4E34"/>
    <w:rsid w:val="006F5032"/>
    <w:rsid w:val="0070091D"/>
    <w:rsid w:val="00702854"/>
    <w:rsid w:val="00715517"/>
    <w:rsid w:val="0071741C"/>
    <w:rsid w:val="00723E5F"/>
    <w:rsid w:val="00735DCE"/>
    <w:rsid w:val="00737A7F"/>
    <w:rsid w:val="00742B90"/>
    <w:rsid w:val="0074434D"/>
    <w:rsid w:val="007461BA"/>
    <w:rsid w:val="0075135B"/>
    <w:rsid w:val="0075595B"/>
    <w:rsid w:val="007570C4"/>
    <w:rsid w:val="007605B8"/>
    <w:rsid w:val="007719C0"/>
    <w:rsid w:val="00771B1E"/>
    <w:rsid w:val="0077211F"/>
    <w:rsid w:val="00773C95"/>
    <w:rsid w:val="0077746F"/>
    <w:rsid w:val="0078171E"/>
    <w:rsid w:val="0078658E"/>
    <w:rsid w:val="007920E2"/>
    <w:rsid w:val="00794945"/>
    <w:rsid w:val="0079566E"/>
    <w:rsid w:val="00795B34"/>
    <w:rsid w:val="007A067F"/>
    <w:rsid w:val="007A2207"/>
    <w:rsid w:val="007A3CB3"/>
    <w:rsid w:val="007B1770"/>
    <w:rsid w:val="007B4D3E"/>
    <w:rsid w:val="007B780A"/>
    <w:rsid w:val="007B7C70"/>
    <w:rsid w:val="007B7DEB"/>
    <w:rsid w:val="007C0449"/>
    <w:rsid w:val="007C3377"/>
    <w:rsid w:val="007D207F"/>
    <w:rsid w:val="007D2151"/>
    <w:rsid w:val="007D3B90"/>
    <w:rsid w:val="007D42CC"/>
    <w:rsid w:val="007D5DE4"/>
    <w:rsid w:val="007D6119"/>
    <w:rsid w:val="007D7C3A"/>
    <w:rsid w:val="007E0777"/>
    <w:rsid w:val="007E1341"/>
    <w:rsid w:val="007E1B41"/>
    <w:rsid w:val="007E1EC4"/>
    <w:rsid w:val="007E30B9"/>
    <w:rsid w:val="007E5A47"/>
    <w:rsid w:val="007E74F1"/>
    <w:rsid w:val="007F0F0C"/>
    <w:rsid w:val="007F1288"/>
    <w:rsid w:val="0080055A"/>
    <w:rsid w:val="00800A8A"/>
    <w:rsid w:val="0080155C"/>
    <w:rsid w:val="008052E1"/>
    <w:rsid w:val="00813300"/>
    <w:rsid w:val="00820667"/>
    <w:rsid w:val="00822F2C"/>
    <w:rsid w:val="00823DEE"/>
    <w:rsid w:val="00825A4B"/>
    <w:rsid w:val="008305E8"/>
    <w:rsid w:val="00830722"/>
    <w:rsid w:val="008333DE"/>
    <w:rsid w:val="00833A76"/>
    <w:rsid w:val="008355BC"/>
    <w:rsid w:val="00836165"/>
    <w:rsid w:val="008412E8"/>
    <w:rsid w:val="0084640C"/>
    <w:rsid w:val="00856088"/>
    <w:rsid w:val="00860826"/>
    <w:rsid w:val="00860D30"/>
    <w:rsid w:val="00860E21"/>
    <w:rsid w:val="00863117"/>
    <w:rsid w:val="0086388B"/>
    <w:rsid w:val="008642E5"/>
    <w:rsid w:val="00864488"/>
    <w:rsid w:val="00870A36"/>
    <w:rsid w:val="00871118"/>
    <w:rsid w:val="00872D93"/>
    <w:rsid w:val="008748A0"/>
    <w:rsid w:val="00877161"/>
    <w:rsid w:val="00880470"/>
    <w:rsid w:val="00880D94"/>
    <w:rsid w:val="00886BEE"/>
    <w:rsid w:val="00886F64"/>
    <w:rsid w:val="008924DE"/>
    <w:rsid w:val="00895A7F"/>
    <w:rsid w:val="00897F13"/>
    <w:rsid w:val="008A3755"/>
    <w:rsid w:val="008B19DC"/>
    <w:rsid w:val="008B264F"/>
    <w:rsid w:val="008B41F8"/>
    <w:rsid w:val="008B6F83"/>
    <w:rsid w:val="008B7FD8"/>
    <w:rsid w:val="008C1108"/>
    <w:rsid w:val="008C2973"/>
    <w:rsid w:val="008C2DA7"/>
    <w:rsid w:val="008C6324"/>
    <w:rsid w:val="008C64C4"/>
    <w:rsid w:val="008D2CDD"/>
    <w:rsid w:val="008D4BC3"/>
    <w:rsid w:val="008D74D5"/>
    <w:rsid w:val="008E0ED1"/>
    <w:rsid w:val="008E3A07"/>
    <w:rsid w:val="008E537B"/>
    <w:rsid w:val="008F29BE"/>
    <w:rsid w:val="008F2B72"/>
    <w:rsid w:val="008F4AE5"/>
    <w:rsid w:val="008F502A"/>
    <w:rsid w:val="008F51EB"/>
    <w:rsid w:val="00900197"/>
    <w:rsid w:val="00902F55"/>
    <w:rsid w:val="0090582B"/>
    <w:rsid w:val="009060C0"/>
    <w:rsid w:val="009114A2"/>
    <w:rsid w:val="00912D4A"/>
    <w:rsid w:val="009133F5"/>
    <w:rsid w:val="0091520A"/>
    <w:rsid w:val="0091756F"/>
    <w:rsid w:val="00920A27"/>
    <w:rsid w:val="00921216"/>
    <w:rsid w:val="009216CC"/>
    <w:rsid w:val="00926083"/>
    <w:rsid w:val="00930D08"/>
    <w:rsid w:val="00930D97"/>
    <w:rsid w:val="00931466"/>
    <w:rsid w:val="0093162B"/>
    <w:rsid w:val="00932D69"/>
    <w:rsid w:val="009339C0"/>
    <w:rsid w:val="00935589"/>
    <w:rsid w:val="00935E08"/>
    <w:rsid w:val="009401D1"/>
    <w:rsid w:val="00940314"/>
    <w:rsid w:val="00944647"/>
    <w:rsid w:val="00945DBF"/>
    <w:rsid w:val="009503D4"/>
    <w:rsid w:val="009529F4"/>
    <w:rsid w:val="0095565C"/>
    <w:rsid w:val="0096341F"/>
    <w:rsid w:val="00964270"/>
    <w:rsid w:val="00964AB6"/>
    <w:rsid w:val="00966F9A"/>
    <w:rsid w:val="0097645D"/>
    <w:rsid w:val="00977B8A"/>
    <w:rsid w:val="00982971"/>
    <w:rsid w:val="009845AD"/>
    <w:rsid w:val="00984835"/>
    <w:rsid w:val="0098639B"/>
    <w:rsid w:val="009933EF"/>
    <w:rsid w:val="00995BA0"/>
    <w:rsid w:val="009A418B"/>
    <w:rsid w:val="009A426F"/>
    <w:rsid w:val="009A42D5"/>
    <w:rsid w:val="009A4473"/>
    <w:rsid w:val="009A7FDA"/>
    <w:rsid w:val="009B05C9"/>
    <w:rsid w:val="009B21E5"/>
    <w:rsid w:val="009B286C"/>
    <w:rsid w:val="009B6A8F"/>
    <w:rsid w:val="009C151C"/>
    <w:rsid w:val="009C440A"/>
    <w:rsid w:val="009D5125"/>
    <w:rsid w:val="009D60B8"/>
    <w:rsid w:val="009D6813"/>
    <w:rsid w:val="009D7D4B"/>
    <w:rsid w:val="009E11A1"/>
    <w:rsid w:val="009E36ED"/>
    <w:rsid w:val="009E3C8C"/>
    <w:rsid w:val="009E6853"/>
    <w:rsid w:val="009E6B77"/>
    <w:rsid w:val="009F460A"/>
    <w:rsid w:val="00A0196F"/>
    <w:rsid w:val="00A043FB"/>
    <w:rsid w:val="00A06BE4"/>
    <w:rsid w:val="00A0729C"/>
    <w:rsid w:val="00A07779"/>
    <w:rsid w:val="00A1166A"/>
    <w:rsid w:val="00A147BF"/>
    <w:rsid w:val="00A20B2E"/>
    <w:rsid w:val="00A24F33"/>
    <w:rsid w:val="00A25069"/>
    <w:rsid w:val="00A26E6B"/>
    <w:rsid w:val="00A3068F"/>
    <w:rsid w:val="00A3145B"/>
    <w:rsid w:val="00A339D0"/>
    <w:rsid w:val="00A33F55"/>
    <w:rsid w:val="00A41002"/>
    <w:rsid w:val="00A4201A"/>
    <w:rsid w:val="00A465C3"/>
    <w:rsid w:val="00A51DF3"/>
    <w:rsid w:val="00A53917"/>
    <w:rsid w:val="00A5465D"/>
    <w:rsid w:val="00A553CE"/>
    <w:rsid w:val="00A55C06"/>
    <w:rsid w:val="00A5677A"/>
    <w:rsid w:val="00A56DCC"/>
    <w:rsid w:val="00A625E8"/>
    <w:rsid w:val="00A63DFF"/>
    <w:rsid w:val="00A6490D"/>
    <w:rsid w:val="00A66BA0"/>
    <w:rsid w:val="00A73245"/>
    <w:rsid w:val="00A7415D"/>
    <w:rsid w:val="00A80363"/>
    <w:rsid w:val="00A80939"/>
    <w:rsid w:val="00A83E9D"/>
    <w:rsid w:val="00A87C05"/>
    <w:rsid w:val="00A9169D"/>
    <w:rsid w:val="00A94D93"/>
    <w:rsid w:val="00AA240C"/>
    <w:rsid w:val="00AA57EF"/>
    <w:rsid w:val="00AC101C"/>
    <w:rsid w:val="00AC18FA"/>
    <w:rsid w:val="00AD2135"/>
    <w:rsid w:val="00AD4CF1"/>
    <w:rsid w:val="00AD5988"/>
    <w:rsid w:val="00AD6293"/>
    <w:rsid w:val="00AE33AD"/>
    <w:rsid w:val="00AE4A67"/>
    <w:rsid w:val="00AE5723"/>
    <w:rsid w:val="00AF1BA8"/>
    <w:rsid w:val="00AF72ED"/>
    <w:rsid w:val="00AF7800"/>
    <w:rsid w:val="00B00CF5"/>
    <w:rsid w:val="00B072E0"/>
    <w:rsid w:val="00B1007E"/>
    <w:rsid w:val="00B253F6"/>
    <w:rsid w:val="00B26675"/>
    <w:rsid w:val="00B26F0F"/>
    <w:rsid w:val="00B305DB"/>
    <w:rsid w:val="00B33140"/>
    <w:rsid w:val="00B332F8"/>
    <w:rsid w:val="00B3387B"/>
    <w:rsid w:val="00B3492B"/>
    <w:rsid w:val="00B41D61"/>
    <w:rsid w:val="00B4646F"/>
    <w:rsid w:val="00B473C7"/>
    <w:rsid w:val="00B55C7D"/>
    <w:rsid w:val="00B63038"/>
    <w:rsid w:val="00B64BD8"/>
    <w:rsid w:val="00B701D1"/>
    <w:rsid w:val="00B70662"/>
    <w:rsid w:val="00B73AF2"/>
    <w:rsid w:val="00B7551A"/>
    <w:rsid w:val="00B773F1"/>
    <w:rsid w:val="00B86AB1"/>
    <w:rsid w:val="00B97DEB"/>
    <w:rsid w:val="00B97F07"/>
    <w:rsid w:val="00BA4103"/>
    <w:rsid w:val="00BA7EBA"/>
    <w:rsid w:val="00BB2A06"/>
    <w:rsid w:val="00BB2CBB"/>
    <w:rsid w:val="00BB4198"/>
    <w:rsid w:val="00BB48FC"/>
    <w:rsid w:val="00BC03EE"/>
    <w:rsid w:val="00BC3F84"/>
    <w:rsid w:val="00BC523D"/>
    <w:rsid w:val="00BC59F1"/>
    <w:rsid w:val="00BD0616"/>
    <w:rsid w:val="00BE0EE8"/>
    <w:rsid w:val="00BF3DE1"/>
    <w:rsid w:val="00BF4843"/>
    <w:rsid w:val="00BF5205"/>
    <w:rsid w:val="00C00540"/>
    <w:rsid w:val="00C03212"/>
    <w:rsid w:val="00C0337C"/>
    <w:rsid w:val="00C05132"/>
    <w:rsid w:val="00C11478"/>
    <w:rsid w:val="00C12508"/>
    <w:rsid w:val="00C23728"/>
    <w:rsid w:val="00C3026C"/>
    <w:rsid w:val="00C313A9"/>
    <w:rsid w:val="00C3564F"/>
    <w:rsid w:val="00C37FAB"/>
    <w:rsid w:val="00C441CF"/>
    <w:rsid w:val="00C45AA2"/>
    <w:rsid w:val="00C45D3F"/>
    <w:rsid w:val="00C4792C"/>
    <w:rsid w:val="00C55BEF"/>
    <w:rsid w:val="00C601AF"/>
    <w:rsid w:val="00C61A63"/>
    <w:rsid w:val="00C64F21"/>
    <w:rsid w:val="00C66296"/>
    <w:rsid w:val="00C71E38"/>
    <w:rsid w:val="00C7394D"/>
    <w:rsid w:val="00C7553D"/>
    <w:rsid w:val="00C77282"/>
    <w:rsid w:val="00C84DE5"/>
    <w:rsid w:val="00C86248"/>
    <w:rsid w:val="00C90B31"/>
    <w:rsid w:val="00C93BC8"/>
    <w:rsid w:val="00CA0D6F"/>
    <w:rsid w:val="00CA377F"/>
    <w:rsid w:val="00CA4C33"/>
    <w:rsid w:val="00CA6F4A"/>
    <w:rsid w:val="00CB6427"/>
    <w:rsid w:val="00CB7A07"/>
    <w:rsid w:val="00CC0FBE"/>
    <w:rsid w:val="00CC3864"/>
    <w:rsid w:val="00CC4F7F"/>
    <w:rsid w:val="00CC6839"/>
    <w:rsid w:val="00CC7438"/>
    <w:rsid w:val="00CC7C85"/>
    <w:rsid w:val="00CD2119"/>
    <w:rsid w:val="00CD237A"/>
    <w:rsid w:val="00CD36AC"/>
    <w:rsid w:val="00CD4B0B"/>
    <w:rsid w:val="00CE13A3"/>
    <w:rsid w:val="00CE36BC"/>
    <w:rsid w:val="00CF1747"/>
    <w:rsid w:val="00CF507C"/>
    <w:rsid w:val="00CF60ED"/>
    <w:rsid w:val="00D00B15"/>
    <w:rsid w:val="00D0364A"/>
    <w:rsid w:val="00D05D74"/>
    <w:rsid w:val="00D14973"/>
    <w:rsid w:val="00D20C59"/>
    <w:rsid w:val="00D216B6"/>
    <w:rsid w:val="00D23323"/>
    <w:rsid w:val="00D2392A"/>
    <w:rsid w:val="00D25FFE"/>
    <w:rsid w:val="00D30BBE"/>
    <w:rsid w:val="00D32298"/>
    <w:rsid w:val="00D37D80"/>
    <w:rsid w:val="00D4476F"/>
    <w:rsid w:val="00D50573"/>
    <w:rsid w:val="00D514E9"/>
    <w:rsid w:val="00D54D50"/>
    <w:rsid w:val="00D560B4"/>
    <w:rsid w:val="00D60439"/>
    <w:rsid w:val="00D61F51"/>
    <w:rsid w:val="00D662F8"/>
    <w:rsid w:val="00D66797"/>
    <w:rsid w:val="00D7074B"/>
    <w:rsid w:val="00D7087C"/>
    <w:rsid w:val="00D70C3C"/>
    <w:rsid w:val="00D71DF7"/>
    <w:rsid w:val="00D72BE5"/>
    <w:rsid w:val="00D75931"/>
    <w:rsid w:val="00D81462"/>
    <w:rsid w:val="00D82F26"/>
    <w:rsid w:val="00D863D0"/>
    <w:rsid w:val="00D86B00"/>
    <w:rsid w:val="00D86FB9"/>
    <w:rsid w:val="00D870FC"/>
    <w:rsid w:val="00D87C87"/>
    <w:rsid w:val="00D90BB4"/>
    <w:rsid w:val="00D90E07"/>
    <w:rsid w:val="00D932C2"/>
    <w:rsid w:val="00D93FCE"/>
    <w:rsid w:val="00D955AF"/>
    <w:rsid w:val="00DB026E"/>
    <w:rsid w:val="00DB078F"/>
    <w:rsid w:val="00DB39CF"/>
    <w:rsid w:val="00DB4787"/>
    <w:rsid w:val="00DB7256"/>
    <w:rsid w:val="00DC0401"/>
    <w:rsid w:val="00DC20BD"/>
    <w:rsid w:val="00DC44F2"/>
    <w:rsid w:val="00DD0BCD"/>
    <w:rsid w:val="00DD447A"/>
    <w:rsid w:val="00DD543D"/>
    <w:rsid w:val="00DE235F"/>
    <w:rsid w:val="00DE3B20"/>
    <w:rsid w:val="00DE6C94"/>
    <w:rsid w:val="00DE6FD7"/>
    <w:rsid w:val="00DF6309"/>
    <w:rsid w:val="00E01279"/>
    <w:rsid w:val="00E02472"/>
    <w:rsid w:val="00E031DF"/>
    <w:rsid w:val="00E1631A"/>
    <w:rsid w:val="00E23271"/>
    <w:rsid w:val="00E24F80"/>
    <w:rsid w:val="00E259F3"/>
    <w:rsid w:val="00E30985"/>
    <w:rsid w:val="00E30F79"/>
    <w:rsid w:val="00E32F79"/>
    <w:rsid w:val="00E33238"/>
    <w:rsid w:val="00E376B7"/>
    <w:rsid w:val="00E42F5D"/>
    <w:rsid w:val="00E4486C"/>
    <w:rsid w:val="00E460B6"/>
    <w:rsid w:val="00E467ED"/>
    <w:rsid w:val="00E511D5"/>
    <w:rsid w:val="00E53A9F"/>
    <w:rsid w:val="00E56EBA"/>
    <w:rsid w:val="00E60249"/>
    <w:rsid w:val="00E61857"/>
    <w:rsid w:val="00E63FDC"/>
    <w:rsid w:val="00E65269"/>
    <w:rsid w:val="00E73DB5"/>
    <w:rsid w:val="00E76CDB"/>
    <w:rsid w:val="00E76D66"/>
    <w:rsid w:val="00E77C44"/>
    <w:rsid w:val="00EA6286"/>
    <w:rsid w:val="00EA796A"/>
    <w:rsid w:val="00EB158C"/>
    <w:rsid w:val="00EB1856"/>
    <w:rsid w:val="00EB2118"/>
    <w:rsid w:val="00EB4663"/>
    <w:rsid w:val="00EB7FF1"/>
    <w:rsid w:val="00EC50CE"/>
    <w:rsid w:val="00EC5B34"/>
    <w:rsid w:val="00ED021E"/>
    <w:rsid w:val="00ED323C"/>
    <w:rsid w:val="00ED6C44"/>
    <w:rsid w:val="00EE2D5C"/>
    <w:rsid w:val="00EE4ADE"/>
    <w:rsid w:val="00EE4CC0"/>
    <w:rsid w:val="00EE4DE8"/>
    <w:rsid w:val="00EE5A50"/>
    <w:rsid w:val="00EE5CB7"/>
    <w:rsid w:val="00EF62FA"/>
    <w:rsid w:val="00F020E3"/>
    <w:rsid w:val="00F024FE"/>
    <w:rsid w:val="00F05AD4"/>
    <w:rsid w:val="00F10643"/>
    <w:rsid w:val="00F10EB6"/>
    <w:rsid w:val="00F13F07"/>
    <w:rsid w:val="00F140B2"/>
    <w:rsid w:val="00F16CB3"/>
    <w:rsid w:val="00F25970"/>
    <w:rsid w:val="00F311A9"/>
    <w:rsid w:val="00F32578"/>
    <w:rsid w:val="00F44A15"/>
    <w:rsid w:val="00F4753B"/>
    <w:rsid w:val="00F5180D"/>
    <w:rsid w:val="00F52D3C"/>
    <w:rsid w:val="00F54676"/>
    <w:rsid w:val="00F57B26"/>
    <w:rsid w:val="00F63781"/>
    <w:rsid w:val="00F67496"/>
    <w:rsid w:val="00F67C1C"/>
    <w:rsid w:val="00F801BA"/>
    <w:rsid w:val="00F833DF"/>
    <w:rsid w:val="00F872B5"/>
    <w:rsid w:val="00F9366A"/>
    <w:rsid w:val="00F946C9"/>
    <w:rsid w:val="00FA0EA5"/>
    <w:rsid w:val="00FA4AFF"/>
    <w:rsid w:val="00FA74EE"/>
    <w:rsid w:val="00FC2607"/>
    <w:rsid w:val="00FC3711"/>
    <w:rsid w:val="00FC46E7"/>
    <w:rsid w:val="00FC5D25"/>
    <w:rsid w:val="00FC7AF6"/>
    <w:rsid w:val="00FD0D7E"/>
    <w:rsid w:val="00FD4FFB"/>
    <w:rsid w:val="00FE6E13"/>
    <w:rsid w:val="00FF15F6"/>
    <w:rsid w:val="00FF1E6F"/>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FFB6120B-39E6-4571-AE10-63F8EDCF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aliases w:val="Heading 1 - MOH"/>
    <w:basedOn w:val="Normal"/>
    <w:next w:val="Normal"/>
    <w:link w:val="Heading1Char"/>
    <w:qFormat/>
    <w:rsid w:val="00D86B00"/>
    <w:pPr>
      <w:keepNext/>
      <w:spacing w:before="600" w:after="360"/>
      <w:outlineLvl w:val="0"/>
    </w:pPr>
    <w:rPr>
      <w:b/>
      <w:color w:val="23305D"/>
      <w:spacing w:val="-10"/>
      <w:sz w:val="72"/>
    </w:rPr>
  </w:style>
  <w:style w:type="paragraph" w:styleId="Heading2">
    <w:name w:val="heading 2"/>
    <w:aliases w:val="Heading 2 - MOH"/>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aliases w:val="Heading 3 - MOH"/>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aliases w:val="Footnote - MOH,Footnote Text Char Char, Char Char Char,Char Char Char"/>
    <w:basedOn w:val="Normal"/>
    <w:link w:val="FootnoteTextChar"/>
    <w:uiPriority w:val="99"/>
    <w:qFormat/>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uiPriority w:val="99"/>
    <w:qFormat/>
    <w:rsid w:val="009C440A"/>
    <w:pPr>
      <w:spacing w:before="60" w:after="60"/>
    </w:pPr>
    <w:rPr>
      <w:sz w:val="18"/>
    </w:rPr>
  </w:style>
  <w:style w:type="paragraph" w:customStyle="1" w:styleId="TableBullet">
    <w:name w:val="TableBullet"/>
    <w:basedOn w:val="TableText"/>
    <w:qFormat/>
    <w:rsid w:val="000A0E77"/>
    <w:pPr>
      <w:framePr w:hSpace="180" w:wrap="around" w:vAnchor="text" w:hAnchor="margin" w:y="238"/>
      <w:numPr>
        <w:numId w:val="4"/>
      </w:numPr>
      <w:spacing w:line="264" w:lineRule="auto"/>
    </w:pPr>
    <w:rPr>
      <w:lang w:eastAsia="en-NZ"/>
    </w:r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aliases w:val="Footnote - MOH Char,Footnote Text Char Char Char, Char Char Char Char,Char Char Char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aliases w:val="Heading 1 - MOH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aliases w:val="Heading 2 - MOH Char"/>
    <w:link w:val="Heading2"/>
    <w:uiPriority w:val="1"/>
    <w:rsid w:val="00030E84"/>
    <w:rPr>
      <w:rFonts w:ascii="Segoe UI" w:hAnsi="Segoe UI"/>
      <w:b/>
      <w:color w:val="0A6AB4"/>
      <w:spacing w:val="-5"/>
      <w:sz w:val="48"/>
      <w:lang w:eastAsia="en-GB"/>
    </w:rPr>
  </w:style>
  <w:style w:type="character" w:customStyle="1" w:styleId="Heading3Char">
    <w:name w:val="Heading 3 Char"/>
    <w:aliases w:val="Heading 3 - MOH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Caption">
    <w:name w:val="caption"/>
    <w:basedOn w:val="Normal"/>
    <w:next w:val="Normal"/>
    <w:unhideWhenUsed/>
    <w:qFormat/>
    <w:rsid w:val="00447030"/>
    <w:pPr>
      <w:spacing w:after="200"/>
    </w:pPr>
    <w:rPr>
      <w:i/>
      <w:iCs/>
      <w:color w:val="1F497D" w:themeColor="text2"/>
      <w:sz w:val="18"/>
      <w:szCs w:val="18"/>
    </w:rPr>
  </w:style>
  <w:style w:type="paragraph" w:customStyle="1" w:styleId="Heading2-nonumbering">
    <w:name w:val="Heading 2 - no numbering"/>
    <w:basedOn w:val="Heading2"/>
    <w:qFormat/>
    <w:rsid w:val="00447030"/>
    <w:pPr>
      <w:spacing w:before="360"/>
    </w:pPr>
    <w:rPr>
      <w:sz w:val="40"/>
      <w:szCs w:val="40"/>
    </w:r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L"/>
    <w:basedOn w:val="Normal"/>
    <w:link w:val="ListParagraphChar"/>
    <w:uiPriority w:val="34"/>
    <w:qFormat/>
    <w:rsid w:val="00447030"/>
    <w:pPr>
      <w:numPr>
        <w:numId w:val="6"/>
      </w:numPr>
      <w:spacing w:before="120" w:after="120" w:line="257" w:lineRule="auto"/>
    </w:pPr>
    <w:rPr>
      <w:rFonts w:eastAsiaTheme="minorHAnsi" w:cstheme="minorBidi"/>
      <w:szCs w:val="22"/>
      <w:lang w:eastAsia="en-US"/>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link w:val="ListParagraph"/>
    <w:uiPriority w:val="34"/>
    <w:qFormat/>
    <w:locked/>
    <w:rsid w:val="00447030"/>
    <w:rPr>
      <w:rFonts w:ascii="Segoe UI" w:eastAsiaTheme="minorHAnsi" w:hAnsi="Segoe UI" w:cstheme="minorBidi"/>
      <w:sz w:val="21"/>
      <w:szCs w:val="22"/>
      <w:lang w:eastAsia="en-US"/>
    </w:rPr>
  </w:style>
  <w:style w:type="paragraph" w:customStyle="1" w:styleId="Heading3-nonumbering">
    <w:name w:val="Heading 3 - no numbering"/>
    <w:basedOn w:val="Heading3"/>
    <w:qFormat/>
    <w:rsid w:val="00447030"/>
    <w:pPr>
      <w:spacing w:before="280"/>
    </w:pPr>
  </w:style>
  <w:style w:type="character" w:customStyle="1" w:styleId="ui-provider">
    <w:name w:val="ui-provider"/>
    <w:basedOn w:val="DefaultParagraphFont"/>
    <w:rsid w:val="00EE4CC0"/>
  </w:style>
  <w:style w:type="character" w:customStyle="1" w:styleId="normaltextrun">
    <w:name w:val="normaltextrun"/>
    <w:basedOn w:val="DefaultParagraphFont"/>
    <w:rsid w:val="00EE4CC0"/>
  </w:style>
  <w:style w:type="character" w:customStyle="1" w:styleId="TableTextChar">
    <w:name w:val="TableText Char"/>
    <w:link w:val="TableText"/>
    <w:uiPriority w:val="99"/>
    <w:locked/>
    <w:rsid w:val="00EE4CC0"/>
    <w:rPr>
      <w:rFonts w:ascii="Segoe UI" w:hAnsi="Segoe UI"/>
      <w:sz w:val="18"/>
      <w:lang w:eastAsia="en-GB"/>
    </w:rPr>
  </w:style>
  <w:style w:type="paragraph" w:styleId="NormalWeb">
    <w:name w:val="Normal (Web)"/>
    <w:basedOn w:val="Normal"/>
    <w:uiPriority w:val="99"/>
    <w:rsid w:val="00EE4CC0"/>
    <w:pPr>
      <w:suppressAutoHyphens/>
      <w:autoSpaceDE w:val="0"/>
      <w:autoSpaceDN w:val="0"/>
      <w:adjustRightInd w:val="0"/>
      <w:spacing w:before="120" w:after="120" w:line="280" w:lineRule="atLeast"/>
      <w:textAlignment w:val="center"/>
    </w:pPr>
    <w:rPr>
      <w:rFonts w:ascii="Times New Roman" w:hAnsi="Times New Roman"/>
      <w:sz w:val="24"/>
      <w:szCs w:val="24"/>
      <w:lang w:eastAsia="en-NZ"/>
    </w:rPr>
  </w:style>
  <w:style w:type="paragraph" w:customStyle="1" w:styleId="Bodycopy">
    <w:name w:val="Body copy"/>
    <w:basedOn w:val="Normal"/>
    <w:qFormat/>
    <w:rsid w:val="00EE4CC0"/>
    <w:pPr>
      <w:spacing w:line="276" w:lineRule="auto"/>
    </w:pPr>
    <w:rPr>
      <w:rFonts w:ascii="Calibri" w:hAnsi="Calibri"/>
      <w:sz w:val="22"/>
      <w:szCs w:val="22"/>
      <w:lang w:val="en-AU" w:eastAsia="en-US"/>
    </w:rPr>
  </w:style>
  <w:style w:type="character" w:customStyle="1" w:styleId="cf01">
    <w:name w:val="cf01"/>
    <w:basedOn w:val="DefaultParagraphFont"/>
    <w:rsid w:val="000A0E77"/>
    <w:rPr>
      <w:rFonts w:ascii="Segoe UI" w:hAnsi="Segoe UI" w:cs="Segoe UI" w:hint="default"/>
      <w:sz w:val="18"/>
      <w:szCs w:val="18"/>
    </w:rPr>
  </w:style>
  <w:style w:type="table" w:customStyle="1" w:styleId="TableGrid1">
    <w:name w:val="Table Grid1"/>
    <w:basedOn w:val="TableNormal"/>
    <w:next w:val="TableGrid"/>
    <w:uiPriority w:val="39"/>
    <w:rsid w:val="00D93FC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3FC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37C"/>
    <w:pPr>
      <w:autoSpaceDE w:val="0"/>
      <w:autoSpaceDN w:val="0"/>
      <w:adjustRightInd w:val="0"/>
    </w:pPr>
    <w:rPr>
      <w:rFonts w:ascii="Meta Normal LF" w:hAnsi="Meta Normal LF" w:cs="Meta Normal LF"/>
      <w:color w:val="000000"/>
      <w:sz w:val="24"/>
      <w:szCs w:val="24"/>
      <w:lang w:val="en-US" w:eastAsia="en-US"/>
    </w:rPr>
  </w:style>
  <w:style w:type="paragraph" w:styleId="TOC7">
    <w:name w:val="toc 7"/>
    <w:basedOn w:val="Normal"/>
    <w:next w:val="Normal"/>
    <w:autoRedefine/>
    <w:uiPriority w:val="39"/>
    <w:unhideWhenUsed/>
    <w:rsid w:val="00813300"/>
    <w:pPr>
      <w:tabs>
        <w:tab w:val="right" w:leader="dot" w:pos="9355"/>
      </w:tabs>
      <w:ind w:left="1440"/>
    </w:pPr>
    <w:rPr>
      <w:rFonts w:ascii="Calibri" w:eastAsia="Calibri" w:hAnsi="Calibri"/>
      <w:sz w:val="20"/>
      <w:lang w:eastAsia="en-US"/>
    </w:rPr>
  </w:style>
  <w:style w:type="paragraph" w:styleId="TOC6">
    <w:name w:val="toc 6"/>
    <w:basedOn w:val="Normal"/>
    <w:next w:val="Normal"/>
    <w:autoRedefine/>
    <w:uiPriority w:val="39"/>
    <w:unhideWhenUsed/>
    <w:rsid w:val="0027179A"/>
    <w:pPr>
      <w:tabs>
        <w:tab w:val="right" w:leader="dot" w:pos="9355"/>
      </w:tabs>
      <w:ind w:left="1200"/>
    </w:pPr>
    <w:rPr>
      <w:rFonts w:ascii="Calibri" w:eastAsia="Calibri" w:hAnsi="Calibri"/>
      <w:sz w:val="20"/>
      <w:lang w:eastAsia="en-US"/>
    </w:rPr>
  </w:style>
  <w:style w:type="character" w:styleId="CommentReference">
    <w:name w:val="annotation reference"/>
    <w:basedOn w:val="DefaultParagraphFont"/>
    <w:uiPriority w:val="99"/>
    <w:semiHidden/>
    <w:unhideWhenUsed/>
    <w:rsid w:val="008355BC"/>
    <w:rPr>
      <w:sz w:val="16"/>
      <w:szCs w:val="16"/>
    </w:rPr>
  </w:style>
  <w:style w:type="paragraph" w:styleId="CommentText">
    <w:name w:val="annotation text"/>
    <w:basedOn w:val="Normal"/>
    <w:link w:val="CommentTextChar"/>
    <w:uiPriority w:val="99"/>
    <w:unhideWhenUsed/>
    <w:rsid w:val="008355BC"/>
    <w:rPr>
      <w:sz w:val="20"/>
    </w:rPr>
  </w:style>
  <w:style w:type="character" w:customStyle="1" w:styleId="CommentTextChar">
    <w:name w:val="Comment Text Char"/>
    <w:basedOn w:val="DefaultParagraphFont"/>
    <w:link w:val="CommentText"/>
    <w:uiPriority w:val="99"/>
    <w:rsid w:val="008355BC"/>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8355BC"/>
    <w:rPr>
      <w:b/>
      <w:bCs/>
    </w:rPr>
  </w:style>
  <w:style w:type="character" w:customStyle="1" w:styleId="CommentSubjectChar">
    <w:name w:val="Comment Subject Char"/>
    <w:basedOn w:val="CommentTextChar"/>
    <w:link w:val="CommentSubject"/>
    <w:uiPriority w:val="99"/>
    <w:semiHidden/>
    <w:rsid w:val="008355BC"/>
    <w:rPr>
      <w:rFonts w:ascii="Segoe UI" w:hAnsi="Segoe UI"/>
      <w:b/>
      <w:bCs/>
      <w:lang w:eastAsia="en-GB"/>
    </w:rPr>
  </w:style>
  <w:style w:type="character" w:styleId="Mention">
    <w:name w:val="Mention"/>
    <w:basedOn w:val="DefaultParagraphFont"/>
    <w:uiPriority w:val="99"/>
    <w:unhideWhenUsed/>
    <w:rsid w:val="008355BC"/>
    <w:rPr>
      <w:color w:val="2B579A"/>
      <w:shd w:val="clear" w:color="auto" w:fill="E1DFDD"/>
    </w:rPr>
  </w:style>
  <w:style w:type="character" w:styleId="FollowedHyperlink">
    <w:name w:val="FollowedHyperlink"/>
    <w:basedOn w:val="DefaultParagraphFont"/>
    <w:uiPriority w:val="99"/>
    <w:semiHidden/>
    <w:unhideWhenUsed/>
    <w:rsid w:val="001E255E"/>
    <w:rPr>
      <w:color w:val="800080" w:themeColor="followedHyperlink"/>
      <w:u w:val="single"/>
    </w:rPr>
  </w:style>
  <w:style w:type="character" w:styleId="UnresolvedMention">
    <w:name w:val="Unresolved Mention"/>
    <w:basedOn w:val="DefaultParagraphFont"/>
    <w:uiPriority w:val="99"/>
    <w:semiHidden/>
    <w:unhideWhenUsed/>
    <w:rsid w:val="00D6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health.govt.nz/publication/pae-tu-hauora-maori-strategy" TargetMode="External"/><Relationship Id="rId39" Type="http://schemas.openxmlformats.org/officeDocument/2006/relationships/hyperlink" Target="https://www.health.govt.nz/publication/every-life-matters-he-tapu-te-oranga-o-ia-tangata-suicide-prevention-strategy-2019-2029-and-suicide"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health.govt.nz/publication/te-mana-ola-pacific-health-strategy" TargetMode="External"/><Relationship Id="rId42" Type="http://schemas.openxmlformats.org/officeDocument/2006/relationships/hyperlink" Target="https://www.health.govt.nz/publication/pae-tu-hauora-maori-strategy" TargetMode="Externa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s://www.health.govt.nz/publication/pae-tu-hauora-maori-strategy" TargetMode="External"/><Relationship Id="rId38" Type="http://schemas.openxmlformats.org/officeDocument/2006/relationships/hyperlink" Target="https://www.health.govt.nz/publication/kia-manawanui-aotearoa-long-term-pathway-mental-wellbeing" TargetMode="Externa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yperlink" Target="https://orangatamarikiactionplan.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health.govt.nz/publication/new-zealand-health-strategy" TargetMode="External"/><Relationship Id="rId37" Type="http://schemas.openxmlformats.org/officeDocument/2006/relationships/hyperlink" Target="https://www.health.govt.nz/publication/rural-health-strategy" TargetMode="External"/><Relationship Id="rId40" Type="http://schemas.openxmlformats.org/officeDocument/2006/relationships/hyperlink" Target="https://www.msd.govt.nz/about-msd-and-our-work/child-youth-wellbeing/strategy-and-planning.html" TargetMode="External"/><Relationship Id="rId45"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yperlink" Target="https://www.health.govt.nz/publication/womens-health-strategy" TargetMode="External"/><Relationship Id="rId49"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health.govt.nz/accountability-arrangements" TargetMode="External"/><Relationship Id="rId44" Type="http://schemas.openxmlformats.org/officeDocument/2006/relationships/hyperlink" Target="https://www.health.govt.nz/publication/interim-government-policy-statement-health-2022-202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www.health.govt.nz/publication/whakamaua-maori-health-action-plan-2020-2025" TargetMode="External"/><Relationship Id="rId30" Type="http://schemas.openxmlformats.org/officeDocument/2006/relationships/image" Target="media/image5.jpeg"/><Relationship Id="rId35" Type="http://schemas.openxmlformats.org/officeDocument/2006/relationships/hyperlink" Target="https://www.health.govt.nz/publication/provisional-health-disabled-people-strategy" TargetMode="External"/><Relationship Id="rId43" Type="http://schemas.openxmlformats.org/officeDocument/2006/relationships/hyperlink" Target="https://www.health.govt.nz/publication/whakamaua-maori-health-action-plan-2020-2025"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1475-9276-12-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2024 GPS for Design</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Health Strategy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Health Strategy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System Accountability and Settings team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Government Policy Statement (GPS)</CategoryName>
    <PRADateTrigger xmlns="4f9c820c-e7e2-444d-97ee-45f2b3485c1d" xsi:nil="true"/>
    <PRAText2 xmlns="4f9c820c-e7e2-444d-97ee-45f2b3485c1d" xsi:nil="true"/>
    <zLegacyID xmlns="184c05c4-c568-455d-94a4-7e009b164348" xsi:nil="true"/>
    <_dlc_DocId xmlns="56bce0aa-d130-428b-89aa-972bdc26e82f">MOHECM-654657669-16145</_dlc_DocId>
    <_dlc_DocIdUrl xmlns="56bce0aa-d130-428b-89aa-972bdc26e82f">
      <Url>https://mohgovtnz.sharepoint.com/sites/moh-ecm-SPLStrat/_layouts/15/DocIdRedir.aspx?ID=MOHECM-654657669-16145</Url>
      <Description>MOHECM-654657669-16145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324" ma:contentTypeDescription="Create a new document." ma:contentTypeScope="" ma:versionID="817081285bdc333f30280f066a371148">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40149d0ace558dc397fbc659da61ac4d"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MediaLengthInSeconds" minOccurs="0"/>
                <xsd:element ref="ns9:MediaServiceLocation"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5c28c24d-17c7-4987-ad72-68bfd29d2a3a}"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1" nillable="true" ma:displayName="Function" ma:default="Health Strategy Programme"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trategy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dexed="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MediaServiceLocation" ma:index="62" nillable="true" ma:displayName="Location" ma:indexed="true" ma:internalName="MediaServiceLocation" ma:readOnly="true">
      <xsd:simpleType>
        <xsd:restriction base="dms:Text"/>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E32D34A7-27C6-4912-A3D9-BF80214B5657}">
  <ds:schemaRefs>
    <ds:schemaRef ds:uri="http://schemas.microsoft.com/sharepoint/event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6680c44c-cc36-4314-ad61-78a9951b8b47"/>
    <ds:schemaRef ds:uri="56bce0aa-d130-428b-89aa-972bdc26e82f"/>
    <ds:schemaRef ds:uri="725c79e5-42ce-4aa0-ac78-b6418001f0d2"/>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5.xml><?xml version="1.0" encoding="utf-8"?>
<ds:datastoreItem xmlns:ds="http://schemas.openxmlformats.org/officeDocument/2006/customXml" ds:itemID="{AB92DEDB-13B6-47BC-8119-5C9FF2B15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10</TotalTime>
  <Pages>60</Pages>
  <Words>16721</Words>
  <Characters>95314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Government Policy Statement on Health. 2024 – 2027</vt:lpstr>
    </vt:vector>
  </TitlesOfParts>
  <Company>Microsoft</Company>
  <LinksUpToDate>false</LinksUpToDate>
  <CharactersWithSpaces>111812</CharactersWithSpaces>
  <SharedDoc>false</SharedDoc>
  <HLinks>
    <vt:vector size="102" baseType="variant">
      <vt:variant>
        <vt:i4>7667773</vt:i4>
      </vt:variant>
      <vt:variant>
        <vt:i4>162</vt:i4>
      </vt:variant>
      <vt:variant>
        <vt:i4>0</vt:i4>
      </vt:variant>
      <vt:variant>
        <vt:i4>5</vt:i4>
      </vt:variant>
      <vt:variant>
        <vt:lpwstr>https://www.health.govt.nz/publication/interim-government-policy-statement-health-2022-2024</vt:lpwstr>
      </vt:variant>
      <vt:variant>
        <vt:lpwstr/>
      </vt:variant>
      <vt:variant>
        <vt:i4>6619174</vt:i4>
      </vt:variant>
      <vt:variant>
        <vt:i4>159</vt:i4>
      </vt:variant>
      <vt:variant>
        <vt:i4>0</vt:i4>
      </vt:variant>
      <vt:variant>
        <vt:i4>5</vt:i4>
      </vt:variant>
      <vt:variant>
        <vt:lpwstr>https://www.health.govt.nz/publication/whakamaua-maori-health-action-plan-2020-2025</vt:lpwstr>
      </vt:variant>
      <vt:variant>
        <vt:lpwstr/>
      </vt:variant>
      <vt:variant>
        <vt:i4>2818098</vt:i4>
      </vt:variant>
      <vt:variant>
        <vt:i4>156</vt:i4>
      </vt:variant>
      <vt:variant>
        <vt:i4>0</vt:i4>
      </vt:variant>
      <vt:variant>
        <vt:i4>5</vt:i4>
      </vt:variant>
      <vt:variant>
        <vt:lpwstr>https://www.health.govt.nz/publication/pae-tu-hauora-maori-strategy</vt:lpwstr>
      </vt:variant>
      <vt:variant>
        <vt:lpwstr/>
      </vt:variant>
      <vt:variant>
        <vt:i4>5177369</vt:i4>
      </vt:variant>
      <vt:variant>
        <vt:i4>153</vt:i4>
      </vt:variant>
      <vt:variant>
        <vt:i4>0</vt:i4>
      </vt:variant>
      <vt:variant>
        <vt:i4>5</vt:i4>
      </vt:variant>
      <vt:variant>
        <vt:lpwstr>https://orangatamarikiactionplan.govt.nz/</vt:lpwstr>
      </vt:variant>
      <vt:variant>
        <vt:lpwstr/>
      </vt:variant>
      <vt:variant>
        <vt:i4>3932216</vt:i4>
      </vt:variant>
      <vt:variant>
        <vt:i4>150</vt:i4>
      </vt:variant>
      <vt:variant>
        <vt:i4>0</vt:i4>
      </vt:variant>
      <vt:variant>
        <vt:i4>5</vt:i4>
      </vt:variant>
      <vt:variant>
        <vt:lpwstr>https://www.msd.govt.nz/about-msd-and-our-work/child-youth-wellbeing/strategy-and-planning.html</vt:lpwstr>
      </vt:variant>
      <vt:variant>
        <vt:lpwstr/>
      </vt:variant>
      <vt:variant>
        <vt:i4>3342388</vt:i4>
      </vt:variant>
      <vt:variant>
        <vt:i4>147</vt:i4>
      </vt:variant>
      <vt:variant>
        <vt:i4>0</vt:i4>
      </vt:variant>
      <vt:variant>
        <vt:i4>5</vt:i4>
      </vt:variant>
      <vt:variant>
        <vt:lpwstr>https://www.health.govt.nz/publication/every-life-matters-he-tapu-te-oranga-o-ia-tangata-suicide-prevention-strategy-2019-2029-and-suicide</vt:lpwstr>
      </vt:variant>
      <vt:variant>
        <vt:lpwstr/>
      </vt:variant>
      <vt:variant>
        <vt:i4>5373955</vt:i4>
      </vt:variant>
      <vt:variant>
        <vt:i4>144</vt:i4>
      </vt:variant>
      <vt:variant>
        <vt:i4>0</vt:i4>
      </vt:variant>
      <vt:variant>
        <vt:i4>5</vt:i4>
      </vt:variant>
      <vt:variant>
        <vt:lpwstr>https://www.health.govt.nz/publication/kia-manawanui-aotearoa-long-term-pathway-mental-wellbeing</vt:lpwstr>
      </vt:variant>
      <vt:variant>
        <vt:lpwstr/>
      </vt:variant>
      <vt:variant>
        <vt:i4>4456525</vt:i4>
      </vt:variant>
      <vt:variant>
        <vt:i4>141</vt:i4>
      </vt:variant>
      <vt:variant>
        <vt:i4>0</vt:i4>
      </vt:variant>
      <vt:variant>
        <vt:i4>5</vt:i4>
      </vt:variant>
      <vt:variant>
        <vt:lpwstr>https://www.health.govt.nz/publication/rural-health-strategy</vt:lpwstr>
      </vt:variant>
      <vt:variant>
        <vt:lpwstr/>
      </vt:variant>
      <vt:variant>
        <vt:i4>5963870</vt:i4>
      </vt:variant>
      <vt:variant>
        <vt:i4>138</vt:i4>
      </vt:variant>
      <vt:variant>
        <vt:i4>0</vt:i4>
      </vt:variant>
      <vt:variant>
        <vt:i4>5</vt:i4>
      </vt:variant>
      <vt:variant>
        <vt:lpwstr>https://www.health.govt.nz/publication/womens-health-strategy</vt:lpwstr>
      </vt:variant>
      <vt:variant>
        <vt:lpwstr/>
      </vt:variant>
      <vt:variant>
        <vt:i4>7012461</vt:i4>
      </vt:variant>
      <vt:variant>
        <vt:i4>135</vt:i4>
      </vt:variant>
      <vt:variant>
        <vt:i4>0</vt:i4>
      </vt:variant>
      <vt:variant>
        <vt:i4>5</vt:i4>
      </vt:variant>
      <vt:variant>
        <vt:lpwstr>https://www.health.govt.nz/publication/provisional-health-disabled-people-strategy</vt:lpwstr>
      </vt:variant>
      <vt:variant>
        <vt:lpwstr/>
      </vt:variant>
      <vt:variant>
        <vt:i4>6881330</vt:i4>
      </vt:variant>
      <vt:variant>
        <vt:i4>132</vt:i4>
      </vt:variant>
      <vt:variant>
        <vt:i4>0</vt:i4>
      </vt:variant>
      <vt:variant>
        <vt:i4>5</vt:i4>
      </vt:variant>
      <vt:variant>
        <vt:lpwstr>https://www.health.govt.nz/publication/te-mana-ola-pacific-health-strategy</vt:lpwstr>
      </vt:variant>
      <vt:variant>
        <vt:lpwstr/>
      </vt:variant>
      <vt:variant>
        <vt:i4>2818098</vt:i4>
      </vt:variant>
      <vt:variant>
        <vt:i4>129</vt:i4>
      </vt:variant>
      <vt:variant>
        <vt:i4>0</vt:i4>
      </vt:variant>
      <vt:variant>
        <vt:i4>5</vt:i4>
      </vt:variant>
      <vt:variant>
        <vt:lpwstr>https://www.health.govt.nz/publication/pae-tu-hauora-maori-strategy</vt:lpwstr>
      </vt:variant>
      <vt:variant>
        <vt:lpwstr/>
      </vt:variant>
      <vt:variant>
        <vt:i4>3080310</vt:i4>
      </vt:variant>
      <vt:variant>
        <vt:i4>126</vt:i4>
      </vt:variant>
      <vt:variant>
        <vt:i4>0</vt:i4>
      </vt:variant>
      <vt:variant>
        <vt:i4>5</vt:i4>
      </vt:variant>
      <vt:variant>
        <vt:lpwstr>https://www.health.govt.nz/publication/new-zealand-health-strategy</vt:lpwstr>
      </vt:variant>
      <vt:variant>
        <vt:lpwstr/>
      </vt:variant>
      <vt:variant>
        <vt:i4>5308430</vt:i4>
      </vt:variant>
      <vt:variant>
        <vt:i4>123</vt:i4>
      </vt:variant>
      <vt:variant>
        <vt:i4>0</vt:i4>
      </vt:variant>
      <vt:variant>
        <vt:i4>5</vt:i4>
      </vt:variant>
      <vt:variant>
        <vt:lpwstr>http://health.govt.nz/accountability-arrangements</vt:lpwstr>
      </vt:variant>
      <vt:variant>
        <vt:lpwstr/>
      </vt:variant>
      <vt:variant>
        <vt:i4>6619174</vt:i4>
      </vt:variant>
      <vt:variant>
        <vt:i4>117</vt:i4>
      </vt:variant>
      <vt:variant>
        <vt:i4>0</vt:i4>
      </vt:variant>
      <vt:variant>
        <vt:i4>5</vt:i4>
      </vt:variant>
      <vt:variant>
        <vt:lpwstr>https://www.health.govt.nz/publication/whakamaua-maori-health-action-plan-2020-2025</vt:lpwstr>
      </vt:variant>
      <vt:variant>
        <vt:lpwstr/>
      </vt:variant>
      <vt:variant>
        <vt:i4>2818098</vt:i4>
      </vt:variant>
      <vt:variant>
        <vt:i4>114</vt:i4>
      </vt:variant>
      <vt:variant>
        <vt:i4>0</vt:i4>
      </vt:variant>
      <vt:variant>
        <vt:i4>5</vt:i4>
      </vt:variant>
      <vt:variant>
        <vt:lpwstr>https://www.health.govt.nz/publication/pae-tu-hauora-maori-strategy</vt:lpwstr>
      </vt:variant>
      <vt:variant>
        <vt:lpwstr/>
      </vt:variant>
      <vt:variant>
        <vt:i4>3801198</vt:i4>
      </vt:variant>
      <vt:variant>
        <vt:i4>0</vt:i4>
      </vt:variant>
      <vt:variant>
        <vt:i4>0</vt:i4>
      </vt:variant>
      <vt:variant>
        <vt:i4>5</vt:i4>
      </vt:variant>
      <vt:variant>
        <vt:lpwstr>https://doi.org/10.1186/1475-9276-12-18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Policy Statement on Health. 2024 – 2027</dc:title>
  <dc:subject/>
  <dc:creator>Minister of Health</dc:creator>
  <cp:keywords/>
  <cp:lastModifiedBy>Ministry of Health</cp:lastModifiedBy>
  <cp:revision>7</cp:revision>
  <cp:lastPrinted>2024-06-23T23:46:00Z</cp:lastPrinted>
  <dcterms:created xsi:type="dcterms:W3CDTF">2024-07-02T20:41:00Z</dcterms:created>
  <dcterms:modified xsi:type="dcterms:W3CDTF">2024-07-03T02:25:00Z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MediaServiceImageTags">
    <vt:lpwstr/>
  </property>
  <property fmtid="{D5CDD505-2E9C-101B-9397-08002B2CF9AE}" pid="4" name="_dlc_DocIdItemGuid">
    <vt:lpwstr>323cd1ad-a937-455f-8385-b75c213eff19</vt:lpwstr>
  </property>
</Properties>
</file>