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0F5B" w14:textId="77777777" w:rsidR="00A26FD6" w:rsidRPr="00875B9A" w:rsidRDefault="00A26FD6" w:rsidP="00A26FD6">
      <w:pPr>
        <w:jc w:val="center"/>
        <w:rPr>
          <w:rFonts w:ascii="Calibri" w:hAnsi="Calibri"/>
          <w:sz w:val="44"/>
        </w:rPr>
      </w:pPr>
      <w:r w:rsidRPr="00875B9A">
        <w:rPr>
          <w:rFonts w:ascii="Calibri" w:hAnsi="Calibri"/>
          <w:sz w:val="44"/>
        </w:rPr>
        <w:t>Research Report</w:t>
      </w:r>
    </w:p>
    <w:p w14:paraId="4A7AF00C" w14:textId="77777777" w:rsidR="00A26FD6" w:rsidRPr="00875B9A" w:rsidRDefault="00A26FD6" w:rsidP="00A26FD6">
      <w:pPr>
        <w:jc w:val="center"/>
        <w:rPr>
          <w:rFonts w:ascii="Calibri" w:hAnsi="Calibri"/>
          <w:sz w:val="44"/>
        </w:rPr>
      </w:pPr>
      <w:r w:rsidRPr="00875B9A">
        <w:rPr>
          <w:noProof/>
        </w:rPr>
        <w:drawing>
          <wp:anchor distT="0" distB="0" distL="114300" distR="114300" simplePos="0" relativeHeight="251661312" behindDoc="0" locked="0" layoutInCell="1" allowOverlap="1" wp14:anchorId="40384D67" wp14:editId="6C9BED0C">
            <wp:simplePos x="0" y="0"/>
            <wp:positionH relativeFrom="margin">
              <wp:posOffset>1956223</wp:posOffset>
            </wp:positionH>
            <wp:positionV relativeFrom="paragraph">
              <wp:posOffset>400685</wp:posOffset>
            </wp:positionV>
            <wp:extent cx="2378649" cy="2386940"/>
            <wp:effectExtent l="0" t="0" r="0" b="0"/>
            <wp:wrapTopAndBottom/>
            <wp:docPr id="6"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8649" cy="238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57DBF7" w14:textId="77777777" w:rsidR="00A26FD6" w:rsidRPr="00875B9A" w:rsidRDefault="00A26FD6" w:rsidP="00A26FD6">
      <w:pPr>
        <w:jc w:val="center"/>
        <w:rPr>
          <w:rFonts w:ascii="Calibri" w:hAnsi="Calibri"/>
          <w:sz w:val="44"/>
        </w:rPr>
      </w:pPr>
    </w:p>
    <w:p w14:paraId="6A9E8A3D" w14:textId="77777777" w:rsidR="00A26FD6" w:rsidRPr="00875B9A" w:rsidRDefault="00A26FD6" w:rsidP="00A26FD6">
      <w:pPr>
        <w:jc w:val="center"/>
        <w:rPr>
          <w:rFonts w:ascii="Calibri" w:hAnsi="Calibri"/>
          <w:b/>
          <w:bCs/>
          <w:sz w:val="64"/>
        </w:rPr>
      </w:pPr>
      <w:r w:rsidRPr="00875B9A">
        <w:rPr>
          <w:rFonts w:ascii="Calibri" w:hAnsi="Calibri"/>
          <w:b/>
          <w:bCs/>
          <w:sz w:val="64"/>
        </w:rPr>
        <w:t xml:space="preserve">The New Zealand </w:t>
      </w:r>
      <w:r w:rsidRPr="00875B9A">
        <w:rPr>
          <w:rFonts w:ascii="Calibri" w:hAnsi="Calibri"/>
          <w:b/>
          <w:bCs/>
          <w:sz w:val="64"/>
        </w:rPr>
        <w:br/>
        <w:t xml:space="preserve">Illicit Drug Harm Index </w:t>
      </w:r>
      <w:r w:rsidRPr="00875B9A">
        <w:rPr>
          <w:rFonts w:ascii="Calibri" w:hAnsi="Calibri"/>
          <w:b/>
          <w:bCs/>
          <w:noProof/>
          <w:sz w:val="64"/>
        </w:rPr>
        <mc:AlternateContent>
          <mc:Choice Requires="wps">
            <w:drawing>
              <wp:anchor distT="45720" distB="45720" distL="114300" distR="114300" simplePos="0" relativeHeight="251659264" behindDoc="0" locked="0" layoutInCell="1" allowOverlap="1" wp14:anchorId="177A2D11" wp14:editId="451F9282">
                <wp:simplePos x="0" y="0"/>
                <wp:positionH relativeFrom="margin">
                  <wp:posOffset>1836420</wp:posOffset>
                </wp:positionH>
                <wp:positionV relativeFrom="paragraph">
                  <wp:posOffset>7799705</wp:posOffset>
                </wp:positionV>
                <wp:extent cx="2448560" cy="44958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449580"/>
                        </a:xfrm>
                        <a:prstGeom prst="rect">
                          <a:avLst/>
                        </a:prstGeom>
                        <a:noFill/>
                        <a:ln w="9525">
                          <a:noFill/>
                          <a:miter lim="800000"/>
                          <a:headEnd/>
                          <a:tailEnd/>
                        </a:ln>
                      </wps:spPr>
                      <wps:txbx>
                        <w:txbxContent>
                          <w:p w14:paraId="44D2D1A6" w14:textId="77777777" w:rsidR="00A26FD6" w:rsidRPr="00E8665E" w:rsidRDefault="00A26FD6" w:rsidP="00A26FD6">
                            <w:pPr>
                              <w:jc w:val="center"/>
                              <w:rPr>
                                <w:sz w:val="40"/>
                                <w:szCs w:val="36"/>
                              </w:rPr>
                            </w:pPr>
                            <w:r w:rsidRPr="00E8665E">
                              <w:rPr>
                                <w:sz w:val="40"/>
                                <w:szCs w:val="36"/>
                              </w:rPr>
                              <w:t>Research report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type w14:anchorId="177A2D11" id="_x0000_t202" coordsize="21600,21600" o:spt="202" path="m,l,21600r21600,l21600,xe">
                <v:stroke joinstyle="miter"/>
                <v:path gradientshapeok="t" o:connecttype="rect"/>
              </v:shapetype>
              <v:shape id="Text Box 18" o:spid="_x0000_s1026" type="#_x0000_t202" style="position:absolute;left:0;text-align:left;margin-left:144.6pt;margin-top:614.15pt;width:192.8pt;height:35.4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" filled="f" stroked="f">
                <v:textbox style="mso-fit-shape-to-text:t">
                  <w:txbxContent>
                    <w:p w14:paraId="44D2D1A6" w14:textId="77777777" w:rsidR="00A26FD6" w:rsidRPr="00E8665E" w:rsidRDefault="00A26FD6" w:rsidP="00A26FD6">
                      <w:pPr>
                        <w:jc w:val="center"/>
                        <w:rPr>
                          <w:sz w:val="40"/>
                          <w:szCs w:val="36"/>
                        </w:rPr>
                      </w:pPr>
                      <w:r w:rsidRPr="00E8665E">
                        <w:rPr>
                          <w:sz w:val="40"/>
                          <w:szCs w:val="36"/>
                        </w:rPr>
                        <w:t>Research report</w:t>
                      </w:r>
                    </w:p>
                  </w:txbxContent>
                </v:textbox>
                <w10:wrap anchorx="margin"/>
              </v:shape>
            </w:pict>
          </mc:Fallback>
        </mc:AlternateContent>
      </w:r>
      <w:r w:rsidRPr="00875B9A">
        <w:rPr>
          <w:rFonts w:ascii="Calibri" w:hAnsi="Calibri"/>
          <w:b/>
          <w:bCs/>
          <w:sz w:val="64"/>
        </w:rPr>
        <w:t>2023</w:t>
      </w:r>
    </w:p>
    <w:p w14:paraId="5F2A3B7F" w14:textId="77777777" w:rsidR="00A26FD6" w:rsidRPr="00875B9A" w:rsidRDefault="00A26FD6" w:rsidP="00A26FD6"/>
    <w:p w14:paraId="72396235" w14:textId="77777777" w:rsidR="00A26FD6" w:rsidRPr="00875B9A" w:rsidRDefault="00A26FD6" w:rsidP="00A26FD6"/>
    <w:p w14:paraId="1E797AC0" w14:textId="5BC6C411" w:rsidR="00A26FD6" w:rsidRPr="00875B9A" w:rsidRDefault="00A26FD6" w:rsidP="00A26FD6">
      <w:pPr>
        <w:pStyle w:val="Subhead"/>
        <w:spacing w:after="1200"/>
        <w:jc w:val="left"/>
        <w:sectPr w:rsidR="00A26FD6" w:rsidRPr="00875B9A" w:rsidSect="00A26FD6">
          <w:footerReference w:type="first" r:id="rId12"/>
          <w:pgSz w:w="11907" w:h="16834" w:code="9"/>
          <w:pgMar w:top="2410" w:right="1138" w:bottom="346" w:left="1138" w:header="562" w:footer="850" w:gutter="0"/>
          <w:pgNumType w:start="1"/>
          <w:cols w:space="720"/>
        </w:sectPr>
      </w:pPr>
    </w:p>
    <w:p w14:paraId="3566D604" w14:textId="77777777" w:rsidR="00A26FD6" w:rsidRPr="00875B9A" w:rsidRDefault="00A26FD6" w:rsidP="00A26FD6">
      <w:pPr>
        <w:pStyle w:val="Heading3"/>
      </w:pPr>
      <w:r w:rsidRPr="00875B9A">
        <w:lastRenderedPageBreak/>
        <w:t>Acknowledgements</w:t>
      </w:r>
    </w:p>
    <w:p w14:paraId="452D2F1F" w14:textId="2FC118D4" w:rsidR="00A26FD6" w:rsidRPr="00875B9A" w:rsidRDefault="00A26FD6" w:rsidP="00A26FD6">
      <w:r w:rsidRPr="00875B9A">
        <w:t xml:space="preserve">Acknowledgments to the authors of the DHI 2020, the Ministry of Justice, </w:t>
      </w:r>
      <w:r w:rsidR="005421CA">
        <w:t xml:space="preserve">Health New Zealand </w:t>
      </w:r>
      <w:r w:rsidR="0001067E">
        <w:t>-</w:t>
      </w:r>
      <w:r w:rsidR="005421CA">
        <w:t xml:space="preserve"> </w:t>
      </w:r>
      <w:proofErr w:type="spellStart"/>
      <w:r w:rsidRPr="00875B9A">
        <w:t>Te</w:t>
      </w:r>
      <w:proofErr w:type="spellEnd"/>
      <w:r w:rsidRPr="00875B9A">
        <w:t xml:space="preserve"> </w:t>
      </w:r>
      <w:proofErr w:type="spellStart"/>
      <w:r w:rsidRPr="00875B9A">
        <w:t>Whatu</w:t>
      </w:r>
      <w:proofErr w:type="spellEnd"/>
      <w:r w:rsidRPr="00875B9A">
        <w:t xml:space="preserve"> Ora and the Ministry of Health.</w:t>
      </w:r>
    </w:p>
    <w:p w14:paraId="71757FAA" w14:textId="77777777" w:rsidR="00A26FD6" w:rsidRPr="00875B9A" w:rsidRDefault="00A26FD6" w:rsidP="00A26FD6">
      <w:pPr>
        <w:pStyle w:val="Heading3"/>
        <w:spacing w:before="600"/>
      </w:pPr>
      <w:r w:rsidRPr="00875B9A">
        <w:t>Authors</w:t>
      </w:r>
    </w:p>
    <w:p w14:paraId="43AFA0EE" w14:textId="10AC608E" w:rsidR="00A26FD6" w:rsidRPr="00875B9A" w:rsidRDefault="00A26FD6" w:rsidP="00A26FD6">
      <w:r w:rsidRPr="00875B9A">
        <w:t xml:space="preserve">National Drug Intelligence Bureau, joint operations of New Zealand Customs Service, Ministry of Health and New Zealand Police.  </w:t>
      </w:r>
    </w:p>
    <w:p w14:paraId="43BDB42F" w14:textId="79F47DFF" w:rsidR="00A26FD6" w:rsidRPr="00875B9A" w:rsidRDefault="00A26FD6" w:rsidP="00A26FD6">
      <w:pPr>
        <w:pStyle w:val="Imprint"/>
        <w:spacing w:before="1200"/>
        <w:rPr>
          <w:rFonts w:cs="Segoe UI"/>
        </w:rPr>
      </w:pPr>
      <w:r w:rsidRPr="00875B9A">
        <w:rPr>
          <w:rFonts w:cs="Segoe UI"/>
        </w:rPr>
        <w:t xml:space="preserve">Citation: </w:t>
      </w:r>
      <w:bookmarkStart w:id="0" w:name="_Hlk147993349"/>
      <w:r w:rsidRPr="00875B9A">
        <w:rPr>
          <w:rFonts w:cs="Segoe UI"/>
        </w:rPr>
        <w:t>National Drug Intelligence Bureau</w:t>
      </w:r>
      <w:bookmarkStart w:id="1" w:name="_Hlk134531169"/>
      <w:r w:rsidR="00F7245F">
        <w:rPr>
          <w:rFonts w:cs="Segoe UI"/>
        </w:rPr>
        <w:t>.</w:t>
      </w:r>
      <w:r w:rsidR="0001067E">
        <w:rPr>
          <w:rFonts w:cs="Segoe UI"/>
        </w:rPr>
        <w:t xml:space="preserve"> </w:t>
      </w:r>
      <w:r w:rsidRPr="00875B9A">
        <w:rPr>
          <w:rFonts w:cs="Segoe UI"/>
        </w:rPr>
        <w:t>202</w:t>
      </w:r>
      <w:r w:rsidR="00F7245F">
        <w:rPr>
          <w:rFonts w:cs="Segoe UI"/>
        </w:rPr>
        <w:t>4</w:t>
      </w:r>
      <w:r w:rsidRPr="00875B9A">
        <w:rPr>
          <w:rFonts w:cs="Segoe UI"/>
        </w:rPr>
        <w:t xml:space="preserve">. </w:t>
      </w:r>
      <w:r w:rsidRPr="00875B9A">
        <w:rPr>
          <w:rFonts w:cs="Segoe UI"/>
          <w:i/>
        </w:rPr>
        <w:t>The New Zealand Illicit Drug Harm Index 2023</w:t>
      </w:r>
      <w:r w:rsidR="00CD0A96">
        <w:rPr>
          <w:rFonts w:cs="Segoe UI"/>
          <w:i/>
        </w:rPr>
        <w:t>: Research report</w:t>
      </w:r>
      <w:r w:rsidRPr="00875B9A">
        <w:rPr>
          <w:rFonts w:cs="Segoe UI"/>
        </w:rPr>
        <w:t>. Wellington: Ministry of Health.</w:t>
      </w:r>
      <w:bookmarkEnd w:id="0"/>
      <w:bookmarkEnd w:id="1"/>
    </w:p>
    <w:p w14:paraId="5FB6543A" w14:textId="44BB1BA9" w:rsidR="00A26FD6" w:rsidRPr="00875B9A" w:rsidRDefault="00A26FD6" w:rsidP="00A26FD6">
      <w:pPr>
        <w:pStyle w:val="Imprint"/>
      </w:pPr>
      <w:r w:rsidRPr="00875B9A">
        <w:rPr>
          <w:b/>
        </w:rPr>
        <w:t xml:space="preserve">Published in </w:t>
      </w:r>
      <w:r w:rsidR="005421CA">
        <w:rPr>
          <w:b/>
        </w:rPr>
        <w:t>July 2024</w:t>
      </w:r>
      <w:r w:rsidRPr="00875B9A">
        <w:rPr>
          <w:b/>
        </w:rPr>
        <w:br/>
      </w:r>
      <w:r w:rsidRPr="00875B9A">
        <w:t>by the Ministry of Health</w:t>
      </w:r>
      <w:r w:rsidRPr="00875B9A">
        <w:br/>
        <w:t>PO Box 5013, Wellington 6140, New Zealand</w:t>
      </w:r>
    </w:p>
    <w:p w14:paraId="70CA1726" w14:textId="301C7B36" w:rsidR="00A26FD6" w:rsidRPr="00875B9A" w:rsidRDefault="00A26FD6" w:rsidP="00A26FD6">
      <w:pPr>
        <w:pStyle w:val="Imprint"/>
      </w:pPr>
      <w:r w:rsidRPr="00F01F31">
        <w:t xml:space="preserve">ISBN </w:t>
      </w:r>
      <w:r w:rsidR="00F01F31" w:rsidRPr="00F01F31">
        <w:t>978-1-991075-78-9</w:t>
      </w:r>
      <w:r w:rsidRPr="00F01F31">
        <w:t xml:space="preserve"> (online)</w:t>
      </w:r>
      <w:r w:rsidRPr="00F01F31">
        <w:br/>
        <w:t xml:space="preserve">HP </w:t>
      </w:r>
      <w:r w:rsidR="007D476C">
        <w:t>9077</w:t>
      </w:r>
    </w:p>
    <w:p w14:paraId="08139F77" w14:textId="223C7E80" w:rsidR="00A26FD6" w:rsidRPr="00875B9A" w:rsidRDefault="00A26FD6" w:rsidP="00DF37CB">
      <w:pPr>
        <w:pStyle w:val="Imprint"/>
        <w:spacing w:before="240" w:after="480"/>
      </w:pPr>
      <w:r w:rsidRPr="00875B9A">
        <w:t xml:space="preserve">This document is available at </w:t>
      </w:r>
      <w:hyperlink r:id="rId13" w:history="1">
        <w:r w:rsidRPr="00875B9A">
          <w:rPr>
            <w:rStyle w:val="Hyperlink"/>
          </w:rPr>
          <w:t>health.govt.nz</w:t>
        </w:r>
      </w:hyperlink>
    </w:p>
    <w:p w14:paraId="2094C6CA" w14:textId="77777777" w:rsidR="00A26FD6" w:rsidRPr="00875B9A" w:rsidRDefault="00A26FD6" w:rsidP="00A26FD6">
      <w:pPr>
        <w:sectPr w:rsidR="00A26FD6" w:rsidRPr="00875B9A" w:rsidSect="00A26FD6">
          <w:footerReference w:type="even" r:id="rId14"/>
          <w:footerReference w:type="default" r:id="rId15"/>
          <w:pgSz w:w="11907" w:h="16834" w:code="9"/>
          <w:pgMar w:top="1701" w:right="2268" w:bottom="1134" w:left="2268" w:header="425" w:footer="425" w:gutter="0"/>
          <w:cols w:space="720"/>
          <w:vAlign w:val="bottom"/>
          <w:docGrid w:linePitch="299"/>
        </w:sectPr>
      </w:pPr>
    </w:p>
    <w:p w14:paraId="069B0476" w14:textId="77777777" w:rsidR="00A26FD6" w:rsidRPr="00875B9A" w:rsidRDefault="00A26FD6" w:rsidP="00A26FD6">
      <w:pPr>
        <w:pStyle w:val="H1notinTOC"/>
      </w:pPr>
      <w:r w:rsidRPr="00875B9A">
        <w:lastRenderedPageBreak/>
        <w:t>Contents</w:t>
      </w:r>
    </w:p>
    <w:p w14:paraId="79AF6776" w14:textId="11F81222" w:rsidR="00504D54" w:rsidRDefault="00504D54">
      <w:pPr>
        <w:pStyle w:val="TOC1"/>
        <w:rPr>
          <w:rFonts w:eastAsiaTheme="minorEastAsia" w:cstheme="minorBidi"/>
          <w:b w:val="0"/>
          <w:noProof/>
          <w:color w:val="auto"/>
          <w:szCs w:val="22"/>
          <w:lang w:eastAsia="en-NZ"/>
        </w:rPr>
      </w:pPr>
      <w:r>
        <w:rPr>
          <w:b w:val="0"/>
        </w:rPr>
        <w:fldChar w:fldCharType="begin"/>
      </w:r>
      <w:r>
        <w:rPr>
          <w:b w:val="0"/>
        </w:rPr>
        <w:instrText xml:space="preserve"> TOC \o "1-2" \h \z \u </w:instrText>
      </w:r>
      <w:r>
        <w:rPr>
          <w:b w:val="0"/>
        </w:rPr>
        <w:fldChar w:fldCharType="separate"/>
      </w:r>
      <w:hyperlink w:anchor="_Toc170116254" w:history="1">
        <w:r w:rsidRPr="008D2EB4">
          <w:rPr>
            <w:rStyle w:val="Hyperlink"/>
            <w:noProof/>
          </w:rPr>
          <w:t>Project summary</w:t>
        </w:r>
        <w:r>
          <w:rPr>
            <w:noProof/>
            <w:webHidden/>
          </w:rPr>
          <w:tab/>
        </w:r>
        <w:r>
          <w:rPr>
            <w:noProof/>
            <w:webHidden/>
          </w:rPr>
          <w:fldChar w:fldCharType="begin"/>
        </w:r>
        <w:r>
          <w:rPr>
            <w:noProof/>
            <w:webHidden/>
          </w:rPr>
          <w:instrText xml:space="preserve"> PAGEREF _Toc170116254 \h </w:instrText>
        </w:r>
        <w:r>
          <w:rPr>
            <w:noProof/>
            <w:webHidden/>
          </w:rPr>
        </w:r>
        <w:r>
          <w:rPr>
            <w:noProof/>
            <w:webHidden/>
          </w:rPr>
          <w:fldChar w:fldCharType="separate"/>
        </w:r>
        <w:r w:rsidR="00A9738F">
          <w:rPr>
            <w:noProof/>
            <w:webHidden/>
          </w:rPr>
          <w:t>1</w:t>
        </w:r>
        <w:r>
          <w:rPr>
            <w:noProof/>
            <w:webHidden/>
          </w:rPr>
          <w:fldChar w:fldCharType="end"/>
        </w:r>
      </w:hyperlink>
    </w:p>
    <w:p w14:paraId="59211EA4" w14:textId="2BD19710" w:rsidR="00504D54" w:rsidRDefault="00A9738F">
      <w:pPr>
        <w:pStyle w:val="TOC1"/>
        <w:rPr>
          <w:rFonts w:eastAsiaTheme="minorEastAsia" w:cstheme="minorBidi"/>
          <w:b w:val="0"/>
          <w:noProof/>
          <w:color w:val="auto"/>
          <w:szCs w:val="22"/>
          <w:lang w:eastAsia="en-NZ"/>
        </w:rPr>
      </w:pPr>
      <w:hyperlink w:anchor="_Toc170116255" w:history="1">
        <w:r w:rsidR="00504D54" w:rsidRPr="008D2EB4">
          <w:rPr>
            <w:rStyle w:val="Hyperlink"/>
            <w:noProof/>
          </w:rPr>
          <w:t>Introduction</w:t>
        </w:r>
        <w:r w:rsidR="00504D54">
          <w:rPr>
            <w:noProof/>
            <w:webHidden/>
          </w:rPr>
          <w:tab/>
        </w:r>
        <w:r w:rsidR="00504D54">
          <w:rPr>
            <w:noProof/>
            <w:webHidden/>
          </w:rPr>
          <w:fldChar w:fldCharType="begin"/>
        </w:r>
        <w:r w:rsidR="00504D54">
          <w:rPr>
            <w:noProof/>
            <w:webHidden/>
          </w:rPr>
          <w:instrText xml:space="preserve"> PAGEREF _Toc170116255 \h </w:instrText>
        </w:r>
        <w:r w:rsidR="00504D54">
          <w:rPr>
            <w:noProof/>
            <w:webHidden/>
          </w:rPr>
        </w:r>
        <w:r w:rsidR="00504D54">
          <w:rPr>
            <w:noProof/>
            <w:webHidden/>
          </w:rPr>
          <w:fldChar w:fldCharType="separate"/>
        </w:r>
        <w:r>
          <w:rPr>
            <w:noProof/>
            <w:webHidden/>
          </w:rPr>
          <w:t>2</w:t>
        </w:r>
        <w:r w:rsidR="00504D54">
          <w:rPr>
            <w:noProof/>
            <w:webHidden/>
          </w:rPr>
          <w:fldChar w:fldCharType="end"/>
        </w:r>
      </w:hyperlink>
    </w:p>
    <w:p w14:paraId="66A14E52" w14:textId="7D0C2D41" w:rsidR="00504D54" w:rsidRDefault="00A9738F">
      <w:pPr>
        <w:pStyle w:val="TOC2"/>
        <w:rPr>
          <w:rFonts w:eastAsiaTheme="minorEastAsia" w:cstheme="minorBidi"/>
          <w:noProof/>
          <w:color w:val="auto"/>
          <w:szCs w:val="22"/>
          <w:lang w:eastAsia="en-NZ"/>
        </w:rPr>
      </w:pPr>
      <w:hyperlink w:anchor="_Toc170116256" w:history="1">
        <w:r w:rsidR="00504D54" w:rsidRPr="008D2EB4">
          <w:rPr>
            <w:rStyle w:val="Hyperlink"/>
            <w:noProof/>
          </w:rPr>
          <w:t>Drug harm</w:t>
        </w:r>
        <w:r w:rsidR="00504D54">
          <w:rPr>
            <w:noProof/>
            <w:webHidden/>
          </w:rPr>
          <w:tab/>
        </w:r>
        <w:r w:rsidR="00504D54">
          <w:rPr>
            <w:noProof/>
            <w:webHidden/>
          </w:rPr>
          <w:fldChar w:fldCharType="begin"/>
        </w:r>
        <w:r w:rsidR="00504D54">
          <w:rPr>
            <w:noProof/>
            <w:webHidden/>
          </w:rPr>
          <w:instrText xml:space="preserve"> PAGEREF _Toc170116256 \h </w:instrText>
        </w:r>
        <w:r w:rsidR="00504D54">
          <w:rPr>
            <w:noProof/>
            <w:webHidden/>
          </w:rPr>
        </w:r>
        <w:r w:rsidR="00504D54">
          <w:rPr>
            <w:noProof/>
            <w:webHidden/>
          </w:rPr>
          <w:fldChar w:fldCharType="separate"/>
        </w:r>
        <w:r>
          <w:rPr>
            <w:noProof/>
            <w:webHidden/>
          </w:rPr>
          <w:t>2</w:t>
        </w:r>
        <w:r w:rsidR="00504D54">
          <w:rPr>
            <w:noProof/>
            <w:webHidden/>
          </w:rPr>
          <w:fldChar w:fldCharType="end"/>
        </w:r>
      </w:hyperlink>
    </w:p>
    <w:p w14:paraId="55468A56" w14:textId="1139A231" w:rsidR="00504D54" w:rsidRDefault="00A9738F">
      <w:pPr>
        <w:pStyle w:val="TOC2"/>
        <w:rPr>
          <w:rFonts w:eastAsiaTheme="minorEastAsia" w:cstheme="minorBidi"/>
          <w:noProof/>
          <w:color w:val="auto"/>
          <w:szCs w:val="22"/>
          <w:lang w:eastAsia="en-NZ"/>
        </w:rPr>
      </w:pPr>
      <w:hyperlink w:anchor="_Toc170116257" w:history="1">
        <w:r w:rsidR="00504D54" w:rsidRPr="008D2EB4">
          <w:rPr>
            <w:rStyle w:val="Hyperlink"/>
            <w:noProof/>
          </w:rPr>
          <w:t>Drug harm measurement</w:t>
        </w:r>
        <w:r w:rsidR="00504D54">
          <w:rPr>
            <w:noProof/>
            <w:webHidden/>
          </w:rPr>
          <w:tab/>
        </w:r>
        <w:r w:rsidR="00504D54">
          <w:rPr>
            <w:noProof/>
            <w:webHidden/>
          </w:rPr>
          <w:fldChar w:fldCharType="begin"/>
        </w:r>
        <w:r w:rsidR="00504D54">
          <w:rPr>
            <w:noProof/>
            <w:webHidden/>
          </w:rPr>
          <w:instrText xml:space="preserve"> PAGEREF _Toc170116257 \h </w:instrText>
        </w:r>
        <w:r w:rsidR="00504D54">
          <w:rPr>
            <w:noProof/>
            <w:webHidden/>
          </w:rPr>
        </w:r>
        <w:r w:rsidR="00504D54">
          <w:rPr>
            <w:noProof/>
            <w:webHidden/>
          </w:rPr>
          <w:fldChar w:fldCharType="separate"/>
        </w:r>
        <w:r>
          <w:rPr>
            <w:noProof/>
            <w:webHidden/>
          </w:rPr>
          <w:t>2</w:t>
        </w:r>
        <w:r w:rsidR="00504D54">
          <w:rPr>
            <w:noProof/>
            <w:webHidden/>
          </w:rPr>
          <w:fldChar w:fldCharType="end"/>
        </w:r>
      </w:hyperlink>
    </w:p>
    <w:p w14:paraId="0E35EA53" w14:textId="5F4E1EC3" w:rsidR="00504D54" w:rsidRDefault="00A9738F">
      <w:pPr>
        <w:pStyle w:val="TOC2"/>
        <w:rPr>
          <w:rFonts w:eastAsiaTheme="minorEastAsia" w:cstheme="minorBidi"/>
          <w:noProof/>
          <w:color w:val="auto"/>
          <w:szCs w:val="22"/>
          <w:lang w:eastAsia="en-NZ"/>
        </w:rPr>
      </w:pPr>
      <w:hyperlink w:anchor="_Toc170116258" w:history="1">
        <w:r w:rsidR="00504D54" w:rsidRPr="008D2EB4">
          <w:rPr>
            <w:rStyle w:val="Hyperlink"/>
            <w:noProof/>
          </w:rPr>
          <w:t>Drug harm indices</w:t>
        </w:r>
        <w:r w:rsidR="00504D54">
          <w:rPr>
            <w:noProof/>
            <w:webHidden/>
          </w:rPr>
          <w:tab/>
        </w:r>
        <w:r w:rsidR="00504D54">
          <w:rPr>
            <w:noProof/>
            <w:webHidden/>
          </w:rPr>
          <w:fldChar w:fldCharType="begin"/>
        </w:r>
        <w:r w:rsidR="00504D54">
          <w:rPr>
            <w:noProof/>
            <w:webHidden/>
          </w:rPr>
          <w:instrText xml:space="preserve"> PAGEREF _Toc170116258 \h </w:instrText>
        </w:r>
        <w:r w:rsidR="00504D54">
          <w:rPr>
            <w:noProof/>
            <w:webHidden/>
          </w:rPr>
        </w:r>
        <w:r w:rsidR="00504D54">
          <w:rPr>
            <w:noProof/>
            <w:webHidden/>
          </w:rPr>
          <w:fldChar w:fldCharType="separate"/>
        </w:r>
        <w:r>
          <w:rPr>
            <w:noProof/>
            <w:webHidden/>
          </w:rPr>
          <w:t>3</w:t>
        </w:r>
        <w:r w:rsidR="00504D54">
          <w:rPr>
            <w:noProof/>
            <w:webHidden/>
          </w:rPr>
          <w:fldChar w:fldCharType="end"/>
        </w:r>
      </w:hyperlink>
    </w:p>
    <w:p w14:paraId="456B26E7" w14:textId="1AA83C1C" w:rsidR="00504D54" w:rsidRDefault="00A9738F">
      <w:pPr>
        <w:pStyle w:val="TOC2"/>
        <w:rPr>
          <w:rFonts w:eastAsiaTheme="minorEastAsia" w:cstheme="minorBidi"/>
          <w:noProof/>
          <w:color w:val="auto"/>
          <w:szCs w:val="22"/>
          <w:lang w:eastAsia="en-NZ"/>
        </w:rPr>
      </w:pPr>
      <w:hyperlink w:anchor="_Toc170116259" w:history="1">
        <w:r w:rsidR="00504D54" w:rsidRPr="008D2EB4">
          <w:rPr>
            <w:rStyle w:val="Hyperlink"/>
            <w:noProof/>
          </w:rPr>
          <w:t>Revisions of the New Zealand DHI</w:t>
        </w:r>
        <w:r w:rsidR="00504D54">
          <w:rPr>
            <w:noProof/>
            <w:webHidden/>
          </w:rPr>
          <w:tab/>
        </w:r>
        <w:r w:rsidR="00504D54">
          <w:rPr>
            <w:noProof/>
            <w:webHidden/>
          </w:rPr>
          <w:fldChar w:fldCharType="begin"/>
        </w:r>
        <w:r w:rsidR="00504D54">
          <w:rPr>
            <w:noProof/>
            <w:webHidden/>
          </w:rPr>
          <w:instrText xml:space="preserve"> PAGEREF _Toc170116259 \h </w:instrText>
        </w:r>
        <w:r w:rsidR="00504D54">
          <w:rPr>
            <w:noProof/>
            <w:webHidden/>
          </w:rPr>
        </w:r>
        <w:r w:rsidR="00504D54">
          <w:rPr>
            <w:noProof/>
            <w:webHidden/>
          </w:rPr>
          <w:fldChar w:fldCharType="separate"/>
        </w:r>
        <w:r>
          <w:rPr>
            <w:noProof/>
            <w:webHidden/>
          </w:rPr>
          <w:t>3</w:t>
        </w:r>
        <w:r w:rsidR="00504D54">
          <w:rPr>
            <w:noProof/>
            <w:webHidden/>
          </w:rPr>
          <w:fldChar w:fldCharType="end"/>
        </w:r>
      </w:hyperlink>
    </w:p>
    <w:p w14:paraId="3AC040F6" w14:textId="5AA3E837" w:rsidR="00504D54" w:rsidRDefault="00A9738F">
      <w:pPr>
        <w:pStyle w:val="TOC2"/>
        <w:rPr>
          <w:rFonts w:eastAsiaTheme="minorEastAsia" w:cstheme="minorBidi"/>
          <w:noProof/>
          <w:color w:val="auto"/>
          <w:szCs w:val="22"/>
          <w:lang w:eastAsia="en-NZ"/>
        </w:rPr>
      </w:pPr>
      <w:hyperlink w:anchor="_Toc170116260" w:history="1">
        <w:r w:rsidR="00504D54" w:rsidRPr="008D2EB4">
          <w:rPr>
            <w:rStyle w:val="Hyperlink"/>
            <w:noProof/>
          </w:rPr>
          <w:t>Evolving response to drug harm</w:t>
        </w:r>
        <w:r w:rsidR="00504D54">
          <w:rPr>
            <w:noProof/>
            <w:webHidden/>
          </w:rPr>
          <w:tab/>
        </w:r>
        <w:r w:rsidR="00504D54">
          <w:rPr>
            <w:noProof/>
            <w:webHidden/>
          </w:rPr>
          <w:fldChar w:fldCharType="begin"/>
        </w:r>
        <w:r w:rsidR="00504D54">
          <w:rPr>
            <w:noProof/>
            <w:webHidden/>
          </w:rPr>
          <w:instrText xml:space="preserve"> PAGEREF _Toc170116260 \h </w:instrText>
        </w:r>
        <w:r w:rsidR="00504D54">
          <w:rPr>
            <w:noProof/>
            <w:webHidden/>
          </w:rPr>
        </w:r>
        <w:r w:rsidR="00504D54">
          <w:rPr>
            <w:noProof/>
            <w:webHidden/>
          </w:rPr>
          <w:fldChar w:fldCharType="separate"/>
        </w:r>
        <w:r>
          <w:rPr>
            <w:noProof/>
            <w:webHidden/>
          </w:rPr>
          <w:t>4</w:t>
        </w:r>
        <w:r w:rsidR="00504D54">
          <w:rPr>
            <w:noProof/>
            <w:webHidden/>
          </w:rPr>
          <w:fldChar w:fldCharType="end"/>
        </w:r>
      </w:hyperlink>
    </w:p>
    <w:p w14:paraId="7C88FD6C" w14:textId="58B18787" w:rsidR="00504D54" w:rsidRDefault="00A9738F">
      <w:pPr>
        <w:pStyle w:val="TOC1"/>
        <w:rPr>
          <w:rFonts w:eastAsiaTheme="minorEastAsia" w:cstheme="minorBidi"/>
          <w:b w:val="0"/>
          <w:noProof/>
          <w:color w:val="auto"/>
          <w:szCs w:val="22"/>
          <w:lang w:eastAsia="en-NZ"/>
        </w:rPr>
      </w:pPr>
      <w:hyperlink w:anchor="_Toc170116261" w:history="1">
        <w:r w:rsidR="00504D54" w:rsidRPr="008D2EB4">
          <w:rPr>
            <w:rStyle w:val="Hyperlink"/>
            <w:noProof/>
          </w:rPr>
          <w:t>The New Zealand Illicit Drug Harm Index 2023</w:t>
        </w:r>
        <w:r w:rsidR="00504D54">
          <w:rPr>
            <w:noProof/>
            <w:webHidden/>
          </w:rPr>
          <w:tab/>
        </w:r>
        <w:r w:rsidR="00504D54">
          <w:rPr>
            <w:noProof/>
            <w:webHidden/>
          </w:rPr>
          <w:fldChar w:fldCharType="begin"/>
        </w:r>
        <w:r w:rsidR="00504D54">
          <w:rPr>
            <w:noProof/>
            <w:webHidden/>
          </w:rPr>
          <w:instrText xml:space="preserve"> PAGEREF _Toc170116261 \h </w:instrText>
        </w:r>
        <w:r w:rsidR="00504D54">
          <w:rPr>
            <w:noProof/>
            <w:webHidden/>
          </w:rPr>
        </w:r>
        <w:r w:rsidR="00504D54">
          <w:rPr>
            <w:noProof/>
            <w:webHidden/>
          </w:rPr>
          <w:fldChar w:fldCharType="separate"/>
        </w:r>
        <w:r>
          <w:rPr>
            <w:noProof/>
            <w:webHidden/>
          </w:rPr>
          <w:t>5</w:t>
        </w:r>
        <w:r w:rsidR="00504D54">
          <w:rPr>
            <w:noProof/>
            <w:webHidden/>
          </w:rPr>
          <w:fldChar w:fldCharType="end"/>
        </w:r>
      </w:hyperlink>
    </w:p>
    <w:p w14:paraId="2E6F1331" w14:textId="4EF65338" w:rsidR="00504D54" w:rsidRDefault="00A9738F">
      <w:pPr>
        <w:pStyle w:val="TOC2"/>
        <w:rPr>
          <w:rFonts w:eastAsiaTheme="minorEastAsia" w:cstheme="minorBidi"/>
          <w:noProof/>
          <w:color w:val="auto"/>
          <w:szCs w:val="22"/>
          <w:lang w:eastAsia="en-NZ"/>
        </w:rPr>
      </w:pPr>
      <w:hyperlink w:anchor="_Toc170116262" w:history="1">
        <w:r w:rsidR="00504D54" w:rsidRPr="008D2EB4">
          <w:rPr>
            <w:rStyle w:val="Hyperlink"/>
            <w:noProof/>
            <w:lang w:eastAsia="en-AU"/>
          </w:rPr>
          <w:t>Illicit drug consumption in New Zealand</w:t>
        </w:r>
        <w:r w:rsidR="00504D54">
          <w:rPr>
            <w:noProof/>
            <w:webHidden/>
          </w:rPr>
          <w:tab/>
        </w:r>
        <w:r w:rsidR="00504D54">
          <w:rPr>
            <w:noProof/>
            <w:webHidden/>
          </w:rPr>
          <w:fldChar w:fldCharType="begin"/>
        </w:r>
        <w:r w:rsidR="00504D54">
          <w:rPr>
            <w:noProof/>
            <w:webHidden/>
          </w:rPr>
          <w:instrText xml:space="preserve"> PAGEREF _Toc170116262 \h </w:instrText>
        </w:r>
        <w:r w:rsidR="00504D54">
          <w:rPr>
            <w:noProof/>
            <w:webHidden/>
          </w:rPr>
        </w:r>
        <w:r w:rsidR="00504D54">
          <w:rPr>
            <w:noProof/>
            <w:webHidden/>
          </w:rPr>
          <w:fldChar w:fldCharType="separate"/>
        </w:r>
        <w:r>
          <w:rPr>
            <w:noProof/>
            <w:webHidden/>
          </w:rPr>
          <w:t>5</w:t>
        </w:r>
        <w:r w:rsidR="00504D54">
          <w:rPr>
            <w:noProof/>
            <w:webHidden/>
          </w:rPr>
          <w:fldChar w:fldCharType="end"/>
        </w:r>
      </w:hyperlink>
    </w:p>
    <w:p w14:paraId="76401B7C" w14:textId="5F65DC7D" w:rsidR="00504D54" w:rsidRDefault="00A9738F">
      <w:pPr>
        <w:pStyle w:val="TOC2"/>
        <w:rPr>
          <w:rFonts w:eastAsiaTheme="minorEastAsia" w:cstheme="minorBidi"/>
          <w:noProof/>
          <w:color w:val="auto"/>
          <w:szCs w:val="22"/>
          <w:lang w:eastAsia="en-NZ"/>
        </w:rPr>
      </w:pPr>
      <w:hyperlink w:anchor="_Toc170116263" w:history="1">
        <w:r w:rsidR="00504D54" w:rsidRPr="008D2EB4">
          <w:rPr>
            <w:rStyle w:val="Hyperlink"/>
            <w:noProof/>
            <w:lang w:eastAsia="en-AU"/>
          </w:rPr>
          <w:t>Personal harms</w:t>
        </w:r>
        <w:r w:rsidR="00504D54">
          <w:rPr>
            <w:noProof/>
            <w:webHidden/>
          </w:rPr>
          <w:tab/>
        </w:r>
        <w:r w:rsidR="00504D54">
          <w:rPr>
            <w:noProof/>
            <w:webHidden/>
          </w:rPr>
          <w:fldChar w:fldCharType="begin"/>
        </w:r>
        <w:r w:rsidR="00504D54">
          <w:rPr>
            <w:noProof/>
            <w:webHidden/>
          </w:rPr>
          <w:instrText xml:space="preserve"> PAGEREF _Toc170116263 \h </w:instrText>
        </w:r>
        <w:r w:rsidR="00504D54">
          <w:rPr>
            <w:noProof/>
            <w:webHidden/>
          </w:rPr>
        </w:r>
        <w:r w:rsidR="00504D54">
          <w:rPr>
            <w:noProof/>
            <w:webHidden/>
          </w:rPr>
          <w:fldChar w:fldCharType="separate"/>
        </w:r>
        <w:r>
          <w:rPr>
            <w:noProof/>
            <w:webHidden/>
          </w:rPr>
          <w:t>6</w:t>
        </w:r>
        <w:r w:rsidR="00504D54">
          <w:rPr>
            <w:noProof/>
            <w:webHidden/>
          </w:rPr>
          <w:fldChar w:fldCharType="end"/>
        </w:r>
      </w:hyperlink>
    </w:p>
    <w:p w14:paraId="146B5857" w14:textId="656C3667" w:rsidR="00504D54" w:rsidRDefault="00A9738F">
      <w:pPr>
        <w:pStyle w:val="TOC2"/>
        <w:rPr>
          <w:rFonts w:eastAsiaTheme="minorEastAsia" w:cstheme="minorBidi"/>
          <w:noProof/>
          <w:color w:val="auto"/>
          <w:szCs w:val="22"/>
          <w:lang w:eastAsia="en-NZ"/>
        </w:rPr>
      </w:pPr>
      <w:hyperlink w:anchor="_Toc170116264" w:history="1">
        <w:r w:rsidR="00504D54" w:rsidRPr="008D2EB4">
          <w:rPr>
            <w:rStyle w:val="Hyperlink"/>
            <w:noProof/>
            <w:lang w:eastAsia="en-AU"/>
          </w:rPr>
          <w:t>Premature death</w:t>
        </w:r>
        <w:r w:rsidR="00504D54">
          <w:rPr>
            <w:noProof/>
            <w:webHidden/>
          </w:rPr>
          <w:tab/>
        </w:r>
        <w:r w:rsidR="00504D54">
          <w:rPr>
            <w:noProof/>
            <w:webHidden/>
          </w:rPr>
          <w:fldChar w:fldCharType="begin"/>
        </w:r>
        <w:r w:rsidR="00504D54">
          <w:rPr>
            <w:noProof/>
            <w:webHidden/>
          </w:rPr>
          <w:instrText xml:space="preserve"> PAGEREF _Toc170116264 \h </w:instrText>
        </w:r>
        <w:r w:rsidR="00504D54">
          <w:rPr>
            <w:noProof/>
            <w:webHidden/>
          </w:rPr>
        </w:r>
        <w:r w:rsidR="00504D54">
          <w:rPr>
            <w:noProof/>
            <w:webHidden/>
          </w:rPr>
          <w:fldChar w:fldCharType="separate"/>
        </w:r>
        <w:r>
          <w:rPr>
            <w:noProof/>
            <w:webHidden/>
          </w:rPr>
          <w:t>7</w:t>
        </w:r>
        <w:r w:rsidR="00504D54">
          <w:rPr>
            <w:noProof/>
            <w:webHidden/>
          </w:rPr>
          <w:fldChar w:fldCharType="end"/>
        </w:r>
      </w:hyperlink>
    </w:p>
    <w:p w14:paraId="7528B17B" w14:textId="77975A2E" w:rsidR="00504D54" w:rsidRDefault="00A9738F">
      <w:pPr>
        <w:pStyle w:val="TOC2"/>
        <w:rPr>
          <w:rFonts w:eastAsiaTheme="minorEastAsia" w:cstheme="minorBidi"/>
          <w:noProof/>
          <w:color w:val="auto"/>
          <w:szCs w:val="22"/>
          <w:lang w:eastAsia="en-NZ"/>
        </w:rPr>
      </w:pPr>
      <w:hyperlink w:anchor="_Toc170116265" w:history="1">
        <w:r w:rsidR="00504D54" w:rsidRPr="008D2EB4">
          <w:rPr>
            <w:rStyle w:val="Hyperlink"/>
            <w:noProof/>
            <w:lang w:eastAsia="en-AU"/>
          </w:rPr>
          <w:t>Loss of quality of life</w:t>
        </w:r>
        <w:r w:rsidR="00504D54">
          <w:rPr>
            <w:noProof/>
            <w:webHidden/>
          </w:rPr>
          <w:tab/>
        </w:r>
        <w:r w:rsidR="00504D54">
          <w:rPr>
            <w:noProof/>
            <w:webHidden/>
          </w:rPr>
          <w:fldChar w:fldCharType="begin"/>
        </w:r>
        <w:r w:rsidR="00504D54">
          <w:rPr>
            <w:noProof/>
            <w:webHidden/>
          </w:rPr>
          <w:instrText xml:space="preserve"> PAGEREF _Toc170116265 \h </w:instrText>
        </w:r>
        <w:r w:rsidR="00504D54">
          <w:rPr>
            <w:noProof/>
            <w:webHidden/>
          </w:rPr>
        </w:r>
        <w:r w:rsidR="00504D54">
          <w:rPr>
            <w:noProof/>
            <w:webHidden/>
          </w:rPr>
          <w:fldChar w:fldCharType="separate"/>
        </w:r>
        <w:r>
          <w:rPr>
            <w:noProof/>
            <w:webHidden/>
          </w:rPr>
          <w:t>7</w:t>
        </w:r>
        <w:r w:rsidR="00504D54">
          <w:rPr>
            <w:noProof/>
            <w:webHidden/>
          </w:rPr>
          <w:fldChar w:fldCharType="end"/>
        </w:r>
      </w:hyperlink>
    </w:p>
    <w:p w14:paraId="352DBE82" w14:textId="2C55FA1B" w:rsidR="00504D54" w:rsidRDefault="00A9738F">
      <w:pPr>
        <w:pStyle w:val="TOC2"/>
        <w:rPr>
          <w:rFonts w:eastAsiaTheme="minorEastAsia" w:cstheme="minorBidi"/>
          <w:noProof/>
          <w:color w:val="auto"/>
          <w:szCs w:val="22"/>
          <w:lang w:eastAsia="en-NZ"/>
        </w:rPr>
      </w:pPr>
      <w:hyperlink w:anchor="_Toc170116266" w:history="1">
        <w:r w:rsidR="00504D54" w:rsidRPr="008D2EB4">
          <w:rPr>
            <w:rStyle w:val="Hyperlink"/>
            <w:noProof/>
            <w:lang w:eastAsia="en-AU"/>
          </w:rPr>
          <w:t>Summary and comment</w:t>
        </w:r>
        <w:r w:rsidR="00504D54">
          <w:rPr>
            <w:noProof/>
            <w:webHidden/>
          </w:rPr>
          <w:tab/>
        </w:r>
        <w:r w:rsidR="00504D54">
          <w:rPr>
            <w:noProof/>
            <w:webHidden/>
          </w:rPr>
          <w:fldChar w:fldCharType="begin"/>
        </w:r>
        <w:r w:rsidR="00504D54">
          <w:rPr>
            <w:noProof/>
            <w:webHidden/>
          </w:rPr>
          <w:instrText xml:space="preserve"> PAGEREF _Toc170116266 \h </w:instrText>
        </w:r>
        <w:r w:rsidR="00504D54">
          <w:rPr>
            <w:noProof/>
            <w:webHidden/>
          </w:rPr>
        </w:r>
        <w:r w:rsidR="00504D54">
          <w:rPr>
            <w:noProof/>
            <w:webHidden/>
          </w:rPr>
          <w:fldChar w:fldCharType="separate"/>
        </w:r>
        <w:r>
          <w:rPr>
            <w:noProof/>
            <w:webHidden/>
          </w:rPr>
          <w:t>8</w:t>
        </w:r>
        <w:r w:rsidR="00504D54">
          <w:rPr>
            <w:noProof/>
            <w:webHidden/>
          </w:rPr>
          <w:fldChar w:fldCharType="end"/>
        </w:r>
      </w:hyperlink>
    </w:p>
    <w:p w14:paraId="36F260C3" w14:textId="3CE50052" w:rsidR="00504D54" w:rsidRDefault="00A9738F">
      <w:pPr>
        <w:pStyle w:val="TOC2"/>
        <w:rPr>
          <w:rFonts w:eastAsiaTheme="minorEastAsia" w:cstheme="minorBidi"/>
          <w:noProof/>
          <w:color w:val="auto"/>
          <w:szCs w:val="22"/>
          <w:lang w:eastAsia="en-NZ"/>
        </w:rPr>
      </w:pPr>
      <w:hyperlink w:anchor="_Toc170116267" w:history="1">
        <w:r w:rsidR="00504D54" w:rsidRPr="008D2EB4">
          <w:rPr>
            <w:rStyle w:val="Hyperlink"/>
            <w:noProof/>
            <w:lang w:eastAsia="en-AU"/>
          </w:rPr>
          <w:t>Community harms</w:t>
        </w:r>
        <w:r w:rsidR="00504D54">
          <w:rPr>
            <w:noProof/>
            <w:webHidden/>
          </w:rPr>
          <w:tab/>
        </w:r>
        <w:r w:rsidR="00504D54">
          <w:rPr>
            <w:noProof/>
            <w:webHidden/>
          </w:rPr>
          <w:fldChar w:fldCharType="begin"/>
        </w:r>
        <w:r w:rsidR="00504D54">
          <w:rPr>
            <w:noProof/>
            <w:webHidden/>
          </w:rPr>
          <w:instrText xml:space="preserve"> PAGEREF _Toc170116267 \h </w:instrText>
        </w:r>
        <w:r w:rsidR="00504D54">
          <w:rPr>
            <w:noProof/>
            <w:webHidden/>
          </w:rPr>
        </w:r>
        <w:r w:rsidR="00504D54">
          <w:rPr>
            <w:noProof/>
            <w:webHidden/>
          </w:rPr>
          <w:fldChar w:fldCharType="separate"/>
        </w:r>
        <w:r>
          <w:rPr>
            <w:noProof/>
            <w:webHidden/>
          </w:rPr>
          <w:t>8</w:t>
        </w:r>
        <w:r w:rsidR="00504D54">
          <w:rPr>
            <w:noProof/>
            <w:webHidden/>
          </w:rPr>
          <w:fldChar w:fldCharType="end"/>
        </w:r>
      </w:hyperlink>
    </w:p>
    <w:p w14:paraId="0B76E306" w14:textId="0D2F0138" w:rsidR="00504D54" w:rsidRDefault="00A9738F">
      <w:pPr>
        <w:pStyle w:val="TOC1"/>
        <w:rPr>
          <w:rFonts w:eastAsiaTheme="minorEastAsia" w:cstheme="minorBidi"/>
          <w:b w:val="0"/>
          <w:noProof/>
          <w:color w:val="auto"/>
          <w:szCs w:val="22"/>
          <w:lang w:eastAsia="en-NZ"/>
        </w:rPr>
      </w:pPr>
      <w:hyperlink w:anchor="_Toc170116268" w:history="1">
        <w:r w:rsidR="00504D54" w:rsidRPr="008D2EB4">
          <w:rPr>
            <w:rStyle w:val="Hyperlink"/>
            <w:noProof/>
          </w:rPr>
          <w:t>Conclusion</w:t>
        </w:r>
        <w:r w:rsidR="00504D54">
          <w:rPr>
            <w:noProof/>
            <w:webHidden/>
          </w:rPr>
          <w:tab/>
        </w:r>
        <w:r w:rsidR="00504D54">
          <w:rPr>
            <w:noProof/>
            <w:webHidden/>
          </w:rPr>
          <w:fldChar w:fldCharType="begin"/>
        </w:r>
        <w:r w:rsidR="00504D54">
          <w:rPr>
            <w:noProof/>
            <w:webHidden/>
          </w:rPr>
          <w:instrText xml:space="preserve"> PAGEREF _Toc170116268 \h </w:instrText>
        </w:r>
        <w:r w:rsidR="00504D54">
          <w:rPr>
            <w:noProof/>
            <w:webHidden/>
          </w:rPr>
        </w:r>
        <w:r w:rsidR="00504D54">
          <w:rPr>
            <w:noProof/>
            <w:webHidden/>
          </w:rPr>
          <w:fldChar w:fldCharType="separate"/>
        </w:r>
        <w:r>
          <w:rPr>
            <w:noProof/>
            <w:webHidden/>
          </w:rPr>
          <w:t>12</w:t>
        </w:r>
        <w:r w:rsidR="00504D54">
          <w:rPr>
            <w:noProof/>
            <w:webHidden/>
          </w:rPr>
          <w:fldChar w:fldCharType="end"/>
        </w:r>
      </w:hyperlink>
    </w:p>
    <w:p w14:paraId="6AF009E9" w14:textId="5FB67007" w:rsidR="00504D54" w:rsidRDefault="00A9738F">
      <w:pPr>
        <w:pStyle w:val="TOC1"/>
        <w:rPr>
          <w:rFonts w:eastAsiaTheme="minorEastAsia" w:cstheme="minorBidi"/>
          <w:b w:val="0"/>
          <w:noProof/>
          <w:color w:val="auto"/>
          <w:szCs w:val="22"/>
          <w:lang w:eastAsia="en-NZ"/>
        </w:rPr>
      </w:pPr>
      <w:hyperlink w:anchor="_Toc170116269" w:history="1">
        <w:r w:rsidR="00504D54" w:rsidRPr="008D2EB4">
          <w:rPr>
            <w:rStyle w:val="Hyperlink"/>
            <w:noProof/>
          </w:rPr>
          <w:t>References</w:t>
        </w:r>
        <w:r w:rsidR="00504D54">
          <w:rPr>
            <w:noProof/>
            <w:webHidden/>
          </w:rPr>
          <w:tab/>
        </w:r>
        <w:r w:rsidR="00504D54">
          <w:rPr>
            <w:noProof/>
            <w:webHidden/>
          </w:rPr>
          <w:fldChar w:fldCharType="begin"/>
        </w:r>
        <w:r w:rsidR="00504D54">
          <w:rPr>
            <w:noProof/>
            <w:webHidden/>
          </w:rPr>
          <w:instrText xml:space="preserve"> PAGEREF _Toc170116269 \h </w:instrText>
        </w:r>
        <w:r w:rsidR="00504D54">
          <w:rPr>
            <w:noProof/>
            <w:webHidden/>
          </w:rPr>
        </w:r>
        <w:r w:rsidR="00504D54">
          <w:rPr>
            <w:noProof/>
            <w:webHidden/>
          </w:rPr>
          <w:fldChar w:fldCharType="separate"/>
        </w:r>
        <w:r>
          <w:rPr>
            <w:noProof/>
            <w:webHidden/>
          </w:rPr>
          <w:t>13</w:t>
        </w:r>
        <w:r w:rsidR="00504D54">
          <w:rPr>
            <w:noProof/>
            <w:webHidden/>
          </w:rPr>
          <w:fldChar w:fldCharType="end"/>
        </w:r>
      </w:hyperlink>
    </w:p>
    <w:p w14:paraId="15B91A58" w14:textId="6A4A9075" w:rsidR="00504D54" w:rsidRDefault="00A9738F">
      <w:pPr>
        <w:pStyle w:val="TOC1"/>
        <w:rPr>
          <w:rFonts w:eastAsiaTheme="minorEastAsia" w:cstheme="minorBidi"/>
          <w:b w:val="0"/>
          <w:noProof/>
          <w:color w:val="auto"/>
          <w:szCs w:val="22"/>
          <w:lang w:eastAsia="en-NZ"/>
        </w:rPr>
      </w:pPr>
      <w:hyperlink w:anchor="_Toc170116270" w:history="1">
        <w:r w:rsidR="00504D54" w:rsidRPr="008D2EB4">
          <w:rPr>
            <w:rStyle w:val="Hyperlink"/>
            <w:noProof/>
          </w:rPr>
          <w:t>Appendix One:</w:t>
        </w:r>
        <w:r w:rsidR="00504D54">
          <w:rPr>
            <w:noProof/>
            <w:webHidden/>
          </w:rPr>
          <w:tab/>
        </w:r>
        <w:r w:rsidR="00504D54">
          <w:rPr>
            <w:noProof/>
            <w:webHidden/>
          </w:rPr>
          <w:fldChar w:fldCharType="begin"/>
        </w:r>
        <w:r w:rsidR="00504D54">
          <w:rPr>
            <w:noProof/>
            <w:webHidden/>
          </w:rPr>
          <w:instrText xml:space="preserve"> PAGEREF _Toc170116270 \h </w:instrText>
        </w:r>
        <w:r w:rsidR="00504D54">
          <w:rPr>
            <w:noProof/>
            <w:webHidden/>
          </w:rPr>
        </w:r>
        <w:r w:rsidR="00504D54">
          <w:rPr>
            <w:noProof/>
            <w:webHidden/>
          </w:rPr>
          <w:fldChar w:fldCharType="separate"/>
        </w:r>
        <w:r>
          <w:rPr>
            <w:noProof/>
            <w:webHidden/>
          </w:rPr>
          <w:t>14</w:t>
        </w:r>
        <w:r w:rsidR="00504D54">
          <w:rPr>
            <w:noProof/>
            <w:webHidden/>
          </w:rPr>
          <w:fldChar w:fldCharType="end"/>
        </w:r>
      </w:hyperlink>
    </w:p>
    <w:p w14:paraId="79346E9E" w14:textId="692024EA" w:rsidR="00504D54" w:rsidRDefault="00A9738F">
      <w:pPr>
        <w:pStyle w:val="TOC2"/>
        <w:rPr>
          <w:rFonts w:eastAsiaTheme="minorEastAsia" w:cstheme="minorBidi"/>
          <w:noProof/>
          <w:color w:val="auto"/>
          <w:szCs w:val="22"/>
          <w:lang w:eastAsia="en-NZ"/>
        </w:rPr>
      </w:pPr>
      <w:hyperlink w:anchor="_Toc170116271" w:history="1">
        <w:r w:rsidR="00504D54" w:rsidRPr="008D2EB4">
          <w:rPr>
            <w:rStyle w:val="Hyperlink"/>
            <w:noProof/>
          </w:rPr>
          <w:t>Conceptual framework</w:t>
        </w:r>
        <w:r w:rsidR="00504D54">
          <w:rPr>
            <w:noProof/>
            <w:webHidden/>
          </w:rPr>
          <w:tab/>
        </w:r>
        <w:r w:rsidR="00504D54">
          <w:rPr>
            <w:noProof/>
            <w:webHidden/>
          </w:rPr>
          <w:fldChar w:fldCharType="begin"/>
        </w:r>
        <w:r w:rsidR="00504D54">
          <w:rPr>
            <w:noProof/>
            <w:webHidden/>
          </w:rPr>
          <w:instrText xml:space="preserve"> PAGEREF _Toc170116271 \h </w:instrText>
        </w:r>
        <w:r w:rsidR="00504D54">
          <w:rPr>
            <w:noProof/>
            <w:webHidden/>
          </w:rPr>
        </w:r>
        <w:r w:rsidR="00504D54">
          <w:rPr>
            <w:noProof/>
            <w:webHidden/>
          </w:rPr>
          <w:fldChar w:fldCharType="separate"/>
        </w:r>
        <w:r>
          <w:rPr>
            <w:noProof/>
            <w:webHidden/>
          </w:rPr>
          <w:t>14</w:t>
        </w:r>
        <w:r w:rsidR="00504D54">
          <w:rPr>
            <w:noProof/>
            <w:webHidden/>
          </w:rPr>
          <w:fldChar w:fldCharType="end"/>
        </w:r>
      </w:hyperlink>
    </w:p>
    <w:p w14:paraId="45209E29" w14:textId="6B849CA1" w:rsidR="00A26FD6" w:rsidRPr="00875B9A" w:rsidRDefault="00504D54" w:rsidP="00875B9A">
      <w:pPr>
        <w:pStyle w:val="TOC3"/>
        <w:rPr>
          <w:b/>
          <w:bCs/>
        </w:rPr>
      </w:pPr>
      <w:r>
        <w:rPr>
          <w:b/>
        </w:rPr>
        <w:fldChar w:fldCharType="end"/>
      </w:r>
      <w:r w:rsidR="00A26FD6" w:rsidRPr="00875B9A">
        <w:rPr>
          <w:b/>
          <w:bCs/>
        </w:rPr>
        <w:t>List of Tables</w:t>
      </w:r>
    </w:p>
    <w:p w14:paraId="46262B6C" w14:textId="3B71C1DD" w:rsidR="00C0255B" w:rsidRDefault="00C0255B">
      <w:pPr>
        <w:pStyle w:val="TOC3"/>
        <w:rPr>
          <w:rFonts w:eastAsiaTheme="minorEastAsia" w:cstheme="minorBidi"/>
          <w:noProof/>
          <w:color w:val="auto"/>
          <w:szCs w:val="22"/>
          <w:lang w:eastAsia="en-NZ"/>
        </w:rPr>
      </w:pPr>
      <w:r>
        <w:rPr>
          <w:sz w:val="20"/>
        </w:rPr>
        <w:fldChar w:fldCharType="begin"/>
      </w:r>
      <w:r>
        <w:rPr>
          <w:sz w:val="20"/>
        </w:rPr>
        <w:instrText xml:space="preserve"> TOC \h \z \t "Table,3" </w:instrText>
      </w:r>
      <w:r>
        <w:rPr>
          <w:sz w:val="20"/>
        </w:rPr>
        <w:fldChar w:fldCharType="separate"/>
      </w:r>
      <w:hyperlink w:anchor="_Toc170116272" w:history="1">
        <w:r w:rsidRPr="005C18F3">
          <w:rPr>
            <w:rStyle w:val="Hyperlink"/>
            <w:noProof/>
          </w:rPr>
          <w:t>Table 1. Significant changes in data sources from DHI 2016</w:t>
        </w:r>
        <w:r>
          <w:rPr>
            <w:noProof/>
            <w:webHidden/>
          </w:rPr>
          <w:tab/>
        </w:r>
        <w:r>
          <w:rPr>
            <w:noProof/>
            <w:webHidden/>
          </w:rPr>
          <w:fldChar w:fldCharType="begin"/>
        </w:r>
        <w:r>
          <w:rPr>
            <w:noProof/>
            <w:webHidden/>
          </w:rPr>
          <w:instrText xml:space="preserve"> PAGEREF _Toc170116272 \h </w:instrText>
        </w:r>
        <w:r>
          <w:rPr>
            <w:noProof/>
            <w:webHidden/>
          </w:rPr>
        </w:r>
        <w:r>
          <w:rPr>
            <w:noProof/>
            <w:webHidden/>
          </w:rPr>
          <w:fldChar w:fldCharType="separate"/>
        </w:r>
        <w:r w:rsidR="00A9738F">
          <w:rPr>
            <w:noProof/>
            <w:webHidden/>
          </w:rPr>
          <w:t>5</w:t>
        </w:r>
        <w:r>
          <w:rPr>
            <w:noProof/>
            <w:webHidden/>
          </w:rPr>
          <w:fldChar w:fldCharType="end"/>
        </w:r>
      </w:hyperlink>
    </w:p>
    <w:p w14:paraId="415C9DF5" w14:textId="7393479B" w:rsidR="00C0255B" w:rsidRDefault="00A9738F">
      <w:pPr>
        <w:pStyle w:val="TOC3"/>
        <w:rPr>
          <w:rFonts w:eastAsiaTheme="minorEastAsia" w:cstheme="minorBidi"/>
          <w:noProof/>
          <w:color w:val="auto"/>
          <w:szCs w:val="22"/>
          <w:lang w:eastAsia="en-NZ"/>
        </w:rPr>
      </w:pPr>
      <w:hyperlink w:anchor="_Toc170116273" w:history="1">
        <w:r w:rsidR="00C0255B" w:rsidRPr="005C18F3">
          <w:rPr>
            <w:rStyle w:val="Hyperlink"/>
            <w:noProof/>
          </w:rPr>
          <w:t>Table 2. Estimated annual consumption of illicit drugs in New Zealand 2021</w:t>
        </w:r>
        <w:r w:rsidR="00C0255B">
          <w:rPr>
            <w:noProof/>
            <w:webHidden/>
          </w:rPr>
          <w:tab/>
        </w:r>
        <w:r w:rsidR="00C0255B">
          <w:rPr>
            <w:noProof/>
            <w:webHidden/>
          </w:rPr>
          <w:fldChar w:fldCharType="begin"/>
        </w:r>
        <w:r w:rsidR="00C0255B">
          <w:rPr>
            <w:noProof/>
            <w:webHidden/>
          </w:rPr>
          <w:instrText xml:space="preserve"> PAGEREF _Toc170116273 \h </w:instrText>
        </w:r>
        <w:r w:rsidR="00C0255B">
          <w:rPr>
            <w:noProof/>
            <w:webHidden/>
          </w:rPr>
        </w:r>
        <w:r w:rsidR="00C0255B">
          <w:rPr>
            <w:noProof/>
            <w:webHidden/>
          </w:rPr>
          <w:fldChar w:fldCharType="separate"/>
        </w:r>
        <w:r>
          <w:rPr>
            <w:noProof/>
            <w:webHidden/>
          </w:rPr>
          <w:t>6</w:t>
        </w:r>
        <w:r w:rsidR="00C0255B">
          <w:rPr>
            <w:noProof/>
            <w:webHidden/>
          </w:rPr>
          <w:fldChar w:fldCharType="end"/>
        </w:r>
      </w:hyperlink>
    </w:p>
    <w:p w14:paraId="1924A409" w14:textId="495B16B3" w:rsidR="00C0255B" w:rsidRDefault="00A9738F">
      <w:pPr>
        <w:pStyle w:val="TOC3"/>
        <w:rPr>
          <w:rFonts w:eastAsiaTheme="minorEastAsia" w:cstheme="minorBidi"/>
          <w:noProof/>
          <w:color w:val="auto"/>
          <w:szCs w:val="22"/>
          <w:lang w:eastAsia="en-NZ"/>
        </w:rPr>
      </w:pPr>
      <w:hyperlink w:anchor="_Toc170116274" w:history="1">
        <w:r w:rsidR="00C0255B" w:rsidRPr="005C18F3">
          <w:rPr>
            <w:rStyle w:val="Hyperlink"/>
            <w:noProof/>
          </w:rPr>
          <w:t>Table 3.</w:t>
        </w:r>
        <w:r w:rsidR="00C0255B" w:rsidRPr="005C18F3">
          <w:rPr>
            <w:rStyle w:val="Hyperlink"/>
            <w:noProof/>
            <w:lang w:eastAsia="en-AU"/>
          </w:rPr>
          <w:t xml:space="preserve"> Personal harms by drug type ($ million)</w:t>
        </w:r>
        <w:r w:rsidR="00C0255B">
          <w:rPr>
            <w:noProof/>
            <w:webHidden/>
          </w:rPr>
          <w:tab/>
        </w:r>
        <w:r w:rsidR="00C0255B">
          <w:rPr>
            <w:noProof/>
            <w:webHidden/>
          </w:rPr>
          <w:fldChar w:fldCharType="begin"/>
        </w:r>
        <w:r w:rsidR="00C0255B">
          <w:rPr>
            <w:noProof/>
            <w:webHidden/>
          </w:rPr>
          <w:instrText xml:space="preserve"> PAGEREF _Toc170116274 \h </w:instrText>
        </w:r>
        <w:r w:rsidR="00C0255B">
          <w:rPr>
            <w:noProof/>
            <w:webHidden/>
          </w:rPr>
        </w:r>
        <w:r w:rsidR="00C0255B">
          <w:rPr>
            <w:noProof/>
            <w:webHidden/>
          </w:rPr>
          <w:fldChar w:fldCharType="separate"/>
        </w:r>
        <w:r>
          <w:rPr>
            <w:noProof/>
            <w:webHidden/>
          </w:rPr>
          <w:t>8</w:t>
        </w:r>
        <w:r w:rsidR="00C0255B">
          <w:rPr>
            <w:noProof/>
            <w:webHidden/>
          </w:rPr>
          <w:fldChar w:fldCharType="end"/>
        </w:r>
      </w:hyperlink>
    </w:p>
    <w:p w14:paraId="2DB5B38E" w14:textId="20547C21" w:rsidR="00C0255B" w:rsidRDefault="00A9738F">
      <w:pPr>
        <w:pStyle w:val="TOC3"/>
        <w:rPr>
          <w:rFonts w:eastAsiaTheme="minorEastAsia" w:cstheme="minorBidi"/>
          <w:noProof/>
          <w:color w:val="auto"/>
          <w:szCs w:val="22"/>
          <w:lang w:eastAsia="en-NZ"/>
        </w:rPr>
      </w:pPr>
      <w:hyperlink w:anchor="_Toc170116275" w:history="1">
        <w:r w:rsidR="00C0255B" w:rsidRPr="005C18F3">
          <w:rPr>
            <w:rStyle w:val="Hyperlink"/>
            <w:noProof/>
          </w:rPr>
          <w:t>Table 4.</w:t>
        </w:r>
        <w:r w:rsidR="00C0255B" w:rsidRPr="005C18F3">
          <w:rPr>
            <w:rStyle w:val="Hyperlink"/>
            <w:noProof/>
            <w:lang w:eastAsia="en-AU"/>
          </w:rPr>
          <w:t xml:space="preserve"> Community harms by drug type ($ million)</w:t>
        </w:r>
        <w:r w:rsidR="00C0255B">
          <w:rPr>
            <w:noProof/>
            <w:webHidden/>
          </w:rPr>
          <w:tab/>
        </w:r>
        <w:r w:rsidR="00C0255B">
          <w:rPr>
            <w:noProof/>
            <w:webHidden/>
          </w:rPr>
          <w:fldChar w:fldCharType="begin"/>
        </w:r>
        <w:r w:rsidR="00C0255B">
          <w:rPr>
            <w:noProof/>
            <w:webHidden/>
          </w:rPr>
          <w:instrText xml:space="preserve"> PAGEREF _Toc170116275 \h </w:instrText>
        </w:r>
        <w:r w:rsidR="00C0255B">
          <w:rPr>
            <w:noProof/>
            <w:webHidden/>
          </w:rPr>
        </w:r>
        <w:r w:rsidR="00C0255B">
          <w:rPr>
            <w:noProof/>
            <w:webHidden/>
          </w:rPr>
          <w:fldChar w:fldCharType="separate"/>
        </w:r>
        <w:r>
          <w:rPr>
            <w:noProof/>
            <w:webHidden/>
          </w:rPr>
          <w:t>11</w:t>
        </w:r>
        <w:r w:rsidR="00C0255B">
          <w:rPr>
            <w:noProof/>
            <w:webHidden/>
          </w:rPr>
          <w:fldChar w:fldCharType="end"/>
        </w:r>
      </w:hyperlink>
    </w:p>
    <w:p w14:paraId="2EB61099" w14:textId="582E4E23" w:rsidR="00C0255B" w:rsidRDefault="00A9738F">
      <w:pPr>
        <w:pStyle w:val="TOC3"/>
        <w:rPr>
          <w:rFonts w:eastAsiaTheme="minorEastAsia" w:cstheme="minorBidi"/>
          <w:noProof/>
          <w:color w:val="auto"/>
          <w:szCs w:val="22"/>
          <w:lang w:eastAsia="en-NZ"/>
        </w:rPr>
      </w:pPr>
      <w:hyperlink w:anchor="_Toc170116276" w:history="1">
        <w:r w:rsidR="00C0255B" w:rsidRPr="005C18F3">
          <w:rPr>
            <w:rStyle w:val="Hyperlink"/>
            <w:noProof/>
          </w:rPr>
          <w:t>Table 5.</w:t>
        </w:r>
        <w:r w:rsidR="00C0255B" w:rsidRPr="005C18F3">
          <w:rPr>
            <w:rStyle w:val="Hyperlink"/>
            <w:noProof/>
            <w:lang w:eastAsia="en-AU"/>
          </w:rPr>
          <w:t xml:space="preserve"> Summary of social harms ($) per kilogram by drug type</w:t>
        </w:r>
        <w:r w:rsidR="00C0255B">
          <w:rPr>
            <w:noProof/>
            <w:webHidden/>
          </w:rPr>
          <w:tab/>
        </w:r>
        <w:r w:rsidR="00C0255B">
          <w:rPr>
            <w:noProof/>
            <w:webHidden/>
          </w:rPr>
          <w:fldChar w:fldCharType="begin"/>
        </w:r>
        <w:r w:rsidR="00C0255B">
          <w:rPr>
            <w:noProof/>
            <w:webHidden/>
          </w:rPr>
          <w:instrText xml:space="preserve"> PAGEREF _Toc170116276 \h </w:instrText>
        </w:r>
        <w:r w:rsidR="00C0255B">
          <w:rPr>
            <w:noProof/>
            <w:webHidden/>
          </w:rPr>
        </w:r>
        <w:r w:rsidR="00C0255B">
          <w:rPr>
            <w:noProof/>
            <w:webHidden/>
          </w:rPr>
          <w:fldChar w:fldCharType="separate"/>
        </w:r>
        <w:r>
          <w:rPr>
            <w:noProof/>
            <w:webHidden/>
          </w:rPr>
          <w:t>12</w:t>
        </w:r>
        <w:r w:rsidR="00C0255B">
          <w:rPr>
            <w:noProof/>
            <w:webHidden/>
          </w:rPr>
          <w:fldChar w:fldCharType="end"/>
        </w:r>
      </w:hyperlink>
    </w:p>
    <w:p w14:paraId="19A79866" w14:textId="41C82622" w:rsidR="00C0255B" w:rsidRDefault="00A9738F">
      <w:pPr>
        <w:pStyle w:val="TOC3"/>
        <w:rPr>
          <w:rFonts w:eastAsiaTheme="minorEastAsia" w:cstheme="minorBidi"/>
          <w:noProof/>
          <w:color w:val="auto"/>
          <w:szCs w:val="22"/>
          <w:lang w:eastAsia="en-NZ"/>
        </w:rPr>
      </w:pPr>
      <w:hyperlink w:anchor="_Toc170116277" w:history="1">
        <w:r w:rsidR="00C0255B" w:rsidRPr="005C18F3">
          <w:rPr>
            <w:rStyle w:val="Hyperlink"/>
            <w:noProof/>
          </w:rPr>
          <w:t>Table 6.</w:t>
        </w:r>
        <w:r w:rsidR="00C0255B" w:rsidRPr="005C18F3">
          <w:rPr>
            <w:rStyle w:val="Hyperlink"/>
            <w:noProof/>
            <w:lang w:eastAsia="en-AU"/>
          </w:rPr>
          <w:t xml:space="preserve"> Summary of social harms by drug type ($ million)</w:t>
        </w:r>
        <w:r w:rsidR="00C0255B">
          <w:rPr>
            <w:noProof/>
            <w:webHidden/>
          </w:rPr>
          <w:tab/>
        </w:r>
        <w:r w:rsidR="00C0255B">
          <w:rPr>
            <w:noProof/>
            <w:webHidden/>
          </w:rPr>
          <w:fldChar w:fldCharType="begin"/>
        </w:r>
        <w:r w:rsidR="00C0255B">
          <w:rPr>
            <w:noProof/>
            <w:webHidden/>
          </w:rPr>
          <w:instrText xml:space="preserve"> PAGEREF _Toc170116277 \h </w:instrText>
        </w:r>
        <w:r w:rsidR="00C0255B">
          <w:rPr>
            <w:noProof/>
            <w:webHidden/>
          </w:rPr>
        </w:r>
        <w:r w:rsidR="00C0255B">
          <w:rPr>
            <w:noProof/>
            <w:webHidden/>
          </w:rPr>
          <w:fldChar w:fldCharType="separate"/>
        </w:r>
        <w:r>
          <w:rPr>
            <w:noProof/>
            <w:webHidden/>
          </w:rPr>
          <w:t>12</w:t>
        </w:r>
        <w:r w:rsidR="00C0255B">
          <w:rPr>
            <w:noProof/>
            <w:webHidden/>
          </w:rPr>
          <w:fldChar w:fldCharType="end"/>
        </w:r>
      </w:hyperlink>
    </w:p>
    <w:p w14:paraId="651DA874" w14:textId="4D8E3A39" w:rsidR="00A26FD6" w:rsidRDefault="00C0255B" w:rsidP="00A26FD6">
      <w:r>
        <w:rPr>
          <w:sz w:val="20"/>
        </w:rPr>
        <w:fldChar w:fldCharType="end"/>
      </w:r>
    </w:p>
    <w:p w14:paraId="6B9F46AB" w14:textId="4916AB6C" w:rsidR="00BF3701" w:rsidRDefault="00BF3701">
      <w:r>
        <w:br w:type="page"/>
      </w:r>
    </w:p>
    <w:p w14:paraId="05BB3CD5" w14:textId="77777777" w:rsidR="00BF3701" w:rsidRPr="00875B9A" w:rsidRDefault="00BF3701" w:rsidP="00A26FD6"/>
    <w:p w14:paraId="3DD45B18" w14:textId="77777777" w:rsidR="00A26FD6" w:rsidRPr="00875B9A" w:rsidRDefault="00A26FD6" w:rsidP="00A26FD6"/>
    <w:p w14:paraId="16B78DEC" w14:textId="77777777" w:rsidR="00A26FD6" w:rsidRPr="00875B9A" w:rsidRDefault="00A26FD6" w:rsidP="00A26FD6">
      <w:pPr>
        <w:sectPr w:rsidR="00A26FD6" w:rsidRPr="00875B9A" w:rsidSect="00A26FD6">
          <w:headerReference w:type="even" r:id="rId16"/>
          <w:headerReference w:type="default" r:id="rId17"/>
          <w:footerReference w:type="even" r:id="rId18"/>
          <w:footerReference w:type="default" r:id="rId19"/>
          <w:pgSz w:w="11907" w:h="16840" w:code="9"/>
          <w:pgMar w:top="1418" w:right="1418" w:bottom="1134" w:left="1418" w:header="425" w:footer="425" w:gutter="0"/>
          <w:pgNumType w:fmt="lowerRoman"/>
          <w:cols w:space="720"/>
        </w:sectPr>
      </w:pPr>
    </w:p>
    <w:p w14:paraId="1ACC6749" w14:textId="6A6D38FB" w:rsidR="00A26FD6" w:rsidRPr="00875B9A" w:rsidRDefault="00A26FD6" w:rsidP="00A26FD6">
      <w:pPr>
        <w:pStyle w:val="Heading1"/>
      </w:pPr>
      <w:bookmarkStart w:id="2" w:name="_Toc89352337"/>
      <w:bookmarkStart w:id="3" w:name="_Toc170116254"/>
      <w:r w:rsidRPr="00875B9A">
        <w:t>Project summary</w:t>
      </w:r>
      <w:bookmarkEnd w:id="2"/>
      <w:bookmarkEnd w:id="3"/>
    </w:p>
    <w:tbl>
      <w:tblPr>
        <w:tblStyle w:val="TableGrid"/>
        <w:tblW w:w="9072" w:type="dxa"/>
        <w:tblBorders>
          <w:insideH w:val="single" w:sz="6" w:space="0" w:color="auto"/>
          <w:insideV w:val="single" w:sz="6" w:space="0" w:color="auto"/>
        </w:tblBorders>
        <w:tblLayout w:type="fixed"/>
        <w:tblCellMar>
          <w:left w:w="113" w:type="dxa"/>
          <w:right w:w="113" w:type="dxa"/>
        </w:tblCellMar>
        <w:tblLook w:val="04A0" w:firstRow="1" w:lastRow="0" w:firstColumn="1" w:lastColumn="0" w:noHBand="0" w:noVBand="1"/>
      </w:tblPr>
      <w:tblGrid>
        <w:gridCol w:w="1134"/>
        <w:gridCol w:w="7938"/>
      </w:tblGrid>
      <w:tr w:rsidR="00A26FD6" w:rsidRPr="00875B9A" w14:paraId="28506D54" w14:textId="77777777" w:rsidTr="00E415E0">
        <w:trPr>
          <w:cantSplit/>
        </w:trPr>
        <w:tc>
          <w:tcPr>
            <w:tcW w:w="1134" w:type="dxa"/>
            <w:shd w:val="clear" w:color="auto" w:fill="auto"/>
          </w:tcPr>
          <w:p w14:paraId="2EA3191D" w14:textId="77777777" w:rsidR="00A26FD6" w:rsidRPr="00875B9A" w:rsidRDefault="00A26FD6" w:rsidP="00B573EE">
            <w:pPr>
              <w:pStyle w:val="TableText"/>
              <w:rPr>
                <w:rFonts w:cstheme="minorHAnsi"/>
              </w:rPr>
            </w:pPr>
            <w:r w:rsidRPr="00875B9A">
              <w:rPr>
                <w:rFonts w:cstheme="minorHAnsi"/>
              </w:rPr>
              <w:t>Aim</w:t>
            </w:r>
          </w:p>
        </w:tc>
        <w:tc>
          <w:tcPr>
            <w:tcW w:w="7938" w:type="dxa"/>
            <w:shd w:val="clear" w:color="auto" w:fill="auto"/>
          </w:tcPr>
          <w:p w14:paraId="42072CDA" w14:textId="77777777" w:rsidR="00A26FD6" w:rsidRPr="00875B9A" w:rsidRDefault="00A26FD6" w:rsidP="00B573EE">
            <w:pPr>
              <w:pStyle w:val="TableText"/>
              <w:rPr>
                <w:rFonts w:cstheme="minorHAnsi"/>
              </w:rPr>
            </w:pPr>
            <w:r w:rsidRPr="00875B9A">
              <w:rPr>
                <w:rFonts w:cstheme="minorHAnsi"/>
              </w:rPr>
              <w:t>The 2023 Illicit Drug Harm Index (DHI 2023) provides a comprehensive evaluation of the costs of illicit drug use. Estimates of total harm and harm per kilogram of drugs consumed are included. Illicit drugs potentially include legal drugs (such as medication) diverted to the illicit drug market and/or the misuse of medications and excludes alcohol and tobacco.</w:t>
            </w:r>
          </w:p>
        </w:tc>
      </w:tr>
      <w:tr w:rsidR="00A26FD6" w:rsidRPr="00875B9A" w14:paraId="67936372" w14:textId="77777777" w:rsidTr="00E415E0">
        <w:trPr>
          <w:cantSplit/>
        </w:trPr>
        <w:tc>
          <w:tcPr>
            <w:tcW w:w="1134" w:type="dxa"/>
            <w:shd w:val="clear" w:color="auto" w:fill="auto"/>
          </w:tcPr>
          <w:p w14:paraId="307F09F5" w14:textId="77777777" w:rsidR="00A26FD6" w:rsidRPr="00875B9A" w:rsidRDefault="00A26FD6" w:rsidP="00B573EE">
            <w:pPr>
              <w:pStyle w:val="TableText"/>
              <w:rPr>
                <w:rFonts w:cstheme="minorHAnsi"/>
              </w:rPr>
            </w:pPr>
            <w:r w:rsidRPr="00875B9A">
              <w:rPr>
                <w:rFonts w:cstheme="minorHAnsi"/>
              </w:rPr>
              <w:t>Method</w:t>
            </w:r>
          </w:p>
        </w:tc>
        <w:tc>
          <w:tcPr>
            <w:tcW w:w="7938" w:type="dxa"/>
            <w:shd w:val="clear" w:color="auto" w:fill="auto"/>
          </w:tcPr>
          <w:p w14:paraId="14ADB8B3" w14:textId="77777777" w:rsidR="00A26FD6" w:rsidRPr="00875B9A" w:rsidRDefault="00A26FD6" w:rsidP="00B573EE">
            <w:pPr>
              <w:pStyle w:val="TableText"/>
              <w:rPr>
                <w:rFonts w:cstheme="minorHAnsi"/>
              </w:rPr>
            </w:pPr>
            <w:r w:rsidRPr="00875B9A">
              <w:rPr>
                <w:rFonts w:cstheme="minorHAnsi"/>
              </w:rPr>
              <w:t>The primary sources of data for the calculation of harm associated with illicit drugs were coronial findings, hospital admissions, willingness to pay estimates from research findings in New Zealand and elsewhere, crime statistics, and estimates of the street value of illicit drugs. There were two categories of harm: personal harm and community harm. Consumption of illicit drugs was measured primarily through wastewater analysis, supplemented by self</w:t>
            </w:r>
            <w:r w:rsidRPr="00875B9A">
              <w:rPr>
                <w:rFonts w:cstheme="minorHAnsi"/>
              </w:rPr>
              <w:noBreakHyphen/>
              <w:t>reported survey data.</w:t>
            </w:r>
          </w:p>
        </w:tc>
      </w:tr>
      <w:tr w:rsidR="00A26FD6" w:rsidRPr="00875B9A" w14:paraId="091BCF47" w14:textId="77777777" w:rsidTr="00E415E0">
        <w:trPr>
          <w:cantSplit/>
        </w:trPr>
        <w:tc>
          <w:tcPr>
            <w:tcW w:w="1134" w:type="dxa"/>
            <w:shd w:val="clear" w:color="auto" w:fill="auto"/>
          </w:tcPr>
          <w:p w14:paraId="1C5B0401" w14:textId="77777777" w:rsidR="00A26FD6" w:rsidRPr="00875B9A" w:rsidRDefault="00A26FD6" w:rsidP="00B573EE">
            <w:pPr>
              <w:pStyle w:val="TableText"/>
              <w:rPr>
                <w:rFonts w:cstheme="minorHAnsi"/>
              </w:rPr>
            </w:pPr>
            <w:r w:rsidRPr="00875B9A">
              <w:rPr>
                <w:rFonts w:cstheme="minorHAnsi"/>
              </w:rPr>
              <w:t>Results</w:t>
            </w:r>
          </w:p>
        </w:tc>
        <w:tc>
          <w:tcPr>
            <w:tcW w:w="7938" w:type="dxa"/>
            <w:shd w:val="clear" w:color="auto" w:fill="auto"/>
          </w:tcPr>
          <w:p w14:paraId="6AB549F1" w14:textId="77777777" w:rsidR="00A26FD6" w:rsidRPr="00875B9A" w:rsidRDefault="00A26FD6" w:rsidP="00B573EE">
            <w:pPr>
              <w:pStyle w:val="TableText"/>
              <w:rPr>
                <w:rFonts w:cstheme="minorHAnsi"/>
                <w:i/>
                <w:iCs/>
                <w:szCs w:val="22"/>
              </w:rPr>
            </w:pPr>
            <w:r w:rsidRPr="00875B9A">
              <w:rPr>
                <w:rFonts w:cstheme="minorHAnsi"/>
                <w:i/>
                <w:lang w:eastAsia="en-AU"/>
              </w:rPr>
              <w:t>Summary of social harms ($) per kilogram by drug type</w:t>
            </w:r>
          </w:p>
          <w:tbl>
            <w:tblPr>
              <w:tblStyle w:val="TableGrid"/>
              <w:tblW w:w="0" w:type="auto"/>
              <w:tblLayout w:type="fixed"/>
              <w:tblCellMar>
                <w:left w:w="57" w:type="dxa"/>
                <w:right w:w="57" w:type="dxa"/>
              </w:tblCellMar>
              <w:tblLook w:val="04A0" w:firstRow="1" w:lastRow="0" w:firstColumn="1" w:lastColumn="0" w:noHBand="0" w:noVBand="1"/>
            </w:tblPr>
            <w:tblGrid>
              <w:gridCol w:w="2150"/>
              <w:gridCol w:w="1843"/>
              <w:gridCol w:w="1843"/>
              <w:gridCol w:w="1843"/>
            </w:tblGrid>
            <w:tr w:rsidR="00A26FD6" w:rsidRPr="00875B9A" w14:paraId="16BB51EA" w14:textId="77777777" w:rsidTr="00B573EE">
              <w:trPr>
                <w:cantSplit/>
              </w:trPr>
              <w:tc>
                <w:tcPr>
                  <w:tcW w:w="2150" w:type="dxa"/>
                  <w:shd w:val="clear" w:color="auto" w:fill="auto"/>
                </w:tcPr>
                <w:p w14:paraId="47E28981" w14:textId="77777777" w:rsidR="00A26FD6" w:rsidRPr="00875B9A" w:rsidRDefault="00A26FD6" w:rsidP="00B573EE">
                  <w:pPr>
                    <w:pStyle w:val="TableText"/>
                    <w:rPr>
                      <w:rFonts w:cstheme="minorHAnsi"/>
                      <w:b/>
                    </w:rPr>
                  </w:pPr>
                  <w:bookmarkStart w:id="4" w:name="_Hlk66432327"/>
                  <w:r w:rsidRPr="00875B9A">
                    <w:rPr>
                      <w:rFonts w:cstheme="minorHAnsi"/>
                      <w:b/>
                    </w:rPr>
                    <w:t>Drug type</w:t>
                  </w:r>
                </w:p>
              </w:tc>
              <w:tc>
                <w:tcPr>
                  <w:tcW w:w="1843" w:type="dxa"/>
                  <w:tcBorders>
                    <w:bottom w:val="single" w:sz="4" w:space="0" w:color="auto"/>
                  </w:tcBorders>
                  <w:shd w:val="clear" w:color="auto" w:fill="auto"/>
                </w:tcPr>
                <w:p w14:paraId="58C1E35E" w14:textId="77777777" w:rsidR="00A26FD6" w:rsidRPr="00875B9A" w:rsidRDefault="00A26FD6" w:rsidP="00B573EE">
                  <w:pPr>
                    <w:pStyle w:val="TableText"/>
                    <w:jc w:val="center"/>
                    <w:rPr>
                      <w:rFonts w:cstheme="minorHAnsi"/>
                      <w:b/>
                    </w:rPr>
                  </w:pPr>
                  <w:r w:rsidRPr="00875B9A">
                    <w:rPr>
                      <w:rFonts w:cstheme="minorHAnsi"/>
                      <w:b/>
                    </w:rPr>
                    <w:t>Personal harm</w:t>
                  </w:r>
                  <w:r w:rsidRPr="00875B9A">
                    <w:rPr>
                      <w:rFonts w:cstheme="minorHAnsi"/>
                      <w:b/>
                    </w:rPr>
                    <w:br/>
                    <w:t>$ per kilogram</w:t>
                  </w:r>
                </w:p>
              </w:tc>
              <w:tc>
                <w:tcPr>
                  <w:tcW w:w="1843" w:type="dxa"/>
                  <w:tcBorders>
                    <w:bottom w:val="single" w:sz="4" w:space="0" w:color="auto"/>
                  </w:tcBorders>
                  <w:shd w:val="clear" w:color="auto" w:fill="auto"/>
                </w:tcPr>
                <w:p w14:paraId="213C6E42" w14:textId="77777777" w:rsidR="00A26FD6" w:rsidRPr="00875B9A" w:rsidRDefault="00A26FD6" w:rsidP="00B573EE">
                  <w:pPr>
                    <w:pStyle w:val="TableText"/>
                    <w:jc w:val="center"/>
                    <w:rPr>
                      <w:rFonts w:cstheme="minorHAnsi"/>
                      <w:b/>
                    </w:rPr>
                  </w:pPr>
                  <w:r w:rsidRPr="00875B9A">
                    <w:rPr>
                      <w:rFonts w:cstheme="minorHAnsi"/>
                      <w:b/>
                    </w:rPr>
                    <w:t>Community harm</w:t>
                  </w:r>
                  <w:r w:rsidRPr="00875B9A">
                    <w:rPr>
                      <w:rFonts w:cstheme="minorHAnsi"/>
                      <w:b/>
                    </w:rPr>
                    <w:br/>
                    <w:t>$ per kilogram</w:t>
                  </w:r>
                </w:p>
              </w:tc>
              <w:tc>
                <w:tcPr>
                  <w:tcW w:w="1843" w:type="dxa"/>
                  <w:shd w:val="clear" w:color="auto" w:fill="auto"/>
                </w:tcPr>
                <w:p w14:paraId="265E9D0A" w14:textId="77777777" w:rsidR="00A26FD6" w:rsidRPr="00875B9A" w:rsidRDefault="00A26FD6" w:rsidP="00B573EE">
                  <w:pPr>
                    <w:pStyle w:val="TableText"/>
                    <w:jc w:val="center"/>
                    <w:rPr>
                      <w:rFonts w:cstheme="minorHAnsi"/>
                      <w:b/>
                    </w:rPr>
                  </w:pPr>
                  <w:r w:rsidRPr="00875B9A">
                    <w:rPr>
                      <w:rFonts w:cstheme="minorHAnsi"/>
                      <w:b/>
                    </w:rPr>
                    <w:t>Total harm</w:t>
                  </w:r>
                  <w:r w:rsidRPr="00875B9A">
                    <w:rPr>
                      <w:rFonts w:cstheme="minorHAnsi"/>
                      <w:b/>
                    </w:rPr>
                    <w:br/>
                    <w:t>$ per kilogram</w:t>
                  </w:r>
                </w:p>
              </w:tc>
            </w:tr>
            <w:tr w:rsidR="00A26FD6" w:rsidRPr="00875B9A" w14:paraId="2C1D38B4" w14:textId="77777777" w:rsidTr="00B573EE">
              <w:trPr>
                <w:cantSplit/>
              </w:trPr>
              <w:tc>
                <w:tcPr>
                  <w:tcW w:w="2150" w:type="dxa"/>
                  <w:tcBorders>
                    <w:bottom w:val="nil"/>
                  </w:tcBorders>
                  <w:shd w:val="clear" w:color="auto" w:fill="auto"/>
                </w:tcPr>
                <w:p w14:paraId="2B424A36" w14:textId="77777777" w:rsidR="00A26FD6" w:rsidRPr="00875B9A" w:rsidRDefault="00A26FD6" w:rsidP="00B573EE">
                  <w:pPr>
                    <w:pStyle w:val="TableText"/>
                    <w:rPr>
                      <w:rFonts w:cstheme="minorHAnsi"/>
                      <w:i/>
                    </w:rPr>
                  </w:pPr>
                  <w:r w:rsidRPr="00875B9A">
                    <w:rPr>
                      <w:rFonts w:cstheme="minorHAnsi"/>
                      <w:i/>
                    </w:rPr>
                    <w:t>Methamphetamine</w:t>
                  </w:r>
                </w:p>
              </w:tc>
              <w:tc>
                <w:tcPr>
                  <w:tcW w:w="1843" w:type="dxa"/>
                  <w:tcBorders>
                    <w:top w:val="single" w:sz="4" w:space="0" w:color="auto"/>
                    <w:left w:val="nil"/>
                    <w:bottom w:val="nil"/>
                    <w:right w:val="single" w:sz="4" w:space="0" w:color="auto"/>
                  </w:tcBorders>
                  <w:shd w:val="clear" w:color="auto" w:fill="auto"/>
                  <w:vAlign w:val="bottom"/>
                </w:tcPr>
                <w:p w14:paraId="2925C90B" w14:textId="77777777" w:rsidR="00A26FD6" w:rsidRPr="00875B9A" w:rsidRDefault="00A26FD6" w:rsidP="00B573EE">
                  <w:pPr>
                    <w:pStyle w:val="TableText"/>
                    <w:tabs>
                      <w:tab w:val="decimal" w:pos="1134"/>
                    </w:tabs>
                    <w:jc w:val="right"/>
                    <w:rPr>
                      <w:rFonts w:cstheme="minorHAnsi"/>
                    </w:rPr>
                  </w:pPr>
                  <w:r w:rsidRPr="00875B9A">
                    <w:rPr>
                      <w:rFonts w:cstheme="minorHAnsi"/>
                      <w:color w:val="000000"/>
                    </w:rPr>
                    <w:t>546,321.04</w:t>
                  </w:r>
                </w:p>
              </w:tc>
              <w:tc>
                <w:tcPr>
                  <w:tcW w:w="1843" w:type="dxa"/>
                  <w:tcBorders>
                    <w:top w:val="single" w:sz="4" w:space="0" w:color="auto"/>
                    <w:left w:val="single" w:sz="4" w:space="0" w:color="auto"/>
                    <w:bottom w:val="nil"/>
                    <w:right w:val="nil"/>
                  </w:tcBorders>
                  <w:shd w:val="clear" w:color="auto" w:fill="auto"/>
                  <w:vAlign w:val="bottom"/>
                </w:tcPr>
                <w:p w14:paraId="299E7327" w14:textId="77777777" w:rsidR="00A26FD6" w:rsidRPr="00875B9A" w:rsidRDefault="00A26FD6" w:rsidP="00B573EE">
                  <w:pPr>
                    <w:pStyle w:val="TableText"/>
                    <w:tabs>
                      <w:tab w:val="decimal" w:pos="1134"/>
                    </w:tabs>
                    <w:jc w:val="right"/>
                    <w:rPr>
                      <w:rFonts w:cstheme="minorHAnsi"/>
                    </w:rPr>
                  </w:pPr>
                  <w:r w:rsidRPr="00875B9A">
                    <w:rPr>
                      <w:rFonts w:cstheme="minorHAnsi"/>
                      <w:color w:val="000000"/>
                    </w:rPr>
                    <w:t>501,890.02</w:t>
                  </w:r>
                </w:p>
              </w:tc>
              <w:tc>
                <w:tcPr>
                  <w:tcW w:w="1843" w:type="dxa"/>
                  <w:tcBorders>
                    <w:top w:val="nil"/>
                    <w:left w:val="single" w:sz="4" w:space="0" w:color="auto"/>
                    <w:bottom w:val="nil"/>
                    <w:right w:val="single" w:sz="4" w:space="0" w:color="auto"/>
                  </w:tcBorders>
                  <w:shd w:val="clear" w:color="auto" w:fill="auto"/>
                  <w:vAlign w:val="bottom"/>
                </w:tcPr>
                <w:p w14:paraId="3EB475EF" w14:textId="77777777" w:rsidR="00A26FD6" w:rsidRPr="00875B9A" w:rsidRDefault="00A26FD6" w:rsidP="00B573EE">
                  <w:pPr>
                    <w:pStyle w:val="TableText"/>
                    <w:tabs>
                      <w:tab w:val="decimal" w:pos="1134"/>
                    </w:tabs>
                    <w:jc w:val="right"/>
                    <w:rPr>
                      <w:rFonts w:cstheme="minorHAnsi"/>
                    </w:rPr>
                  </w:pPr>
                  <w:r w:rsidRPr="00875B9A">
                    <w:rPr>
                      <w:rFonts w:cstheme="minorHAnsi"/>
                      <w:color w:val="000000"/>
                    </w:rPr>
                    <w:t>1,048,211.06</w:t>
                  </w:r>
                </w:p>
              </w:tc>
            </w:tr>
            <w:tr w:rsidR="00A26FD6" w:rsidRPr="00875B9A" w14:paraId="1BC21D00" w14:textId="77777777" w:rsidTr="00B573EE">
              <w:trPr>
                <w:cantSplit/>
              </w:trPr>
              <w:tc>
                <w:tcPr>
                  <w:tcW w:w="2150" w:type="dxa"/>
                  <w:tcBorders>
                    <w:top w:val="nil"/>
                    <w:bottom w:val="nil"/>
                  </w:tcBorders>
                </w:tcPr>
                <w:p w14:paraId="781513ED" w14:textId="77777777" w:rsidR="00A26FD6" w:rsidRPr="00875B9A" w:rsidRDefault="00A26FD6" w:rsidP="00B573EE">
                  <w:pPr>
                    <w:pStyle w:val="TableText"/>
                    <w:rPr>
                      <w:rFonts w:cstheme="minorHAnsi"/>
                      <w:i/>
                    </w:rPr>
                  </w:pPr>
                  <w:r w:rsidRPr="00875B9A">
                    <w:rPr>
                      <w:rFonts w:cstheme="minorHAnsi"/>
                      <w:i/>
                    </w:rPr>
                    <w:t>Cocaine</w:t>
                  </w:r>
                </w:p>
              </w:tc>
              <w:tc>
                <w:tcPr>
                  <w:tcW w:w="1843" w:type="dxa"/>
                  <w:tcBorders>
                    <w:top w:val="nil"/>
                    <w:left w:val="nil"/>
                    <w:bottom w:val="nil"/>
                    <w:right w:val="single" w:sz="4" w:space="0" w:color="auto"/>
                  </w:tcBorders>
                  <w:shd w:val="clear" w:color="auto" w:fill="auto"/>
                  <w:vAlign w:val="bottom"/>
                </w:tcPr>
                <w:p w14:paraId="5BAA5053" w14:textId="77777777" w:rsidR="00A26FD6" w:rsidRPr="00875B9A" w:rsidRDefault="00A26FD6" w:rsidP="00B573EE">
                  <w:pPr>
                    <w:pStyle w:val="TableText"/>
                    <w:tabs>
                      <w:tab w:val="decimal" w:pos="1134"/>
                    </w:tabs>
                    <w:jc w:val="right"/>
                    <w:rPr>
                      <w:rFonts w:cstheme="minorHAnsi"/>
                    </w:rPr>
                  </w:pPr>
                  <w:r w:rsidRPr="00875B9A">
                    <w:rPr>
                      <w:rFonts w:cstheme="minorHAnsi"/>
                      <w:color w:val="000000"/>
                    </w:rPr>
                    <w:t>88,434.00</w:t>
                  </w:r>
                </w:p>
              </w:tc>
              <w:tc>
                <w:tcPr>
                  <w:tcW w:w="1843" w:type="dxa"/>
                  <w:tcBorders>
                    <w:top w:val="nil"/>
                    <w:left w:val="single" w:sz="4" w:space="0" w:color="auto"/>
                    <w:bottom w:val="nil"/>
                    <w:right w:val="nil"/>
                  </w:tcBorders>
                  <w:shd w:val="clear" w:color="auto" w:fill="auto"/>
                  <w:vAlign w:val="bottom"/>
                </w:tcPr>
                <w:p w14:paraId="2FD86947" w14:textId="77777777" w:rsidR="00A26FD6" w:rsidRPr="00875B9A" w:rsidRDefault="00A26FD6" w:rsidP="00B573EE">
                  <w:pPr>
                    <w:pStyle w:val="TableText"/>
                    <w:tabs>
                      <w:tab w:val="decimal" w:pos="1134"/>
                    </w:tabs>
                    <w:jc w:val="right"/>
                    <w:rPr>
                      <w:rFonts w:cstheme="minorHAnsi"/>
                    </w:rPr>
                  </w:pPr>
                  <w:r w:rsidRPr="00875B9A">
                    <w:rPr>
                      <w:rFonts w:cstheme="minorHAnsi"/>
                      <w:color w:val="000000"/>
                    </w:rPr>
                    <w:t>285,147.44</w:t>
                  </w:r>
                </w:p>
              </w:tc>
              <w:tc>
                <w:tcPr>
                  <w:tcW w:w="1843" w:type="dxa"/>
                  <w:tcBorders>
                    <w:top w:val="nil"/>
                    <w:left w:val="single" w:sz="4" w:space="0" w:color="auto"/>
                    <w:bottom w:val="nil"/>
                    <w:right w:val="single" w:sz="4" w:space="0" w:color="auto"/>
                  </w:tcBorders>
                  <w:shd w:val="clear" w:color="auto" w:fill="auto"/>
                  <w:vAlign w:val="bottom"/>
                </w:tcPr>
                <w:p w14:paraId="1C4B9C91" w14:textId="77777777" w:rsidR="00A26FD6" w:rsidRPr="00875B9A" w:rsidRDefault="00A26FD6" w:rsidP="00B573EE">
                  <w:pPr>
                    <w:pStyle w:val="TableText"/>
                    <w:tabs>
                      <w:tab w:val="decimal" w:pos="1134"/>
                    </w:tabs>
                    <w:jc w:val="right"/>
                    <w:rPr>
                      <w:rFonts w:cstheme="minorHAnsi"/>
                    </w:rPr>
                  </w:pPr>
                  <w:r w:rsidRPr="00875B9A">
                    <w:rPr>
                      <w:rFonts w:cstheme="minorHAnsi"/>
                      <w:color w:val="000000"/>
                    </w:rPr>
                    <w:t>373,581.44</w:t>
                  </w:r>
                </w:p>
              </w:tc>
            </w:tr>
            <w:tr w:rsidR="00A26FD6" w:rsidRPr="00875B9A" w14:paraId="09ABF9BF" w14:textId="77777777" w:rsidTr="00B573EE">
              <w:trPr>
                <w:cantSplit/>
              </w:trPr>
              <w:tc>
                <w:tcPr>
                  <w:tcW w:w="2150" w:type="dxa"/>
                  <w:tcBorders>
                    <w:top w:val="nil"/>
                    <w:bottom w:val="nil"/>
                  </w:tcBorders>
                  <w:shd w:val="clear" w:color="auto" w:fill="auto"/>
                </w:tcPr>
                <w:p w14:paraId="00DF56EE" w14:textId="77777777" w:rsidR="00A26FD6" w:rsidRPr="00875B9A" w:rsidRDefault="00A26FD6" w:rsidP="00B573EE">
                  <w:pPr>
                    <w:pStyle w:val="TableText"/>
                    <w:rPr>
                      <w:rFonts w:cstheme="minorHAnsi"/>
                      <w:i/>
                    </w:rPr>
                  </w:pPr>
                  <w:r w:rsidRPr="00875B9A">
                    <w:rPr>
                      <w:rFonts w:cstheme="minorHAnsi"/>
                      <w:i/>
                    </w:rPr>
                    <w:t>MDMA</w:t>
                  </w:r>
                </w:p>
              </w:tc>
              <w:tc>
                <w:tcPr>
                  <w:tcW w:w="1843" w:type="dxa"/>
                  <w:tcBorders>
                    <w:top w:val="nil"/>
                    <w:left w:val="nil"/>
                    <w:bottom w:val="nil"/>
                    <w:right w:val="single" w:sz="4" w:space="0" w:color="auto"/>
                  </w:tcBorders>
                  <w:shd w:val="clear" w:color="auto" w:fill="auto"/>
                  <w:vAlign w:val="bottom"/>
                </w:tcPr>
                <w:p w14:paraId="13169858" w14:textId="77777777" w:rsidR="00A26FD6" w:rsidRPr="00875B9A" w:rsidRDefault="00A26FD6" w:rsidP="00B573EE">
                  <w:pPr>
                    <w:pStyle w:val="TableText"/>
                    <w:tabs>
                      <w:tab w:val="decimal" w:pos="1134"/>
                    </w:tabs>
                    <w:jc w:val="right"/>
                    <w:rPr>
                      <w:rFonts w:cstheme="minorHAnsi"/>
                    </w:rPr>
                  </w:pPr>
                  <w:r w:rsidRPr="00875B9A">
                    <w:rPr>
                      <w:rFonts w:cstheme="minorHAnsi"/>
                      <w:color w:val="000000"/>
                    </w:rPr>
                    <w:t>91,828.77</w:t>
                  </w:r>
                </w:p>
              </w:tc>
              <w:tc>
                <w:tcPr>
                  <w:tcW w:w="1843" w:type="dxa"/>
                  <w:tcBorders>
                    <w:top w:val="nil"/>
                    <w:left w:val="single" w:sz="4" w:space="0" w:color="auto"/>
                    <w:bottom w:val="nil"/>
                    <w:right w:val="nil"/>
                  </w:tcBorders>
                  <w:shd w:val="clear" w:color="auto" w:fill="auto"/>
                  <w:vAlign w:val="bottom"/>
                </w:tcPr>
                <w:p w14:paraId="64DF1E11" w14:textId="77777777" w:rsidR="00A26FD6" w:rsidRPr="00875B9A" w:rsidRDefault="00A26FD6" w:rsidP="00B573EE">
                  <w:pPr>
                    <w:pStyle w:val="TableText"/>
                    <w:tabs>
                      <w:tab w:val="decimal" w:pos="1134"/>
                    </w:tabs>
                    <w:jc w:val="right"/>
                    <w:rPr>
                      <w:rFonts w:cstheme="minorHAnsi"/>
                    </w:rPr>
                  </w:pPr>
                  <w:r w:rsidRPr="00875B9A">
                    <w:rPr>
                      <w:rFonts w:cstheme="minorHAnsi"/>
                      <w:color w:val="000000"/>
                    </w:rPr>
                    <w:t>117,596.15</w:t>
                  </w:r>
                </w:p>
              </w:tc>
              <w:tc>
                <w:tcPr>
                  <w:tcW w:w="1843" w:type="dxa"/>
                  <w:tcBorders>
                    <w:top w:val="nil"/>
                    <w:left w:val="single" w:sz="4" w:space="0" w:color="auto"/>
                    <w:bottom w:val="nil"/>
                    <w:right w:val="single" w:sz="4" w:space="0" w:color="auto"/>
                  </w:tcBorders>
                  <w:shd w:val="clear" w:color="auto" w:fill="auto"/>
                  <w:vAlign w:val="bottom"/>
                </w:tcPr>
                <w:p w14:paraId="5E915D0F" w14:textId="77777777" w:rsidR="00A26FD6" w:rsidRPr="00875B9A" w:rsidRDefault="00A26FD6" w:rsidP="00B573EE">
                  <w:pPr>
                    <w:pStyle w:val="TableText"/>
                    <w:tabs>
                      <w:tab w:val="decimal" w:pos="1134"/>
                    </w:tabs>
                    <w:jc w:val="right"/>
                    <w:rPr>
                      <w:rFonts w:cstheme="minorHAnsi"/>
                    </w:rPr>
                  </w:pPr>
                  <w:r w:rsidRPr="00875B9A">
                    <w:rPr>
                      <w:rFonts w:cstheme="minorHAnsi"/>
                      <w:color w:val="000000"/>
                    </w:rPr>
                    <w:t>209,424.92</w:t>
                  </w:r>
                </w:p>
              </w:tc>
            </w:tr>
            <w:tr w:rsidR="00A26FD6" w:rsidRPr="00875B9A" w14:paraId="2901791A" w14:textId="77777777" w:rsidTr="00B573EE">
              <w:trPr>
                <w:cantSplit/>
              </w:trPr>
              <w:tc>
                <w:tcPr>
                  <w:tcW w:w="2150" w:type="dxa"/>
                  <w:tcBorders>
                    <w:top w:val="nil"/>
                  </w:tcBorders>
                </w:tcPr>
                <w:p w14:paraId="2598BA14" w14:textId="77777777" w:rsidR="00A26FD6" w:rsidRPr="00875B9A" w:rsidRDefault="00A26FD6" w:rsidP="00B573EE">
                  <w:pPr>
                    <w:pStyle w:val="TableText"/>
                    <w:rPr>
                      <w:rFonts w:cstheme="minorHAnsi"/>
                      <w:i/>
                    </w:rPr>
                  </w:pPr>
                  <w:r w:rsidRPr="00875B9A">
                    <w:rPr>
                      <w:rFonts w:cstheme="minorHAnsi"/>
                      <w:i/>
                    </w:rPr>
                    <w:t>Cannabis</w:t>
                  </w:r>
                </w:p>
              </w:tc>
              <w:tc>
                <w:tcPr>
                  <w:tcW w:w="1843" w:type="dxa"/>
                  <w:tcBorders>
                    <w:top w:val="nil"/>
                    <w:left w:val="nil"/>
                    <w:bottom w:val="single" w:sz="4" w:space="0" w:color="auto"/>
                    <w:right w:val="single" w:sz="4" w:space="0" w:color="auto"/>
                  </w:tcBorders>
                  <w:shd w:val="clear" w:color="auto" w:fill="auto"/>
                  <w:vAlign w:val="bottom"/>
                </w:tcPr>
                <w:p w14:paraId="6F2752C0" w14:textId="77777777" w:rsidR="00A26FD6" w:rsidRPr="00875B9A" w:rsidRDefault="00A26FD6" w:rsidP="00B573EE">
                  <w:pPr>
                    <w:pStyle w:val="TableText"/>
                    <w:tabs>
                      <w:tab w:val="decimal" w:pos="1134"/>
                    </w:tabs>
                    <w:jc w:val="right"/>
                    <w:rPr>
                      <w:rFonts w:cstheme="minorHAnsi"/>
                    </w:rPr>
                  </w:pPr>
                  <w:r w:rsidRPr="00875B9A">
                    <w:rPr>
                      <w:rFonts w:cstheme="minorHAnsi"/>
                      <w:color w:val="000000"/>
                    </w:rPr>
                    <w:t>5,425.47</w:t>
                  </w:r>
                </w:p>
              </w:tc>
              <w:tc>
                <w:tcPr>
                  <w:tcW w:w="1843" w:type="dxa"/>
                  <w:tcBorders>
                    <w:top w:val="nil"/>
                    <w:left w:val="single" w:sz="4" w:space="0" w:color="auto"/>
                    <w:bottom w:val="single" w:sz="4" w:space="0" w:color="auto"/>
                    <w:right w:val="single" w:sz="4" w:space="0" w:color="auto"/>
                  </w:tcBorders>
                  <w:shd w:val="clear" w:color="auto" w:fill="auto"/>
                  <w:vAlign w:val="bottom"/>
                </w:tcPr>
                <w:p w14:paraId="529E8683" w14:textId="77777777" w:rsidR="00A26FD6" w:rsidRPr="00875B9A" w:rsidRDefault="00A26FD6" w:rsidP="00B573EE">
                  <w:pPr>
                    <w:pStyle w:val="TableText"/>
                    <w:tabs>
                      <w:tab w:val="decimal" w:pos="1134"/>
                    </w:tabs>
                    <w:jc w:val="right"/>
                    <w:rPr>
                      <w:rFonts w:cstheme="minorHAnsi"/>
                    </w:rPr>
                  </w:pPr>
                  <w:r w:rsidRPr="00875B9A">
                    <w:rPr>
                      <w:rFonts w:cstheme="minorHAnsi"/>
                      <w:color w:val="000000"/>
                    </w:rPr>
                    <w:t>10,454.61</w:t>
                  </w:r>
                </w:p>
              </w:tc>
              <w:tc>
                <w:tcPr>
                  <w:tcW w:w="1843" w:type="dxa"/>
                  <w:tcBorders>
                    <w:top w:val="nil"/>
                    <w:left w:val="single" w:sz="4" w:space="0" w:color="auto"/>
                    <w:bottom w:val="single" w:sz="4" w:space="0" w:color="auto"/>
                    <w:right w:val="single" w:sz="4" w:space="0" w:color="auto"/>
                  </w:tcBorders>
                  <w:shd w:val="clear" w:color="auto" w:fill="auto"/>
                  <w:vAlign w:val="bottom"/>
                </w:tcPr>
                <w:p w14:paraId="269B25AF" w14:textId="77777777" w:rsidR="00A26FD6" w:rsidRPr="00875B9A" w:rsidRDefault="00A26FD6" w:rsidP="00B573EE">
                  <w:pPr>
                    <w:pStyle w:val="TableText"/>
                    <w:tabs>
                      <w:tab w:val="decimal" w:pos="1134"/>
                    </w:tabs>
                    <w:jc w:val="right"/>
                    <w:rPr>
                      <w:rFonts w:cstheme="minorHAnsi"/>
                    </w:rPr>
                  </w:pPr>
                  <w:r w:rsidRPr="00875B9A">
                    <w:rPr>
                      <w:rFonts w:cstheme="minorHAnsi"/>
                      <w:color w:val="000000"/>
                    </w:rPr>
                    <w:t>15,880.08</w:t>
                  </w:r>
                </w:p>
              </w:tc>
            </w:tr>
          </w:tbl>
          <w:bookmarkEnd w:id="4"/>
          <w:p w14:paraId="388F9BB5" w14:textId="77777777" w:rsidR="00A26FD6" w:rsidRPr="00875B9A" w:rsidRDefault="00A26FD6" w:rsidP="00B573EE">
            <w:pPr>
              <w:pStyle w:val="TableText"/>
              <w:rPr>
                <w:rFonts w:cstheme="minorHAnsi"/>
                <w:i/>
              </w:rPr>
            </w:pPr>
            <w:r w:rsidRPr="00875B9A">
              <w:rPr>
                <w:rFonts w:cstheme="minorHAnsi"/>
                <w:i/>
                <w:lang w:eastAsia="en-AU"/>
              </w:rPr>
              <w:t>Summary of social harms by drug type ($ million)</w:t>
            </w:r>
          </w:p>
          <w:tbl>
            <w:tblPr>
              <w:tblStyle w:val="TableGrid"/>
              <w:tblW w:w="7679" w:type="dxa"/>
              <w:tblLayout w:type="fixed"/>
              <w:tblCellMar>
                <w:left w:w="57" w:type="dxa"/>
                <w:right w:w="57" w:type="dxa"/>
              </w:tblCellMar>
              <w:tblLook w:val="04A0" w:firstRow="1" w:lastRow="0" w:firstColumn="1" w:lastColumn="0" w:noHBand="0" w:noVBand="1"/>
            </w:tblPr>
            <w:tblGrid>
              <w:gridCol w:w="2150"/>
              <w:gridCol w:w="1843"/>
              <w:gridCol w:w="1843"/>
              <w:gridCol w:w="1843"/>
            </w:tblGrid>
            <w:tr w:rsidR="00A26FD6" w:rsidRPr="00875B9A" w14:paraId="00AD090B" w14:textId="77777777" w:rsidTr="00B573EE">
              <w:trPr>
                <w:cantSplit/>
              </w:trPr>
              <w:tc>
                <w:tcPr>
                  <w:tcW w:w="2150" w:type="dxa"/>
                  <w:shd w:val="clear" w:color="auto" w:fill="auto"/>
                </w:tcPr>
                <w:p w14:paraId="7855509B" w14:textId="77777777" w:rsidR="00A26FD6" w:rsidRPr="00875B9A" w:rsidRDefault="00A26FD6" w:rsidP="00B573EE">
                  <w:pPr>
                    <w:pStyle w:val="TableText"/>
                    <w:rPr>
                      <w:rFonts w:cstheme="minorHAnsi"/>
                      <w:b/>
                    </w:rPr>
                  </w:pPr>
                  <w:bookmarkStart w:id="5" w:name="_Hlk55831009"/>
                  <w:r w:rsidRPr="00875B9A">
                    <w:rPr>
                      <w:rFonts w:cstheme="minorHAnsi"/>
                      <w:b/>
                    </w:rPr>
                    <w:t>Drug type</w:t>
                  </w:r>
                </w:p>
              </w:tc>
              <w:tc>
                <w:tcPr>
                  <w:tcW w:w="1843" w:type="dxa"/>
                  <w:shd w:val="clear" w:color="auto" w:fill="auto"/>
                </w:tcPr>
                <w:p w14:paraId="7C02530D" w14:textId="77777777" w:rsidR="00A26FD6" w:rsidRPr="00875B9A" w:rsidRDefault="00A26FD6" w:rsidP="00B573EE">
                  <w:pPr>
                    <w:pStyle w:val="TableText"/>
                    <w:jc w:val="center"/>
                    <w:rPr>
                      <w:rFonts w:cstheme="minorHAnsi"/>
                      <w:b/>
                    </w:rPr>
                  </w:pPr>
                  <w:r w:rsidRPr="00875B9A">
                    <w:rPr>
                      <w:rFonts w:cstheme="minorHAnsi"/>
                      <w:b/>
                    </w:rPr>
                    <w:t>Personal harm</w:t>
                  </w:r>
                  <w:r w:rsidRPr="00875B9A">
                    <w:rPr>
                      <w:rFonts w:cstheme="minorHAnsi"/>
                      <w:b/>
                    </w:rPr>
                    <w:br/>
                    <w:t>$ million</w:t>
                  </w:r>
                </w:p>
              </w:tc>
              <w:tc>
                <w:tcPr>
                  <w:tcW w:w="1843" w:type="dxa"/>
                  <w:tcBorders>
                    <w:bottom w:val="single" w:sz="4" w:space="0" w:color="auto"/>
                  </w:tcBorders>
                  <w:shd w:val="clear" w:color="auto" w:fill="auto"/>
                </w:tcPr>
                <w:p w14:paraId="00390699" w14:textId="77777777" w:rsidR="00A26FD6" w:rsidRPr="00875B9A" w:rsidRDefault="00A26FD6" w:rsidP="00B573EE">
                  <w:pPr>
                    <w:pStyle w:val="TableText"/>
                    <w:jc w:val="center"/>
                    <w:rPr>
                      <w:rFonts w:cstheme="minorHAnsi"/>
                      <w:b/>
                    </w:rPr>
                  </w:pPr>
                  <w:r w:rsidRPr="00875B9A">
                    <w:rPr>
                      <w:rFonts w:cstheme="minorHAnsi"/>
                      <w:b/>
                    </w:rPr>
                    <w:t>Community harm</w:t>
                  </w:r>
                  <w:r w:rsidRPr="00875B9A">
                    <w:rPr>
                      <w:rFonts w:cstheme="minorHAnsi"/>
                      <w:b/>
                    </w:rPr>
                    <w:br/>
                    <w:t>$ million</w:t>
                  </w:r>
                </w:p>
              </w:tc>
              <w:tc>
                <w:tcPr>
                  <w:tcW w:w="1843" w:type="dxa"/>
                  <w:tcBorders>
                    <w:bottom w:val="single" w:sz="4" w:space="0" w:color="auto"/>
                  </w:tcBorders>
                  <w:shd w:val="clear" w:color="auto" w:fill="auto"/>
                </w:tcPr>
                <w:p w14:paraId="26BECC36" w14:textId="77777777" w:rsidR="00A26FD6" w:rsidRPr="00875B9A" w:rsidRDefault="00A26FD6" w:rsidP="00B573EE">
                  <w:pPr>
                    <w:pStyle w:val="TableText"/>
                    <w:jc w:val="center"/>
                    <w:rPr>
                      <w:rFonts w:cstheme="minorHAnsi"/>
                      <w:b/>
                    </w:rPr>
                  </w:pPr>
                  <w:r w:rsidRPr="00875B9A">
                    <w:rPr>
                      <w:rFonts w:cstheme="minorHAnsi"/>
                      <w:b/>
                    </w:rPr>
                    <w:t>Total harm</w:t>
                  </w:r>
                  <w:r w:rsidRPr="00875B9A">
                    <w:rPr>
                      <w:rFonts w:cstheme="minorHAnsi"/>
                      <w:b/>
                    </w:rPr>
                    <w:br/>
                    <w:t>$ million</w:t>
                  </w:r>
                </w:p>
              </w:tc>
            </w:tr>
            <w:tr w:rsidR="00A26FD6" w:rsidRPr="00875B9A" w14:paraId="5641EFE7" w14:textId="77777777" w:rsidTr="00B573EE">
              <w:trPr>
                <w:cantSplit/>
              </w:trPr>
              <w:tc>
                <w:tcPr>
                  <w:tcW w:w="2150" w:type="dxa"/>
                  <w:tcBorders>
                    <w:bottom w:val="nil"/>
                  </w:tcBorders>
                  <w:shd w:val="clear" w:color="auto" w:fill="auto"/>
                </w:tcPr>
                <w:p w14:paraId="09408932" w14:textId="77777777" w:rsidR="00A26FD6" w:rsidRPr="00875B9A" w:rsidRDefault="00A26FD6" w:rsidP="00B573EE">
                  <w:pPr>
                    <w:pStyle w:val="TableText"/>
                    <w:rPr>
                      <w:rFonts w:cstheme="minorHAnsi"/>
                      <w:i/>
                    </w:rPr>
                  </w:pPr>
                  <w:r w:rsidRPr="00875B9A">
                    <w:rPr>
                      <w:rFonts w:cstheme="minorHAnsi"/>
                      <w:i/>
                    </w:rPr>
                    <w:t>Methamphetamine</w:t>
                  </w:r>
                </w:p>
              </w:tc>
              <w:tc>
                <w:tcPr>
                  <w:tcW w:w="1843" w:type="dxa"/>
                  <w:tcBorders>
                    <w:top w:val="single" w:sz="4" w:space="0" w:color="auto"/>
                    <w:left w:val="single" w:sz="4" w:space="0" w:color="auto"/>
                    <w:bottom w:val="nil"/>
                    <w:right w:val="single" w:sz="4" w:space="0" w:color="auto"/>
                  </w:tcBorders>
                  <w:shd w:val="clear" w:color="auto" w:fill="auto"/>
                  <w:vAlign w:val="bottom"/>
                </w:tcPr>
                <w:p w14:paraId="0BDBFE5D"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451.26</w:t>
                  </w:r>
                </w:p>
              </w:tc>
              <w:tc>
                <w:tcPr>
                  <w:tcW w:w="1843" w:type="dxa"/>
                  <w:tcBorders>
                    <w:top w:val="single" w:sz="4" w:space="0" w:color="auto"/>
                    <w:left w:val="nil"/>
                    <w:bottom w:val="nil"/>
                    <w:right w:val="single" w:sz="4" w:space="0" w:color="auto"/>
                  </w:tcBorders>
                  <w:shd w:val="clear" w:color="auto" w:fill="auto"/>
                  <w:vAlign w:val="bottom"/>
                </w:tcPr>
                <w:p w14:paraId="11B9E16F" w14:textId="77777777" w:rsidR="00A26FD6" w:rsidRPr="00875B9A" w:rsidRDefault="00A26FD6" w:rsidP="00B573EE">
                  <w:pPr>
                    <w:pStyle w:val="TableText"/>
                    <w:tabs>
                      <w:tab w:val="decimal" w:pos="851"/>
                    </w:tabs>
                    <w:jc w:val="right"/>
                    <w:rPr>
                      <w:rFonts w:cstheme="minorHAnsi"/>
                    </w:rPr>
                  </w:pPr>
                  <w:r w:rsidRPr="00875B9A">
                    <w:rPr>
                      <w:rFonts w:cstheme="minorHAnsi"/>
                    </w:rPr>
                    <w:t>413.65</w:t>
                  </w:r>
                </w:p>
              </w:tc>
              <w:tc>
                <w:tcPr>
                  <w:tcW w:w="1843" w:type="dxa"/>
                  <w:tcBorders>
                    <w:top w:val="single" w:sz="4" w:space="0" w:color="auto"/>
                    <w:left w:val="nil"/>
                    <w:bottom w:val="nil"/>
                    <w:right w:val="single" w:sz="4" w:space="0" w:color="auto"/>
                  </w:tcBorders>
                  <w:shd w:val="clear" w:color="auto" w:fill="auto"/>
                  <w:vAlign w:val="bottom"/>
                </w:tcPr>
                <w:p w14:paraId="230A1E87"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864.9</w:t>
                  </w:r>
                </w:p>
              </w:tc>
            </w:tr>
            <w:tr w:rsidR="00A26FD6" w:rsidRPr="00875B9A" w14:paraId="641FBE56" w14:textId="77777777" w:rsidTr="00B573EE">
              <w:trPr>
                <w:cantSplit/>
              </w:trPr>
              <w:tc>
                <w:tcPr>
                  <w:tcW w:w="2150" w:type="dxa"/>
                  <w:tcBorders>
                    <w:top w:val="nil"/>
                    <w:bottom w:val="nil"/>
                  </w:tcBorders>
                  <w:shd w:val="clear" w:color="auto" w:fill="auto"/>
                </w:tcPr>
                <w:p w14:paraId="3A9D64B8" w14:textId="77777777" w:rsidR="00A26FD6" w:rsidRPr="00875B9A" w:rsidRDefault="00A26FD6" w:rsidP="00B573EE">
                  <w:pPr>
                    <w:pStyle w:val="TableText"/>
                    <w:rPr>
                      <w:rFonts w:cstheme="minorHAnsi"/>
                      <w:i/>
                    </w:rPr>
                  </w:pPr>
                  <w:r w:rsidRPr="00875B9A">
                    <w:rPr>
                      <w:rFonts w:cstheme="minorHAnsi"/>
                      <w:i/>
                    </w:rPr>
                    <w:t>Cocaine</w:t>
                  </w:r>
                </w:p>
              </w:tc>
              <w:tc>
                <w:tcPr>
                  <w:tcW w:w="1843" w:type="dxa"/>
                  <w:tcBorders>
                    <w:top w:val="nil"/>
                    <w:left w:val="single" w:sz="4" w:space="0" w:color="auto"/>
                    <w:bottom w:val="nil"/>
                    <w:right w:val="single" w:sz="4" w:space="0" w:color="auto"/>
                  </w:tcBorders>
                  <w:shd w:val="clear" w:color="auto" w:fill="auto"/>
                  <w:vAlign w:val="bottom"/>
                </w:tcPr>
                <w:p w14:paraId="432DC94D"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2.74</w:t>
                  </w:r>
                </w:p>
              </w:tc>
              <w:tc>
                <w:tcPr>
                  <w:tcW w:w="1843" w:type="dxa"/>
                  <w:tcBorders>
                    <w:top w:val="nil"/>
                    <w:left w:val="nil"/>
                    <w:bottom w:val="nil"/>
                    <w:right w:val="single" w:sz="4" w:space="0" w:color="auto"/>
                  </w:tcBorders>
                  <w:shd w:val="clear" w:color="auto" w:fill="auto"/>
                  <w:vAlign w:val="bottom"/>
                </w:tcPr>
                <w:p w14:paraId="4E905C5F" w14:textId="77777777" w:rsidR="00A26FD6" w:rsidRPr="00875B9A" w:rsidRDefault="00A26FD6" w:rsidP="00B573EE">
                  <w:pPr>
                    <w:pStyle w:val="TableText"/>
                    <w:tabs>
                      <w:tab w:val="decimal" w:pos="851"/>
                    </w:tabs>
                    <w:jc w:val="right"/>
                    <w:rPr>
                      <w:rFonts w:cstheme="minorHAnsi"/>
                    </w:rPr>
                  </w:pPr>
                  <w:r w:rsidRPr="00875B9A">
                    <w:rPr>
                      <w:rFonts w:cstheme="minorHAnsi"/>
                    </w:rPr>
                    <w:t>4.98</w:t>
                  </w:r>
                </w:p>
              </w:tc>
              <w:tc>
                <w:tcPr>
                  <w:tcW w:w="1843" w:type="dxa"/>
                  <w:tcBorders>
                    <w:top w:val="nil"/>
                    <w:left w:val="nil"/>
                    <w:bottom w:val="nil"/>
                    <w:right w:val="single" w:sz="4" w:space="0" w:color="auto"/>
                  </w:tcBorders>
                  <w:shd w:val="clear" w:color="auto" w:fill="auto"/>
                  <w:vAlign w:val="bottom"/>
                </w:tcPr>
                <w:p w14:paraId="13349AB5"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7.7</w:t>
                  </w:r>
                </w:p>
              </w:tc>
            </w:tr>
            <w:tr w:rsidR="00A26FD6" w:rsidRPr="00875B9A" w14:paraId="67F6D53B" w14:textId="77777777" w:rsidTr="00B573EE">
              <w:trPr>
                <w:cantSplit/>
              </w:trPr>
              <w:tc>
                <w:tcPr>
                  <w:tcW w:w="2150" w:type="dxa"/>
                  <w:tcBorders>
                    <w:top w:val="nil"/>
                    <w:bottom w:val="nil"/>
                  </w:tcBorders>
                  <w:shd w:val="clear" w:color="auto" w:fill="auto"/>
                </w:tcPr>
                <w:p w14:paraId="30D5C601" w14:textId="77777777" w:rsidR="00A26FD6" w:rsidRPr="00875B9A" w:rsidRDefault="00A26FD6" w:rsidP="00B573EE">
                  <w:pPr>
                    <w:pStyle w:val="TableText"/>
                    <w:rPr>
                      <w:rFonts w:cstheme="minorHAnsi"/>
                      <w:i/>
                    </w:rPr>
                  </w:pPr>
                  <w:r w:rsidRPr="00875B9A">
                    <w:rPr>
                      <w:rFonts w:cstheme="minorHAnsi"/>
                      <w:i/>
                    </w:rPr>
                    <w:t>MDMA</w:t>
                  </w:r>
                </w:p>
              </w:tc>
              <w:tc>
                <w:tcPr>
                  <w:tcW w:w="1843" w:type="dxa"/>
                  <w:tcBorders>
                    <w:top w:val="nil"/>
                    <w:left w:val="single" w:sz="4" w:space="0" w:color="auto"/>
                    <w:bottom w:val="nil"/>
                    <w:right w:val="single" w:sz="4" w:space="0" w:color="auto"/>
                  </w:tcBorders>
                  <w:shd w:val="clear" w:color="auto" w:fill="auto"/>
                  <w:vAlign w:val="bottom"/>
                </w:tcPr>
                <w:p w14:paraId="1419E943"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22.41</w:t>
                  </w:r>
                </w:p>
              </w:tc>
              <w:tc>
                <w:tcPr>
                  <w:tcW w:w="1843" w:type="dxa"/>
                  <w:tcBorders>
                    <w:top w:val="nil"/>
                    <w:left w:val="nil"/>
                    <w:bottom w:val="nil"/>
                    <w:right w:val="single" w:sz="4" w:space="0" w:color="auto"/>
                  </w:tcBorders>
                  <w:shd w:val="clear" w:color="auto" w:fill="auto"/>
                  <w:vAlign w:val="bottom"/>
                </w:tcPr>
                <w:p w14:paraId="41165B19" w14:textId="77777777" w:rsidR="00A26FD6" w:rsidRPr="00875B9A" w:rsidRDefault="00A26FD6" w:rsidP="00B573EE">
                  <w:pPr>
                    <w:pStyle w:val="TableText"/>
                    <w:tabs>
                      <w:tab w:val="decimal" w:pos="851"/>
                    </w:tabs>
                    <w:jc w:val="right"/>
                    <w:rPr>
                      <w:rFonts w:cstheme="minorHAnsi"/>
                    </w:rPr>
                  </w:pPr>
                  <w:r w:rsidRPr="00875B9A">
                    <w:rPr>
                      <w:rFonts w:cstheme="minorHAnsi"/>
                    </w:rPr>
                    <w:t>17.52</w:t>
                  </w:r>
                </w:p>
              </w:tc>
              <w:tc>
                <w:tcPr>
                  <w:tcW w:w="1843" w:type="dxa"/>
                  <w:tcBorders>
                    <w:top w:val="nil"/>
                    <w:left w:val="nil"/>
                    <w:bottom w:val="nil"/>
                    <w:right w:val="single" w:sz="4" w:space="0" w:color="auto"/>
                  </w:tcBorders>
                  <w:shd w:val="clear" w:color="auto" w:fill="auto"/>
                  <w:vAlign w:val="bottom"/>
                </w:tcPr>
                <w:p w14:paraId="11B1AAEC"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39.9</w:t>
                  </w:r>
                </w:p>
              </w:tc>
            </w:tr>
            <w:tr w:rsidR="00A26FD6" w:rsidRPr="00875B9A" w14:paraId="47791457" w14:textId="77777777" w:rsidTr="00B573EE">
              <w:trPr>
                <w:cantSplit/>
              </w:trPr>
              <w:tc>
                <w:tcPr>
                  <w:tcW w:w="2150" w:type="dxa"/>
                  <w:tcBorders>
                    <w:top w:val="nil"/>
                    <w:bottom w:val="nil"/>
                  </w:tcBorders>
                  <w:shd w:val="clear" w:color="auto" w:fill="auto"/>
                </w:tcPr>
                <w:p w14:paraId="035F2CCD" w14:textId="77777777" w:rsidR="00A26FD6" w:rsidRPr="00875B9A" w:rsidRDefault="00A26FD6" w:rsidP="00B573EE">
                  <w:pPr>
                    <w:pStyle w:val="TableText"/>
                    <w:rPr>
                      <w:rFonts w:cstheme="minorHAnsi"/>
                      <w:i/>
                    </w:rPr>
                  </w:pPr>
                  <w:r w:rsidRPr="00875B9A">
                    <w:rPr>
                      <w:rFonts w:cstheme="minorHAnsi"/>
                      <w:i/>
                    </w:rPr>
                    <w:t>Heroin</w:t>
                  </w:r>
                </w:p>
              </w:tc>
              <w:tc>
                <w:tcPr>
                  <w:tcW w:w="1843" w:type="dxa"/>
                  <w:tcBorders>
                    <w:top w:val="nil"/>
                    <w:left w:val="single" w:sz="4" w:space="0" w:color="auto"/>
                    <w:bottom w:val="nil"/>
                    <w:right w:val="single" w:sz="4" w:space="0" w:color="auto"/>
                  </w:tcBorders>
                  <w:shd w:val="clear" w:color="auto" w:fill="auto"/>
                  <w:vAlign w:val="bottom"/>
                </w:tcPr>
                <w:p w14:paraId="75466B51"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15.15</w:t>
                  </w:r>
                </w:p>
              </w:tc>
              <w:tc>
                <w:tcPr>
                  <w:tcW w:w="1843" w:type="dxa"/>
                  <w:tcBorders>
                    <w:top w:val="nil"/>
                    <w:left w:val="nil"/>
                    <w:bottom w:val="nil"/>
                    <w:right w:val="single" w:sz="4" w:space="0" w:color="auto"/>
                  </w:tcBorders>
                  <w:shd w:val="clear" w:color="auto" w:fill="auto"/>
                  <w:vAlign w:val="bottom"/>
                </w:tcPr>
                <w:p w14:paraId="29900122" w14:textId="77777777" w:rsidR="00A26FD6" w:rsidRPr="00875B9A" w:rsidRDefault="00A26FD6" w:rsidP="00B573EE">
                  <w:pPr>
                    <w:pStyle w:val="TableText"/>
                    <w:jc w:val="right"/>
                    <w:rPr>
                      <w:rFonts w:cstheme="minorHAnsi"/>
                    </w:rPr>
                  </w:pPr>
                  <w:r w:rsidRPr="00875B9A">
                    <w:rPr>
                      <w:rFonts w:cstheme="minorHAnsi"/>
                    </w:rPr>
                    <w:t>*</w:t>
                  </w:r>
                </w:p>
              </w:tc>
              <w:tc>
                <w:tcPr>
                  <w:tcW w:w="1843" w:type="dxa"/>
                  <w:tcBorders>
                    <w:top w:val="nil"/>
                    <w:left w:val="nil"/>
                    <w:bottom w:val="nil"/>
                    <w:right w:val="single" w:sz="4" w:space="0" w:color="auto"/>
                  </w:tcBorders>
                  <w:shd w:val="clear" w:color="auto" w:fill="auto"/>
                  <w:vAlign w:val="bottom"/>
                </w:tcPr>
                <w:p w14:paraId="14882ED3"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15.15</w:t>
                  </w:r>
                </w:p>
              </w:tc>
            </w:tr>
            <w:tr w:rsidR="00A26FD6" w:rsidRPr="00875B9A" w14:paraId="6AEB514E" w14:textId="77777777" w:rsidTr="00B573EE">
              <w:trPr>
                <w:cantSplit/>
              </w:trPr>
              <w:tc>
                <w:tcPr>
                  <w:tcW w:w="2150" w:type="dxa"/>
                  <w:tcBorders>
                    <w:top w:val="nil"/>
                    <w:bottom w:val="nil"/>
                  </w:tcBorders>
                  <w:shd w:val="clear" w:color="auto" w:fill="auto"/>
                </w:tcPr>
                <w:p w14:paraId="0B0E3695" w14:textId="77777777" w:rsidR="00A26FD6" w:rsidRPr="00875B9A" w:rsidRDefault="00A26FD6" w:rsidP="00B573EE">
                  <w:pPr>
                    <w:pStyle w:val="TableText"/>
                    <w:rPr>
                      <w:rFonts w:cstheme="minorHAnsi"/>
                      <w:i/>
                    </w:rPr>
                  </w:pPr>
                  <w:r w:rsidRPr="00875B9A">
                    <w:rPr>
                      <w:rFonts w:cstheme="minorHAnsi"/>
                      <w:i/>
                    </w:rPr>
                    <w:t>GHB/GBL</w:t>
                  </w:r>
                </w:p>
              </w:tc>
              <w:tc>
                <w:tcPr>
                  <w:tcW w:w="1843" w:type="dxa"/>
                  <w:tcBorders>
                    <w:top w:val="nil"/>
                    <w:left w:val="single" w:sz="4" w:space="0" w:color="auto"/>
                    <w:bottom w:val="nil"/>
                    <w:right w:val="single" w:sz="4" w:space="0" w:color="auto"/>
                  </w:tcBorders>
                  <w:shd w:val="clear" w:color="auto" w:fill="auto"/>
                  <w:vAlign w:val="bottom"/>
                </w:tcPr>
                <w:p w14:paraId="3B50B7F6"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2.94</w:t>
                  </w:r>
                </w:p>
              </w:tc>
              <w:tc>
                <w:tcPr>
                  <w:tcW w:w="1843" w:type="dxa"/>
                  <w:tcBorders>
                    <w:top w:val="nil"/>
                    <w:left w:val="nil"/>
                    <w:bottom w:val="nil"/>
                    <w:right w:val="single" w:sz="4" w:space="0" w:color="auto"/>
                  </w:tcBorders>
                  <w:shd w:val="clear" w:color="auto" w:fill="auto"/>
                  <w:vAlign w:val="bottom"/>
                </w:tcPr>
                <w:p w14:paraId="22AE3D4C" w14:textId="77777777" w:rsidR="00A26FD6" w:rsidRPr="00875B9A" w:rsidRDefault="00A26FD6" w:rsidP="00B573EE">
                  <w:pPr>
                    <w:pStyle w:val="TableText"/>
                    <w:tabs>
                      <w:tab w:val="decimal" w:pos="851"/>
                    </w:tabs>
                    <w:jc w:val="right"/>
                    <w:rPr>
                      <w:rFonts w:cstheme="minorHAnsi"/>
                    </w:rPr>
                  </w:pPr>
                  <w:r w:rsidRPr="00875B9A">
                    <w:rPr>
                      <w:rFonts w:cstheme="minorHAnsi"/>
                    </w:rPr>
                    <w:t>2.07</w:t>
                  </w:r>
                </w:p>
              </w:tc>
              <w:tc>
                <w:tcPr>
                  <w:tcW w:w="1843" w:type="dxa"/>
                  <w:tcBorders>
                    <w:top w:val="nil"/>
                    <w:left w:val="nil"/>
                    <w:bottom w:val="nil"/>
                    <w:right w:val="single" w:sz="4" w:space="0" w:color="auto"/>
                  </w:tcBorders>
                  <w:shd w:val="clear" w:color="auto" w:fill="auto"/>
                  <w:vAlign w:val="bottom"/>
                </w:tcPr>
                <w:p w14:paraId="117259CA"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5.0</w:t>
                  </w:r>
                </w:p>
              </w:tc>
            </w:tr>
            <w:tr w:rsidR="00A26FD6" w:rsidRPr="00875B9A" w14:paraId="70489F5F" w14:textId="77777777" w:rsidTr="00B573EE">
              <w:trPr>
                <w:cantSplit/>
              </w:trPr>
              <w:tc>
                <w:tcPr>
                  <w:tcW w:w="2150" w:type="dxa"/>
                  <w:tcBorders>
                    <w:top w:val="nil"/>
                    <w:bottom w:val="nil"/>
                  </w:tcBorders>
                  <w:shd w:val="clear" w:color="auto" w:fill="auto"/>
                </w:tcPr>
                <w:p w14:paraId="609AFCA5" w14:textId="77777777" w:rsidR="00A26FD6" w:rsidRPr="00875B9A" w:rsidRDefault="00A26FD6" w:rsidP="00B573EE">
                  <w:pPr>
                    <w:pStyle w:val="TableText"/>
                    <w:rPr>
                      <w:rFonts w:cstheme="minorHAnsi"/>
                      <w:i/>
                    </w:rPr>
                  </w:pPr>
                  <w:r w:rsidRPr="00875B9A">
                    <w:rPr>
                      <w:rFonts w:cstheme="minorHAnsi"/>
                      <w:i/>
                    </w:rPr>
                    <w:t>Cannabis</w:t>
                  </w:r>
                </w:p>
              </w:tc>
              <w:tc>
                <w:tcPr>
                  <w:tcW w:w="1843" w:type="dxa"/>
                  <w:tcBorders>
                    <w:top w:val="nil"/>
                    <w:left w:val="single" w:sz="4" w:space="0" w:color="auto"/>
                    <w:bottom w:val="nil"/>
                    <w:right w:val="single" w:sz="4" w:space="0" w:color="auto"/>
                  </w:tcBorders>
                  <w:shd w:val="clear" w:color="auto" w:fill="auto"/>
                  <w:vAlign w:val="bottom"/>
                </w:tcPr>
                <w:p w14:paraId="34DB2194"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325.1</w:t>
                  </w:r>
                </w:p>
              </w:tc>
              <w:tc>
                <w:tcPr>
                  <w:tcW w:w="1843" w:type="dxa"/>
                  <w:tcBorders>
                    <w:top w:val="nil"/>
                    <w:left w:val="nil"/>
                    <w:bottom w:val="nil"/>
                    <w:right w:val="single" w:sz="4" w:space="0" w:color="auto"/>
                  </w:tcBorders>
                  <w:shd w:val="clear" w:color="auto" w:fill="auto"/>
                  <w:vAlign w:val="bottom"/>
                </w:tcPr>
                <w:p w14:paraId="55A40A39" w14:textId="77777777" w:rsidR="00A26FD6" w:rsidRPr="00875B9A" w:rsidRDefault="00A26FD6" w:rsidP="00B573EE">
                  <w:pPr>
                    <w:pStyle w:val="TableText"/>
                    <w:tabs>
                      <w:tab w:val="decimal" w:pos="851"/>
                    </w:tabs>
                    <w:jc w:val="right"/>
                    <w:rPr>
                      <w:rFonts w:cstheme="minorHAnsi"/>
                    </w:rPr>
                  </w:pPr>
                  <w:r w:rsidRPr="00875B9A">
                    <w:rPr>
                      <w:rFonts w:cstheme="minorHAnsi"/>
                    </w:rPr>
                    <w:t>658.60</w:t>
                  </w:r>
                </w:p>
              </w:tc>
              <w:tc>
                <w:tcPr>
                  <w:tcW w:w="1843" w:type="dxa"/>
                  <w:tcBorders>
                    <w:top w:val="nil"/>
                    <w:left w:val="nil"/>
                    <w:bottom w:val="nil"/>
                    <w:right w:val="single" w:sz="4" w:space="0" w:color="auto"/>
                  </w:tcBorders>
                  <w:shd w:val="clear" w:color="auto" w:fill="auto"/>
                  <w:vAlign w:val="bottom"/>
                </w:tcPr>
                <w:p w14:paraId="11291649"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983.7</w:t>
                  </w:r>
                </w:p>
              </w:tc>
            </w:tr>
            <w:tr w:rsidR="00A26FD6" w:rsidRPr="00875B9A" w14:paraId="1F345C8F" w14:textId="77777777" w:rsidTr="00B573EE">
              <w:trPr>
                <w:cantSplit/>
              </w:trPr>
              <w:tc>
                <w:tcPr>
                  <w:tcW w:w="2150" w:type="dxa"/>
                  <w:tcBorders>
                    <w:top w:val="nil"/>
                  </w:tcBorders>
                  <w:shd w:val="clear" w:color="auto" w:fill="auto"/>
                </w:tcPr>
                <w:p w14:paraId="2D16E9D6" w14:textId="77777777" w:rsidR="00A26FD6" w:rsidRPr="00875B9A" w:rsidRDefault="00A26FD6" w:rsidP="00B573EE">
                  <w:pPr>
                    <w:pStyle w:val="TableText"/>
                    <w:rPr>
                      <w:rFonts w:cstheme="minorHAnsi"/>
                      <w:i/>
                    </w:rPr>
                  </w:pPr>
                  <w:r w:rsidRPr="00875B9A">
                    <w:rPr>
                      <w:rFonts w:cstheme="minorHAnsi"/>
                      <w:i/>
                    </w:rPr>
                    <w:t>Synthetic cannabinoids</w:t>
                  </w:r>
                </w:p>
              </w:tc>
              <w:tc>
                <w:tcPr>
                  <w:tcW w:w="1843" w:type="dxa"/>
                  <w:tcBorders>
                    <w:top w:val="nil"/>
                    <w:left w:val="single" w:sz="4" w:space="0" w:color="auto"/>
                    <w:bottom w:val="nil"/>
                    <w:right w:val="single" w:sz="4" w:space="0" w:color="auto"/>
                  </w:tcBorders>
                  <w:shd w:val="clear" w:color="auto" w:fill="auto"/>
                  <w:vAlign w:val="bottom"/>
                </w:tcPr>
                <w:p w14:paraId="631586FD"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25.11</w:t>
                  </w:r>
                </w:p>
              </w:tc>
              <w:tc>
                <w:tcPr>
                  <w:tcW w:w="1843" w:type="dxa"/>
                  <w:tcBorders>
                    <w:top w:val="nil"/>
                    <w:left w:val="nil"/>
                    <w:bottom w:val="single" w:sz="4" w:space="0" w:color="auto"/>
                    <w:right w:val="single" w:sz="4" w:space="0" w:color="auto"/>
                  </w:tcBorders>
                  <w:shd w:val="clear" w:color="auto" w:fill="auto"/>
                  <w:vAlign w:val="bottom"/>
                </w:tcPr>
                <w:p w14:paraId="4BE8865B" w14:textId="77777777" w:rsidR="00A26FD6" w:rsidRPr="00875B9A" w:rsidRDefault="00A26FD6" w:rsidP="00B573EE">
                  <w:pPr>
                    <w:pStyle w:val="TableText"/>
                    <w:tabs>
                      <w:tab w:val="decimal" w:pos="851"/>
                    </w:tabs>
                    <w:jc w:val="right"/>
                    <w:rPr>
                      <w:rFonts w:cstheme="minorHAnsi"/>
                    </w:rPr>
                  </w:pPr>
                  <w:r w:rsidRPr="00875B9A">
                    <w:rPr>
                      <w:rFonts w:cstheme="minorHAnsi"/>
                    </w:rPr>
                    <w:t>0.00</w:t>
                  </w:r>
                </w:p>
              </w:tc>
              <w:tc>
                <w:tcPr>
                  <w:tcW w:w="1843" w:type="dxa"/>
                  <w:tcBorders>
                    <w:top w:val="nil"/>
                    <w:left w:val="nil"/>
                    <w:bottom w:val="single" w:sz="4" w:space="0" w:color="auto"/>
                    <w:right w:val="single" w:sz="4" w:space="0" w:color="auto"/>
                  </w:tcBorders>
                  <w:shd w:val="clear" w:color="auto" w:fill="auto"/>
                  <w:vAlign w:val="bottom"/>
                </w:tcPr>
                <w:p w14:paraId="327720DC"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25.1</w:t>
                  </w:r>
                </w:p>
              </w:tc>
            </w:tr>
            <w:tr w:rsidR="00A26FD6" w:rsidRPr="00875B9A" w14:paraId="10F28403" w14:textId="77777777" w:rsidTr="00B573EE">
              <w:trPr>
                <w:cantSplit/>
              </w:trPr>
              <w:tc>
                <w:tcPr>
                  <w:tcW w:w="2150" w:type="dxa"/>
                  <w:shd w:val="clear" w:color="auto" w:fill="auto"/>
                </w:tcPr>
                <w:p w14:paraId="36CF9C1D" w14:textId="77777777" w:rsidR="00A26FD6" w:rsidRPr="00875B9A" w:rsidRDefault="00A26FD6" w:rsidP="00B573EE">
                  <w:pPr>
                    <w:pStyle w:val="TableText"/>
                    <w:rPr>
                      <w:rFonts w:cstheme="minorHAnsi"/>
                      <w:bCs/>
                    </w:rPr>
                  </w:pPr>
                  <w:r w:rsidRPr="00875B9A">
                    <w:rPr>
                      <w:rFonts w:cstheme="minorHAnsi"/>
                    </w:rPr>
                    <w:t>Total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5A4C6EC"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844.71</w:t>
                  </w:r>
                </w:p>
              </w:tc>
              <w:tc>
                <w:tcPr>
                  <w:tcW w:w="1843" w:type="dxa"/>
                  <w:tcBorders>
                    <w:top w:val="single" w:sz="4" w:space="0" w:color="auto"/>
                    <w:left w:val="nil"/>
                    <w:bottom w:val="single" w:sz="4" w:space="0" w:color="auto"/>
                    <w:right w:val="single" w:sz="4" w:space="0" w:color="auto"/>
                  </w:tcBorders>
                  <w:shd w:val="clear" w:color="auto" w:fill="auto"/>
                  <w:vAlign w:val="bottom"/>
                </w:tcPr>
                <w:p w14:paraId="2D702307" w14:textId="77777777" w:rsidR="00A26FD6" w:rsidRPr="00875B9A" w:rsidRDefault="00A26FD6" w:rsidP="00B573EE">
                  <w:pPr>
                    <w:pStyle w:val="TableText"/>
                    <w:tabs>
                      <w:tab w:val="decimal" w:pos="851"/>
                    </w:tabs>
                    <w:jc w:val="right"/>
                    <w:rPr>
                      <w:rFonts w:cstheme="minorHAnsi"/>
                    </w:rPr>
                  </w:pPr>
                  <w:r w:rsidRPr="00875B9A">
                    <w:rPr>
                      <w:rFonts w:cstheme="minorHAnsi"/>
                    </w:rPr>
                    <w:t>1096.82</w:t>
                  </w:r>
                </w:p>
              </w:tc>
              <w:tc>
                <w:tcPr>
                  <w:tcW w:w="1843" w:type="dxa"/>
                  <w:tcBorders>
                    <w:top w:val="single" w:sz="4" w:space="0" w:color="auto"/>
                    <w:left w:val="nil"/>
                    <w:bottom w:val="single" w:sz="4" w:space="0" w:color="auto"/>
                    <w:right w:val="single" w:sz="4" w:space="0" w:color="auto"/>
                  </w:tcBorders>
                  <w:shd w:val="clear" w:color="auto" w:fill="auto"/>
                  <w:vAlign w:val="bottom"/>
                </w:tcPr>
                <w:p w14:paraId="41FC8E79" w14:textId="77777777" w:rsidR="00A26FD6" w:rsidRPr="00875B9A" w:rsidRDefault="00A26FD6" w:rsidP="00B573EE">
                  <w:pPr>
                    <w:pStyle w:val="TableText"/>
                    <w:tabs>
                      <w:tab w:val="decimal" w:pos="851"/>
                    </w:tabs>
                    <w:jc w:val="right"/>
                    <w:rPr>
                      <w:rFonts w:cstheme="minorHAnsi"/>
                    </w:rPr>
                  </w:pPr>
                  <w:r w:rsidRPr="00875B9A">
                    <w:rPr>
                      <w:rFonts w:cstheme="minorHAnsi"/>
                      <w:color w:val="000000"/>
                    </w:rPr>
                    <w:t>1941.53</w:t>
                  </w:r>
                </w:p>
              </w:tc>
            </w:tr>
            <w:bookmarkEnd w:id="5"/>
          </w:tbl>
          <w:p w14:paraId="42BF2894" w14:textId="77777777" w:rsidR="00A26FD6" w:rsidRPr="00875B9A" w:rsidRDefault="00A26FD6" w:rsidP="00B573EE">
            <w:pPr>
              <w:pStyle w:val="TableText"/>
              <w:spacing w:before="0" w:after="0"/>
              <w:rPr>
                <w:rFonts w:cstheme="minorHAnsi"/>
                <w:sz w:val="2"/>
                <w:szCs w:val="2"/>
              </w:rPr>
            </w:pPr>
          </w:p>
          <w:p w14:paraId="3A84862A" w14:textId="77777777" w:rsidR="00A26FD6" w:rsidRPr="00875B9A" w:rsidRDefault="00A26FD6" w:rsidP="00B573EE">
            <w:pPr>
              <w:pStyle w:val="TableText"/>
              <w:spacing w:before="0" w:after="0"/>
              <w:rPr>
                <w:rFonts w:cstheme="minorHAnsi"/>
                <w:sz w:val="4"/>
                <w:szCs w:val="4"/>
              </w:rPr>
            </w:pPr>
          </w:p>
        </w:tc>
      </w:tr>
      <w:tr w:rsidR="00A26FD6" w:rsidRPr="00875B9A" w14:paraId="420AE8BF" w14:textId="77777777" w:rsidTr="00E415E0">
        <w:trPr>
          <w:cantSplit/>
        </w:trPr>
        <w:tc>
          <w:tcPr>
            <w:tcW w:w="1134" w:type="dxa"/>
            <w:shd w:val="clear" w:color="auto" w:fill="auto"/>
          </w:tcPr>
          <w:p w14:paraId="0AEB9E5A" w14:textId="77777777" w:rsidR="00A26FD6" w:rsidRPr="00875B9A" w:rsidRDefault="00A26FD6" w:rsidP="00B573EE">
            <w:pPr>
              <w:pStyle w:val="TableText"/>
              <w:rPr>
                <w:rFonts w:cstheme="minorHAnsi"/>
              </w:rPr>
            </w:pPr>
            <w:r w:rsidRPr="00875B9A">
              <w:rPr>
                <w:rFonts w:cstheme="minorHAnsi"/>
              </w:rPr>
              <w:t>Discussion</w:t>
            </w:r>
          </w:p>
        </w:tc>
        <w:tc>
          <w:tcPr>
            <w:tcW w:w="7938" w:type="dxa"/>
            <w:shd w:val="clear" w:color="auto" w:fill="auto"/>
          </w:tcPr>
          <w:p w14:paraId="0C26A815" w14:textId="77777777" w:rsidR="00A26FD6" w:rsidRPr="00875B9A" w:rsidRDefault="00A26FD6" w:rsidP="00B573EE">
            <w:pPr>
              <w:pStyle w:val="TableText"/>
              <w:rPr>
                <w:rFonts w:cstheme="minorHAnsi"/>
              </w:rPr>
            </w:pPr>
            <w:r w:rsidRPr="00875B9A">
              <w:rPr>
                <w:rFonts w:cstheme="minorHAnsi"/>
              </w:rPr>
              <w:t xml:space="preserve">The DHI 2023 is a conservative measure of the harms associated with the use of illicit drugs in New Zealand. It can be extended to accommodate new and emerging drugs in the future. There were several changes incorporated in the DHI 2020 that have remained in place for the DHI 2023. The three most significant initiatives were the use of coronial data and hospital admission data in estimating harm, and the use of wastewater analysis to estimate consumption for methamphetamine, cocaine and MDMA. Cannabis consumption was estimated using 2020/21 New Zealand Health Survey (Health Survey) data due to technical issues interpreting the wastewater analysis. Reliable estimates of the consumption of GHB/GBL and synthetic cannabinoids were not available from any source. </w:t>
            </w:r>
          </w:p>
        </w:tc>
      </w:tr>
    </w:tbl>
    <w:p w14:paraId="378FCD4A" w14:textId="655F74A7" w:rsidR="00A26FD6" w:rsidRPr="00875B9A" w:rsidRDefault="00A26FD6" w:rsidP="00A26FD6">
      <w:pPr>
        <w:pStyle w:val="Heading1"/>
        <w:spacing w:after="0"/>
      </w:pPr>
      <w:bookmarkStart w:id="6" w:name="_Toc89352338"/>
      <w:bookmarkStart w:id="7" w:name="_Toc170116255"/>
      <w:r w:rsidRPr="00875B9A">
        <w:t>Introduction</w:t>
      </w:r>
      <w:bookmarkEnd w:id="6"/>
      <w:bookmarkEnd w:id="7"/>
    </w:p>
    <w:p w14:paraId="22C36AEC" w14:textId="38FFB8DE" w:rsidR="00A26FD6" w:rsidRPr="00875B9A" w:rsidRDefault="00A26FD6" w:rsidP="00875B9A">
      <w:pPr>
        <w:pStyle w:val="Heading2"/>
        <w:spacing w:before="0"/>
      </w:pPr>
      <w:bookmarkStart w:id="8" w:name="_Toc170116256"/>
      <w:r w:rsidRPr="00875B9A">
        <w:t>Drug harm</w:t>
      </w:r>
      <w:bookmarkEnd w:id="8"/>
    </w:p>
    <w:p w14:paraId="3DE9ADCF" w14:textId="77777777" w:rsidR="00A26FD6" w:rsidRPr="00875B9A" w:rsidRDefault="00A26FD6" w:rsidP="00A26FD6">
      <w:r w:rsidRPr="00875B9A">
        <w:t>Drug harm can be defined as harm to individuals, whānau and/or communities resulting from the use of licit or illicit drugs. In this instance, ‘harm’ is a general term that encompasses negative effects on a person’s wellbeing, mana, and health. This includes impacts on relationships, mental and physical health, culture, equity, employment, housing, education, finances, etc. In addition to harms experienced by the person using drugs, drug harm can also impact friends, whānau, iwi and hapū, and wider communities. It also can have an impact on health services and law enforcement.</w:t>
      </w:r>
    </w:p>
    <w:p w14:paraId="48BDC261" w14:textId="76EDAE61" w:rsidR="00A26FD6" w:rsidRPr="00875B9A" w:rsidRDefault="00A26FD6" w:rsidP="00A26FD6">
      <w:pPr>
        <w:pStyle w:val="Heading2"/>
      </w:pPr>
      <w:bookmarkStart w:id="9" w:name="_Toc170116257"/>
      <w:r w:rsidRPr="00875B9A">
        <w:t>Drug harm measurement</w:t>
      </w:r>
      <w:bookmarkEnd w:id="9"/>
      <w:r w:rsidRPr="00875B9A">
        <w:t xml:space="preserve"> </w:t>
      </w:r>
    </w:p>
    <w:p w14:paraId="32D6D775" w14:textId="77777777" w:rsidR="00A26FD6" w:rsidRPr="00875B9A" w:rsidRDefault="00A26FD6" w:rsidP="00A26FD6">
      <w:r w:rsidRPr="00875B9A">
        <w:t>Many aspects of the above drug harm definition are difficult to measure. Whether that is due to current measures of harm being limited by an inability to access or capture data, or the fact that some harms are unable to be accurately measured (e.g., culture, mental health, and wellbeing). Acknowledging these complexities, drug harm indices, do not capture all the harms that illegal drugs might possibly generate, but rather a subset of harm for which robust data is available.</w:t>
      </w:r>
    </w:p>
    <w:p w14:paraId="771483A2" w14:textId="77777777" w:rsidR="00A26FD6" w:rsidRPr="00875B9A" w:rsidRDefault="00A26FD6" w:rsidP="00A26FD6">
      <w:r w:rsidRPr="00875B9A">
        <w:t>Note this report did not consider one significant family relationship: children. There is insufficient information available to allow an estimate of the social cost borne by children of people who use drugs, and this is therefore excluded from this report.</w:t>
      </w:r>
    </w:p>
    <w:p w14:paraId="690ADFC6" w14:textId="77777777" w:rsidR="00A26FD6" w:rsidRPr="00875B9A" w:rsidRDefault="00A26FD6" w:rsidP="00A26FD6">
      <w:r w:rsidRPr="00875B9A">
        <w:t>The DHI 2023 retains the classification system of personal and community harms and their components, as first introduced in 2016.</w:t>
      </w:r>
    </w:p>
    <w:p w14:paraId="6137ADEE" w14:textId="77777777" w:rsidR="00A26FD6" w:rsidRPr="00875B9A" w:rsidRDefault="00A26FD6" w:rsidP="00A26FD6">
      <w:bookmarkStart w:id="10" w:name="_Hlk132113349"/>
      <w:r w:rsidRPr="00875B9A">
        <w:t xml:space="preserve">Core components of the DHI that have remained the same through the various versions are: </w:t>
      </w:r>
    </w:p>
    <w:p w14:paraId="30187F18" w14:textId="77777777" w:rsidR="00A26FD6" w:rsidRPr="00875B9A" w:rsidRDefault="00A26FD6" w:rsidP="00A26FD6">
      <w:pPr>
        <w:pStyle w:val="ListParagraph"/>
        <w:numPr>
          <w:ilvl w:val="0"/>
          <w:numId w:val="1"/>
        </w:numPr>
        <w:spacing w:line="302" w:lineRule="auto"/>
      </w:pPr>
      <w:r w:rsidRPr="00875B9A">
        <w:t xml:space="preserve">the identification of drugs of interest − these include all illicit drugs and legal drugs diverted to the illicit market (alcohol and tobacco are excluded) </w:t>
      </w:r>
    </w:p>
    <w:p w14:paraId="36D08A52" w14:textId="77777777" w:rsidR="00A26FD6" w:rsidRPr="00875B9A" w:rsidRDefault="00A26FD6" w:rsidP="00A26FD6">
      <w:pPr>
        <w:pStyle w:val="ListParagraph"/>
        <w:numPr>
          <w:ilvl w:val="0"/>
          <w:numId w:val="1"/>
        </w:numPr>
        <w:spacing w:line="302" w:lineRule="auto"/>
      </w:pPr>
      <w:r w:rsidRPr="00875B9A">
        <w:t xml:space="preserve">an estimate of the total harm to the community caused by illicit drugs, expressed in dollar terms (all dollars are New Zealand dollars unless otherwise stated) </w:t>
      </w:r>
    </w:p>
    <w:p w14:paraId="79573404" w14:textId="77777777" w:rsidR="00A26FD6" w:rsidRPr="00875B9A" w:rsidRDefault="00A26FD6" w:rsidP="00A26FD6">
      <w:pPr>
        <w:pStyle w:val="ListParagraph"/>
        <w:numPr>
          <w:ilvl w:val="0"/>
          <w:numId w:val="1"/>
        </w:numPr>
        <w:spacing w:line="302" w:lineRule="auto"/>
      </w:pPr>
      <w:r w:rsidRPr="00875B9A">
        <w:t xml:space="preserve">an estimate of consumption for each drug of interest </w:t>
      </w:r>
    </w:p>
    <w:p w14:paraId="2173818E" w14:textId="77777777" w:rsidR="00A26FD6" w:rsidRPr="00875B9A" w:rsidRDefault="00A26FD6" w:rsidP="00A26FD6">
      <w:pPr>
        <w:pStyle w:val="ListParagraph"/>
        <w:numPr>
          <w:ilvl w:val="0"/>
          <w:numId w:val="1"/>
        </w:numPr>
        <w:spacing w:line="302" w:lineRule="auto"/>
      </w:pPr>
      <w:r w:rsidRPr="00875B9A">
        <w:t>the calculation of total dollar harm for each drug of interest</w:t>
      </w:r>
    </w:p>
    <w:p w14:paraId="673DE10D" w14:textId="77777777" w:rsidR="00A26FD6" w:rsidRPr="00875B9A" w:rsidRDefault="00A26FD6" w:rsidP="00A26FD6">
      <w:pPr>
        <w:pStyle w:val="ListParagraph"/>
        <w:numPr>
          <w:ilvl w:val="0"/>
          <w:numId w:val="1"/>
        </w:numPr>
        <w:spacing w:line="302" w:lineRule="auto"/>
      </w:pPr>
      <w:r w:rsidRPr="00875B9A">
        <w:t>the calculation of an average dollar harm per kilogram of each drug of interest.</w:t>
      </w:r>
      <w:bookmarkEnd w:id="10"/>
    </w:p>
    <w:p w14:paraId="421BA0AB" w14:textId="77777777" w:rsidR="00DF37CB" w:rsidRDefault="00DF37CB">
      <w:pPr>
        <w:rPr>
          <w:b/>
          <w:iCs/>
          <w:sz w:val="28"/>
          <w:szCs w:val="22"/>
        </w:rPr>
      </w:pPr>
      <w:r>
        <w:br w:type="page"/>
      </w:r>
    </w:p>
    <w:p w14:paraId="4BEF9FF7" w14:textId="723DA3B8" w:rsidR="00A26FD6" w:rsidRPr="00875B9A" w:rsidRDefault="00A26FD6" w:rsidP="00A26FD6">
      <w:pPr>
        <w:pStyle w:val="Heading2"/>
      </w:pPr>
      <w:bookmarkStart w:id="11" w:name="_Toc170116258"/>
      <w:r w:rsidRPr="00875B9A">
        <w:t>Drug harm indices</w:t>
      </w:r>
      <w:bookmarkEnd w:id="11"/>
    </w:p>
    <w:p w14:paraId="42D8A451" w14:textId="2D5E52B7" w:rsidR="00A26FD6" w:rsidRPr="00875B9A" w:rsidRDefault="00A26FD6" w:rsidP="00A26FD6">
      <w:r w:rsidRPr="00875B9A">
        <w:t>The first New Zealand illicit drug harm index was published in 2008 (Slack et al, 2008). It was developed to provide a metric of the social harm caused by illicit drug consumption in New Zealand. It followed on from other international drug harm indices, with the first developed in 2001 by the Australian Federal Police. Great Britain and the United Nations Office on Drugs and Crime released their own indices in 2005. The original DHI in 2001 was developed in a law enforcement context. However, its wider applicability was soon recognised in that a single index would be of value in tracking the total harm caused by illicit drugs.</w:t>
      </w:r>
      <w:r w:rsidRPr="00875B9A">
        <w:rPr>
          <w:rStyle w:val="FootnoteReference"/>
        </w:rPr>
        <w:footnoteReference w:id="2"/>
      </w:r>
      <w:r w:rsidRPr="00875B9A">
        <w:t xml:space="preserve"> This approach involves a weighted aggregate of key harm measures such as mortality, morbidity, and drug-related crime.</w:t>
      </w:r>
    </w:p>
    <w:p w14:paraId="0C248C40" w14:textId="77777777" w:rsidR="00A26FD6" w:rsidRPr="00875B9A" w:rsidRDefault="00A26FD6" w:rsidP="00A26FD6">
      <w:r w:rsidRPr="00875B9A">
        <w:t>Drug harm indices provide law enforcement a way of reporting drug seizure activity in a single meaningful number that also represents the dollar value of its social impact on the community. Additionally, the notion of a single measure of drug harm, that can be used to measure the benefits of illicit drug policy and practice is highly appealing.</w:t>
      </w:r>
      <w:r w:rsidRPr="00875B9A">
        <w:rPr>
          <w:rStyle w:val="FootnoteReference"/>
        </w:rPr>
        <w:footnoteReference w:id="3"/>
      </w:r>
    </w:p>
    <w:p w14:paraId="7125180A" w14:textId="0CACCE9F" w:rsidR="00A26FD6" w:rsidRPr="00875B9A" w:rsidRDefault="00A26FD6" w:rsidP="00A26FD6">
      <w:pPr>
        <w:pStyle w:val="Heading2"/>
      </w:pPr>
      <w:bookmarkStart w:id="12" w:name="_Toc170116259"/>
      <w:r w:rsidRPr="00875B9A">
        <w:t>Revisions of the New Zealand DHI</w:t>
      </w:r>
      <w:bookmarkEnd w:id="12"/>
    </w:p>
    <w:p w14:paraId="37181897" w14:textId="77777777" w:rsidR="00A26FD6" w:rsidRPr="00875B9A" w:rsidRDefault="00A26FD6" w:rsidP="00A26FD6">
      <w:r w:rsidRPr="00875B9A">
        <w:t>The New Zealand Drug Harm Index was significantly revised in 2016. It is important to note that DHI 2023 does not include estimates for higher level government interventions in relation to illicit drugs. The measurement of the cost of interventions at any level is crucial to return-on-investment (ROI) studies that are often used in assessing the impact of specific interventions and programs. The costs associated with specific interventions need to be estimated separately. As noted in DHI 2016, the cost of interventions should not be construed as a form of harm.</w:t>
      </w:r>
      <w:r w:rsidRPr="00875B9A">
        <w:rPr>
          <w:rStyle w:val="FootnoteReference"/>
        </w:rPr>
        <w:footnoteReference w:id="4"/>
      </w:r>
    </w:p>
    <w:p w14:paraId="3274347E" w14:textId="77777777" w:rsidR="00A26FD6" w:rsidRPr="00875B9A" w:rsidRDefault="00A26FD6" w:rsidP="00A26FD6">
      <w:r w:rsidRPr="00875B9A">
        <w:t>The DHI 2020 established the use of coronial findings as a measure for the number of deaths attributable to illicit drugs. These are now based on coronial reports rather than estimates provided through a UNODC report.</w:t>
      </w:r>
    </w:p>
    <w:p w14:paraId="2F0EA53C" w14:textId="77777777" w:rsidR="00A26FD6" w:rsidRPr="00875B9A" w:rsidRDefault="00A26FD6" w:rsidP="00A26FD6">
      <w:r w:rsidRPr="00875B9A">
        <w:t>Another change is the use of expert opinion to estimate harm associated with specific drugs has been discontinued. In essence, both wastewater analysis and hospital admissions provide the necessary information on a range of illicit drugs. Please see Appendix One for further details on the conceptual framework used for the DHI 2023.</w:t>
      </w:r>
    </w:p>
    <w:p w14:paraId="59A1F32B" w14:textId="77777777" w:rsidR="00DF37CB" w:rsidRDefault="00DF37CB">
      <w:pPr>
        <w:rPr>
          <w:b/>
          <w:iCs/>
          <w:sz w:val="28"/>
          <w:szCs w:val="22"/>
        </w:rPr>
      </w:pPr>
      <w:r>
        <w:br w:type="page"/>
      </w:r>
    </w:p>
    <w:p w14:paraId="5FE5B202" w14:textId="33197E85" w:rsidR="00A26FD6" w:rsidRPr="00875B9A" w:rsidRDefault="00A26FD6" w:rsidP="00A26FD6">
      <w:pPr>
        <w:pStyle w:val="Heading2"/>
      </w:pPr>
      <w:bookmarkStart w:id="13" w:name="_Toc170116260"/>
      <w:r w:rsidRPr="00875B9A">
        <w:t>Evolving response to drug harm</w:t>
      </w:r>
      <w:bookmarkEnd w:id="13"/>
    </w:p>
    <w:p w14:paraId="09EACDF2" w14:textId="77777777" w:rsidR="00A26FD6" w:rsidRPr="00875B9A" w:rsidRDefault="00A26FD6" w:rsidP="00A26FD6">
      <w:r w:rsidRPr="00875B9A">
        <w:t>Since the publication of the first DHI in 2008, New Zealand’s approach to drug harm has evolved. An inquiry into New Zealand mental health and addiction was established by the Government in early 2018.</w:t>
      </w:r>
      <w:r w:rsidRPr="00875B9A">
        <w:rPr>
          <w:rStyle w:val="FootnoteReference"/>
        </w:rPr>
        <w:footnoteReference w:id="5"/>
      </w:r>
      <w:r w:rsidRPr="00875B9A">
        <w:t xml:space="preserve"> This resulted in the publication of the He Ara </w:t>
      </w:r>
      <w:proofErr w:type="spellStart"/>
      <w:r w:rsidRPr="00875B9A">
        <w:t>Oranga</w:t>
      </w:r>
      <w:proofErr w:type="spellEnd"/>
      <w:r w:rsidRPr="00875B9A">
        <w:t xml:space="preserve"> report. In the report, there was a clear call from the public to adopt an approach to drug use that minimised harm. Minimising harm from drug use requires viewing use as a health and social issue that can be solved, or at least managed, by providing support, compassion, and access to treatment for people who use drugs. Part of the Government response to enabling a health response to mental health and addiction was amending the Misuse of Drugs Act 1975. The amendments included affirming Police discretion to prosecute for possession and use of controlled drugs, and consideration to whether a health approach is more beneficial. The use of non-court proceedings for personal drug possession and use increased from 66 percent of Police interactions in August 2019 to 82 percent in the first quarter of 2021, although it is worth acknowledging that there were higher rates of court proceedings for M</w:t>
      </w:r>
      <w:r w:rsidRPr="00875B9A">
        <w:rPr>
          <w:rFonts w:cstheme="minorHAnsi"/>
        </w:rPr>
        <w:t>ā</w:t>
      </w:r>
      <w:r w:rsidRPr="00875B9A">
        <w:t>ori during this period.</w:t>
      </w:r>
    </w:p>
    <w:p w14:paraId="0FEB80E1" w14:textId="77777777" w:rsidR="00A26FD6" w:rsidRPr="00875B9A" w:rsidRDefault="00A26FD6" w:rsidP="00A26FD6">
      <w:r w:rsidRPr="00875B9A">
        <w:t>Acknowledging the evolving context in how drug harm is understood and approached in New Zealand, the limitations, and complexities in the application of the DHI 2023 should be revisited. The notion of a single measure of drug harm that can be used to measure the benefits of illicit drug policy and practice is highly appealing, however, Reuter (2009) suggested that any single measure was unlikely to capture the complexity of the environment within which drug markets operate.</w:t>
      </w:r>
      <w:r w:rsidRPr="00875B9A">
        <w:rPr>
          <w:rStyle w:val="FootnoteReference"/>
        </w:rPr>
        <w:footnoteReference w:id="6"/>
      </w:r>
      <w:r w:rsidRPr="00875B9A">
        <w:t xml:space="preserve"> </w:t>
      </w:r>
    </w:p>
    <w:p w14:paraId="58BBE18C" w14:textId="77777777" w:rsidR="00A26FD6" w:rsidRPr="00875B9A" w:rsidRDefault="00A26FD6" w:rsidP="00A26FD6">
      <w:r w:rsidRPr="00875B9A">
        <w:t>That being said, cost estimates of drug harm can provide a good basis for the development of drug policy, help inform investment decisions for government and government agencies, and improve the evidence base and understanding of the interaction between drug use and harm. In other words, although assigning an economic value does not capture the complex nature of drug harm, it does provide additional evidence for government and government agencies to make informed decisions in addressing this harm.</w:t>
      </w:r>
      <w:r w:rsidRPr="00875B9A">
        <w:rPr>
          <w:rStyle w:val="FootnoteReference"/>
        </w:rPr>
        <w:footnoteReference w:id="7"/>
      </w:r>
      <w:r w:rsidRPr="00875B9A">
        <w:t xml:space="preserve"> McFadden (2016) also noted that DHIs report results in dollar values, which assists interpretation by the general public and professional community alike. In short, they have a clear message</w:t>
      </w:r>
      <w:bookmarkStart w:id="15" w:name="_Toc89352340"/>
      <w:bookmarkStart w:id="16" w:name="_Hlk65759428"/>
      <w:r w:rsidRPr="00875B9A">
        <w:t>.</w:t>
      </w:r>
      <w:r w:rsidRPr="00875B9A">
        <w:rPr>
          <w:rStyle w:val="FootnoteReference"/>
        </w:rPr>
        <w:footnoteReference w:id="8"/>
      </w:r>
    </w:p>
    <w:p w14:paraId="3AC89F56" w14:textId="77777777" w:rsidR="00A26FD6" w:rsidRPr="00875B9A" w:rsidRDefault="00A26FD6" w:rsidP="00A26FD6">
      <w:pPr>
        <w:pStyle w:val="Heading1"/>
      </w:pPr>
      <w:bookmarkStart w:id="17" w:name="_Toc170116261"/>
      <w:r w:rsidRPr="00875B9A">
        <w:t>The New Zealand Illicit Drug Harm Index 2023</w:t>
      </w:r>
      <w:bookmarkEnd w:id="17"/>
    </w:p>
    <w:p w14:paraId="3D957A2A" w14:textId="77777777" w:rsidR="00A26FD6" w:rsidRPr="00875B9A" w:rsidRDefault="00A26FD6" w:rsidP="00A26FD6">
      <w:bookmarkStart w:id="18" w:name="_Ref88221560"/>
      <w:bookmarkStart w:id="19" w:name="_Toc88231909"/>
      <w:r w:rsidRPr="00875B9A">
        <w:rPr>
          <w:i/>
          <w:iCs/>
        </w:rPr>
        <w:t xml:space="preserve">The DHI 2023 retains the basic underpinning of the DHI 2016 while including additional data sources that improve the accuracy of the estimation of personal and community harm (see Table 1). The DHI 2023 covers data from the period </w:t>
      </w:r>
      <w:r w:rsidRPr="00875B9A">
        <w:t>1 January 2021 to 31 December 2021.</w:t>
      </w:r>
    </w:p>
    <w:p w14:paraId="2A7C6185" w14:textId="77777777" w:rsidR="00A26FD6" w:rsidRPr="00875B9A" w:rsidRDefault="00A26FD6" w:rsidP="00A26FD6">
      <w:pPr>
        <w:pStyle w:val="Table"/>
      </w:pPr>
      <w:bookmarkStart w:id="20" w:name="_Toc170116272"/>
      <w:r w:rsidRPr="00875B9A">
        <w:t>Table</w:t>
      </w:r>
      <w:bookmarkStart w:id="21" w:name="_Hlk131597596"/>
      <w:bookmarkEnd w:id="18"/>
      <w:r w:rsidRPr="00875B9A">
        <w:t xml:space="preserve"> 1. Significant changes in data sources from DHI 2016</w:t>
      </w:r>
      <w:bookmarkEnd w:id="19"/>
      <w:bookmarkEnd w:id="20"/>
      <w:bookmarkEnd w:id="21"/>
    </w:p>
    <w:tbl>
      <w:tblPr>
        <w:tblStyle w:val="TableGrid"/>
        <w:tblW w:w="9072" w:type="dxa"/>
        <w:tblLayout w:type="fixed"/>
        <w:tblCellMar>
          <w:left w:w="113" w:type="dxa"/>
          <w:right w:w="113" w:type="dxa"/>
        </w:tblCellMar>
        <w:tblLook w:val="04A0" w:firstRow="1" w:lastRow="0" w:firstColumn="1" w:lastColumn="0" w:noHBand="0" w:noVBand="1"/>
      </w:tblPr>
      <w:tblGrid>
        <w:gridCol w:w="1985"/>
        <w:gridCol w:w="7087"/>
      </w:tblGrid>
      <w:tr w:rsidR="00A26FD6" w:rsidRPr="00875B9A" w14:paraId="0767DCB2" w14:textId="77777777" w:rsidTr="00E415E0">
        <w:trPr>
          <w:cantSplit/>
        </w:trPr>
        <w:tc>
          <w:tcPr>
            <w:tcW w:w="1985" w:type="dxa"/>
            <w:shd w:val="clear" w:color="auto" w:fill="auto"/>
          </w:tcPr>
          <w:p w14:paraId="00B5F101" w14:textId="77777777" w:rsidR="00A26FD6" w:rsidRPr="00875B9A" w:rsidRDefault="00A26FD6" w:rsidP="00B573EE">
            <w:pPr>
              <w:pStyle w:val="TableText"/>
              <w:rPr>
                <w:b/>
              </w:rPr>
            </w:pPr>
            <w:r w:rsidRPr="00875B9A">
              <w:rPr>
                <w:b/>
              </w:rPr>
              <w:t>Change</w:t>
            </w:r>
          </w:p>
        </w:tc>
        <w:tc>
          <w:tcPr>
            <w:tcW w:w="7087" w:type="dxa"/>
            <w:shd w:val="clear" w:color="auto" w:fill="auto"/>
          </w:tcPr>
          <w:p w14:paraId="5EEB63FD" w14:textId="77777777" w:rsidR="00A26FD6" w:rsidRPr="00875B9A" w:rsidRDefault="00A26FD6" w:rsidP="00B573EE">
            <w:pPr>
              <w:pStyle w:val="TableText"/>
              <w:rPr>
                <w:b/>
              </w:rPr>
            </w:pPr>
            <w:r w:rsidRPr="00875B9A">
              <w:rPr>
                <w:b/>
              </w:rPr>
              <w:t>Background</w:t>
            </w:r>
          </w:p>
        </w:tc>
      </w:tr>
      <w:tr w:rsidR="00A26FD6" w:rsidRPr="00875B9A" w14:paraId="2F79167A" w14:textId="77777777" w:rsidTr="00E415E0">
        <w:trPr>
          <w:cantSplit/>
        </w:trPr>
        <w:tc>
          <w:tcPr>
            <w:tcW w:w="1985" w:type="dxa"/>
          </w:tcPr>
          <w:p w14:paraId="368A5A4D" w14:textId="77777777" w:rsidR="00A26FD6" w:rsidRPr="00875B9A" w:rsidRDefault="00A26FD6" w:rsidP="00B573EE">
            <w:pPr>
              <w:pStyle w:val="TableText"/>
            </w:pPr>
            <w:r w:rsidRPr="00875B9A">
              <w:t>Wastewater analysis</w:t>
            </w:r>
          </w:p>
        </w:tc>
        <w:tc>
          <w:tcPr>
            <w:tcW w:w="7087" w:type="dxa"/>
          </w:tcPr>
          <w:p w14:paraId="74B71A4E" w14:textId="77777777" w:rsidR="00A26FD6" w:rsidRPr="00875B9A" w:rsidRDefault="00A26FD6" w:rsidP="00B573EE">
            <w:pPr>
              <w:pStyle w:val="TableText"/>
            </w:pPr>
            <w:r w:rsidRPr="00875B9A">
              <w:t xml:space="preserve">Wastewater analysis is used to estimate consumption of major illicit drugs. This is timelier and more accurate than the previous method based on the Health Survey. </w:t>
            </w:r>
          </w:p>
        </w:tc>
      </w:tr>
      <w:tr w:rsidR="00A26FD6" w:rsidRPr="00875B9A" w14:paraId="1FD31B6F" w14:textId="77777777" w:rsidTr="00E415E0">
        <w:trPr>
          <w:cantSplit/>
        </w:trPr>
        <w:tc>
          <w:tcPr>
            <w:tcW w:w="1985" w:type="dxa"/>
          </w:tcPr>
          <w:p w14:paraId="53600EC6" w14:textId="77777777" w:rsidR="00A26FD6" w:rsidRPr="00875B9A" w:rsidRDefault="00A26FD6" w:rsidP="00B573EE">
            <w:pPr>
              <w:pStyle w:val="TableText"/>
            </w:pPr>
            <w:r w:rsidRPr="00875B9A">
              <w:t>Hospital admissions</w:t>
            </w:r>
          </w:p>
        </w:tc>
        <w:tc>
          <w:tcPr>
            <w:tcW w:w="7087" w:type="dxa"/>
          </w:tcPr>
          <w:p w14:paraId="2723B492" w14:textId="77777777" w:rsidR="00A26FD6" w:rsidRPr="00875B9A" w:rsidRDefault="00A26FD6" w:rsidP="00B573EE">
            <w:pPr>
              <w:pStyle w:val="TableText"/>
            </w:pPr>
            <w:r w:rsidRPr="00875B9A">
              <w:t>Hospital admissions data are again timelier and more accurate than the Health Survey for our purpose. Estimates of serious and minor harm related to illicit drug use can now be estimated. These effectively replace the previous classification used in DHI 2016 of people who are dependent and people who use drugs casually although related the two classificatory systems are not equivalent.</w:t>
            </w:r>
          </w:p>
        </w:tc>
      </w:tr>
      <w:tr w:rsidR="00A26FD6" w:rsidRPr="00875B9A" w14:paraId="4D2934AB" w14:textId="77777777" w:rsidTr="00E415E0">
        <w:trPr>
          <w:cantSplit/>
        </w:trPr>
        <w:tc>
          <w:tcPr>
            <w:tcW w:w="1985" w:type="dxa"/>
          </w:tcPr>
          <w:p w14:paraId="00D0355D" w14:textId="77777777" w:rsidR="00A26FD6" w:rsidRPr="00875B9A" w:rsidRDefault="00A26FD6" w:rsidP="00B573EE">
            <w:pPr>
              <w:pStyle w:val="TableText"/>
            </w:pPr>
            <w:r w:rsidRPr="00875B9A">
              <w:t>Coronial reports</w:t>
            </w:r>
          </w:p>
        </w:tc>
        <w:tc>
          <w:tcPr>
            <w:tcW w:w="7087" w:type="dxa"/>
          </w:tcPr>
          <w:p w14:paraId="4E9BE190" w14:textId="77777777" w:rsidR="00A26FD6" w:rsidRPr="00875B9A" w:rsidRDefault="00A26FD6" w:rsidP="00B573EE">
            <w:pPr>
              <w:pStyle w:val="TableText"/>
            </w:pPr>
            <w:r w:rsidRPr="00875B9A">
              <w:t>Deaths attributable to illicit drugs are based on coronial reports rather than estimates provided through a UNODC report.</w:t>
            </w:r>
          </w:p>
        </w:tc>
      </w:tr>
    </w:tbl>
    <w:p w14:paraId="40D663E1" w14:textId="77777777" w:rsidR="00A26FD6" w:rsidRPr="00875B9A" w:rsidRDefault="00A26FD6" w:rsidP="00A26FD6">
      <w:bookmarkStart w:id="22" w:name="_Toc444941792"/>
      <w:bookmarkStart w:id="23" w:name="_Toc89352341"/>
      <w:bookmarkEnd w:id="15"/>
      <w:bookmarkEnd w:id="16"/>
    </w:p>
    <w:p w14:paraId="7BC28DD2" w14:textId="77777777" w:rsidR="00A26FD6" w:rsidRPr="00875B9A" w:rsidRDefault="00A26FD6" w:rsidP="00A26FD6">
      <w:r w:rsidRPr="00875B9A">
        <w:t>The DHI 2023 will provide an overview of drug use in New Zealand, followed by calculations of drug harm. The conclusion describes the output of the calculation and their implications.</w:t>
      </w:r>
    </w:p>
    <w:p w14:paraId="71C79E62" w14:textId="40F217A7" w:rsidR="00A26FD6" w:rsidRPr="00875B9A" w:rsidRDefault="00A26FD6" w:rsidP="00A26FD6">
      <w:pPr>
        <w:pStyle w:val="Heading2"/>
        <w:rPr>
          <w:lang w:eastAsia="en-AU"/>
        </w:rPr>
      </w:pPr>
      <w:bookmarkStart w:id="24" w:name="_Toc170116262"/>
      <w:r w:rsidRPr="00875B9A">
        <w:rPr>
          <w:lang w:eastAsia="en-AU"/>
        </w:rPr>
        <w:t>Illicit drug consumption in New Zealand</w:t>
      </w:r>
      <w:bookmarkEnd w:id="22"/>
      <w:bookmarkEnd w:id="23"/>
      <w:bookmarkEnd w:id="24"/>
    </w:p>
    <w:p w14:paraId="1214016D" w14:textId="77777777" w:rsidR="00A26FD6" w:rsidRPr="00875B9A" w:rsidRDefault="00A26FD6" w:rsidP="00A26FD6">
      <w:pPr>
        <w:rPr>
          <w:spacing w:val="-2"/>
          <w:lang w:eastAsia="en-AU"/>
        </w:rPr>
      </w:pPr>
      <w:r w:rsidRPr="00875B9A">
        <w:rPr>
          <w:lang w:eastAsia="en-AU"/>
        </w:rPr>
        <w:t xml:space="preserve">The extent of drug use in society is always difficult to ascertain. The most widely used technique is the nationally representative survey, participation in which is voluntary, and anonymity is guaranteed. Nevertheless, the sample survey may fail to reach a portion of people who use drugs, such as those experiencing homelessness and those in prison. </w:t>
      </w:r>
      <w:r w:rsidRPr="00875B9A">
        <w:rPr>
          <w:spacing w:val="-2"/>
          <w:lang w:eastAsia="en-AU"/>
        </w:rPr>
        <w:t>The sample survey technique was used in DHI 2016</w:t>
      </w:r>
      <w:r w:rsidRPr="00875B9A">
        <w:rPr>
          <w:lang w:eastAsia="en-AU"/>
        </w:rPr>
        <w:t xml:space="preserve"> but is limited at measuring total volume of drug consumption as it relies on assumptions of average volume of use per person. </w:t>
      </w:r>
      <w:r w:rsidRPr="00875B9A">
        <w:rPr>
          <w:spacing w:val="-2"/>
          <w:lang w:eastAsia="en-AU"/>
        </w:rPr>
        <w:t>DHI 2020 introduced analysis of wastewater to measure total volume of drug consumption. The use of wastewater analysis is timelier and more accurate than the previous method. This is a volumetric measure of consumption and avoids having to calculate the number of people who use drugs and their average consumption.</w:t>
      </w:r>
      <w:r w:rsidRPr="00875B9A">
        <w:rPr>
          <w:rStyle w:val="FootnoteReference"/>
          <w:spacing w:val="-2"/>
          <w:lang w:eastAsia="en-AU"/>
        </w:rPr>
        <w:footnoteReference w:id="9"/>
      </w:r>
    </w:p>
    <w:p w14:paraId="248774C3" w14:textId="77777777" w:rsidR="00A26FD6" w:rsidRPr="00875B9A" w:rsidRDefault="00A26FD6" w:rsidP="00A26FD6">
      <w:pPr>
        <w:rPr>
          <w:lang w:eastAsia="en-AU"/>
        </w:rPr>
      </w:pPr>
      <w:r w:rsidRPr="00875B9A">
        <w:rPr>
          <w:lang w:eastAsia="en-AU"/>
        </w:rPr>
        <w:t xml:space="preserve">The original New Zealand study to estimate illicit drug consumption was undertaken in Auckland in 2014 (Lai et al, 2017); it measured the metabolites of some illicit drugs in wastewater samples </w:t>
      </w:r>
      <w:r w:rsidRPr="00875B9A">
        <w:t xml:space="preserve">giving a volume of drug use within a specific catchment area. </w:t>
      </w:r>
      <w:r w:rsidRPr="00875B9A">
        <w:rPr>
          <w:lang w:eastAsia="en-AU"/>
        </w:rPr>
        <w:t>The New Zealand Police now publishes quarterly estimates of the consumption of methamphetamine, cocaine, MDMA, heroin, fentanyl, and methamphetamine precursors (ephedrine, pseudoephedrine) from 46 sites around New Zealand, covering wastewater catchment areas of up to 75% of the population.</w:t>
      </w:r>
    </w:p>
    <w:p w14:paraId="572DFBD1" w14:textId="1A226183" w:rsidR="00E415E0" w:rsidRDefault="00E415E0">
      <w:pPr>
        <w:rPr>
          <w:lang w:eastAsia="en-AU"/>
        </w:rPr>
      </w:pPr>
      <w:r>
        <w:rPr>
          <w:lang w:eastAsia="en-AU"/>
        </w:rPr>
        <w:br w:type="page"/>
      </w:r>
    </w:p>
    <w:p w14:paraId="7B971F39" w14:textId="665EA006" w:rsidR="00A26FD6" w:rsidRPr="00875B9A" w:rsidRDefault="00A26FD6" w:rsidP="00A26FD6">
      <w:pPr>
        <w:rPr>
          <w:spacing w:val="-2"/>
          <w:lang w:eastAsia="en-AU"/>
        </w:rPr>
      </w:pPr>
      <w:r w:rsidRPr="00875B9A">
        <w:rPr>
          <w:lang w:eastAsia="en-AU"/>
        </w:rPr>
        <w:t xml:space="preserve">Table </w:t>
      </w:r>
      <w:r w:rsidR="005421CA">
        <w:rPr>
          <w:lang w:eastAsia="en-AU"/>
        </w:rPr>
        <w:t>2</w:t>
      </w:r>
      <w:r w:rsidRPr="00875B9A">
        <w:rPr>
          <w:lang w:eastAsia="en-AU"/>
        </w:rPr>
        <w:t xml:space="preserve"> </w:t>
      </w:r>
      <w:r w:rsidRPr="00875B9A">
        <w:rPr>
          <w:spacing w:val="-2"/>
          <w:lang w:eastAsia="en-AU"/>
        </w:rPr>
        <w:t xml:space="preserve">has estimates of the consumption of methamphetamine, cocaine, MDMA and cannabis. All estimates, apart from cannabis, are based on New Zealand Police wastewater consumption data. The cannabis estimates derive from the 2020/21 Health Survey due to the challenges of testing for cannabis in wastewater, compared to other drugs. </w:t>
      </w:r>
      <w:r w:rsidRPr="00875B9A">
        <w:rPr>
          <w:lang w:eastAsia="en-AU"/>
        </w:rPr>
        <w:t xml:space="preserve">The most significant challenge is that THC and THC-COOH (the psychoactive ingredients tested for) do not dissolve in wastewater as well as other drugs do and are known to adhere to surfaces, including sewer infrastructure, creating significant inconsistencies. In addition, </w:t>
      </w:r>
      <w:r w:rsidRPr="00875B9A">
        <w:rPr>
          <w:szCs w:val="21"/>
        </w:rPr>
        <w:t>the effect of wastewater on the extraction of cannabis compounds is far greater than for other drugs.</w:t>
      </w:r>
    </w:p>
    <w:p w14:paraId="6F95CB5C" w14:textId="2799FE60" w:rsidR="00A26FD6" w:rsidRPr="00875B9A" w:rsidRDefault="00A26FD6" w:rsidP="00A26FD6">
      <w:pPr>
        <w:pStyle w:val="Table"/>
      </w:pPr>
      <w:bookmarkStart w:id="25" w:name="_Ref88222063"/>
      <w:bookmarkStart w:id="26" w:name="_Toc88231910"/>
      <w:bookmarkStart w:id="27" w:name="_Toc170116273"/>
      <w:r w:rsidRPr="00C5534E">
        <w:t>Table </w:t>
      </w:r>
      <w:bookmarkEnd w:id="25"/>
      <w:r w:rsidR="005421CA" w:rsidRPr="00C5534E">
        <w:t>2</w:t>
      </w:r>
      <w:r w:rsidRPr="00C5534E">
        <w:rPr>
          <w:noProof/>
        </w:rPr>
        <w:t>.</w:t>
      </w:r>
      <w:r w:rsidRPr="00C5534E">
        <w:t xml:space="preserve"> Estimated annual consumption of illicit drugs in New Zealand 20</w:t>
      </w:r>
      <w:bookmarkEnd w:id="26"/>
      <w:r w:rsidRPr="00C5534E">
        <w:t>21</w:t>
      </w:r>
      <w:bookmarkEnd w:id="27"/>
      <w:r w:rsidRPr="00875B9A">
        <w:tab/>
      </w:r>
    </w:p>
    <w:tbl>
      <w:tblPr>
        <w:tblStyle w:val="TableGrid"/>
        <w:tblW w:w="0" w:type="auto"/>
        <w:tblLayout w:type="fixed"/>
        <w:tblCellMar>
          <w:left w:w="113" w:type="dxa"/>
          <w:right w:w="113" w:type="dxa"/>
        </w:tblCellMar>
        <w:tblLook w:val="04A0" w:firstRow="1" w:lastRow="0" w:firstColumn="1" w:lastColumn="0" w:noHBand="0" w:noVBand="1"/>
      </w:tblPr>
      <w:tblGrid>
        <w:gridCol w:w="2268"/>
        <w:gridCol w:w="2519"/>
      </w:tblGrid>
      <w:tr w:rsidR="00A26FD6" w:rsidRPr="00875B9A" w14:paraId="2E29EC05" w14:textId="77777777" w:rsidTr="00E415E0">
        <w:trPr>
          <w:cantSplit/>
        </w:trPr>
        <w:tc>
          <w:tcPr>
            <w:tcW w:w="2268" w:type="dxa"/>
            <w:shd w:val="clear" w:color="auto" w:fill="auto"/>
          </w:tcPr>
          <w:p w14:paraId="60A779C9" w14:textId="77777777" w:rsidR="00A26FD6" w:rsidRPr="00875B9A" w:rsidRDefault="00A26FD6" w:rsidP="00B573EE">
            <w:pPr>
              <w:pStyle w:val="TableText"/>
              <w:rPr>
                <w:b/>
              </w:rPr>
            </w:pPr>
            <w:r w:rsidRPr="00875B9A">
              <w:rPr>
                <w:b/>
              </w:rPr>
              <w:t>Drug type</w:t>
            </w:r>
          </w:p>
        </w:tc>
        <w:tc>
          <w:tcPr>
            <w:tcW w:w="2519" w:type="dxa"/>
            <w:shd w:val="clear" w:color="auto" w:fill="auto"/>
          </w:tcPr>
          <w:p w14:paraId="13F80D7B" w14:textId="77777777" w:rsidR="00A26FD6" w:rsidRPr="00875B9A" w:rsidRDefault="00A26FD6" w:rsidP="00B573EE">
            <w:pPr>
              <w:pStyle w:val="TableText"/>
              <w:rPr>
                <w:b/>
              </w:rPr>
            </w:pPr>
            <w:r w:rsidRPr="00875B9A">
              <w:rPr>
                <w:b/>
              </w:rPr>
              <w:t>Total consumption (kg)</w:t>
            </w:r>
          </w:p>
        </w:tc>
      </w:tr>
      <w:tr w:rsidR="00A26FD6" w:rsidRPr="00875B9A" w14:paraId="65140905" w14:textId="77777777" w:rsidTr="00E415E0">
        <w:trPr>
          <w:cantSplit/>
        </w:trPr>
        <w:tc>
          <w:tcPr>
            <w:tcW w:w="2268" w:type="dxa"/>
            <w:tcBorders>
              <w:bottom w:val="nil"/>
            </w:tcBorders>
            <w:shd w:val="clear" w:color="auto" w:fill="auto"/>
          </w:tcPr>
          <w:p w14:paraId="19504879" w14:textId="77777777" w:rsidR="00A26FD6" w:rsidRPr="00875B9A" w:rsidRDefault="00A26FD6" w:rsidP="00B573EE">
            <w:pPr>
              <w:pStyle w:val="TableText"/>
              <w:rPr>
                <w:i/>
              </w:rPr>
            </w:pPr>
            <w:r w:rsidRPr="00875B9A">
              <w:t>Methamphetamine</w:t>
            </w:r>
          </w:p>
        </w:tc>
        <w:tc>
          <w:tcPr>
            <w:tcW w:w="2519" w:type="dxa"/>
            <w:tcBorders>
              <w:bottom w:val="nil"/>
            </w:tcBorders>
            <w:shd w:val="clear" w:color="auto" w:fill="auto"/>
            <w:tcMar>
              <w:right w:w="57" w:type="dxa"/>
            </w:tcMar>
          </w:tcPr>
          <w:p w14:paraId="37F8F677" w14:textId="77777777" w:rsidR="00A26FD6" w:rsidRPr="00875B9A" w:rsidRDefault="00A26FD6" w:rsidP="00B573EE">
            <w:pPr>
              <w:pStyle w:val="TableText"/>
              <w:tabs>
                <w:tab w:val="decimal" w:pos="1187"/>
              </w:tabs>
              <w:jc w:val="right"/>
            </w:pPr>
            <w:r w:rsidRPr="00875B9A">
              <w:t>826</w:t>
            </w:r>
          </w:p>
        </w:tc>
      </w:tr>
      <w:tr w:rsidR="00A26FD6" w:rsidRPr="00875B9A" w14:paraId="6584A200" w14:textId="77777777" w:rsidTr="00E415E0">
        <w:trPr>
          <w:cantSplit/>
        </w:trPr>
        <w:tc>
          <w:tcPr>
            <w:tcW w:w="2268" w:type="dxa"/>
            <w:tcBorders>
              <w:top w:val="nil"/>
              <w:bottom w:val="nil"/>
            </w:tcBorders>
            <w:shd w:val="clear" w:color="auto" w:fill="auto"/>
          </w:tcPr>
          <w:p w14:paraId="4CAB0432" w14:textId="77777777" w:rsidR="00A26FD6" w:rsidRPr="00875B9A" w:rsidRDefault="00A26FD6" w:rsidP="00B573EE">
            <w:pPr>
              <w:pStyle w:val="TableText"/>
              <w:rPr>
                <w:i/>
              </w:rPr>
            </w:pPr>
            <w:r w:rsidRPr="00875B9A">
              <w:t>Cocaine</w:t>
            </w:r>
          </w:p>
        </w:tc>
        <w:tc>
          <w:tcPr>
            <w:tcW w:w="2519" w:type="dxa"/>
            <w:tcBorders>
              <w:top w:val="nil"/>
              <w:bottom w:val="nil"/>
            </w:tcBorders>
            <w:shd w:val="clear" w:color="auto" w:fill="auto"/>
            <w:tcMar>
              <w:right w:w="57" w:type="dxa"/>
            </w:tcMar>
          </w:tcPr>
          <w:p w14:paraId="57CCC3E9" w14:textId="77777777" w:rsidR="00A26FD6" w:rsidRPr="00875B9A" w:rsidRDefault="00A26FD6" w:rsidP="00B573EE">
            <w:pPr>
              <w:pStyle w:val="TableText"/>
              <w:tabs>
                <w:tab w:val="decimal" w:pos="1187"/>
              </w:tabs>
              <w:jc w:val="right"/>
            </w:pPr>
            <w:r w:rsidRPr="00875B9A">
              <w:t>31</w:t>
            </w:r>
          </w:p>
        </w:tc>
      </w:tr>
      <w:tr w:rsidR="00A26FD6" w:rsidRPr="00875B9A" w14:paraId="016066AB" w14:textId="77777777" w:rsidTr="00E415E0">
        <w:trPr>
          <w:cantSplit/>
        </w:trPr>
        <w:tc>
          <w:tcPr>
            <w:tcW w:w="2268" w:type="dxa"/>
            <w:tcBorders>
              <w:top w:val="nil"/>
              <w:bottom w:val="nil"/>
            </w:tcBorders>
            <w:shd w:val="clear" w:color="auto" w:fill="auto"/>
          </w:tcPr>
          <w:p w14:paraId="2C47CA78" w14:textId="77777777" w:rsidR="00A26FD6" w:rsidRPr="00875B9A" w:rsidRDefault="00A26FD6" w:rsidP="00B573EE">
            <w:pPr>
              <w:pStyle w:val="TableText"/>
              <w:rPr>
                <w:i/>
              </w:rPr>
            </w:pPr>
            <w:r w:rsidRPr="00875B9A">
              <w:t>MDMA</w:t>
            </w:r>
          </w:p>
        </w:tc>
        <w:tc>
          <w:tcPr>
            <w:tcW w:w="2519" w:type="dxa"/>
            <w:tcBorders>
              <w:top w:val="nil"/>
              <w:bottom w:val="nil"/>
            </w:tcBorders>
            <w:shd w:val="clear" w:color="auto" w:fill="auto"/>
            <w:tcMar>
              <w:right w:w="57" w:type="dxa"/>
            </w:tcMar>
          </w:tcPr>
          <w:p w14:paraId="592F29B8" w14:textId="77777777" w:rsidR="00A26FD6" w:rsidRPr="00875B9A" w:rsidRDefault="00A26FD6" w:rsidP="00B573EE">
            <w:pPr>
              <w:pStyle w:val="TableText"/>
              <w:tabs>
                <w:tab w:val="decimal" w:pos="1187"/>
              </w:tabs>
              <w:jc w:val="right"/>
            </w:pPr>
            <w:r w:rsidRPr="00875B9A">
              <w:t>244</w:t>
            </w:r>
          </w:p>
        </w:tc>
      </w:tr>
      <w:tr w:rsidR="00A26FD6" w:rsidRPr="00875B9A" w14:paraId="3F945042" w14:textId="77777777" w:rsidTr="00E415E0">
        <w:trPr>
          <w:cantSplit/>
        </w:trPr>
        <w:tc>
          <w:tcPr>
            <w:tcW w:w="2268" w:type="dxa"/>
            <w:tcBorders>
              <w:top w:val="nil"/>
            </w:tcBorders>
            <w:shd w:val="clear" w:color="auto" w:fill="auto"/>
          </w:tcPr>
          <w:p w14:paraId="6A4F5408" w14:textId="77777777" w:rsidR="00A26FD6" w:rsidRPr="00875B9A" w:rsidRDefault="00A26FD6" w:rsidP="00B573EE">
            <w:pPr>
              <w:pStyle w:val="TableText"/>
              <w:rPr>
                <w:iCs/>
              </w:rPr>
            </w:pPr>
            <w:r w:rsidRPr="00875B9A">
              <w:rPr>
                <w:iCs/>
              </w:rPr>
              <w:t>Cannabis</w:t>
            </w:r>
          </w:p>
        </w:tc>
        <w:tc>
          <w:tcPr>
            <w:tcW w:w="2519" w:type="dxa"/>
            <w:tcBorders>
              <w:top w:val="nil"/>
            </w:tcBorders>
            <w:shd w:val="clear" w:color="auto" w:fill="auto"/>
            <w:tcMar>
              <w:right w:w="57" w:type="dxa"/>
            </w:tcMar>
          </w:tcPr>
          <w:p w14:paraId="0057B3AB" w14:textId="77777777" w:rsidR="00A26FD6" w:rsidRPr="00875B9A" w:rsidRDefault="00A26FD6" w:rsidP="00B573EE">
            <w:pPr>
              <w:pStyle w:val="TableText"/>
              <w:tabs>
                <w:tab w:val="decimal" w:pos="1187"/>
              </w:tabs>
              <w:jc w:val="right"/>
            </w:pPr>
            <w:r w:rsidRPr="00875B9A">
              <w:t>59,921</w:t>
            </w:r>
          </w:p>
        </w:tc>
      </w:tr>
    </w:tbl>
    <w:p w14:paraId="37D7C31A" w14:textId="77777777" w:rsidR="00A26FD6" w:rsidRPr="00875B9A" w:rsidRDefault="00A26FD6" w:rsidP="00A26FD6">
      <w:pPr>
        <w:rPr>
          <w:lang w:eastAsia="en-AU"/>
        </w:rPr>
      </w:pPr>
    </w:p>
    <w:p w14:paraId="6B649D7A" w14:textId="77777777" w:rsidR="00A26FD6" w:rsidRPr="00875B9A" w:rsidRDefault="00A26FD6" w:rsidP="00A26FD6">
      <w:pPr>
        <w:keepLines/>
        <w:rPr>
          <w:lang w:eastAsia="en-AU"/>
        </w:rPr>
      </w:pPr>
      <w:r w:rsidRPr="00875B9A">
        <w:rPr>
          <w:lang w:eastAsia="en-AU"/>
        </w:rPr>
        <w:t>While the above figures provide accurate volumes for the pure substance detected at wastewater sites, they are almost certainly an underestimation of total consumption. The above consumption figures do not include adjustments for the percentage of the population covered by wastewater testing and does not adjust for purity. Opportunities exist for further analysis of wastewater data which would provide a more accurate picture of illicit drug consumption in New Zealand.</w:t>
      </w:r>
    </w:p>
    <w:p w14:paraId="0DFA33C8" w14:textId="77777777" w:rsidR="00A26FD6" w:rsidRPr="00875B9A" w:rsidRDefault="00A26FD6" w:rsidP="00A26FD6">
      <w:pPr>
        <w:rPr>
          <w:spacing w:val="-2"/>
          <w:lang w:eastAsia="en-AU"/>
        </w:rPr>
      </w:pPr>
      <w:r w:rsidRPr="00875B9A">
        <w:rPr>
          <w:lang w:eastAsia="en-AU"/>
        </w:rPr>
        <w:t xml:space="preserve">Drug types included are those where sufficient traces were detected to allow a reasonable estimate of consumption to be made. Existing evidence for fentanyl and heroin suggests low levels of consumption and they have therefore been omitted from consumption estimates. </w:t>
      </w:r>
      <w:bookmarkStart w:id="28" w:name="_Hlk65768576"/>
      <w:r w:rsidRPr="00875B9A">
        <w:rPr>
          <w:spacing w:val="-2"/>
          <w:lang w:eastAsia="en-AU"/>
        </w:rPr>
        <w:t>Consumption of synthetic cannabinoids and GHB/GBL (both included in the overall estimated social cost of drug-related harm table) is unable to be estimated as these substances are not included in wastewater testing and were not included in the 2020/21 Health Survey.</w:t>
      </w:r>
    </w:p>
    <w:p w14:paraId="52A126D8" w14:textId="598BD871" w:rsidR="00A26FD6" w:rsidRPr="00875B9A" w:rsidRDefault="00A26FD6" w:rsidP="00A26FD6">
      <w:pPr>
        <w:pStyle w:val="Heading2"/>
        <w:rPr>
          <w:lang w:eastAsia="en-AU"/>
        </w:rPr>
      </w:pPr>
      <w:bookmarkStart w:id="29" w:name="_Toc444941794"/>
      <w:bookmarkStart w:id="30" w:name="_Toc89352342"/>
      <w:bookmarkStart w:id="31" w:name="_Toc170116263"/>
      <w:bookmarkEnd w:id="28"/>
      <w:r w:rsidRPr="00875B9A">
        <w:rPr>
          <w:lang w:eastAsia="en-AU"/>
        </w:rPr>
        <w:t>Personal harms</w:t>
      </w:r>
      <w:bookmarkEnd w:id="29"/>
      <w:bookmarkEnd w:id="30"/>
      <w:bookmarkEnd w:id="31"/>
    </w:p>
    <w:p w14:paraId="0B5C063D" w14:textId="77777777" w:rsidR="00A26FD6" w:rsidRPr="00875B9A" w:rsidRDefault="00A26FD6" w:rsidP="00A26FD6">
      <w:pPr>
        <w:rPr>
          <w:lang w:eastAsia="en-AU"/>
        </w:rPr>
      </w:pPr>
      <w:bookmarkStart w:id="32" w:name="_Hlk133839514"/>
      <w:r w:rsidRPr="00875B9A">
        <w:rPr>
          <w:lang w:eastAsia="en-AU"/>
        </w:rPr>
        <w:t xml:space="preserve">Personal harms resulting from illicit drug use included in the report include harms related to premature death and harms related to a reduction in the quality of life. Although these are useful measures, they do not necessarily capture the extent of personal harm from illicit drug use. </w:t>
      </w:r>
      <w:bookmarkStart w:id="33" w:name="_Hlk133838069"/>
      <w:r w:rsidRPr="00875B9A">
        <w:rPr>
          <w:lang w:eastAsia="en-AU"/>
        </w:rPr>
        <w:t>It is important to acknowledge that personal harm can include harms that do not always result in interaction with health services, such as lower-level effects on physical and mental health, adverse impacts on relationships, employment, and personal finances</w:t>
      </w:r>
      <w:bookmarkEnd w:id="33"/>
      <w:r w:rsidRPr="00875B9A">
        <w:rPr>
          <w:lang w:eastAsia="en-AU"/>
        </w:rPr>
        <w:t>.</w:t>
      </w:r>
    </w:p>
    <w:bookmarkEnd w:id="32"/>
    <w:p w14:paraId="6467F680" w14:textId="48D0D1DC" w:rsidR="00A26FD6" w:rsidRPr="00875B9A" w:rsidRDefault="00A26FD6" w:rsidP="00A26FD6">
      <w:pPr>
        <w:rPr>
          <w:lang w:eastAsia="en-AU"/>
        </w:rPr>
      </w:pPr>
      <w:r w:rsidRPr="00875B9A">
        <w:rPr>
          <w:lang w:eastAsia="en-AU"/>
        </w:rPr>
        <w:t xml:space="preserve">Harm calculations were made in relation to the illicit drug types described in Table 2. </w:t>
      </w:r>
    </w:p>
    <w:p w14:paraId="03686A04" w14:textId="7984AF07" w:rsidR="00875B9A" w:rsidRPr="00875B9A" w:rsidRDefault="00A26FD6" w:rsidP="00A26FD6">
      <w:r w:rsidRPr="00875B9A">
        <w:rPr>
          <w:lang w:eastAsia="en-AU"/>
        </w:rPr>
        <w:t>As noted previously, h</w:t>
      </w:r>
      <w:r w:rsidRPr="00875B9A">
        <w:t xml:space="preserve">arms were categorised as </w:t>
      </w:r>
      <w:r w:rsidRPr="00875B9A">
        <w:rPr>
          <w:i/>
        </w:rPr>
        <w:t>personal</w:t>
      </w:r>
      <w:r w:rsidRPr="00875B9A">
        <w:t xml:space="preserve"> where they related to the people who use drugs themselves, and as </w:t>
      </w:r>
      <w:r w:rsidRPr="00875B9A">
        <w:rPr>
          <w:i/>
        </w:rPr>
        <w:t>community</w:t>
      </w:r>
      <w:r w:rsidRPr="00875B9A">
        <w:t xml:space="preserve"> where they related to the impact on the wider New Zealand public.</w:t>
      </w:r>
    </w:p>
    <w:p w14:paraId="723B9BFF" w14:textId="77777777" w:rsidR="00875B9A" w:rsidRPr="00875B9A" w:rsidRDefault="00875B9A">
      <w:r w:rsidRPr="00875B9A">
        <w:br w:type="page"/>
      </w:r>
    </w:p>
    <w:p w14:paraId="57B7C2F0" w14:textId="7F90809A" w:rsidR="00A26FD6" w:rsidRPr="00875B9A" w:rsidRDefault="00A26FD6" w:rsidP="00A26FD6">
      <w:pPr>
        <w:pStyle w:val="Heading2"/>
        <w:rPr>
          <w:lang w:eastAsia="en-AU"/>
        </w:rPr>
      </w:pPr>
      <w:bookmarkStart w:id="34" w:name="_Toc170116264"/>
      <w:r w:rsidRPr="00875B9A">
        <w:rPr>
          <w:lang w:eastAsia="en-AU"/>
        </w:rPr>
        <w:t>Premature death</w:t>
      </w:r>
      <w:bookmarkEnd w:id="34"/>
    </w:p>
    <w:p w14:paraId="3FBE66D3" w14:textId="77777777" w:rsidR="00A26FD6" w:rsidRPr="00875B9A" w:rsidRDefault="00A26FD6" w:rsidP="00A26FD6">
      <w:pPr>
        <w:rPr>
          <w:lang w:eastAsia="en-AU"/>
        </w:rPr>
      </w:pPr>
      <w:r w:rsidRPr="00875B9A">
        <w:rPr>
          <w:lang w:eastAsia="en-AU"/>
        </w:rPr>
        <w:t>Premature death relating to drugs was sourced by Coronial Services (Ministry of Justice). Information for drug related deaths were requested to provide details on drug-related deaths in 2021. A keyword search</w:t>
      </w:r>
      <w:r w:rsidRPr="00875B9A">
        <w:rPr>
          <w:rStyle w:val="FootnoteReference"/>
        </w:rPr>
        <w:footnoteReference w:id="10"/>
      </w:r>
      <w:r w:rsidRPr="00875B9A">
        <w:rPr>
          <w:lang w:eastAsia="en-AU"/>
        </w:rPr>
        <w:t xml:space="preserve"> was performed, with the data counting instances where keywords were recorded in </w:t>
      </w:r>
      <w:r w:rsidRPr="00875B9A">
        <w:rPr>
          <w:i/>
          <w:iCs/>
          <w:lang w:eastAsia="en-AU"/>
        </w:rPr>
        <w:t>Medical Cause of Death 1</w:t>
      </w:r>
      <w:r w:rsidRPr="00875B9A">
        <w:rPr>
          <w:lang w:eastAsia="en-AU"/>
        </w:rPr>
        <w:t xml:space="preserve">, </w:t>
      </w:r>
      <w:r w:rsidRPr="00875B9A">
        <w:rPr>
          <w:i/>
          <w:iCs/>
          <w:lang w:eastAsia="en-AU"/>
        </w:rPr>
        <w:t>Medical Cause of Death 2</w:t>
      </w:r>
      <w:r w:rsidRPr="00875B9A">
        <w:rPr>
          <w:lang w:eastAsia="en-AU"/>
        </w:rPr>
        <w:t xml:space="preserve">, </w:t>
      </w:r>
      <w:r w:rsidRPr="00875B9A">
        <w:rPr>
          <w:i/>
          <w:iCs/>
          <w:lang w:eastAsia="en-AU"/>
        </w:rPr>
        <w:t>Medical Cause of Death 3</w:t>
      </w:r>
      <w:r w:rsidRPr="00875B9A">
        <w:rPr>
          <w:lang w:eastAsia="en-AU"/>
        </w:rPr>
        <w:t xml:space="preserve">, </w:t>
      </w:r>
      <w:r w:rsidRPr="00875B9A">
        <w:rPr>
          <w:i/>
          <w:iCs/>
          <w:lang w:eastAsia="en-AU"/>
        </w:rPr>
        <w:t>Provisional Cause of Death</w:t>
      </w:r>
      <w:r w:rsidRPr="00875B9A">
        <w:rPr>
          <w:lang w:eastAsia="en-AU"/>
        </w:rPr>
        <w:t xml:space="preserve"> and </w:t>
      </w:r>
      <w:r w:rsidRPr="00875B9A">
        <w:rPr>
          <w:i/>
          <w:iCs/>
          <w:lang w:eastAsia="en-AU"/>
        </w:rPr>
        <w:t>Final Cause of Death</w:t>
      </w:r>
      <w:r w:rsidRPr="00875B9A">
        <w:rPr>
          <w:lang w:eastAsia="en-AU"/>
        </w:rPr>
        <w:t>. There were 177 drug-related deaths in 2021.</w:t>
      </w:r>
      <w:r w:rsidRPr="00875B9A">
        <w:rPr>
          <w:rStyle w:val="FootnoteReference"/>
          <w:lang w:eastAsia="en-AU"/>
        </w:rPr>
        <w:footnoteReference w:id="11"/>
      </w:r>
      <w:r w:rsidRPr="00875B9A">
        <w:rPr>
          <w:lang w:eastAsia="en-AU"/>
        </w:rPr>
        <w:t xml:space="preserve"> This included active cases.</w:t>
      </w:r>
      <w:r w:rsidRPr="00875B9A">
        <w:rPr>
          <w:rStyle w:val="FootnoteReference"/>
          <w:lang w:eastAsia="en-AU"/>
        </w:rPr>
        <w:footnoteReference w:id="12"/>
      </w:r>
    </w:p>
    <w:p w14:paraId="067B8D3D" w14:textId="77777777" w:rsidR="00A26FD6" w:rsidRPr="00875B9A" w:rsidRDefault="00A26FD6" w:rsidP="00A26FD6">
      <w:pPr>
        <w:rPr>
          <w:lang w:eastAsia="en-AU"/>
        </w:rPr>
      </w:pPr>
      <w:r w:rsidRPr="00875B9A">
        <w:rPr>
          <w:lang w:eastAsia="en-AU"/>
        </w:rPr>
        <w:t>It should be noted that this includes all deaths where drugs have been found to be a contributing factor, not just acute overdoses. This takes a broad view of drug-related harm and caution should be taken when using the below statistics to describe drug-related deaths.</w:t>
      </w:r>
    </w:p>
    <w:p w14:paraId="4CE615CE" w14:textId="77777777" w:rsidR="00A26FD6" w:rsidRPr="00875B9A" w:rsidRDefault="00A26FD6" w:rsidP="00A26FD6">
      <w:pPr>
        <w:rPr>
          <w:lang w:eastAsia="en-AU"/>
        </w:rPr>
      </w:pPr>
      <w:r w:rsidRPr="00875B9A">
        <w:rPr>
          <w:lang w:eastAsia="en-AU"/>
        </w:rPr>
        <w:t xml:space="preserve">To avoid double counting, where only one substance was recorded against a death this substance was counted as 1, where two or more substances were recorded against a death the substances are counted as an equal proportion of 1 (i.e., if four substances were recorded against a death these substances were counted as 0.25 each). </w:t>
      </w:r>
    </w:p>
    <w:p w14:paraId="31DF65F7" w14:textId="0D7C26A2" w:rsidR="00A26FD6" w:rsidRPr="00875B9A" w:rsidRDefault="00A26FD6" w:rsidP="00A26FD6">
      <w:pPr>
        <w:rPr>
          <w:lang w:eastAsia="en-AU"/>
        </w:rPr>
      </w:pPr>
      <w:r w:rsidRPr="00875B9A">
        <w:rPr>
          <w:lang w:eastAsia="en-AU"/>
        </w:rPr>
        <w:t>The total number of deaths related to a specific substance were then multiplied by the estimated value of a life:</w:t>
      </w:r>
      <w:r w:rsidRPr="00875B9A">
        <w:t xml:space="preserve"> </w:t>
      </w:r>
      <w:r w:rsidRPr="00875B9A">
        <w:rPr>
          <w:lang w:eastAsia="en-AU"/>
        </w:rPr>
        <w:t xml:space="preserve">$4,934,900 (Ministry of Transport, 2023, p.13). </w:t>
      </w:r>
      <w:r w:rsidRPr="00875B9A">
        <w:t>The total cost of premature death calculated as an estimated $427.26 million, with the main contributor methamphetamine at $256.61 million.</w:t>
      </w:r>
      <w:r w:rsidRPr="00875B9A">
        <w:rPr>
          <w:rStyle w:val="FootnoteReference"/>
        </w:rPr>
        <w:footnoteReference w:id="13"/>
      </w:r>
      <w:r w:rsidRPr="00875B9A">
        <w:t xml:space="preserve"> </w:t>
      </w:r>
      <w:r w:rsidRPr="00875B9A">
        <w:rPr>
          <w:lang w:eastAsia="en-AU"/>
        </w:rPr>
        <w:t xml:space="preserve">Details are provided in Table </w:t>
      </w:r>
      <w:r w:rsidR="005421CA">
        <w:rPr>
          <w:lang w:eastAsia="en-AU"/>
        </w:rPr>
        <w:t>3</w:t>
      </w:r>
      <w:r w:rsidRPr="00875B9A">
        <w:rPr>
          <w:lang w:eastAsia="en-AU"/>
        </w:rPr>
        <w:t>.</w:t>
      </w:r>
    </w:p>
    <w:p w14:paraId="62577E4F" w14:textId="4253B9A8" w:rsidR="00A26FD6" w:rsidRPr="00875B9A" w:rsidRDefault="00A26FD6" w:rsidP="00A26FD6">
      <w:pPr>
        <w:pStyle w:val="Heading2"/>
        <w:rPr>
          <w:lang w:eastAsia="en-AU"/>
        </w:rPr>
      </w:pPr>
      <w:bookmarkStart w:id="36" w:name="_Toc170116265"/>
      <w:r w:rsidRPr="00875B9A">
        <w:rPr>
          <w:lang w:eastAsia="en-AU"/>
        </w:rPr>
        <w:t>Loss of quality of life</w:t>
      </w:r>
      <w:bookmarkEnd w:id="36"/>
    </w:p>
    <w:p w14:paraId="519584C6" w14:textId="77777777" w:rsidR="00A26FD6" w:rsidRPr="00875B9A" w:rsidRDefault="00A26FD6" w:rsidP="00A26FD6">
      <w:r w:rsidRPr="00875B9A">
        <w:t>In DHI 2020 this was replaced by hospital admission National Minimum Dataset (NMDS) data, namely hospital admissions where the primary diagnosis was drug related. Hospital admissions of more than one day were considered a serious loss of quality of life and those of one day or less as a minor loss. This is consistent with the basis used by the Ministry of Transport to identify minor and serious injury in road crashes. Costs associated with a serious loss of quality of life were estimated at $516,300 per person (admissions = 753) and for a minor loss at $27,700 per person (admissions = 1,033). These dollar figures include loss of output due to temporary incapacitation, calculated using average hourly earnings as a proxy. Table 3 has details with the total cost of loss of quality of life at $417.45 million with $388.82 million relating to serious cases and $28.63 million relating to minor cases.</w:t>
      </w:r>
    </w:p>
    <w:p w14:paraId="7013853B" w14:textId="77777777" w:rsidR="00A26FD6" w:rsidRPr="00875B9A" w:rsidRDefault="00A26FD6" w:rsidP="00A26FD6">
      <w:r w:rsidRPr="00875B9A">
        <w:t xml:space="preserve">Note that minor rounding errors will occur, largely because hospital admissions could be attributed to multiple factors, including alcohol and other drugs. Multiple cause admissions were distributed equally over known factors to avoid double-counting. </w:t>
      </w:r>
    </w:p>
    <w:p w14:paraId="084BFE12" w14:textId="77777777" w:rsidR="00E415E0" w:rsidRDefault="00E415E0" w:rsidP="00A26FD6"/>
    <w:p w14:paraId="37EB1874" w14:textId="6CFEDC08" w:rsidR="00A26FD6" w:rsidRPr="00875B9A" w:rsidRDefault="00A26FD6" w:rsidP="00A26FD6">
      <w:r w:rsidRPr="00875B9A">
        <w:t>Using hospital admissions to measure loss of quality of life almost certainly underestimates the cost of drug harm. This data is unlikely to include people with life</w:t>
      </w:r>
      <w:r w:rsidRPr="00875B9A">
        <w:noBreakHyphen/>
        <w:t>long drug issues that never visit hospital, some long-term and chronic impacts, as well as wider harms experienced such as job loss, accommodation loss, and difficulties with mental health.</w:t>
      </w:r>
    </w:p>
    <w:p w14:paraId="5115E2E5" w14:textId="10ED817D" w:rsidR="00A26FD6" w:rsidRPr="00875B9A" w:rsidRDefault="00A26FD6" w:rsidP="00A26FD6">
      <w:pPr>
        <w:pStyle w:val="Table"/>
        <w:rPr>
          <w:lang w:eastAsia="en-AU"/>
        </w:rPr>
      </w:pPr>
      <w:bookmarkStart w:id="37" w:name="_Ref88222852"/>
      <w:bookmarkStart w:id="38" w:name="_Toc444941847"/>
      <w:bookmarkStart w:id="39" w:name="_Toc88231911"/>
      <w:bookmarkStart w:id="40" w:name="_Toc170116274"/>
      <w:bookmarkStart w:id="41" w:name="_Hlk131599165"/>
      <w:r w:rsidRPr="00875B9A">
        <w:t>Table</w:t>
      </w:r>
      <w:bookmarkEnd w:id="37"/>
      <w:r w:rsidRPr="00875B9A">
        <w:t xml:space="preserve"> </w:t>
      </w:r>
      <w:r w:rsidR="005421CA">
        <w:t>3</w:t>
      </w:r>
      <w:r w:rsidRPr="00875B9A">
        <w:rPr>
          <w:noProof/>
        </w:rPr>
        <w:t>.</w:t>
      </w:r>
      <w:r w:rsidRPr="00875B9A">
        <w:rPr>
          <w:lang w:eastAsia="en-AU"/>
        </w:rPr>
        <w:t xml:space="preserve"> Personal harms by drug </w:t>
      </w:r>
      <w:bookmarkEnd w:id="38"/>
      <w:r w:rsidRPr="00875B9A">
        <w:rPr>
          <w:lang w:eastAsia="en-AU"/>
        </w:rPr>
        <w:t>type ($ million)</w:t>
      </w:r>
      <w:bookmarkEnd w:id="39"/>
      <w:bookmarkEnd w:id="40"/>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268"/>
        <w:gridCol w:w="1701"/>
        <w:gridCol w:w="1760"/>
        <w:gridCol w:w="1760"/>
        <w:gridCol w:w="1843"/>
      </w:tblGrid>
      <w:tr w:rsidR="00A26FD6" w:rsidRPr="00875B9A" w14:paraId="1422886A" w14:textId="77777777" w:rsidTr="00E415E0">
        <w:trPr>
          <w:cantSplit/>
        </w:trPr>
        <w:tc>
          <w:tcPr>
            <w:tcW w:w="2268" w:type="dxa"/>
            <w:vMerge w:val="restart"/>
            <w:shd w:val="clear" w:color="auto" w:fill="auto"/>
            <w:noWrap/>
          </w:tcPr>
          <w:bookmarkEnd w:id="41"/>
          <w:p w14:paraId="4FAE5357" w14:textId="77777777" w:rsidR="00A26FD6" w:rsidRPr="00875B9A" w:rsidRDefault="00A26FD6" w:rsidP="00B573EE">
            <w:pPr>
              <w:pStyle w:val="TableText"/>
              <w:rPr>
                <w:lang w:eastAsia="en-AU"/>
              </w:rPr>
            </w:pPr>
            <w:r w:rsidRPr="00875B9A">
              <w:rPr>
                <w:rFonts w:cstheme="minorHAnsi"/>
                <w:b/>
                <w:bCs/>
                <w:lang w:eastAsia="en-AU"/>
              </w:rPr>
              <w:t>Drug type</w:t>
            </w:r>
          </w:p>
        </w:tc>
        <w:tc>
          <w:tcPr>
            <w:tcW w:w="1701" w:type="dxa"/>
            <w:vMerge w:val="restart"/>
            <w:shd w:val="clear" w:color="auto" w:fill="auto"/>
          </w:tcPr>
          <w:p w14:paraId="6DC01CE0" w14:textId="77777777" w:rsidR="00A26FD6" w:rsidRPr="00875B9A" w:rsidRDefault="00A26FD6" w:rsidP="00B573EE">
            <w:pPr>
              <w:pStyle w:val="TableText"/>
              <w:jc w:val="center"/>
              <w:rPr>
                <w:b/>
                <w:lang w:eastAsia="en-AU"/>
              </w:rPr>
            </w:pPr>
            <w:r w:rsidRPr="00875B9A">
              <w:rPr>
                <w:b/>
                <w:lang w:eastAsia="en-AU"/>
              </w:rPr>
              <w:t>Premature death</w:t>
            </w:r>
          </w:p>
          <w:p w14:paraId="7E20A945" w14:textId="77777777" w:rsidR="00A26FD6" w:rsidRPr="00875B9A" w:rsidRDefault="00A26FD6" w:rsidP="00B573EE">
            <w:pPr>
              <w:pStyle w:val="TableText"/>
              <w:jc w:val="center"/>
              <w:rPr>
                <w:rFonts w:ascii="Calibri" w:hAnsi="Calibri" w:cs="Calibri"/>
                <w:b/>
                <w:lang w:eastAsia="en-AU"/>
              </w:rPr>
            </w:pPr>
            <w:r w:rsidRPr="00875B9A">
              <w:rPr>
                <w:b/>
                <w:lang w:eastAsia="en-AU"/>
              </w:rPr>
              <w:t>($ million)</w:t>
            </w:r>
          </w:p>
        </w:tc>
        <w:tc>
          <w:tcPr>
            <w:tcW w:w="3520" w:type="dxa"/>
            <w:gridSpan w:val="2"/>
            <w:tcBorders>
              <w:bottom w:val="nil"/>
            </w:tcBorders>
            <w:shd w:val="clear" w:color="auto" w:fill="auto"/>
          </w:tcPr>
          <w:p w14:paraId="460AAB7C" w14:textId="77777777" w:rsidR="00A26FD6" w:rsidRPr="00875B9A" w:rsidRDefault="00A26FD6" w:rsidP="00B573EE">
            <w:pPr>
              <w:pStyle w:val="TableText"/>
              <w:spacing w:after="0"/>
              <w:jc w:val="center"/>
              <w:rPr>
                <w:b/>
                <w:lang w:eastAsia="en-AU"/>
              </w:rPr>
            </w:pPr>
            <w:r w:rsidRPr="00875B9A">
              <w:rPr>
                <w:b/>
                <w:lang w:eastAsia="en-AU"/>
              </w:rPr>
              <w:t>Quality of life ($ million)</w:t>
            </w:r>
          </w:p>
        </w:tc>
        <w:tc>
          <w:tcPr>
            <w:tcW w:w="1843" w:type="dxa"/>
            <w:vMerge w:val="restart"/>
            <w:shd w:val="clear" w:color="auto" w:fill="auto"/>
          </w:tcPr>
          <w:p w14:paraId="226191C9" w14:textId="77777777" w:rsidR="00A26FD6" w:rsidRPr="00875B9A" w:rsidRDefault="00A26FD6" w:rsidP="00B573EE">
            <w:pPr>
              <w:pStyle w:val="TableText"/>
              <w:jc w:val="center"/>
              <w:rPr>
                <w:b/>
                <w:lang w:eastAsia="en-AU"/>
              </w:rPr>
            </w:pPr>
            <w:r w:rsidRPr="00875B9A">
              <w:rPr>
                <w:b/>
                <w:lang w:eastAsia="en-AU"/>
              </w:rPr>
              <w:t>Total personal harm ($ million)</w:t>
            </w:r>
          </w:p>
        </w:tc>
      </w:tr>
      <w:tr w:rsidR="00A26FD6" w:rsidRPr="00875B9A" w14:paraId="40AF67EB" w14:textId="77777777" w:rsidTr="00E415E0">
        <w:trPr>
          <w:cantSplit/>
        </w:trPr>
        <w:tc>
          <w:tcPr>
            <w:tcW w:w="2268" w:type="dxa"/>
            <w:vMerge/>
            <w:shd w:val="clear" w:color="auto" w:fill="auto"/>
            <w:noWrap/>
            <w:hideMark/>
          </w:tcPr>
          <w:p w14:paraId="0BD80D6C" w14:textId="77777777" w:rsidR="00A26FD6" w:rsidRPr="00875B9A" w:rsidRDefault="00A26FD6" w:rsidP="00B573EE">
            <w:pPr>
              <w:pStyle w:val="TableText"/>
              <w:rPr>
                <w:rFonts w:cstheme="minorHAnsi"/>
                <w:b/>
                <w:bCs/>
                <w:lang w:eastAsia="en-AU"/>
              </w:rPr>
            </w:pPr>
          </w:p>
        </w:tc>
        <w:tc>
          <w:tcPr>
            <w:tcW w:w="1701" w:type="dxa"/>
            <w:vMerge/>
            <w:shd w:val="clear" w:color="auto" w:fill="auto"/>
            <w:hideMark/>
          </w:tcPr>
          <w:p w14:paraId="7A87A393" w14:textId="77777777" w:rsidR="00A26FD6" w:rsidRPr="00875B9A" w:rsidRDefault="00A26FD6" w:rsidP="00B573EE">
            <w:pPr>
              <w:pStyle w:val="TableText"/>
              <w:rPr>
                <w:rFonts w:cstheme="minorHAnsi"/>
                <w:b/>
                <w:bCs/>
                <w:lang w:eastAsia="en-AU"/>
              </w:rPr>
            </w:pPr>
          </w:p>
        </w:tc>
        <w:tc>
          <w:tcPr>
            <w:tcW w:w="1760" w:type="dxa"/>
            <w:tcBorders>
              <w:top w:val="nil"/>
              <w:right w:val="nil"/>
            </w:tcBorders>
            <w:shd w:val="clear" w:color="auto" w:fill="auto"/>
            <w:hideMark/>
          </w:tcPr>
          <w:p w14:paraId="409B3936" w14:textId="77777777" w:rsidR="00A26FD6" w:rsidRPr="00875B9A" w:rsidRDefault="00A26FD6" w:rsidP="00B573EE">
            <w:pPr>
              <w:pStyle w:val="TableText"/>
              <w:spacing w:before="0"/>
              <w:jc w:val="center"/>
              <w:rPr>
                <w:b/>
                <w:lang w:eastAsia="en-AU"/>
              </w:rPr>
            </w:pPr>
            <w:r w:rsidRPr="00875B9A">
              <w:rPr>
                <w:b/>
                <w:lang w:eastAsia="en-AU"/>
              </w:rPr>
              <w:t>Serious injury</w:t>
            </w:r>
          </w:p>
        </w:tc>
        <w:tc>
          <w:tcPr>
            <w:tcW w:w="1760" w:type="dxa"/>
            <w:tcBorders>
              <w:top w:val="nil"/>
              <w:left w:val="nil"/>
            </w:tcBorders>
            <w:shd w:val="clear" w:color="auto" w:fill="auto"/>
            <w:hideMark/>
          </w:tcPr>
          <w:p w14:paraId="1DEE9B5F" w14:textId="77777777" w:rsidR="00A26FD6" w:rsidRPr="00875B9A" w:rsidRDefault="00A26FD6" w:rsidP="00B573EE">
            <w:pPr>
              <w:pStyle w:val="TableText"/>
              <w:spacing w:before="0"/>
              <w:jc w:val="center"/>
              <w:rPr>
                <w:b/>
                <w:lang w:eastAsia="en-AU"/>
              </w:rPr>
            </w:pPr>
            <w:r w:rsidRPr="00875B9A">
              <w:rPr>
                <w:b/>
                <w:lang w:eastAsia="en-AU"/>
              </w:rPr>
              <w:t>Minor injury</w:t>
            </w:r>
          </w:p>
        </w:tc>
        <w:tc>
          <w:tcPr>
            <w:tcW w:w="1843" w:type="dxa"/>
            <w:vMerge/>
            <w:shd w:val="clear" w:color="auto" w:fill="auto"/>
            <w:hideMark/>
          </w:tcPr>
          <w:p w14:paraId="65CB3B50" w14:textId="77777777" w:rsidR="00A26FD6" w:rsidRPr="00875B9A" w:rsidRDefault="00A26FD6" w:rsidP="00B573EE">
            <w:pPr>
              <w:pStyle w:val="TableText"/>
              <w:rPr>
                <w:rFonts w:cstheme="minorHAnsi"/>
                <w:b/>
                <w:bCs/>
                <w:lang w:eastAsia="en-AU"/>
              </w:rPr>
            </w:pPr>
          </w:p>
        </w:tc>
      </w:tr>
      <w:tr w:rsidR="00A26FD6" w:rsidRPr="00875B9A" w14:paraId="118C51EE" w14:textId="77777777" w:rsidTr="00E415E0">
        <w:trPr>
          <w:cantSplit/>
        </w:trPr>
        <w:tc>
          <w:tcPr>
            <w:tcW w:w="2268" w:type="dxa"/>
            <w:tcBorders>
              <w:bottom w:val="nil"/>
            </w:tcBorders>
            <w:shd w:val="clear" w:color="auto" w:fill="auto"/>
            <w:noWrap/>
            <w:hideMark/>
          </w:tcPr>
          <w:p w14:paraId="243285E1" w14:textId="77777777" w:rsidR="00A26FD6" w:rsidRPr="00875B9A" w:rsidRDefault="00A26FD6" w:rsidP="00B573EE">
            <w:pPr>
              <w:pStyle w:val="TableText"/>
              <w:rPr>
                <w:i/>
                <w:lang w:eastAsia="en-AU"/>
              </w:rPr>
            </w:pPr>
            <w:r w:rsidRPr="00875B9A">
              <w:rPr>
                <w:i/>
                <w:lang w:eastAsia="en-AU"/>
              </w:rPr>
              <w:t>Methamphetamine</w:t>
            </w:r>
          </w:p>
        </w:tc>
        <w:tc>
          <w:tcPr>
            <w:tcW w:w="1701" w:type="dxa"/>
            <w:tcBorders>
              <w:bottom w:val="nil"/>
            </w:tcBorders>
            <w:shd w:val="clear" w:color="auto" w:fill="auto"/>
            <w:noWrap/>
            <w:hideMark/>
          </w:tcPr>
          <w:p w14:paraId="4146C49B" w14:textId="77777777" w:rsidR="00A26FD6" w:rsidRPr="00875B9A" w:rsidRDefault="00A26FD6" w:rsidP="00B573EE">
            <w:pPr>
              <w:pStyle w:val="TableText"/>
              <w:tabs>
                <w:tab w:val="decimal" w:pos="822"/>
              </w:tabs>
              <w:jc w:val="right"/>
              <w:rPr>
                <w:lang w:eastAsia="en-AU"/>
              </w:rPr>
            </w:pPr>
            <w:r w:rsidRPr="00875B9A">
              <w:t>256.61</w:t>
            </w:r>
          </w:p>
        </w:tc>
        <w:tc>
          <w:tcPr>
            <w:tcW w:w="1760" w:type="dxa"/>
            <w:tcBorders>
              <w:bottom w:val="nil"/>
              <w:right w:val="nil"/>
            </w:tcBorders>
            <w:shd w:val="clear" w:color="auto" w:fill="auto"/>
            <w:noWrap/>
            <w:hideMark/>
          </w:tcPr>
          <w:p w14:paraId="52F14D2B" w14:textId="77777777" w:rsidR="00A26FD6" w:rsidRPr="00875B9A" w:rsidRDefault="00A26FD6" w:rsidP="00B573EE">
            <w:pPr>
              <w:pStyle w:val="TableText"/>
              <w:tabs>
                <w:tab w:val="decimal" w:pos="794"/>
              </w:tabs>
              <w:jc w:val="right"/>
              <w:rPr>
                <w:lang w:eastAsia="en-AU"/>
              </w:rPr>
            </w:pPr>
            <w:r w:rsidRPr="00875B9A">
              <w:t>182.09</w:t>
            </w:r>
          </w:p>
        </w:tc>
        <w:tc>
          <w:tcPr>
            <w:tcW w:w="1760" w:type="dxa"/>
            <w:tcBorders>
              <w:left w:val="nil"/>
              <w:bottom w:val="nil"/>
            </w:tcBorders>
            <w:shd w:val="clear" w:color="auto" w:fill="auto"/>
            <w:noWrap/>
            <w:hideMark/>
          </w:tcPr>
          <w:p w14:paraId="0E2A42D1" w14:textId="77777777" w:rsidR="00A26FD6" w:rsidRPr="00875B9A" w:rsidRDefault="00A26FD6" w:rsidP="00B573EE">
            <w:pPr>
              <w:pStyle w:val="TableText"/>
              <w:tabs>
                <w:tab w:val="decimal" w:pos="794"/>
              </w:tabs>
              <w:jc w:val="right"/>
              <w:rPr>
                <w:lang w:eastAsia="en-AU"/>
              </w:rPr>
            </w:pPr>
            <w:r w:rsidRPr="00875B9A">
              <w:t>12.55</w:t>
            </w:r>
          </w:p>
        </w:tc>
        <w:tc>
          <w:tcPr>
            <w:tcW w:w="1843" w:type="dxa"/>
            <w:tcBorders>
              <w:bottom w:val="nil"/>
            </w:tcBorders>
            <w:shd w:val="clear" w:color="auto" w:fill="auto"/>
            <w:noWrap/>
            <w:hideMark/>
          </w:tcPr>
          <w:p w14:paraId="0651F763" w14:textId="77777777" w:rsidR="00A26FD6" w:rsidRPr="00875B9A" w:rsidRDefault="00A26FD6" w:rsidP="00B573EE">
            <w:pPr>
              <w:pStyle w:val="TableText"/>
              <w:tabs>
                <w:tab w:val="decimal" w:pos="762"/>
              </w:tabs>
              <w:jc w:val="right"/>
              <w:rPr>
                <w:lang w:eastAsia="en-AU"/>
              </w:rPr>
            </w:pPr>
            <w:r w:rsidRPr="00875B9A">
              <w:t>451.26</w:t>
            </w:r>
          </w:p>
        </w:tc>
      </w:tr>
      <w:tr w:rsidR="00A26FD6" w:rsidRPr="00875B9A" w14:paraId="7F6DA33B" w14:textId="77777777" w:rsidTr="00E415E0">
        <w:trPr>
          <w:cantSplit/>
        </w:trPr>
        <w:tc>
          <w:tcPr>
            <w:tcW w:w="2268" w:type="dxa"/>
            <w:tcBorders>
              <w:top w:val="nil"/>
              <w:bottom w:val="nil"/>
            </w:tcBorders>
            <w:shd w:val="clear" w:color="auto" w:fill="auto"/>
            <w:noWrap/>
            <w:hideMark/>
          </w:tcPr>
          <w:p w14:paraId="4F2FDD72" w14:textId="77777777" w:rsidR="00A26FD6" w:rsidRPr="00875B9A" w:rsidRDefault="00A26FD6" w:rsidP="00B573EE">
            <w:pPr>
              <w:pStyle w:val="TableText"/>
              <w:rPr>
                <w:i/>
                <w:lang w:eastAsia="en-AU"/>
              </w:rPr>
            </w:pPr>
            <w:r w:rsidRPr="00875B9A">
              <w:rPr>
                <w:i/>
                <w:lang w:eastAsia="en-AU"/>
              </w:rPr>
              <w:t>Cocaine</w:t>
            </w:r>
          </w:p>
        </w:tc>
        <w:tc>
          <w:tcPr>
            <w:tcW w:w="1701" w:type="dxa"/>
            <w:tcBorders>
              <w:top w:val="nil"/>
              <w:bottom w:val="nil"/>
            </w:tcBorders>
            <w:shd w:val="clear" w:color="auto" w:fill="auto"/>
            <w:noWrap/>
            <w:hideMark/>
          </w:tcPr>
          <w:p w14:paraId="7A4F2AEA" w14:textId="77777777" w:rsidR="00A26FD6" w:rsidRPr="00875B9A" w:rsidRDefault="00A26FD6" w:rsidP="00B573EE">
            <w:pPr>
              <w:pStyle w:val="TableText"/>
              <w:tabs>
                <w:tab w:val="decimal" w:pos="822"/>
              </w:tabs>
              <w:jc w:val="right"/>
              <w:rPr>
                <w:lang w:eastAsia="en-AU"/>
              </w:rPr>
            </w:pPr>
            <w:r w:rsidRPr="00875B9A">
              <w:t>1.63</w:t>
            </w:r>
          </w:p>
        </w:tc>
        <w:tc>
          <w:tcPr>
            <w:tcW w:w="1760" w:type="dxa"/>
            <w:tcBorders>
              <w:top w:val="nil"/>
              <w:bottom w:val="nil"/>
              <w:right w:val="nil"/>
            </w:tcBorders>
            <w:shd w:val="clear" w:color="auto" w:fill="auto"/>
            <w:noWrap/>
            <w:hideMark/>
          </w:tcPr>
          <w:p w14:paraId="4A2E3E4E" w14:textId="77777777" w:rsidR="00A26FD6" w:rsidRPr="00875B9A" w:rsidRDefault="00A26FD6" w:rsidP="00B573EE">
            <w:pPr>
              <w:pStyle w:val="TableText"/>
              <w:tabs>
                <w:tab w:val="decimal" w:pos="794"/>
              </w:tabs>
              <w:jc w:val="right"/>
              <w:rPr>
                <w:lang w:eastAsia="en-AU"/>
              </w:rPr>
            </w:pPr>
            <w:r w:rsidRPr="00875B9A">
              <w:t>0.90</w:t>
            </w:r>
          </w:p>
        </w:tc>
        <w:tc>
          <w:tcPr>
            <w:tcW w:w="1760" w:type="dxa"/>
            <w:tcBorders>
              <w:top w:val="nil"/>
              <w:left w:val="nil"/>
              <w:bottom w:val="nil"/>
            </w:tcBorders>
            <w:shd w:val="clear" w:color="auto" w:fill="auto"/>
            <w:noWrap/>
            <w:hideMark/>
          </w:tcPr>
          <w:p w14:paraId="6B19145E" w14:textId="77777777" w:rsidR="00A26FD6" w:rsidRPr="00875B9A" w:rsidRDefault="00A26FD6" w:rsidP="00B573EE">
            <w:pPr>
              <w:pStyle w:val="TableText"/>
              <w:tabs>
                <w:tab w:val="decimal" w:pos="794"/>
              </w:tabs>
              <w:jc w:val="right"/>
              <w:rPr>
                <w:lang w:eastAsia="en-AU"/>
              </w:rPr>
            </w:pPr>
            <w:r w:rsidRPr="00875B9A">
              <w:t>0.21</w:t>
            </w:r>
          </w:p>
        </w:tc>
        <w:tc>
          <w:tcPr>
            <w:tcW w:w="1843" w:type="dxa"/>
            <w:tcBorders>
              <w:top w:val="nil"/>
              <w:bottom w:val="nil"/>
            </w:tcBorders>
            <w:shd w:val="clear" w:color="auto" w:fill="auto"/>
            <w:noWrap/>
            <w:hideMark/>
          </w:tcPr>
          <w:p w14:paraId="3C2F58C7" w14:textId="77777777" w:rsidR="00A26FD6" w:rsidRPr="00875B9A" w:rsidRDefault="00A26FD6" w:rsidP="00B573EE">
            <w:pPr>
              <w:pStyle w:val="TableText"/>
              <w:tabs>
                <w:tab w:val="decimal" w:pos="762"/>
              </w:tabs>
              <w:jc w:val="right"/>
              <w:rPr>
                <w:lang w:eastAsia="en-AU"/>
              </w:rPr>
            </w:pPr>
            <w:r w:rsidRPr="00875B9A">
              <w:t>2.74</w:t>
            </w:r>
          </w:p>
        </w:tc>
      </w:tr>
      <w:tr w:rsidR="00A26FD6" w:rsidRPr="00875B9A" w14:paraId="58D65C73" w14:textId="77777777" w:rsidTr="00E415E0">
        <w:trPr>
          <w:cantSplit/>
        </w:trPr>
        <w:tc>
          <w:tcPr>
            <w:tcW w:w="2268" w:type="dxa"/>
            <w:tcBorders>
              <w:top w:val="nil"/>
              <w:bottom w:val="nil"/>
            </w:tcBorders>
            <w:shd w:val="clear" w:color="auto" w:fill="auto"/>
            <w:noWrap/>
            <w:hideMark/>
          </w:tcPr>
          <w:p w14:paraId="2C1BFF94" w14:textId="77777777" w:rsidR="00A26FD6" w:rsidRPr="00875B9A" w:rsidRDefault="00A26FD6" w:rsidP="00B573EE">
            <w:pPr>
              <w:pStyle w:val="TableText"/>
              <w:rPr>
                <w:i/>
                <w:lang w:eastAsia="en-AU"/>
              </w:rPr>
            </w:pPr>
            <w:r w:rsidRPr="00875B9A">
              <w:rPr>
                <w:i/>
                <w:lang w:eastAsia="en-AU"/>
              </w:rPr>
              <w:t>MDMA</w:t>
            </w:r>
          </w:p>
        </w:tc>
        <w:tc>
          <w:tcPr>
            <w:tcW w:w="1701" w:type="dxa"/>
            <w:tcBorders>
              <w:top w:val="nil"/>
              <w:bottom w:val="nil"/>
            </w:tcBorders>
            <w:shd w:val="clear" w:color="auto" w:fill="auto"/>
            <w:noWrap/>
            <w:hideMark/>
          </w:tcPr>
          <w:p w14:paraId="49288F08" w14:textId="77777777" w:rsidR="00A26FD6" w:rsidRPr="00875B9A" w:rsidRDefault="00A26FD6" w:rsidP="00B573EE">
            <w:pPr>
              <w:pStyle w:val="TableText"/>
              <w:tabs>
                <w:tab w:val="decimal" w:pos="822"/>
              </w:tabs>
              <w:jc w:val="right"/>
              <w:rPr>
                <w:lang w:eastAsia="en-AU"/>
              </w:rPr>
            </w:pPr>
            <w:r w:rsidRPr="00875B9A">
              <w:t>14.80</w:t>
            </w:r>
          </w:p>
        </w:tc>
        <w:tc>
          <w:tcPr>
            <w:tcW w:w="1760" w:type="dxa"/>
            <w:tcBorders>
              <w:top w:val="nil"/>
              <w:bottom w:val="nil"/>
              <w:right w:val="nil"/>
            </w:tcBorders>
            <w:shd w:val="clear" w:color="auto" w:fill="auto"/>
            <w:noWrap/>
            <w:hideMark/>
          </w:tcPr>
          <w:p w14:paraId="3403FD93" w14:textId="77777777" w:rsidR="00A26FD6" w:rsidRPr="00875B9A" w:rsidRDefault="00A26FD6" w:rsidP="00B573EE">
            <w:pPr>
              <w:pStyle w:val="TableText"/>
              <w:tabs>
                <w:tab w:val="decimal" w:pos="794"/>
              </w:tabs>
              <w:jc w:val="right"/>
              <w:rPr>
                <w:lang w:eastAsia="en-AU"/>
              </w:rPr>
            </w:pPr>
            <w:r w:rsidRPr="00875B9A">
              <w:t>4.36</w:t>
            </w:r>
          </w:p>
        </w:tc>
        <w:tc>
          <w:tcPr>
            <w:tcW w:w="1760" w:type="dxa"/>
            <w:tcBorders>
              <w:top w:val="nil"/>
              <w:left w:val="nil"/>
              <w:bottom w:val="nil"/>
            </w:tcBorders>
            <w:shd w:val="clear" w:color="auto" w:fill="auto"/>
            <w:noWrap/>
            <w:hideMark/>
          </w:tcPr>
          <w:p w14:paraId="1823B7D0" w14:textId="77777777" w:rsidR="00A26FD6" w:rsidRPr="00875B9A" w:rsidRDefault="00A26FD6" w:rsidP="00B573EE">
            <w:pPr>
              <w:pStyle w:val="TableText"/>
              <w:tabs>
                <w:tab w:val="decimal" w:pos="794"/>
              </w:tabs>
              <w:jc w:val="right"/>
              <w:rPr>
                <w:lang w:eastAsia="en-AU"/>
              </w:rPr>
            </w:pPr>
            <w:r w:rsidRPr="00875B9A">
              <w:t>3.24</w:t>
            </w:r>
          </w:p>
        </w:tc>
        <w:tc>
          <w:tcPr>
            <w:tcW w:w="1843" w:type="dxa"/>
            <w:tcBorders>
              <w:top w:val="nil"/>
              <w:bottom w:val="nil"/>
            </w:tcBorders>
            <w:shd w:val="clear" w:color="auto" w:fill="auto"/>
            <w:noWrap/>
            <w:hideMark/>
          </w:tcPr>
          <w:p w14:paraId="2D4F5E03" w14:textId="77777777" w:rsidR="00A26FD6" w:rsidRPr="00875B9A" w:rsidRDefault="00A26FD6" w:rsidP="00B573EE">
            <w:pPr>
              <w:pStyle w:val="TableText"/>
              <w:tabs>
                <w:tab w:val="decimal" w:pos="762"/>
              </w:tabs>
              <w:jc w:val="right"/>
              <w:rPr>
                <w:lang w:eastAsia="en-AU"/>
              </w:rPr>
            </w:pPr>
            <w:r w:rsidRPr="00875B9A">
              <w:t>22.41</w:t>
            </w:r>
          </w:p>
        </w:tc>
      </w:tr>
      <w:tr w:rsidR="00A26FD6" w:rsidRPr="00875B9A" w14:paraId="377A7327" w14:textId="77777777" w:rsidTr="00E415E0">
        <w:trPr>
          <w:cantSplit/>
        </w:trPr>
        <w:tc>
          <w:tcPr>
            <w:tcW w:w="2268" w:type="dxa"/>
            <w:tcBorders>
              <w:top w:val="nil"/>
              <w:bottom w:val="nil"/>
            </w:tcBorders>
            <w:shd w:val="clear" w:color="auto" w:fill="auto"/>
            <w:noWrap/>
            <w:hideMark/>
          </w:tcPr>
          <w:p w14:paraId="32A58CEF" w14:textId="77777777" w:rsidR="00A26FD6" w:rsidRPr="00875B9A" w:rsidRDefault="00A26FD6" w:rsidP="00B573EE">
            <w:pPr>
              <w:pStyle w:val="TableText"/>
              <w:rPr>
                <w:i/>
                <w:lang w:eastAsia="en-AU"/>
              </w:rPr>
            </w:pPr>
            <w:r w:rsidRPr="00875B9A">
              <w:rPr>
                <w:i/>
                <w:lang w:eastAsia="en-AU"/>
              </w:rPr>
              <w:t>Heroin</w:t>
            </w:r>
          </w:p>
        </w:tc>
        <w:tc>
          <w:tcPr>
            <w:tcW w:w="1701" w:type="dxa"/>
            <w:tcBorders>
              <w:top w:val="nil"/>
              <w:bottom w:val="nil"/>
            </w:tcBorders>
            <w:shd w:val="clear" w:color="auto" w:fill="auto"/>
            <w:noWrap/>
            <w:hideMark/>
          </w:tcPr>
          <w:p w14:paraId="141C688C" w14:textId="77777777" w:rsidR="00A26FD6" w:rsidRPr="00875B9A" w:rsidRDefault="00A26FD6" w:rsidP="00B573EE">
            <w:pPr>
              <w:pStyle w:val="TableText"/>
              <w:tabs>
                <w:tab w:val="decimal" w:pos="822"/>
              </w:tabs>
              <w:jc w:val="right"/>
              <w:rPr>
                <w:lang w:eastAsia="en-AU"/>
              </w:rPr>
            </w:pPr>
            <w:r w:rsidRPr="00875B9A">
              <w:t>14.80</w:t>
            </w:r>
          </w:p>
        </w:tc>
        <w:tc>
          <w:tcPr>
            <w:tcW w:w="1760" w:type="dxa"/>
            <w:tcBorders>
              <w:top w:val="nil"/>
              <w:bottom w:val="nil"/>
              <w:right w:val="nil"/>
            </w:tcBorders>
            <w:shd w:val="clear" w:color="auto" w:fill="auto"/>
            <w:noWrap/>
            <w:hideMark/>
          </w:tcPr>
          <w:p w14:paraId="20E36D6C" w14:textId="77777777" w:rsidR="00A26FD6" w:rsidRPr="00875B9A" w:rsidRDefault="00A26FD6" w:rsidP="00B573EE">
            <w:pPr>
              <w:pStyle w:val="TableText"/>
              <w:tabs>
                <w:tab w:val="decimal" w:pos="794"/>
              </w:tabs>
              <w:jc w:val="right"/>
              <w:rPr>
                <w:lang w:eastAsia="en-AU"/>
              </w:rPr>
            </w:pPr>
            <w:r w:rsidRPr="00875B9A">
              <w:t>0.26</w:t>
            </w:r>
          </w:p>
        </w:tc>
        <w:tc>
          <w:tcPr>
            <w:tcW w:w="1760" w:type="dxa"/>
            <w:tcBorders>
              <w:top w:val="nil"/>
              <w:left w:val="nil"/>
              <w:bottom w:val="nil"/>
            </w:tcBorders>
            <w:shd w:val="clear" w:color="auto" w:fill="auto"/>
            <w:noWrap/>
            <w:hideMark/>
          </w:tcPr>
          <w:p w14:paraId="4FE9824E" w14:textId="77777777" w:rsidR="00A26FD6" w:rsidRPr="00875B9A" w:rsidRDefault="00A26FD6" w:rsidP="00B573EE">
            <w:pPr>
              <w:pStyle w:val="TableText"/>
              <w:tabs>
                <w:tab w:val="decimal" w:pos="794"/>
              </w:tabs>
              <w:jc w:val="right"/>
              <w:rPr>
                <w:lang w:eastAsia="en-AU"/>
              </w:rPr>
            </w:pPr>
            <w:r w:rsidRPr="00875B9A">
              <w:t>0.09</w:t>
            </w:r>
          </w:p>
        </w:tc>
        <w:tc>
          <w:tcPr>
            <w:tcW w:w="1843" w:type="dxa"/>
            <w:tcBorders>
              <w:top w:val="nil"/>
              <w:bottom w:val="nil"/>
            </w:tcBorders>
            <w:shd w:val="clear" w:color="auto" w:fill="auto"/>
            <w:noWrap/>
            <w:hideMark/>
          </w:tcPr>
          <w:p w14:paraId="4C38BB68" w14:textId="77777777" w:rsidR="00A26FD6" w:rsidRPr="00875B9A" w:rsidRDefault="00A26FD6" w:rsidP="00B573EE">
            <w:pPr>
              <w:pStyle w:val="TableText"/>
              <w:tabs>
                <w:tab w:val="decimal" w:pos="762"/>
              </w:tabs>
              <w:jc w:val="right"/>
              <w:rPr>
                <w:lang w:eastAsia="en-AU"/>
              </w:rPr>
            </w:pPr>
            <w:r w:rsidRPr="00875B9A">
              <w:t>15.15</w:t>
            </w:r>
          </w:p>
        </w:tc>
      </w:tr>
      <w:tr w:rsidR="00A26FD6" w:rsidRPr="00875B9A" w14:paraId="0E0DBA10" w14:textId="77777777" w:rsidTr="00E415E0">
        <w:trPr>
          <w:cantSplit/>
        </w:trPr>
        <w:tc>
          <w:tcPr>
            <w:tcW w:w="2268" w:type="dxa"/>
            <w:tcBorders>
              <w:top w:val="nil"/>
              <w:bottom w:val="nil"/>
            </w:tcBorders>
            <w:shd w:val="clear" w:color="auto" w:fill="auto"/>
            <w:noWrap/>
          </w:tcPr>
          <w:p w14:paraId="6FA067FF" w14:textId="77777777" w:rsidR="00A26FD6" w:rsidRPr="00875B9A" w:rsidRDefault="00A26FD6" w:rsidP="00B573EE">
            <w:pPr>
              <w:pStyle w:val="TableText"/>
              <w:rPr>
                <w:i/>
                <w:lang w:eastAsia="en-AU"/>
              </w:rPr>
            </w:pPr>
            <w:r w:rsidRPr="00875B9A">
              <w:rPr>
                <w:i/>
                <w:lang w:eastAsia="en-AU"/>
              </w:rPr>
              <w:t>GHB/GBL</w:t>
            </w:r>
          </w:p>
        </w:tc>
        <w:tc>
          <w:tcPr>
            <w:tcW w:w="1701" w:type="dxa"/>
            <w:tcBorders>
              <w:top w:val="nil"/>
              <w:bottom w:val="nil"/>
            </w:tcBorders>
            <w:shd w:val="clear" w:color="auto" w:fill="auto"/>
            <w:noWrap/>
          </w:tcPr>
          <w:p w14:paraId="77C290C1" w14:textId="77777777" w:rsidR="00A26FD6" w:rsidRPr="00875B9A" w:rsidRDefault="00A26FD6" w:rsidP="00B573EE">
            <w:pPr>
              <w:pStyle w:val="TableText"/>
              <w:tabs>
                <w:tab w:val="decimal" w:pos="822"/>
              </w:tabs>
              <w:jc w:val="right"/>
            </w:pPr>
            <w:r w:rsidRPr="00875B9A">
              <w:t>1.23</w:t>
            </w:r>
          </w:p>
        </w:tc>
        <w:tc>
          <w:tcPr>
            <w:tcW w:w="1760" w:type="dxa"/>
            <w:tcBorders>
              <w:top w:val="nil"/>
              <w:bottom w:val="nil"/>
              <w:right w:val="nil"/>
            </w:tcBorders>
            <w:shd w:val="clear" w:color="auto" w:fill="auto"/>
            <w:noWrap/>
          </w:tcPr>
          <w:p w14:paraId="7E382456" w14:textId="77777777" w:rsidR="00A26FD6" w:rsidRPr="00875B9A" w:rsidRDefault="00A26FD6" w:rsidP="00B573EE">
            <w:pPr>
              <w:pStyle w:val="TableText"/>
              <w:tabs>
                <w:tab w:val="decimal" w:pos="794"/>
              </w:tabs>
              <w:jc w:val="right"/>
            </w:pPr>
            <w:r w:rsidRPr="00875B9A">
              <w:t>1.09</w:t>
            </w:r>
          </w:p>
        </w:tc>
        <w:tc>
          <w:tcPr>
            <w:tcW w:w="1760" w:type="dxa"/>
            <w:tcBorders>
              <w:top w:val="nil"/>
              <w:left w:val="nil"/>
              <w:bottom w:val="nil"/>
            </w:tcBorders>
            <w:shd w:val="clear" w:color="auto" w:fill="auto"/>
            <w:noWrap/>
          </w:tcPr>
          <w:p w14:paraId="4AD6EA8E" w14:textId="77777777" w:rsidR="00A26FD6" w:rsidRPr="00875B9A" w:rsidRDefault="00A26FD6" w:rsidP="00B573EE">
            <w:pPr>
              <w:pStyle w:val="TableText"/>
              <w:tabs>
                <w:tab w:val="decimal" w:pos="794"/>
              </w:tabs>
              <w:jc w:val="right"/>
            </w:pPr>
            <w:r w:rsidRPr="00875B9A">
              <w:t>0.62</w:t>
            </w:r>
          </w:p>
        </w:tc>
        <w:tc>
          <w:tcPr>
            <w:tcW w:w="1843" w:type="dxa"/>
            <w:tcBorders>
              <w:top w:val="nil"/>
              <w:bottom w:val="nil"/>
            </w:tcBorders>
            <w:shd w:val="clear" w:color="auto" w:fill="auto"/>
            <w:noWrap/>
          </w:tcPr>
          <w:p w14:paraId="31F13868" w14:textId="77777777" w:rsidR="00A26FD6" w:rsidRPr="00875B9A" w:rsidRDefault="00A26FD6" w:rsidP="00B573EE">
            <w:pPr>
              <w:pStyle w:val="TableText"/>
              <w:tabs>
                <w:tab w:val="decimal" w:pos="762"/>
              </w:tabs>
              <w:jc w:val="right"/>
            </w:pPr>
            <w:r w:rsidRPr="00875B9A">
              <w:t>2.94</w:t>
            </w:r>
          </w:p>
        </w:tc>
      </w:tr>
      <w:tr w:rsidR="00A26FD6" w:rsidRPr="00875B9A" w14:paraId="214BDAD2" w14:textId="77777777" w:rsidTr="00E415E0">
        <w:trPr>
          <w:cantSplit/>
        </w:trPr>
        <w:tc>
          <w:tcPr>
            <w:tcW w:w="2268" w:type="dxa"/>
            <w:tcBorders>
              <w:top w:val="nil"/>
              <w:bottom w:val="nil"/>
            </w:tcBorders>
            <w:shd w:val="clear" w:color="auto" w:fill="auto"/>
            <w:noWrap/>
            <w:hideMark/>
          </w:tcPr>
          <w:p w14:paraId="3FA7A7D8" w14:textId="77777777" w:rsidR="00A26FD6" w:rsidRPr="00875B9A" w:rsidRDefault="00A26FD6" w:rsidP="00B573EE">
            <w:pPr>
              <w:pStyle w:val="TableText"/>
              <w:rPr>
                <w:i/>
                <w:lang w:eastAsia="en-AU"/>
              </w:rPr>
            </w:pPr>
            <w:r w:rsidRPr="00875B9A">
              <w:rPr>
                <w:i/>
                <w:lang w:eastAsia="en-AU"/>
              </w:rPr>
              <w:t>Cannabis</w:t>
            </w:r>
          </w:p>
        </w:tc>
        <w:tc>
          <w:tcPr>
            <w:tcW w:w="1701" w:type="dxa"/>
            <w:tcBorders>
              <w:top w:val="nil"/>
              <w:bottom w:val="nil"/>
            </w:tcBorders>
            <w:shd w:val="clear" w:color="auto" w:fill="auto"/>
            <w:noWrap/>
            <w:hideMark/>
          </w:tcPr>
          <w:p w14:paraId="1DDECD82" w14:textId="77777777" w:rsidR="00A26FD6" w:rsidRPr="00875B9A" w:rsidRDefault="00A26FD6" w:rsidP="00B573EE">
            <w:pPr>
              <w:pStyle w:val="TableText"/>
              <w:tabs>
                <w:tab w:val="decimal" w:pos="822"/>
              </w:tabs>
              <w:jc w:val="right"/>
              <w:rPr>
                <w:lang w:eastAsia="en-AU"/>
              </w:rPr>
            </w:pPr>
            <w:r w:rsidRPr="00875B9A">
              <w:t>113.50</w:t>
            </w:r>
          </w:p>
        </w:tc>
        <w:tc>
          <w:tcPr>
            <w:tcW w:w="1760" w:type="dxa"/>
            <w:tcBorders>
              <w:top w:val="nil"/>
              <w:bottom w:val="nil"/>
              <w:right w:val="nil"/>
            </w:tcBorders>
            <w:shd w:val="clear" w:color="auto" w:fill="auto"/>
            <w:noWrap/>
            <w:hideMark/>
          </w:tcPr>
          <w:p w14:paraId="077EA502" w14:textId="77777777" w:rsidR="00A26FD6" w:rsidRPr="00875B9A" w:rsidRDefault="00A26FD6" w:rsidP="00B573EE">
            <w:pPr>
              <w:pStyle w:val="TableText"/>
              <w:tabs>
                <w:tab w:val="decimal" w:pos="794"/>
              </w:tabs>
              <w:jc w:val="right"/>
              <w:rPr>
                <w:lang w:eastAsia="en-AU"/>
              </w:rPr>
            </w:pPr>
            <w:r w:rsidRPr="00875B9A">
              <w:t>200.12</w:t>
            </w:r>
          </w:p>
        </w:tc>
        <w:tc>
          <w:tcPr>
            <w:tcW w:w="1760" w:type="dxa"/>
            <w:tcBorders>
              <w:top w:val="nil"/>
              <w:left w:val="nil"/>
              <w:bottom w:val="nil"/>
            </w:tcBorders>
            <w:shd w:val="clear" w:color="auto" w:fill="auto"/>
            <w:noWrap/>
            <w:hideMark/>
          </w:tcPr>
          <w:p w14:paraId="208CFAB8" w14:textId="77777777" w:rsidR="00A26FD6" w:rsidRPr="00875B9A" w:rsidRDefault="00A26FD6" w:rsidP="00B573EE">
            <w:pPr>
              <w:pStyle w:val="TableText"/>
              <w:tabs>
                <w:tab w:val="decimal" w:pos="794"/>
              </w:tabs>
              <w:jc w:val="right"/>
              <w:rPr>
                <w:lang w:eastAsia="en-AU"/>
              </w:rPr>
            </w:pPr>
            <w:r w:rsidRPr="00875B9A">
              <w:t>11.48</w:t>
            </w:r>
          </w:p>
        </w:tc>
        <w:tc>
          <w:tcPr>
            <w:tcW w:w="1843" w:type="dxa"/>
            <w:tcBorders>
              <w:top w:val="nil"/>
              <w:bottom w:val="nil"/>
            </w:tcBorders>
            <w:shd w:val="clear" w:color="auto" w:fill="auto"/>
            <w:noWrap/>
            <w:hideMark/>
          </w:tcPr>
          <w:p w14:paraId="5B7B3923" w14:textId="77777777" w:rsidR="00A26FD6" w:rsidRPr="00875B9A" w:rsidRDefault="00A26FD6" w:rsidP="00B573EE">
            <w:pPr>
              <w:pStyle w:val="TableText"/>
              <w:tabs>
                <w:tab w:val="decimal" w:pos="762"/>
              </w:tabs>
              <w:jc w:val="right"/>
              <w:rPr>
                <w:lang w:eastAsia="en-AU"/>
              </w:rPr>
            </w:pPr>
            <w:r w:rsidRPr="00875B9A">
              <w:t>325.10</w:t>
            </w:r>
          </w:p>
        </w:tc>
      </w:tr>
      <w:tr w:rsidR="00A26FD6" w:rsidRPr="00875B9A" w14:paraId="15F4F6DC" w14:textId="77777777" w:rsidTr="00E415E0">
        <w:trPr>
          <w:cantSplit/>
        </w:trPr>
        <w:tc>
          <w:tcPr>
            <w:tcW w:w="2268" w:type="dxa"/>
            <w:tcBorders>
              <w:top w:val="nil"/>
            </w:tcBorders>
            <w:shd w:val="clear" w:color="auto" w:fill="auto"/>
            <w:noWrap/>
            <w:hideMark/>
          </w:tcPr>
          <w:p w14:paraId="76165B5D" w14:textId="77777777" w:rsidR="00A26FD6" w:rsidRPr="00875B9A" w:rsidRDefault="00A26FD6" w:rsidP="00B573EE">
            <w:pPr>
              <w:pStyle w:val="TableText"/>
              <w:rPr>
                <w:i/>
                <w:lang w:eastAsia="en-AU"/>
              </w:rPr>
            </w:pPr>
            <w:r w:rsidRPr="00875B9A">
              <w:rPr>
                <w:i/>
                <w:lang w:eastAsia="en-AU"/>
              </w:rPr>
              <w:t>Synthetic cannabinoids</w:t>
            </w:r>
          </w:p>
        </w:tc>
        <w:tc>
          <w:tcPr>
            <w:tcW w:w="1701" w:type="dxa"/>
            <w:tcBorders>
              <w:top w:val="nil"/>
            </w:tcBorders>
            <w:shd w:val="clear" w:color="auto" w:fill="auto"/>
            <w:noWrap/>
            <w:hideMark/>
          </w:tcPr>
          <w:p w14:paraId="52BBFE03" w14:textId="77777777" w:rsidR="00A26FD6" w:rsidRPr="00875B9A" w:rsidRDefault="00A26FD6" w:rsidP="00B573EE">
            <w:pPr>
              <w:pStyle w:val="TableText"/>
              <w:tabs>
                <w:tab w:val="decimal" w:pos="822"/>
              </w:tabs>
              <w:jc w:val="right"/>
              <w:rPr>
                <w:lang w:eastAsia="en-AU"/>
              </w:rPr>
            </w:pPr>
            <w:r w:rsidRPr="00875B9A">
              <w:t>24.67</w:t>
            </w:r>
          </w:p>
        </w:tc>
        <w:tc>
          <w:tcPr>
            <w:tcW w:w="1760" w:type="dxa"/>
            <w:tcBorders>
              <w:top w:val="nil"/>
              <w:right w:val="nil"/>
            </w:tcBorders>
            <w:shd w:val="clear" w:color="auto" w:fill="auto"/>
            <w:noWrap/>
            <w:hideMark/>
          </w:tcPr>
          <w:p w14:paraId="110CA36B" w14:textId="77777777" w:rsidR="00A26FD6" w:rsidRPr="00875B9A" w:rsidRDefault="00A26FD6" w:rsidP="00B573EE">
            <w:pPr>
              <w:pStyle w:val="TableText"/>
              <w:tabs>
                <w:tab w:val="decimal" w:pos="794"/>
              </w:tabs>
              <w:jc w:val="right"/>
              <w:rPr>
                <w:lang w:eastAsia="en-AU"/>
              </w:rPr>
            </w:pPr>
            <w:r w:rsidRPr="00875B9A">
              <w:t>0.00</w:t>
            </w:r>
          </w:p>
        </w:tc>
        <w:tc>
          <w:tcPr>
            <w:tcW w:w="1760" w:type="dxa"/>
            <w:tcBorders>
              <w:top w:val="nil"/>
              <w:left w:val="nil"/>
            </w:tcBorders>
            <w:shd w:val="clear" w:color="auto" w:fill="auto"/>
            <w:noWrap/>
            <w:hideMark/>
          </w:tcPr>
          <w:p w14:paraId="2CE5E9AF" w14:textId="77777777" w:rsidR="00A26FD6" w:rsidRPr="00875B9A" w:rsidRDefault="00A26FD6" w:rsidP="00B573EE">
            <w:pPr>
              <w:pStyle w:val="TableText"/>
              <w:tabs>
                <w:tab w:val="decimal" w:pos="794"/>
              </w:tabs>
              <w:jc w:val="right"/>
              <w:rPr>
                <w:lang w:eastAsia="en-AU"/>
              </w:rPr>
            </w:pPr>
            <w:r w:rsidRPr="00875B9A">
              <w:t>0.43</w:t>
            </w:r>
          </w:p>
        </w:tc>
        <w:tc>
          <w:tcPr>
            <w:tcW w:w="1843" w:type="dxa"/>
            <w:tcBorders>
              <w:top w:val="nil"/>
            </w:tcBorders>
            <w:shd w:val="clear" w:color="auto" w:fill="auto"/>
            <w:noWrap/>
            <w:hideMark/>
          </w:tcPr>
          <w:p w14:paraId="0B429FB1" w14:textId="77777777" w:rsidR="00A26FD6" w:rsidRPr="00875B9A" w:rsidRDefault="00A26FD6" w:rsidP="00B573EE">
            <w:pPr>
              <w:pStyle w:val="TableText"/>
              <w:tabs>
                <w:tab w:val="decimal" w:pos="762"/>
              </w:tabs>
              <w:jc w:val="right"/>
              <w:rPr>
                <w:lang w:eastAsia="en-AU"/>
              </w:rPr>
            </w:pPr>
            <w:r w:rsidRPr="00875B9A">
              <w:t>25.11</w:t>
            </w:r>
          </w:p>
        </w:tc>
      </w:tr>
      <w:tr w:rsidR="00A26FD6" w:rsidRPr="00875B9A" w14:paraId="50B5BBE2" w14:textId="77777777" w:rsidTr="00E415E0">
        <w:trPr>
          <w:cantSplit/>
        </w:trPr>
        <w:tc>
          <w:tcPr>
            <w:tcW w:w="2268" w:type="dxa"/>
            <w:shd w:val="clear" w:color="auto" w:fill="auto"/>
            <w:noWrap/>
            <w:hideMark/>
          </w:tcPr>
          <w:p w14:paraId="71AF1A2E" w14:textId="77777777" w:rsidR="00A26FD6" w:rsidRPr="00875B9A" w:rsidRDefault="00A26FD6" w:rsidP="00B573EE">
            <w:pPr>
              <w:pStyle w:val="TableText"/>
              <w:rPr>
                <w:lang w:eastAsia="en-AU"/>
              </w:rPr>
            </w:pPr>
            <w:r w:rsidRPr="00875B9A">
              <w:rPr>
                <w:lang w:eastAsia="en-AU"/>
              </w:rPr>
              <w:t>Total</w:t>
            </w:r>
          </w:p>
        </w:tc>
        <w:tc>
          <w:tcPr>
            <w:tcW w:w="1701" w:type="dxa"/>
            <w:shd w:val="clear" w:color="auto" w:fill="auto"/>
            <w:noWrap/>
            <w:hideMark/>
          </w:tcPr>
          <w:p w14:paraId="658C42C1" w14:textId="77777777" w:rsidR="00A26FD6" w:rsidRPr="00875B9A" w:rsidRDefault="00A26FD6" w:rsidP="00B573EE">
            <w:pPr>
              <w:pStyle w:val="TableText"/>
              <w:tabs>
                <w:tab w:val="decimal" w:pos="822"/>
              </w:tabs>
              <w:jc w:val="right"/>
              <w:rPr>
                <w:lang w:eastAsia="en-AU"/>
              </w:rPr>
            </w:pPr>
            <w:r w:rsidRPr="00875B9A">
              <w:t>427.26</w:t>
            </w:r>
          </w:p>
        </w:tc>
        <w:tc>
          <w:tcPr>
            <w:tcW w:w="1760" w:type="dxa"/>
            <w:tcBorders>
              <w:right w:val="nil"/>
            </w:tcBorders>
            <w:shd w:val="clear" w:color="auto" w:fill="auto"/>
            <w:noWrap/>
            <w:hideMark/>
          </w:tcPr>
          <w:p w14:paraId="50E9E39E" w14:textId="77777777" w:rsidR="00A26FD6" w:rsidRPr="00875B9A" w:rsidRDefault="00A26FD6" w:rsidP="00B573EE">
            <w:pPr>
              <w:pStyle w:val="TableText"/>
              <w:tabs>
                <w:tab w:val="decimal" w:pos="794"/>
              </w:tabs>
              <w:jc w:val="right"/>
              <w:rPr>
                <w:lang w:eastAsia="en-AU"/>
              </w:rPr>
            </w:pPr>
            <w:r w:rsidRPr="00875B9A">
              <w:t>388.82</w:t>
            </w:r>
          </w:p>
        </w:tc>
        <w:tc>
          <w:tcPr>
            <w:tcW w:w="1760" w:type="dxa"/>
            <w:tcBorders>
              <w:left w:val="nil"/>
            </w:tcBorders>
            <w:shd w:val="clear" w:color="auto" w:fill="auto"/>
            <w:noWrap/>
            <w:hideMark/>
          </w:tcPr>
          <w:p w14:paraId="37CE07C1" w14:textId="77777777" w:rsidR="00A26FD6" w:rsidRPr="00875B9A" w:rsidRDefault="00A26FD6" w:rsidP="00B573EE">
            <w:pPr>
              <w:pStyle w:val="TableText"/>
              <w:tabs>
                <w:tab w:val="decimal" w:pos="794"/>
              </w:tabs>
              <w:jc w:val="right"/>
              <w:rPr>
                <w:lang w:eastAsia="en-AU"/>
              </w:rPr>
            </w:pPr>
            <w:r w:rsidRPr="00875B9A">
              <w:t>28.63</w:t>
            </w:r>
          </w:p>
        </w:tc>
        <w:tc>
          <w:tcPr>
            <w:tcW w:w="1843" w:type="dxa"/>
            <w:shd w:val="clear" w:color="auto" w:fill="auto"/>
            <w:noWrap/>
            <w:hideMark/>
          </w:tcPr>
          <w:p w14:paraId="760C4B68" w14:textId="77777777" w:rsidR="00A26FD6" w:rsidRPr="00875B9A" w:rsidRDefault="00A26FD6" w:rsidP="00B573EE">
            <w:pPr>
              <w:pStyle w:val="TableText"/>
              <w:tabs>
                <w:tab w:val="decimal" w:pos="762"/>
              </w:tabs>
              <w:jc w:val="right"/>
              <w:rPr>
                <w:lang w:eastAsia="en-AU"/>
              </w:rPr>
            </w:pPr>
            <w:r w:rsidRPr="00875B9A">
              <w:t>844.71</w:t>
            </w:r>
          </w:p>
        </w:tc>
      </w:tr>
    </w:tbl>
    <w:p w14:paraId="66F5A48A" w14:textId="69F9D0A3" w:rsidR="00A26FD6" w:rsidRPr="00875B9A" w:rsidRDefault="00A26FD6" w:rsidP="00A26FD6">
      <w:pPr>
        <w:pStyle w:val="Heading2"/>
      </w:pPr>
      <w:bookmarkStart w:id="42" w:name="_Toc170116266"/>
      <w:r w:rsidRPr="00875B9A">
        <w:rPr>
          <w:lang w:eastAsia="en-AU"/>
        </w:rPr>
        <w:t>Summary and comment</w:t>
      </w:r>
      <w:bookmarkEnd w:id="42"/>
    </w:p>
    <w:p w14:paraId="78B6415C" w14:textId="77777777" w:rsidR="00A26FD6" w:rsidRPr="00875B9A" w:rsidRDefault="00A26FD6" w:rsidP="00A26FD6">
      <w:pPr>
        <w:rPr>
          <w:lang w:eastAsia="en-AU"/>
        </w:rPr>
      </w:pPr>
      <w:r w:rsidRPr="00875B9A">
        <w:rPr>
          <w:lang w:eastAsia="en-AU"/>
        </w:rPr>
        <w:t xml:space="preserve">The total cost of personal harm to people who use drugs in New Zealand is now estimated at $844.71 million, with most of that cost relating to premature death at $427.26 million. Of the illicit drugs included, methamphetamine caused the most harm at $451.26 million. </w:t>
      </w:r>
    </w:p>
    <w:p w14:paraId="02F65099" w14:textId="572C6155" w:rsidR="00A26FD6" w:rsidRPr="00875B9A" w:rsidRDefault="00A26FD6" w:rsidP="00A26FD6">
      <w:pPr>
        <w:pStyle w:val="Heading2"/>
        <w:rPr>
          <w:lang w:eastAsia="en-AU"/>
        </w:rPr>
      </w:pPr>
      <w:bookmarkStart w:id="43" w:name="_Toc444941795"/>
      <w:bookmarkStart w:id="44" w:name="_Toc89352343"/>
      <w:bookmarkStart w:id="45" w:name="_Toc170116267"/>
      <w:r w:rsidRPr="00875B9A">
        <w:rPr>
          <w:lang w:eastAsia="en-AU"/>
        </w:rPr>
        <w:t>Community harms</w:t>
      </w:r>
      <w:bookmarkEnd w:id="43"/>
      <w:bookmarkEnd w:id="44"/>
      <w:bookmarkEnd w:id="45"/>
    </w:p>
    <w:p w14:paraId="3E7EBFE5" w14:textId="77777777" w:rsidR="00A26FD6" w:rsidRPr="00875B9A" w:rsidRDefault="00A26FD6" w:rsidP="00A26FD6">
      <w:pPr>
        <w:rPr>
          <w:lang w:eastAsia="en-AU"/>
        </w:rPr>
      </w:pPr>
      <w:bookmarkStart w:id="46" w:name="_Hlk133839527"/>
      <w:r w:rsidRPr="00875B9A">
        <w:rPr>
          <w:lang w:eastAsia="en-AU"/>
        </w:rPr>
        <w:t>Community harms can occur in several areas. First, there are specific harms that affect the family and friends of people who use drugs. Second, there are a variety of harms that follow drug-related crime, including acquisitive crime to fund drug purchases, and the reinvestment of the profits of drug trafficking. Normally, this investment is undertaken to diversify the income base of criminal enterprises. Third, there are harms caused by a reduced revenue base to the Government. The sale of illicit drugs is not subject to GST, and organised crime does not pay company tax on profits. The reduced tax base means fewer funds are available for services such as health, education, and infrastructure spending.</w:t>
      </w:r>
    </w:p>
    <w:bookmarkEnd w:id="46"/>
    <w:p w14:paraId="1F948485" w14:textId="77777777" w:rsidR="00A26FD6" w:rsidRPr="00875B9A" w:rsidRDefault="00A26FD6" w:rsidP="00A26FD6">
      <w:pPr>
        <w:pStyle w:val="Heading3"/>
      </w:pPr>
      <w:r w:rsidRPr="00875B9A">
        <w:rPr>
          <w:lang w:eastAsia="en-AU"/>
        </w:rPr>
        <w:t xml:space="preserve">Family and friends of people who use </w:t>
      </w:r>
      <w:proofErr w:type="gramStart"/>
      <w:r w:rsidRPr="00875B9A">
        <w:rPr>
          <w:lang w:eastAsia="en-AU"/>
        </w:rPr>
        <w:t>drugs</w:t>
      </w:r>
      <w:proofErr w:type="gramEnd"/>
    </w:p>
    <w:p w14:paraId="1FACA202" w14:textId="68F45D9E" w:rsidR="00A26FD6" w:rsidRPr="00875B9A" w:rsidRDefault="00A26FD6" w:rsidP="00A26FD6">
      <w:pPr>
        <w:rPr>
          <w:lang w:eastAsia="en-AU"/>
        </w:rPr>
      </w:pPr>
      <w:r w:rsidRPr="00875B9A">
        <w:rPr>
          <w:lang w:eastAsia="en-AU"/>
        </w:rPr>
        <w:t>DHI 2016 introduced harm suffered by family and friends as a new measure of community harm. Past research had largely been concentrated in Nordic countries and some of the estimates, especially willingness-to-pay are transferred from these studies.</w:t>
      </w:r>
      <w:r w:rsidRPr="00875B9A">
        <w:t xml:space="preserve"> </w:t>
      </w:r>
      <w:r w:rsidRPr="00875B9A">
        <w:rPr>
          <w:lang w:eastAsia="en-AU"/>
        </w:rPr>
        <w:t xml:space="preserve">Willingness-to-pay, as the phrase implies, is a technique to measure how much a community is willing to pay to support treatment. </w:t>
      </w:r>
      <w:proofErr w:type="spellStart"/>
      <w:r w:rsidRPr="00875B9A">
        <w:rPr>
          <w:lang w:eastAsia="en-AU"/>
        </w:rPr>
        <w:t>Melberg</w:t>
      </w:r>
      <w:proofErr w:type="spellEnd"/>
      <w:r w:rsidRPr="00875B9A">
        <w:rPr>
          <w:lang w:eastAsia="en-AU"/>
        </w:rPr>
        <w:t xml:space="preserve"> et al</w:t>
      </w:r>
      <w:r w:rsidR="005421CA">
        <w:rPr>
          <w:lang w:eastAsia="en-AU"/>
        </w:rPr>
        <w:t xml:space="preserve"> (2011)</w:t>
      </w:r>
      <w:r w:rsidRPr="00875B9A">
        <w:rPr>
          <w:lang w:eastAsia="en-AU"/>
        </w:rPr>
        <w:t xml:space="preserve"> found that 14% of the public surveyed knew socially or were related to a person who uses drugs (i.e., family and friends). Family and friends of people who use drugs indicated they would be willing to spend between 500 and 13,000 euros to treat the person. This equates to an estimated 1,194 NZD.</w:t>
      </w:r>
    </w:p>
    <w:p w14:paraId="3CCFE957" w14:textId="77777777" w:rsidR="00A26FD6" w:rsidRPr="00875B9A" w:rsidRDefault="00A26FD6" w:rsidP="00A26FD6">
      <w:pPr>
        <w:rPr>
          <w:lang w:eastAsia="en-AU"/>
        </w:rPr>
      </w:pPr>
      <w:proofErr w:type="spellStart"/>
      <w:r w:rsidRPr="00875B9A">
        <w:rPr>
          <w:lang w:eastAsia="en-AU"/>
        </w:rPr>
        <w:t>Melberg</w:t>
      </w:r>
      <w:proofErr w:type="spellEnd"/>
      <w:r w:rsidRPr="00875B9A">
        <w:rPr>
          <w:lang w:eastAsia="en-AU"/>
        </w:rPr>
        <w:t xml:space="preserve"> et al (2011) conducted a representative survey of 3,092 adults in Copenhagen, Helsinki, Oslo, and Stockholm. Almost half of the respondents had at some time known and been concerned about the illicit drug use of a personal acquaintance (i.e., family or friend). In Oslo, 14% of respondents indicated they were willing to pay for the treatment of a friend. In fact, median responses across all respondents ranged from 500 euros for a friend to 13,000 euros for a child. It is argued the amount family and friends are willing to pay is related to the harm or distress that family and friends experience because of drug use. While a proportion of respondents willing to pay for treatment might be acting entirely from altruism, indications from the </w:t>
      </w:r>
      <w:proofErr w:type="spellStart"/>
      <w:r w:rsidRPr="00875B9A">
        <w:rPr>
          <w:lang w:eastAsia="en-AU"/>
        </w:rPr>
        <w:t>Melberg</w:t>
      </w:r>
      <w:proofErr w:type="spellEnd"/>
      <w:r w:rsidRPr="00875B9A">
        <w:rPr>
          <w:lang w:eastAsia="en-AU"/>
        </w:rPr>
        <w:t xml:space="preserve"> et al (2011) study indicate there are significant harms experienced by family and friends, with 6.5% reporting they had feared violence from the person using drugs and 22.5% acknowledging they had been worried in the past 12 months as a result of their family member or friend’s drug use. From these figures, it appears that willingness to pay and incurred harm may be closely related.</w:t>
      </w:r>
    </w:p>
    <w:p w14:paraId="0F377471" w14:textId="77777777" w:rsidR="00A26FD6" w:rsidRPr="00875B9A" w:rsidRDefault="00A26FD6" w:rsidP="00A26FD6">
      <w:pPr>
        <w:rPr>
          <w:lang w:eastAsia="en-AU"/>
        </w:rPr>
      </w:pPr>
      <w:r w:rsidRPr="00875B9A">
        <w:rPr>
          <w:lang w:eastAsia="en-AU"/>
        </w:rPr>
        <w:t xml:space="preserve">As in the DHI 2016 and 2020, the DHI 2023 assumes the proportion of the adult population willing to pay for treatment for friend or family was the same in New Zealand as in Norway. This assumption is conservative, as New Zealand’s adult population has a higher proportion of current people who use drugs than Norway’s. It was also assumed the average willingness-to-pay figure for family and friends was 500 euros. Again, this was a conservative figure given the range of 500 to 13,000 euros in the </w:t>
      </w:r>
      <w:proofErr w:type="spellStart"/>
      <w:r w:rsidRPr="00875B9A">
        <w:rPr>
          <w:lang w:eastAsia="en-AU"/>
        </w:rPr>
        <w:t>Melberg</w:t>
      </w:r>
      <w:proofErr w:type="spellEnd"/>
      <w:r w:rsidRPr="00875B9A">
        <w:rPr>
          <w:lang w:eastAsia="en-AU"/>
        </w:rPr>
        <w:t xml:space="preserve"> study. Thus, the number of family and friends in New Zealand willing to pay the equivalent of 500 euros each was calculated as 14% of the adult New Zealand population (aged 15–64 years) in 2021 (3,334,900 people).</w:t>
      </w:r>
      <w:r w:rsidRPr="00875B9A">
        <w:rPr>
          <w:rStyle w:val="FootnoteReference"/>
          <w:lang w:eastAsia="en-AU"/>
        </w:rPr>
        <w:footnoteReference w:id="14"/>
      </w:r>
      <w:r w:rsidRPr="00875B9A">
        <w:rPr>
          <w:lang w:eastAsia="en-AU"/>
        </w:rPr>
        <w:t xml:space="preserve"> The number of affected people was estimated at 466,886. The total harm to the community as estimated by willingness-to-pay techniques is $557.2 million.</w:t>
      </w:r>
    </w:p>
    <w:p w14:paraId="03D81CB6" w14:textId="6EE2DD3B" w:rsidR="00DA48D6" w:rsidRPr="00875B9A" w:rsidRDefault="00A26FD6" w:rsidP="00A26FD6">
      <w:pPr>
        <w:rPr>
          <w:lang w:eastAsia="en-AU"/>
        </w:rPr>
      </w:pPr>
      <w:r w:rsidRPr="00875B9A">
        <w:rPr>
          <w:lang w:eastAsia="en-AU"/>
        </w:rPr>
        <w:t xml:space="preserve">In DHI 2016, it was assumed that significant harm to family and friends would be from people experiencing addiction. In DHI 2020 and now the DHI 2023, it was assumed the most likely to cause concern for family and friends would be when people who use drugs are admitted to hospital for more than one day, i.e., serious cases as previously defined. Total harm across drug types was distributed according to the number of serious hospital admissions for each drug type. The results are reported in Table </w:t>
      </w:r>
      <w:r w:rsidR="005421CA">
        <w:rPr>
          <w:lang w:eastAsia="en-AU"/>
        </w:rPr>
        <w:t>4</w:t>
      </w:r>
      <w:r w:rsidRPr="00875B9A">
        <w:rPr>
          <w:lang w:eastAsia="en-AU"/>
        </w:rPr>
        <w:t>.</w:t>
      </w:r>
    </w:p>
    <w:p w14:paraId="4BC86793" w14:textId="77777777" w:rsidR="00A26FD6" w:rsidRPr="00875B9A" w:rsidRDefault="00A26FD6" w:rsidP="00A26FD6">
      <w:pPr>
        <w:pStyle w:val="Heading3"/>
        <w:rPr>
          <w:lang w:eastAsia="en-AU"/>
        </w:rPr>
      </w:pPr>
      <w:r w:rsidRPr="00875B9A">
        <w:rPr>
          <w:lang w:eastAsia="en-AU"/>
        </w:rPr>
        <w:t>Acquisitive crime</w:t>
      </w:r>
    </w:p>
    <w:p w14:paraId="623A4FB0" w14:textId="77777777" w:rsidR="00A26FD6" w:rsidRPr="00875B9A" w:rsidRDefault="00A26FD6" w:rsidP="00DA48D6">
      <w:pPr>
        <w:spacing w:line="300" w:lineRule="auto"/>
        <w:rPr>
          <w:lang w:eastAsia="en-AU"/>
        </w:rPr>
      </w:pPr>
      <w:r w:rsidRPr="00875B9A">
        <w:rPr>
          <w:lang w:eastAsia="en-AU"/>
        </w:rPr>
        <w:t>Acquisitive crime as a means of funding illicit drug purchases has long been assumed and debated. Figures from Slack et al (2008) suggest that property losses accounted for 6.1% of the NZ DHI. There are obviously differences in method, but it is cautionary to observe that under two separate measures of drug harm the relative contribution of property crime can differ tenfold.</w:t>
      </w:r>
    </w:p>
    <w:p w14:paraId="720FF23E" w14:textId="77777777" w:rsidR="00A26FD6" w:rsidRPr="00875B9A" w:rsidRDefault="00A26FD6" w:rsidP="00DA48D6">
      <w:pPr>
        <w:spacing w:line="300" w:lineRule="auto"/>
        <w:rPr>
          <w:rFonts w:ascii="Calibri" w:hAnsi="Calibri" w:cs="Calibri"/>
          <w:szCs w:val="22"/>
          <w:lang w:eastAsia="zh-CN"/>
        </w:rPr>
      </w:pPr>
      <w:r w:rsidRPr="00875B9A">
        <w:rPr>
          <w:lang w:eastAsia="en-AU"/>
        </w:rPr>
        <w:t>Acquisitive crime was separated into burglary (55,313 cases</w:t>
      </w:r>
      <w:r w:rsidRPr="00875B9A">
        <w:rPr>
          <w:rStyle w:val="FootnoteReference"/>
          <w:lang w:eastAsia="en-AU"/>
        </w:rPr>
        <w:footnoteReference w:id="15"/>
      </w:r>
      <w:r w:rsidRPr="00875B9A">
        <w:rPr>
          <w:lang w:eastAsia="en-AU"/>
        </w:rPr>
        <w:t>) and theft (132,341 cases</w:t>
      </w:r>
      <w:r w:rsidRPr="00875B9A">
        <w:rPr>
          <w:rStyle w:val="FootnoteReference"/>
          <w:lang w:eastAsia="en-AU"/>
        </w:rPr>
        <w:footnoteReference w:id="16"/>
      </w:r>
      <w:r w:rsidRPr="00875B9A">
        <w:rPr>
          <w:lang w:eastAsia="en-AU"/>
        </w:rPr>
        <w:t>), the average property cost per crime being $</w:t>
      </w:r>
      <w:r w:rsidRPr="00875B9A">
        <w:rPr>
          <w:rFonts w:ascii="Calibri" w:hAnsi="Calibri" w:cs="Calibri"/>
          <w:szCs w:val="22"/>
          <w:lang w:eastAsia="zh-CN"/>
        </w:rPr>
        <w:t xml:space="preserve">5,104.95 </w:t>
      </w:r>
      <w:r w:rsidRPr="00875B9A">
        <w:rPr>
          <w:lang w:eastAsia="en-AU"/>
        </w:rPr>
        <w:t>for burglary and $</w:t>
      </w:r>
      <w:r w:rsidRPr="00875B9A">
        <w:rPr>
          <w:rFonts w:ascii="Calibri" w:hAnsi="Calibri" w:cs="Calibri"/>
          <w:szCs w:val="22"/>
          <w:lang w:eastAsia="zh-CN"/>
        </w:rPr>
        <w:t xml:space="preserve">1,111.35 </w:t>
      </w:r>
      <w:r w:rsidRPr="00875B9A">
        <w:rPr>
          <w:lang w:eastAsia="en-AU"/>
        </w:rPr>
        <w:t xml:space="preserve">for theft. The proportion of arrestees who used drugs in the past 12 months and claimed to be dependent during that time (30% of arrestees) was again used as an indicator of the extent of drug-related acquisitive crime (Wilkins et al 2016). </w:t>
      </w:r>
    </w:p>
    <w:p w14:paraId="68CD3686" w14:textId="2420947F" w:rsidR="00A26FD6" w:rsidRPr="00875B9A" w:rsidRDefault="00A26FD6" w:rsidP="00DA48D6">
      <w:pPr>
        <w:keepLines/>
        <w:spacing w:line="300" w:lineRule="auto"/>
        <w:rPr>
          <w:lang w:eastAsia="en-AU"/>
        </w:rPr>
      </w:pPr>
      <w:r w:rsidRPr="00875B9A">
        <w:rPr>
          <w:lang w:eastAsia="en-AU"/>
        </w:rPr>
        <w:t xml:space="preserve">The estimated economic value of property lost due to acquisitive crime committed to fund drug use is $182.64 million. See Table </w:t>
      </w:r>
      <w:r w:rsidR="005421CA">
        <w:rPr>
          <w:lang w:eastAsia="en-AU"/>
        </w:rPr>
        <w:t>4</w:t>
      </w:r>
      <w:r w:rsidRPr="00875B9A">
        <w:rPr>
          <w:lang w:eastAsia="en-AU"/>
        </w:rPr>
        <w:t xml:space="preserve"> for details.</w:t>
      </w:r>
    </w:p>
    <w:p w14:paraId="23B19237" w14:textId="77777777" w:rsidR="00A26FD6" w:rsidRPr="00875B9A" w:rsidRDefault="00A26FD6" w:rsidP="00A26FD6">
      <w:pPr>
        <w:pStyle w:val="Heading3"/>
        <w:rPr>
          <w:lang w:eastAsia="en-AU"/>
        </w:rPr>
      </w:pPr>
      <w:r w:rsidRPr="00875B9A">
        <w:rPr>
          <w:lang w:eastAsia="en-AU"/>
        </w:rPr>
        <w:t>Reinvestment into other crime</w:t>
      </w:r>
    </w:p>
    <w:p w14:paraId="6E431228" w14:textId="77777777" w:rsidR="00A26FD6" w:rsidRPr="00875B9A" w:rsidRDefault="00A26FD6" w:rsidP="00A26FD6">
      <w:pPr>
        <w:rPr>
          <w:lang w:eastAsia="en-AU"/>
        </w:rPr>
      </w:pPr>
      <w:r w:rsidRPr="00875B9A">
        <w:rPr>
          <w:lang w:eastAsia="en-AU"/>
        </w:rPr>
        <w:t>Organised crime plays a significant role in drug production, importation, and distribution (excluding drug trafficking). This section is concerned with harms that extend beyond the harms traditionally associated with illicit drugs. Organised crime will attempt to lower the risk associated with activities. One strategy to reduce risk is diversification into other types of crime.</w:t>
      </w:r>
    </w:p>
    <w:p w14:paraId="1E1C81FE" w14:textId="77777777" w:rsidR="00A26FD6" w:rsidRPr="00875B9A" w:rsidRDefault="00A26FD6" w:rsidP="00A26FD6">
      <w:pPr>
        <w:rPr>
          <w:lang w:eastAsia="en-AU"/>
        </w:rPr>
      </w:pPr>
      <w:r w:rsidRPr="00875B9A">
        <w:rPr>
          <w:lang w:eastAsia="en-AU"/>
        </w:rPr>
        <w:t>Drug crime is highly profitable but not all profits of crime are reinvested in crime. Research undertaken on behalf of the New Zealand Police suggests that 56% of the revenue from drug trafficking is reinvested in criminal activity</w:t>
      </w:r>
      <w:r w:rsidRPr="00875B9A">
        <w:rPr>
          <w:rStyle w:val="FootnoteReference"/>
          <w:lang w:eastAsia="en-AU"/>
        </w:rPr>
        <w:footnoteReference w:id="17"/>
      </w:r>
      <w:r w:rsidRPr="00875B9A">
        <w:rPr>
          <w:lang w:eastAsia="en-AU"/>
        </w:rPr>
        <w:t>, while the remainder is used to support a lifestyle. The majority of reinvested profit will fund further drug trafficking; however, some will be invested in other activities such as extortion, fraud, and other trafficking.</w:t>
      </w:r>
    </w:p>
    <w:p w14:paraId="46B3B1AF" w14:textId="104E0C1C" w:rsidR="00A26FD6" w:rsidRPr="00875B9A" w:rsidRDefault="00A26FD6" w:rsidP="00A26FD6">
      <w:pPr>
        <w:keepLines/>
        <w:rPr>
          <w:lang w:eastAsia="en-AU"/>
        </w:rPr>
      </w:pPr>
      <w:r w:rsidRPr="00875B9A">
        <w:rPr>
          <w:lang w:eastAsia="en-AU"/>
        </w:rPr>
        <w:t xml:space="preserve">Hughes et al (2015) provided a network analysis of the links between major drug crimes and other types of crime in Australia. They found that 28.5% of cases in the linked network were not drug-related and that most cases were associated with economic crime. There is insufficient information available to calculate the actual proportion of profits from drug trafficking reinvested in other crime. Based on the Hughes et al figures it is unlikely to exceed 28.5%. A conservative estimate of 20% was used in the model. Thus, the proportion of drug-related revenue reinvested in other crime is 20% of 56%, or approximately 11%. The results are provided in Table </w:t>
      </w:r>
      <w:r w:rsidR="005421CA">
        <w:rPr>
          <w:lang w:eastAsia="en-AU"/>
        </w:rPr>
        <w:t>4.</w:t>
      </w:r>
    </w:p>
    <w:p w14:paraId="76B45A31" w14:textId="77777777" w:rsidR="00A26FD6" w:rsidRPr="00875B9A" w:rsidRDefault="00A26FD6" w:rsidP="00A26FD6">
      <w:pPr>
        <w:rPr>
          <w:lang w:eastAsia="en-AU"/>
        </w:rPr>
      </w:pPr>
      <w:r w:rsidRPr="00875B9A">
        <w:rPr>
          <w:lang w:eastAsia="en-AU"/>
        </w:rPr>
        <w:t>The preceding analysis and estimates relate to the reinvestment of drug trafficking profits into other illegal activities. There is a further threat posed by drug trafficking profits entering the legitimate economy as organised crime seeks to diversify further by investing in legitimate business. This is in addition to any money laundering activities, and it is not a new problem. Negative impacts of criminal profits being invested in the legitimate economy include</w:t>
      </w:r>
      <w:r w:rsidRPr="00875B9A">
        <w:rPr>
          <w:rStyle w:val="FootnoteReference"/>
          <w:lang w:eastAsia="en-AU"/>
        </w:rPr>
        <w:footnoteReference w:id="18"/>
      </w:r>
      <w:r w:rsidRPr="00875B9A">
        <w:rPr>
          <w:lang w:eastAsia="en-AU"/>
        </w:rPr>
        <w:t>:</w:t>
      </w:r>
    </w:p>
    <w:p w14:paraId="7FF4FEE9" w14:textId="77777777" w:rsidR="00A26FD6" w:rsidRPr="00875B9A" w:rsidRDefault="00A26FD6" w:rsidP="00DA48D6">
      <w:pPr>
        <w:pStyle w:val="ListParagraph"/>
        <w:numPr>
          <w:ilvl w:val="0"/>
          <w:numId w:val="7"/>
        </w:numPr>
      </w:pPr>
      <w:r w:rsidRPr="00875B9A">
        <w:t>undermining the private sector by subsidising legitimate business with drug profits, thereby creating a competitive advantage over honest businesses.</w:t>
      </w:r>
    </w:p>
    <w:p w14:paraId="74E42D3F" w14:textId="77777777" w:rsidR="00A26FD6" w:rsidRPr="00875B9A" w:rsidRDefault="00A26FD6" w:rsidP="00DA48D6">
      <w:pPr>
        <w:pStyle w:val="ListParagraph"/>
        <w:numPr>
          <w:ilvl w:val="0"/>
          <w:numId w:val="7"/>
        </w:numPr>
      </w:pPr>
      <w:r w:rsidRPr="00875B9A">
        <w:t>undermining the integrity of financial markets by moving large sums of money through the international financial system.</w:t>
      </w:r>
    </w:p>
    <w:p w14:paraId="70A8CCC9" w14:textId="77777777" w:rsidR="00A26FD6" w:rsidRPr="00875B9A" w:rsidRDefault="00A26FD6" w:rsidP="00DA48D6">
      <w:pPr>
        <w:pStyle w:val="ListParagraph"/>
        <w:numPr>
          <w:ilvl w:val="0"/>
          <w:numId w:val="7"/>
        </w:numPr>
      </w:pPr>
      <w:r w:rsidRPr="00875B9A">
        <w:t>loss of economic control that the previous point entails, especially to developing economies.</w:t>
      </w:r>
    </w:p>
    <w:p w14:paraId="16C52173" w14:textId="2224C91E" w:rsidR="00A26FD6" w:rsidRPr="00875B9A" w:rsidRDefault="00A26FD6" w:rsidP="00DA48D6">
      <w:pPr>
        <w:pStyle w:val="ListParagraph"/>
        <w:numPr>
          <w:ilvl w:val="0"/>
          <w:numId w:val="7"/>
        </w:numPr>
        <w:rPr>
          <w:lang w:eastAsia="en-AU"/>
        </w:rPr>
      </w:pPr>
      <w:r w:rsidRPr="00875B9A">
        <w:t>the economic damage that ensues from the perception that countries are corrupt and involved in the laundering</w:t>
      </w:r>
      <w:r w:rsidRPr="00875B9A">
        <w:rPr>
          <w:lang w:eastAsia="en-AU"/>
        </w:rPr>
        <w:t xml:space="preserve"> of drug profits.</w:t>
      </w:r>
    </w:p>
    <w:p w14:paraId="23A0F7F2" w14:textId="77777777" w:rsidR="00A26FD6" w:rsidRPr="00875B9A" w:rsidRDefault="00A26FD6" w:rsidP="00A26FD6">
      <w:pPr>
        <w:rPr>
          <w:lang w:eastAsia="en-AU"/>
        </w:rPr>
      </w:pPr>
      <w:r w:rsidRPr="00875B9A">
        <w:rPr>
          <w:lang w:eastAsia="en-AU"/>
        </w:rPr>
        <w:t>These threats are less likely to occur in countries with strong institutions, transparent government and appropriate checks and balances in place. They are nevertheless real and not accounted for in this report.</w:t>
      </w:r>
    </w:p>
    <w:p w14:paraId="7154B71C" w14:textId="77777777" w:rsidR="00A26FD6" w:rsidRPr="00875B9A" w:rsidRDefault="00A26FD6" w:rsidP="00A26FD6">
      <w:pPr>
        <w:pStyle w:val="Heading3"/>
        <w:rPr>
          <w:lang w:eastAsia="en-AU"/>
        </w:rPr>
      </w:pPr>
      <w:r w:rsidRPr="00875B9A">
        <w:rPr>
          <w:lang w:eastAsia="en-AU"/>
        </w:rPr>
        <w:t xml:space="preserve">Reduced tax </w:t>
      </w:r>
      <w:proofErr w:type="gramStart"/>
      <w:r w:rsidRPr="00875B9A">
        <w:rPr>
          <w:lang w:eastAsia="en-AU"/>
        </w:rPr>
        <w:t>base</w:t>
      </w:r>
      <w:proofErr w:type="gramEnd"/>
    </w:p>
    <w:p w14:paraId="5A018FDA" w14:textId="77777777" w:rsidR="00A26FD6" w:rsidRPr="00875B9A" w:rsidRDefault="00A26FD6" w:rsidP="00A26FD6">
      <w:pPr>
        <w:rPr>
          <w:lang w:eastAsia="en-AU"/>
        </w:rPr>
      </w:pPr>
      <w:r w:rsidRPr="00875B9A">
        <w:rPr>
          <w:lang w:eastAsia="en-AU"/>
        </w:rPr>
        <w:t xml:space="preserve">A further aspect of the economic harm associated with the involvement of organised crime in drug trafficking is the loss to the tax base available to the government. Modern organised crime will seek to lower its risk through diversification and enhance its profitability by tax avoidance. Organised crime generally pays neither GST nor company tax. In doing so, reducing the governments overall tax income and limits the resources available to provide services to the people of New Zealand. </w:t>
      </w:r>
    </w:p>
    <w:p w14:paraId="08F88094" w14:textId="77777777" w:rsidR="00A26FD6" w:rsidRPr="00875B9A" w:rsidRDefault="00A26FD6" w:rsidP="00A26FD6">
      <w:pPr>
        <w:rPr>
          <w:lang w:eastAsia="en-AU"/>
        </w:rPr>
      </w:pPr>
      <w:r w:rsidRPr="00875B9A">
        <w:rPr>
          <w:lang w:eastAsia="en-AU"/>
        </w:rPr>
        <w:t>The basis of this measure was the income derived from drug trafficking, as it was for the estimate of reinvestment organised crime made into other crime. An accurate assessment of GST would be based on revenue less any GST credits. With an illegal enterprise such as drug trafficking, it is difficult to estimate the extent of GST credits. As an alternative and conservative estimate, GST was calculated against estimated profit, as company tax properly is. Tax avoided was calculated by multiplying estimated profit by income by the GST rate of 15% and by the company tax rate of 28%. McFadden (2015), using New Zealand Police data, estimated that drug-related revenue included 83% profit, with the remaining 17% reimbursing the costs of running the business.</w:t>
      </w:r>
    </w:p>
    <w:p w14:paraId="40697433" w14:textId="77777777" w:rsidR="00A26FD6" w:rsidRPr="00875B9A" w:rsidRDefault="00A26FD6" w:rsidP="00A26FD6">
      <w:pPr>
        <w:keepLines/>
        <w:rPr>
          <w:lang w:eastAsia="en-AU"/>
        </w:rPr>
      </w:pPr>
      <w:r w:rsidRPr="00875B9A">
        <w:rPr>
          <w:lang w:eastAsia="en-AU"/>
        </w:rPr>
        <w:t xml:space="preserve">Overall, $284.22 million is lost to the tax base through the failure to pay appropriate taxes in relation to revenues and profit generated by illegal drug trafficking. This additional revenue could only be realised either by the legalisation of illegal drugs or by the diversion of this investment into legal forms of investment. Nevertheless, it remains a genuine social harm associated with illegal drug trafficking. </w:t>
      </w:r>
      <w:bookmarkStart w:id="47" w:name="_Ref88223384"/>
      <w:bookmarkStart w:id="48" w:name="_Toc88231912"/>
      <w:bookmarkStart w:id="49" w:name="_Hlk32403044"/>
    </w:p>
    <w:p w14:paraId="289B987A" w14:textId="1C8B4055" w:rsidR="00A26FD6" w:rsidRPr="00875B9A" w:rsidRDefault="00A26FD6" w:rsidP="00A26FD6">
      <w:pPr>
        <w:pStyle w:val="Table"/>
        <w:rPr>
          <w:lang w:eastAsia="en-AU"/>
        </w:rPr>
      </w:pPr>
      <w:bookmarkStart w:id="50" w:name="_Toc170116275"/>
      <w:r w:rsidRPr="00875B9A">
        <w:t>Table</w:t>
      </w:r>
      <w:bookmarkEnd w:id="47"/>
      <w:r w:rsidRPr="00875B9A">
        <w:t xml:space="preserve"> </w:t>
      </w:r>
      <w:r w:rsidR="005421CA">
        <w:t>4</w:t>
      </w:r>
      <w:r w:rsidRPr="00875B9A">
        <w:rPr>
          <w:noProof/>
        </w:rPr>
        <w:t>.</w:t>
      </w:r>
      <w:r w:rsidRPr="00875B9A">
        <w:rPr>
          <w:lang w:eastAsia="en-AU"/>
        </w:rPr>
        <w:t xml:space="preserve"> Community harms by drug type ($ million)</w:t>
      </w:r>
      <w:bookmarkEnd w:id="48"/>
      <w:bookmarkEnd w:id="50"/>
    </w:p>
    <w:tbl>
      <w:tblPr>
        <w:tblStyle w:val="TableGrid"/>
        <w:tblW w:w="9422" w:type="dxa"/>
        <w:tblLayout w:type="fixed"/>
        <w:tblCellMar>
          <w:left w:w="113" w:type="dxa"/>
          <w:right w:w="113" w:type="dxa"/>
        </w:tblCellMar>
        <w:tblLook w:val="04A0" w:firstRow="1" w:lastRow="0" w:firstColumn="1" w:lastColumn="0" w:noHBand="0" w:noVBand="1"/>
      </w:tblPr>
      <w:tblGrid>
        <w:gridCol w:w="2127"/>
        <w:gridCol w:w="1594"/>
        <w:gridCol w:w="1311"/>
        <w:gridCol w:w="1631"/>
        <w:gridCol w:w="1312"/>
        <w:gridCol w:w="1447"/>
      </w:tblGrid>
      <w:tr w:rsidR="00A26FD6" w:rsidRPr="00875B9A" w14:paraId="65A9130D" w14:textId="77777777" w:rsidTr="00E415E0">
        <w:trPr>
          <w:cantSplit/>
        </w:trPr>
        <w:tc>
          <w:tcPr>
            <w:tcW w:w="2127" w:type="dxa"/>
            <w:shd w:val="clear" w:color="auto" w:fill="auto"/>
          </w:tcPr>
          <w:bookmarkEnd w:id="49"/>
          <w:p w14:paraId="743552E3" w14:textId="77777777" w:rsidR="00A26FD6" w:rsidRPr="00875B9A" w:rsidRDefault="00A26FD6" w:rsidP="00B573EE">
            <w:pPr>
              <w:pStyle w:val="TableText"/>
              <w:rPr>
                <w:b/>
              </w:rPr>
            </w:pPr>
            <w:r w:rsidRPr="00875B9A">
              <w:rPr>
                <w:b/>
              </w:rPr>
              <w:t>Drug type</w:t>
            </w:r>
          </w:p>
        </w:tc>
        <w:tc>
          <w:tcPr>
            <w:tcW w:w="1594" w:type="dxa"/>
            <w:tcBorders>
              <w:bottom w:val="single" w:sz="4" w:space="0" w:color="auto"/>
            </w:tcBorders>
            <w:shd w:val="clear" w:color="auto" w:fill="auto"/>
          </w:tcPr>
          <w:p w14:paraId="3CB9D51D" w14:textId="77777777" w:rsidR="00A26FD6" w:rsidRPr="00875B9A" w:rsidRDefault="00A26FD6" w:rsidP="00B573EE">
            <w:pPr>
              <w:pStyle w:val="TableText"/>
              <w:jc w:val="center"/>
              <w:rPr>
                <w:b/>
              </w:rPr>
            </w:pPr>
            <w:r w:rsidRPr="00875B9A">
              <w:rPr>
                <w:b/>
              </w:rPr>
              <w:t>Harm to family and friends</w:t>
            </w:r>
          </w:p>
          <w:p w14:paraId="40317CBF" w14:textId="77777777" w:rsidR="00A26FD6" w:rsidRPr="00875B9A" w:rsidRDefault="00A26FD6" w:rsidP="00B573EE">
            <w:pPr>
              <w:pStyle w:val="TableText"/>
              <w:jc w:val="center"/>
              <w:rPr>
                <w:b/>
              </w:rPr>
            </w:pPr>
            <w:r w:rsidRPr="00875B9A">
              <w:rPr>
                <w:b/>
                <w:lang w:eastAsia="en-AU"/>
              </w:rPr>
              <w:t>($ million)</w:t>
            </w:r>
          </w:p>
        </w:tc>
        <w:tc>
          <w:tcPr>
            <w:tcW w:w="1311" w:type="dxa"/>
            <w:tcBorders>
              <w:bottom w:val="single" w:sz="4" w:space="0" w:color="auto"/>
            </w:tcBorders>
            <w:shd w:val="clear" w:color="auto" w:fill="auto"/>
          </w:tcPr>
          <w:p w14:paraId="458B829A" w14:textId="77777777" w:rsidR="00A26FD6" w:rsidRPr="00875B9A" w:rsidRDefault="00A26FD6" w:rsidP="00B573EE">
            <w:pPr>
              <w:pStyle w:val="TableText"/>
              <w:jc w:val="center"/>
              <w:rPr>
                <w:b/>
              </w:rPr>
            </w:pPr>
            <w:r w:rsidRPr="00875B9A">
              <w:rPr>
                <w:b/>
              </w:rPr>
              <w:t>Acquisitive crime</w:t>
            </w:r>
          </w:p>
          <w:p w14:paraId="141E3846" w14:textId="77777777" w:rsidR="00A26FD6" w:rsidRPr="00875B9A" w:rsidRDefault="00A26FD6" w:rsidP="00B573EE">
            <w:pPr>
              <w:pStyle w:val="TableText"/>
              <w:jc w:val="center"/>
              <w:rPr>
                <w:b/>
              </w:rPr>
            </w:pPr>
            <w:r w:rsidRPr="00875B9A">
              <w:rPr>
                <w:b/>
                <w:lang w:eastAsia="en-AU"/>
              </w:rPr>
              <w:t>($ million)</w:t>
            </w:r>
          </w:p>
        </w:tc>
        <w:tc>
          <w:tcPr>
            <w:tcW w:w="1631" w:type="dxa"/>
            <w:tcBorders>
              <w:bottom w:val="single" w:sz="4" w:space="0" w:color="auto"/>
            </w:tcBorders>
            <w:shd w:val="clear" w:color="auto" w:fill="auto"/>
          </w:tcPr>
          <w:p w14:paraId="66617F3D" w14:textId="77777777" w:rsidR="00A26FD6" w:rsidRPr="00875B9A" w:rsidRDefault="00A26FD6" w:rsidP="00B573EE">
            <w:pPr>
              <w:pStyle w:val="TableText"/>
              <w:jc w:val="center"/>
              <w:rPr>
                <w:b/>
              </w:rPr>
            </w:pPr>
            <w:r w:rsidRPr="00875B9A">
              <w:rPr>
                <w:b/>
              </w:rPr>
              <w:t>Reinvestment in other crime</w:t>
            </w:r>
          </w:p>
          <w:p w14:paraId="455B2EA3" w14:textId="77777777" w:rsidR="00A26FD6" w:rsidRPr="00875B9A" w:rsidRDefault="00A26FD6" w:rsidP="00B573EE">
            <w:pPr>
              <w:pStyle w:val="TableText"/>
              <w:jc w:val="center"/>
              <w:rPr>
                <w:b/>
              </w:rPr>
            </w:pPr>
            <w:r w:rsidRPr="00875B9A">
              <w:rPr>
                <w:b/>
                <w:lang w:eastAsia="en-AU"/>
              </w:rPr>
              <w:t>($ million)</w:t>
            </w:r>
          </w:p>
        </w:tc>
        <w:tc>
          <w:tcPr>
            <w:tcW w:w="1312" w:type="dxa"/>
            <w:tcBorders>
              <w:bottom w:val="single" w:sz="4" w:space="0" w:color="auto"/>
            </w:tcBorders>
            <w:shd w:val="clear" w:color="auto" w:fill="auto"/>
          </w:tcPr>
          <w:p w14:paraId="5618F722" w14:textId="77777777" w:rsidR="00A26FD6" w:rsidRPr="00875B9A" w:rsidRDefault="00A26FD6" w:rsidP="00B573EE">
            <w:pPr>
              <w:pStyle w:val="TableText"/>
              <w:jc w:val="center"/>
              <w:rPr>
                <w:b/>
              </w:rPr>
            </w:pPr>
            <w:r w:rsidRPr="00875B9A">
              <w:rPr>
                <w:b/>
              </w:rPr>
              <w:t xml:space="preserve">Tax revenue </w:t>
            </w:r>
            <w:proofErr w:type="gramStart"/>
            <w:r w:rsidRPr="00875B9A">
              <w:rPr>
                <w:b/>
              </w:rPr>
              <w:t>foregone</w:t>
            </w:r>
            <w:proofErr w:type="gramEnd"/>
          </w:p>
          <w:p w14:paraId="16CDBDFA" w14:textId="77777777" w:rsidR="00A26FD6" w:rsidRPr="00875B9A" w:rsidRDefault="00A26FD6" w:rsidP="00B573EE">
            <w:pPr>
              <w:pStyle w:val="TableText"/>
              <w:jc w:val="center"/>
              <w:rPr>
                <w:b/>
              </w:rPr>
            </w:pPr>
            <w:r w:rsidRPr="00875B9A">
              <w:rPr>
                <w:b/>
                <w:lang w:eastAsia="en-AU"/>
              </w:rPr>
              <w:t>($ million)</w:t>
            </w:r>
          </w:p>
        </w:tc>
        <w:tc>
          <w:tcPr>
            <w:tcW w:w="1447" w:type="dxa"/>
            <w:tcBorders>
              <w:bottom w:val="single" w:sz="4" w:space="0" w:color="auto"/>
            </w:tcBorders>
            <w:shd w:val="clear" w:color="auto" w:fill="auto"/>
          </w:tcPr>
          <w:p w14:paraId="6DFDE580" w14:textId="77777777" w:rsidR="00A26FD6" w:rsidRPr="00875B9A" w:rsidRDefault="00A26FD6" w:rsidP="00B573EE">
            <w:pPr>
              <w:pStyle w:val="TableText"/>
              <w:jc w:val="center"/>
              <w:rPr>
                <w:b/>
              </w:rPr>
            </w:pPr>
            <w:r w:rsidRPr="00875B9A">
              <w:rPr>
                <w:b/>
              </w:rPr>
              <w:t>Total community harm</w:t>
            </w:r>
          </w:p>
          <w:p w14:paraId="405A5CDB" w14:textId="77777777" w:rsidR="00A26FD6" w:rsidRPr="00875B9A" w:rsidRDefault="00A26FD6" w:rsidP="00B573EE">
            <w:pPr>
              <w:pStyle w:val="TableText"/>
              <w:jc w:val="center"/>
              <w:rPr>
                <w:b/>
              </w:rPr>
            </w:pPr>
            <w:r w:rsidRPr="00875B9A">
              <w:rPr>
                <w:b/>
                <w:lang w:eastAsia="en-AU"/>
              </w:rPr>
              <w:t>($ million)</w:t>
            </w:r>
          </w:p>
        </w:tc>
      </w:tr>
      <w:tr w:rsidR="00A26FD6" w:rsidRPr="00875B9A" w14:paraId="6D1305A3" w14:textId="77777777" w:rsidTr="00E415E0">
        <w:trPr>
          <w:cantSplit/>
        </w:trPr>
        <w:tc>
          <w:tcPr>
            <w:tcW w:w="2127" w:type="dxa"/>
            <w:tcBorders>
              <w:bottom w:val="nil"/>
            </w:tcBorders>
            <w:shd w:val="clear" w:color="auto" w:fill="auto"/>
          </w:tcPr>
          <w:p w14:paraId="224CBD3B" w14:textId="77777777" w:rsidR="00A26FD6" w:rsidRPr="00875B9A" w:rsidRDefault="00A26FD6" w:rsidP="00B573EE">
            <w:pPr>
              <w:pStyle w:val="TableText"/>
              <w:rPr>
                <w:i/>
              </w:rPr>
            </w:pPr>
            <w:r w:rsidRPr="00875B9A">
              <w:rPr>
                <w:i/>
                <w:lang w:eastAsia="en-AU"/>
              </w:rPr>
              <w:t>Methamphetamine</w:t>
            </w:r>
          </w:p>
        </w:tc>
        <w:tc>
          <w:tcPr>
            <w:tcW w:w="1594" w:type="dxa"/>
            <w:tcBorders>
              <w:top w:val="single" w:sz="4" w:space="0" w:color="auto"/>
              <w:left w:val="nil"/>
              <w:bottom w:val="nil"/>
              <w:right w:val="single" w:sz="4" w:space="0" w:color="auto"/>
            </w:tcBorders>
            <w:shd w:val="clear" w:color="auto" w:fill="auto"/>
            <w:vAlign w:val="bottom"/>
          </w:tcPr>
          <w:p w14:paraId="75043C4C" w14:textId="77777777" w:rsidR="00A26FD6" w:rsidRPr="00875B9A" w:rsidRDefault="00A26FD6" w:rsidP="00B573EE">
            <w:pPr>
              <w:pStyle w:val="TableText"/>
              <w:tabs>
                <w:tab w:val="decimal" w:pos="737"/>
              </w:tabs>
              <w:ind w:right="400"/>
              <w:jc w:val="right"/>
            </w:pPr>
            <w:r w:rsidRPr="00875B9A">
              <w:rPr>
                <w:rFonts w:ascii="Calibri" w:hAnsi="Calibri" w:cs="Calibri"/>
              </w:rPr>
              <w:t>261.16</w:t>
            </w:r>
          </w:p>
        </w:tc>
        <w:tc>
          <w:tcPr>
            <w:tcW w:w="1311" w:type="dxa"/>
            <w:tcBorders>
              <w:top w:val="single" w:sz="4" w:space="0" w:color="auto"/>
              <w:left w:val="single" w:sz="4" w:space="0" w:color="auto"/>
              <w:bottom w:val="nil"/>
              <w:right w:val="single" w:sz="4" w:space="0" w:color="auto"/>
            </w:tcBorders>
            <w:shd w:val="clear" w:color="auto" w:fill="auto"/>
            <w:vAlign w:val="bottom"/>
          </w:tcPr>
          <w:p w14:paraId="3E8A34D5" w14:textId="77777777" w:rsidR="00A26FD6" w:rsidRPr="00875B9A" w:rsidRDefault="00A26FD6" w:rsidP="00B573EE">
            <w:pPr>
              <w:pStyle w:val="TableText"/>
              <w:tabs>
                <w:tab w:val="decimal" w:pos="561"/>
              </w:tabs>
              <w:jc w:val="right"/>
            </w:pPr>
            <w:r w:rsidRPr="00875B9A">
              <w:rPr>
                <w:rFonts w:ascii="Calibri" w:hAnsi="Calibri" w:cs="Calibri"/>
              </w:rPr>
              <w:t>85.59</w:t>
            </w:r>
          </w:p>
        </w:tc>
        <w:tc>
          <w:tcPr>
            <w:tcW w:w="1631" w:type="dxa"/>
            <w:tcBorders>
              <w:top w:val="single" w:sz="4" w:space="0" w:color="auto"/>
              <w:left w:val="single" w:sz="4" w:space="0" w:color="auto"/>
              <w:bottom w:val="nil"/>
              <w:right w:val="single" w:sz="4" w:space="0" w:color="auto"/>
            </w:tcBorders>
            <w:shd w:val="clear" w:color="auto" w:fill="auto"/>
            <w:vAlign w:val="bottom"/>
          </w:tcPr>
          <w:p w14:paraId="5719A7B8" w14:textId="77777777" w:rsidR="00A26FD6" w:rsidRPr="00875B9A" w:rsidRDefault="00A26FD6" w:rsidP="00B573EE">
            <w:pPr>
              <w:pStyle w:val="TableText"/>
              <w:tabs>
                <w:tab w:val="decimal" w:pos="652"/>
              </w:tabs>
              <w:jc w:val="right"/>
            </w:pPr>
            <w:r w:rsidRPr="00875B9A">
              <w:rPr>
                <w:rFonts w:ascii="Calibri" w:hAnsi="Calibri" w:cs="Calibri"/>
              </w:rPr>
              <w:t>13.63</w:t>
            </w:r>
          </w:p>
        </w:tc>
        <w:tc>
          <w:tcPr>
            <w:tcW w:w="1312" w:type="dxa"/>
            <w:tcBorders>
              <w:top w:val="single" w:sz="4" w:space="0" w:color="auto"/>
              <w:left w:val="single" w:sz="4" w:space="0" w:color="auto"/>
              <w:bottom w:val="nil"/>
              <w:right w:val="single" w:sz="4" w:space="0" w:color="auto"/>
            </w:tcBorders>
            <w:shd w:val="clear" w:color="auto" w:fill="auto"/>
            <w:vAlign w:val="bottom"/>
          </w:tcPr>
          <w:p w14:paraId="0E441D9B" w14:textId="77777777" w:rsidR="00A26FD6" w:rsidRPr="00875B9A" w:rsidRDefault="00A26FD6" w:rsidP="00B573EE">
            <w:pPr>
              <w:pStyle w:val="TableText"/>
              <w:tabs>
                <w:tab w:val="decimal" w:pos="595"/>
              </w:tabs>
              <w:jc w:val="right"/>
            </w:pPr>
            <w:r w:rsidRPr="00875B9A">
              <w:rPr>
                <w:rFonts w:ascii="Calibri" w:hAnsi="Calibri" w:cs="Calibri"/>
              </w:rPr>
              <w:t>53.28</w:t>
            </w:r>
          </w:p>
        </w:tc>
        <w:tc>
          <w:tcPr>
            <w:tcW w:w="1447" w:type="dxa"/>
            <w:tcBorders>
              <w:top w:val="single" w:sz="4" w:space="0" w:color="auto"/>
              <w:left w:val="single" w:sz="4" w:space="0" w:color="auto"/>
              <w:bottom w:val="nil"/>
              <w:right w:val="single" w:sz="4" w:space="0" w:color="auto"/>
            </w:tcBorders>
            <w:shd w:val="clear" w:color="auto" w:fill="auto"/>
            <w:vAlign w:val="bottom"/>
          </w:tcPr>
          <w:p w14:paraId="66307C07" w14:textId="77777777" w:rsidR="00A26FD6" w:rsidRPr="00875B9A" w:rsidRDefault="00A26FD6" w:rsidP="00B573EE">
            <w:pPr>
              <w:pStyle w:val="TableText"/>
              <w:tabs>
                <w:tab w:val="decimal" w:pos="526"/>
              </w:tabs>
              <w:jc w:val="right"/>
            </w:pPr>
            <w:r w:rsidRPr="00875B9A">
              <w:rPr>
                <w:rFonts w:ascii="Calibri" w:hAnsi="Calibri" w:cs="Calibri"/>
              </w:rPr>
              <w:t>413.65</w:t>
            </w:r>
          </w:p>
        </w:tc>
      </w:tr>
      <w:tr w:rsidR="00A26FD6" w:rsidRPr="00875B9A" w14:paraId="204C33E3" w14:textId="77777777" w:rsidTr="00E415E0">
        <w:trPr>
          <w:cantSplit/>
        </w:trPr>
        <w:tc>
          <w:tcPr>
            <w:tcW w:w="2127" w:type="dxa"/>
            <w:tcBorders>
              <w:top w:val="nil"/>
              <w:bottom w:val="nil"/>
            </w:tcBorders>
            <w:shd w:val="clear" w:color="auto" w:fill="auto"/>
          </w:tcPr>
          <w:p w14:paraId="0DCC2A0A" w14:textId="77777777" w:rsidR="00A26FD6" w:rsidRPr="00875B9A" w:rsidRDefault="00A26FD6" w:rsidP="00B573EE">
            <w:pPr>
              <w:pStyle w:val="TableText"/>
              <w:rPr>
                <w:i/>
              </w:rPr>
            </w:pPr>
            <w:r w:rsidRPr="00875B9A">
              <w:rPr>
                <w:i/>
                <w:lang w:eastAsia="en-AU"/>
              </w:rPr>
              <w:t>Cocaine</w:t>
            </w:r>
          </w:p>
        </w:tc>
        <w:tc>
          <w:tcPr>
            <w:tcW w:w="1594" w:type="dxa"/>
            <w:tcBorders>
              <w:top w:val="nil"/>
              <w:left w:val="nil"/>
              <w:bottom w:val="nil"/>
              <w:right w:val="single" w:sz="4" w:space="0" w:color="auto"/>
            </w:tcBorders>
            <w:shd w:val="clear" w:color="auto" w:fill="auto"/>
            <w:vAlign w:val="bottom"/>
          </w:tcPr>
          <w:p w14:paraId="6C7583CB" w14:textId="77777777" w:rsidR="00A26FD6" w:rsidRPr="00875B9A" w:rsidRDefault="00A26FD6" w:rsidP="00B573EE">
            <w:pPr>
              <w:pStyle w:val="TableText"/>
              <w:tabs>
                <w:tab w:val="decimal" w:pos="737"/>
              </w:tabs>
              <w:ind w:right="400"/>
              <w:jc w:val="right"/>
            </w:pPr>
            <w:r w:rsidRPr="00875B9A">
              <w:rPr>
                <w:rFonts w:ascii="Calibri" w:hAnsi="Calibri" w:cs="Calibri"/>
              </w:rPr>
              <w:t>1.30</w:t>
            </w:r>
          </w:p>
        </w:tc>
        <w:tc>
          <w:tcPr>
            <w:tcW w:w="1311" w:type="dxa"/>
            <w:tcBorders>
              <w:top w:val="nil"/>
              <w:left w:val="single" w:sz="4" w:space="0" w:color="auto"/>
              <w:bottom w:val="nil"/>
              <w:right w:val="single" w:sz="4" w:space="0" w:color="auto"/>
            </w:tcBorders>
            <w:shd w:val="clear" w:color="auto" w:fill="auto"/>
            <w:vAlign w:val="bottom"/>
          </w:tcPr>
          <w:p w14:paraId="734DEB7E" w14:textId="77777777" w:rsidR="00A26FD6" w:rsidRPr="00875B9A" w:rsidRDefault="00A26FD6" w:rsidP="00B573EE">
            <w:pPr>
              <w:pStyle w:val="TableText"/>
              <w:tabs>
                <w:tab w:val="decimal" w:pos="561"/>
              </w:tabs>
              <w:jc w:val="right"/>
            </w:pPr>
            <w:r w:rsidRPr="00875B9A">
              <w:rPr>
                <w:rFonts w:ascii="Calibri" w:hAnsi="Calibri" w:cs="Calibri"/>
              </w:rPr>
              <w:t>0.42</w:t>
            </w:r>
          </w:p>
        </w:tc>
        <w:tc>
          <w:tcPr>
            <w:tcW w:w="1631" w:type="dxa"/>
            <w:tcBorders>
              <w:top w:val="nil"/>
              <w:left w:val="single" w:sz="4" w:space="0" w:color="auto"/>
              <w:bottom w:val="nil"/>
              <w:right w:val="single" w:sz="4" w:space="0" w:color="auto"/>
            </w:tcBorders>
            <w:shd w:val="clear" w:color="auto" w:fill="auto"/>
            <w:vAlign w:val="bottom"/>
          </w:tcPr>
          <w:p w14:paraId="0F503E95" w14:textId="77777777" w:rsidR="00A26FD6" w:rsidRPr="00875B9A" w:rsidRDefault="00A26FD6" w:rsidP="00B573EE">
            <w:pPr>
              <w:pStyle w:val="TableText"/>
              <w:tabs>
                <w:tab w:val="decimal" w:pos="652"/>
              </w:tabs>
              <w:jc w:val="right"/>
            </w:pPr>
            <w:r w:rsidRPr="00875B9A">
              <w:rPr>
                <w:rFonts w:ascii="Calibri" w:hAnsi="Calibri" w:cs="Calibri"/>
              </w:rPr>
              <w:t>0.66</w:t>
            </w:r>
          </w:p>
        </w:tc>
        <w:tc>
          <w:tcPr>
            <w:tcW w:w="1312" w:type="dxa"/>
            <w:tcBorders>
              <w:top w:val="nil"/>
              <w:left w:val="single" w:sz="4" w:space="0" w:color="auto"/>
              <w:bottom w:val="nil"/>
              <w:right w:val="single" w:sz="4" w:space="0" w:color="auto"/>
            </w:tcBorders>
            <w:shd w:val="clear" w:color="auto" w:fill="auto"/>
            <w:vAlign w:val="bottom"/>
          </w:tcPr>
          <w:p w14:paraId="147D8CB5" w14:textId="77777777" w:rsidR="00A26FD6" w:rsidRPr="00875B9A" w:rsidRDefault="00A26FD6" w:rsidP="00B573EE">
            <w:pPr>
              <w:pStyle w:val="TableText"/>
              <w:tabs>
                <w:tab w:val="decimal" w:pos="595"/>
              </w:tabs>
              <w:jc w:val="right"/>
            </w:pPr>
            <w:r w:rsidRPr="00875B9A">
              <w:rPr>
                <w:rFonts w:ascii="Calibri" w:hAnsi="Calibri" w:cs="Calibri"/>
              </w:rPr>
              <w:t>2.60</w:t>
            </w:r>
          </w:p>
        </w:tc>
        <w:tc>
          <w:tcPr>
            <w:tcW w:w="1447" w:type="dxa"/>
            <w:tcBorders>
              <w:top w:val="nil"/>
              <w:left w:val="single" w:sz="4" w:space="0" w:color="auto"/>
              <w:bottom w:val="nil"/>
              <w:right w:val="single" w:sz="4" w:space="0" w:color="auto"/>
            </w:tcBorders>
            <w:shd w:val="clear" w:color="auto" w:fill="auto"/>
            <w:vAlign w:val="bottom"/>
          </w:tcPr>
          <w:p w14:paraId="2F8BC689" w14:textId="77777777" w:rsidR="00A26FD6" w:rsidRPr="00875B9A" w:rsidRDefault="00A26FD6" w:rsidP="00B573EE">
            <w:pPr>
              <w:pStyle w:val="TableText"/>
              <w:tabs>
                <w:tab w:val="decimal" w:pos="526"/>
              </w:tabs>
              <w:jc w:val="right"/>
            </w:pPr>
            <w:r w:rsidRPr="00875B9A">
              <w:rPr>
                <w:rFonts w:ascii="Calibri" w:hAnsi="Calibri" w:cs="Calibri"/>
              </w:rPr>
              <w:t>4.98</w:t>
            </w:r>
          </w:p>
        </w:tc>
      </w:tr>
      <w:tr w:rsidR="00A26FD6" w:rsidRPr="00875B9A" w14:paraId="5A1BEBA7" w14:textId="77777777" w:rsidTr="00E415E0">
        <w:trPr>
          <w:cantSplit/>
        </w:trPr>
        <w:tc>
          <w:tcPr>
            <w:tcW w:w="2127" w:type="dxa"/>
            <w:tcBorders>
              <w:top w:val="nil"/>
              <w:bottom w:val="nil"/>
            </w:tcBorders>
            <w:shd w:val="clear" w:color="auto" w:fill="auto"/>
          </w:tcPr>
          <w:p w14:paraId="266F5532" w14:textId="77777777" w:rsidR="00A26FD6" w:rsidRPr="00875B9A" w:rsidRDefault="00A26FD6" w:rsidP="00B573EE">
            <w:pPr>
              <w:pStyle w:val="TableText"/>
              <w:rPr>
                <w:i/>
              </w:rPr>
            </w:pPr>
            <w:r w:rsidRPr="00875B9A">
              <w:rPr>
                <w:i/>
                <w:lang w:eastAsia="en-AU"/>
              </w:rPr>
              <w:t>MDMA</w:t>
            </w:r>
          </w:p>
        </w:tc>
        <w:tc>
          <w:tcPr>
            <w:tcW w:w="1594" w:type="dxa"/>
            <w:tcBorders>
              <w:top w:val="nil"/>
              <w:left w:val="nil"/>
              <w:bottom w:val="nil"/>
              <w:right w:val="single" w:sz="4" w:space="0" w:color="auto"/>
            </w:tcBorders>
            <w:shd w:val="clear" w:color="auto" w:fill="auto"/>
            <w:vAlign w:val="bottom"/>
          </w:tcPr>
          <w:p w14:paraId="18242ED1" w14:textId="77777777" w:rsidR="00A26FD6" w:rsidRPr="00875B9A" w:rsidRDefault="00A26FD6" w:rsidP="00B573EE">
            <w:pPr>
              <w:pStyle w:val="TableText"/>
              <w:tabs>
                <w:tab w:val="decimal" w:pos="737"/>
              </w:tabs>
              <w:ind w:right="400"/>
              <w:jc w:val="right"/>
            </w:pPr>
            <w:r w:rsidRPr="00875B9A">
              <w:rPr>
                <w:rFonts w:ascii="Calibri" w:hAnsi="Calibri" w:cs="Calibri"/>
              </w:rPr>
              <w:t>6.25</w:t>
            </w:r>
          </w:p>
        </w:tc>
        <w:tc>
          <w:tcPr>
            <w:tcW w:w="1311" w:type="dxa"/>
            <w:tcBorders>
              <w:top w:val="nil"/>
              <w:left w:val="single" w:sz="4" w:space="0" w:color="auto"/>
              <w:bottom w:val="nil"/>
              <w:right w:val="single" w:sz="4" w:space="0" w:color="auto"/>
            </w:tcBorders>
            <w:shd w:val="clear" w:color="auto" w:fill="auto"/>
            <w:vAlign w:val="bottom"/>
          </w:tcPr>
          <w:p w14:paraId="3F24BEA0" w14:textId="77777777" w:rsidR="00A26FD6" w:rsidRPr="00875B9A" w:rsidRDefault="00A26FD6" w:rsidP="00B573EE">
            <w:pPr>
              <w:pStyle w:val="TableText"/>
              <w:tabs>
                <w:tab w:val="decimal" w:pos="561"/>
              </w:tabs>
              <w:jc w:val="right"/>
            </w:pPr>
            <w:r w:rsidRPr="00875B9A">
              <w:rPr>
                <w:rFonts w:ascii="Calibri" w:hAnsi="Calibri" w:cs="Calibri"/>
              </w:rPr>
              <w:t>2.05</w:t>
            </w:r>
          </w:p>
        </w:tc>
        <w:tc>
          <w:tcPr>
            <w:tcW w:w="1631" w:type="dxa"/>
            <w:tcBorders>
              <w:top w:val="nil"/>
              <w:left w:val="single" w:sz="4" w:space="0" w:color="auto"/>
              <w:bottom w:val="nil"/>
              <w:right w:val="single" w:sz="4" w:space="0" w:color="auto"/>
            </w:tcBorders>
            <w:shd w:val="clear" w:color="auto" w:fill="auto"/>
            <w:vAlign w:val="bottom"/>
          </w:tcPr>
          <w:p w14:paraId="7FB1CA86" w14:textId="77777777" w:rsidR="00A26FD6" w:rsidRPr="00875B9A" w:rsidRDefault="00A26FD6" w:rsidP="00B573EE">
            <w:pPr>
              <w:pStyle w:val="TableText"/>
              <w:tabs>
                <w:tab w:val="decimal" w:pos="652"/>
              </w:tabs>
              <w:jc w:val="right"/>
            </w:pPr>
            <w:r w:rsidRPr="00875B9A">
              <w:rPr>
                <w:rFonts w:ascii="Calibri" w:hAnsi="Calibri" w:cs="Calibri"/>
              </w:rPr>
              <w:t>1.88</w:t>
            </w:r>
          </w:p>
        </w:tc>
        <w:tc>
          <w:tcPr>
            <w:tcW w:w="1312" w:type="dxa"/>
            <w:tcBorders>
              <w:top w:val="nil"/>
              <w:left w:val="single" w:sz="4" w:space="0" w:color="auto"/>
              <w:bottom w:val="nil"/>
              <w:right w:val="single" w:sz="4" w:space="0" w:color="auto"/>
            </w:tcBorders>
            <w:shd w:val="clear" w:color="auto" w:fill="auto"/>
            <w:vAlign w:val="bottom"/>
          </w:tcPr>
          <w:p w14:paraId="62B3850B" w14:textId="77777777" w:rsidR="00A26FD6" w:rsidRPr="00875B9A" w:rsidRDefault="00A26FD6" w:rsidP="00B573EE">
            <w:pPr>
              <w:pStyle w:val="TableText"/>
              <w:tabs>
                <w:tab w:val="decimal" w:pos="595"/>
              </w:tabs>
              <w:jc w:val="right"/>
            </w:pPr>
            <w:r w:rsidRPr="00875B9A">
              <w:rPr>
                <w:rFonts w:ascii="Calibri" w:hAnsi="Calibri" w:cs="Calibri"/>
              </w:rPr>
              <w:t>7.34</w:t>
            </w:r>
          </w:p>
        </w:tc>
        <w:tc>
          <w:tcPr>
            <w:tcW w:w="1447" w:type="dxa"/>
            <w:tcBorders>
              <w:top w:val="nil"/>
              <w:left w:val="single" w:sz="4" w:space="0" w:color="auto"/>
              <w:bottom w:val="nil"/>
              <w:right w:val="single" w:sz="4" w:space="0" w:color="auto"/>
            </w:tcBorders>
            <w:shd w:val="clear" w:color="auto" w:fill="auto"/>
            <w:vAlign w:val="bottom"/>
          </w:tcPr>
          <w:p w14:paraId="1C03D555" w14:textId="77777777" w:rsidR="00A26FD6" w:rsidRPr="00875B9A" w:rsidRDefault="00A26FD6" w:rsidP="00B573EE">
            <w:pPr>
              <w:pStyle w:val="TableText"/>
              <w:tabs>
                <w:tab w:val="decimal" w:pos="526"/>
              </w:tabs>
              <w:jc w:val="right"/>
            </w:pPr>
            <w:r w:rsidRPr="00875B9A">
              <w:rPr>
                <w:rFonts w:ascii="Calibri" w:hAnsi="Calibri" w:cs="Calibri"/>
              </w:rPr>
              <w:t>17.52</w:t>
            </w:r>
          </w:p>
        </w:tc>
      </w:tr>
      <w:tr w:rsidR="00A26FD6" w:rsidRPr="00875B9A" w14:paraId="7ED186E0" w14:textId="77777777" w:rsidTr="00E415E0">
        <w:trPr>
          <w:cantSplit/>
        </w:trPr>
        <w:tc>
          <w:tcPr>
            <w:tcW w:w="2127" w:type="dxa"/>
            <w:tcBorders>
              <w:top w:val="nil"/>
              <w:bottom w:val="nil"/>
            </w:tcBorders>
            <w:shd w:val="clear" w:color="auto" w:fill="auto"/>
          </w:tcPr>
          <w:p w14:paraId="7C2C5455" w14:textId="77777777" w:rsidR="00A26FD6" w:rsidRPr="00875B9A" w:rsidRDefault="00A26FD6" w:rsidP="00B573EE">
            <w:pPr>
              <w:pStyle w:val="TableText"/>
              <w:rPr>
                <w:i/>
              </w:rPr>
            </w:pPr>
            <w:r w:rsidRPr="00875B9A">
              <w:rPr>
                <w:i/>
                <w:lang w:eastAsia="en-AU"/>
              </w:rPr>
              <w:t>Heroin</w:t>
            </w:r>
          </w:p>
        </w:tc>
        <w:tc>
          <w:tcPr>
            <w:tcW w:w="1594" w:type="dxa"/>
            <w:tcBorders>
              <w:top w:val="nil"/>
              <w:left w:val="nil"/>
              <w:bottom w:val="nil"/>
              <w:right w:val="single" w:sz="4" w:space="0" w:color="auto"/>
            </w:tcBorders>
            <w:shd w:val="clear" w:color="auto" w:fill="auto"/>
            <w:vAlign w:val="bottom"/>
          </w:tcPr>
          <w:p w14:paraId="4BAC4BF2" w14:textId="77777777" w:rsidR="00A26FD6" w:rsidRPr="00875B9A" w:rsidRDefault="00A26FD6" w:rsidP="00B573EE">
            <w:pPr>
              <w:pStyle w:val="TableText"/>
              <w:tabs>
                <w:tab w:val="decimal" w:pos="737"/>
              </w:tabs>
              <w:ind w:right="400"/>
              <w:jc w:val="right"/>
            </w:pPr>
            <w:r w:rsidRPr="00875B9A">
              <w:rPr>
                <w:rFonts w:ascii="Calibri" w:hAnsi="Calibri" w:cs="Calibri"/>
              </w:rPr>
              <w:t>*</w:t>
            </w:r>
          </w:p>
        </w:tc>
        <w:tc>
          <w:tcPr>
            <w:tcW w:w="1311" w:type="dxa"/>
            <w:tcBorders>
              <w:top w:val="nil"/>
              <w:left w:val="single" w:sz="4" w:space="0" w:color="auto"/>
              <w:bottom w:val="nil"/>
              <w:right w:val="single" w:sz="4" w:space="0" w:color="auto"/>
            </w:tcBorders>
            <w:shd w:val="clear" w:color="auto" w:fill="auto"/>
            <w:vAlign w:val="bottom"/>
          </w:tcPr>
          <w:p w14:paraId="2BEA618D" w14:textId="77777777" w:rsidR="00A26FD6" w:rsidRPr="00875B9A" w:rsidRDefault="00A26FD6" w:rsidP="00B573EE">
            <w:pPr>
              <w:pStyle w:val="TableText"/>
              <w:tabs>
                <w:tab w:val="decimal" w:pos="561"/>
              </w:tabs>
              <w:jc w:val="right"/>
            </w:pPr>
            <w:r w:rsidRPr="00875B9A">
              <w:rPr>
                <w:rFonts w:ascii="Calibri" w:hAnsi="Calibri" w:cs="Calibri"/>
              </w:rPr>
              <w:t>*</w:t>
            </w:r>
          </w:p>
        </w:tc>
        <w:tc>
          <w:tcPr>
            <w:tcW w:w="1631" w:type="dxa"/>
            <w:tcBorders>
              <w:top w:val="nil"/>
              <w:left w:val="single" w:sz="4" w:space="0" w:color="auto"/>
              <w:bottom w:val="nil"/>
              <w:right w:val="single" w:sz="4" w:space="0" w:color="auto"/>
            </w:tcBorders>
            <w:shd w:val="clear" w:color="auto" w:fill="auto"/>
            <w:vAlign w:val="bottom"/>
          </w:tcPr>
          <w:p w14:paraId="59AD2182" w14:textId="77777777" w:rsidR="00A26FD6" w:rsidRPr="00875B9A" w:rsidRDefault="00A26FD6" w:rsidP="00B573EE">
            <w:pPr>
              <w:pStyle w:val="TableText"/>
              <w:tabs>
                <w:tab w:val="decimal" w:pos="652"/>
              </w:tabs>
              <w:jc w:val="right"/>
            </w:pPr>
            <w:r w:rsidRPr="00875B9A">
              <w:rPr>
                <w:rFonts w:ascii="Calibri" w:hAnsi="Calibri" w:cs="Calibri"/>
              </w:rPr>
              <w:t>*</w:t>
            </w:r>
          </w:p>
        </w:tc>
        <w:tc>
          <w:tcPr>
            <w:tcW w:w="1312" w:type="dxa"/>
            <w:tcBorders>
              <w:top w:val="nil"/>
              <w:left w:val="single" w:sz="4" w:space="0" w:color="auto"/>
              <w:bottom w:val="nil"/>
              <w:right w:val="single" w:sz="4" w:space="0" w:color="auto"/>
            </w:tcBorders>
            <w:shd w:val="clear" w:color="auto" w:fill="auto"/>
            <w:vAlign w:val="bottom"/>
          </w:tcPr>
          <w:p w14:paraId="61EB5669" w14:textId="77777777" w:rsidR="00A26FD6" w:rsidRPr="00875B9A" w:rsidRDefault="00A26FD6" w:rsidP="00B573EE">
            <w:pPr>
              <w:pStyle w:val="TableText"/>
              <w:tabs>
                <w:tab w:val="decimal" w:pos="595"/>
              </w:tabs>
              <w:jc w:val="right"/>
            </w:pPr>
            <w:r w:rsidRPr="00875B9A">
              <w:rPr>
                <w:rFonts w:ascii="Calibri" w:hAnsi="Calibri" w:cs="Calibri"/>
              </w:rPr>
              <w:t>*</w:t>
            </w:r>
          </w:p>
        </w:tc>
        <w:tc>
          <w:tcPr>
            <w:tcW w:w="1447" w:type="dxa"/>
            <w:tcBorders>
              <w:top w:val="nil"/>
              <w:left w:val="single" w:sz="4" w:space="0" w:color="auto"/>
              <w:bottom w:val="nil"/>
              <w:right w:val="single" w:sz="4" w:space="0" w:color="auto"/>
            </w:tcBorders>
            <w:shd w:val="clear" w:color="auto" w:fill="auto"/>
            <w:vAlign w:val="bottom"/>
          </w:tcPr>
          <w:p w14:paraId="1C5EE059" w14:textId="77777777" w:rsidR="00A26FD6" w:rsidRPr="00875B9A" w:rsidRDefault="00A26FD6" w:rsidP="00B573EE">
            <w:pPr>
              <w:pStyle w:val="TableText"/>
              <w:tabs>
                <w:tab w:val="decimal" w:pos="526"/>
              </w:tabs>
              <w:jc w:val="right"/>
            </w:pPr>
            <w:r w:rsidRPr="00875B9A">
              <w:rPr>
                <w:rFonts w:ascii="Calibri" w:hAnsi="Calibri" w:cs="Calibri"/>
              </w:rPr>
              <w:t>*</w:t>
            </w:r>
          </w:p>
        </w:tc>
      </w:tr>
      <w:tr w:rsidR="00A26FD6" w:rsidRPr="00875B9A" w14:paraId="43D3585D" w14:textId="77777777" w:rsidTr="00E415E0">
        <w:trPr>
          <w:cantSplit/>
        </w:trPr>
        <w:tc>
          <w:tcPr>
            <w:tcW w:w="2127" w:type="dxa"/>
            <w:tcBorders>
              <w:top w:val="nil"/>
              <w:bottom w:val="nil"/>
            </w:tcBorders>
            <w:shd w:val="clear" w:color="auto" w:fill="auto"/>
          </w:tcPr>
          <w:p w14:paraId="473049B1" w14:textId="77777777" w:rsidR="00A26FD6" w:rsidRPr="00875B9A" w:rsidRDefault="00A26FD6" w:rsidP="00B573EE">
            <w:pPr>
              <w:pStyle w:val="TableText"/>
              <w:rPr>
                <w:i/>
                <w:lang w:eastAsia="en-AU"/>
              </w:rPr>
            </w:pPr>
            <w:r w:rsidRPr="00875B9A">
              <w:rPr>
                <w:i/>
                <w:lang w:eastAsia="en-AU"/>
              </w:rPr>
              <w:t>GHB/GBL</w:t>
            </w:r>
          </w:p>
        </w:tc>
        <w:tc>
          <w:tcPr>
            <w:tcW w:w="1594" w:type="dxa"/>
            <w:tcBorders>
              <w:top w:val="nil"/>
              <w:left w:val="nil"/>
              <w:bottom w:val="nil"/>
              <w:right w:val="single" w:sz="4" w:space="0" w:color="auto"/>
            </w:tcBorders>
            <w:shd w:val="clear" w:color="auto" w:fill="auto"/>
            <w:vAlign w:val="bottom"/>
          </w:tcPr>
          <w:p w14:paraId="2287F121" w14:textId="77777777" w:rsidR="00A26FD6" w:rsidRPr="00875B9A" w:rsidRDefault="00A26FD6" w:rsidP="00B573EE">
            <w:pPr>
              <w:pStyle w:val="TableText"/>
              <w:tabs>
                <w:tab w:val="decimal" w:pos="737"/>
              </w:tabs>
              <w:ind w:right="400"/>
              <w:jc w:val="right"/>
            </w:pPr>
            <w:r w:rsidRPr="00875B9A">
              <w:rPr>
                <w:rFonts w:ascii="Calibri" w:hAnsi="Calibri" w:cs="Calibri"/>
              </w:rPr>
              <w:t>1.56</w:t>
            </w:r>
          </w:p>
        </w:tc>
        <w:tc>
          <w:tcPr>
            <w:tcW w:w="1311" w:type="dxa"/>
            <w:tcBorders>
              <w:top w:val="nil"/>
              <w:left w:val="single" w:sz="4" w:space="0" w:color="auto"/>
              <w:bottom w:val="nil"/>
              <w:right w:val="single" w:sz="4" w:space="0" w:color="auto"/>
            </w:tcBorders>
            <w:shd w:val="clear" w:color="auto" w:fill="auto"/>
            <w:vAlign w:val="bottom"/>
          </w:tcPr>
          <w:p w14:paraId="543A530F" w14:textId="77777777" w:rsidR="00A26FD6" w:rsidRPr="00875B9A" w:rsidRDefault="00A26FD6" w:rsidP="00B573EE">
            <w:pPr>
              <w:pStyle w:val="TableText"/>
              <w:tabs>
                <w:tab w:val="decimal" w:pos="561"/>
              </w:tabs>
              <w:jc w:val="right"/>
            </w:pPr>
            <w:r w:rsidRPr="00875B9A">
              <w:rPr>
                <w:rFonts w:ascii="Calibri" w:hAnsi="Calibri" w:cs="Calibri"/>
              </w:rPr>
              <w:t>0.51</w:t>
            </w:r>
          </w:p>
        </w:tc>
        <w:tc>
          <w:tcPr>
            <w:tcW w:w="1631" w:type="dxa"/>
            <w:tcBorders>
              <w:top w:val="nil"/>
              <w:left w:val="single" w:sz="4" w:space="0" w:color="auto"/>
              <w:bottom w:val="nil"/>
              <w:right w:val="single" w:sz="4" w:space="0" w:color="auto"/>
            </w:tcBorders>
            <w:shd w:val="clear" w:color="auto" w:fill="auto"/>
            <w:vAlign w:val="bottom"/>
          </w:tcPr>
          <w:p w14:paraId="5C9138A5" w14:textId="77777777" w:rsidR="00A26FD6" w:rsidRPr="00875B9A" w:rsidRDefault="00A26FD6" w:rsidP="00B573EE">
            <w:pPr>
              <w:pStyle w:val="TableText"/>
              <w:tabs>
                <w:tab w:val="decimal" w:pos="652"/>
              </w:tabs>
              <w:jc w:val="right"/>
            </w:pPr>
            <w:r w:rsidRPr="00875B9A">
              <w:rPr>
                <w:rFonts w:ascii="Calibri" w:hAnsi="Calibri" w:cs="Calibri"/>
              </w:rPr>
              <w:t>*</w:t>
            </w:r>
          </w:p>
        </w:tc>
        <w:tc>
          <w:tcPr>
            <w:tcW w:w="1312" w:type="dxa"/>
            <w:tcBorders>
              <w:top w:val="nil"/>
              <w:left w:val="single" w:sz="4" w:space="0" w:color="auto"/>
              <w:bottom w:val="nil"/>
              <w:right w:val="single" w:sz="4" w:space="0" w:color="auto"/>
            </w:tcBorders>
            <w:shd w:val="clear" w:color="auto" w:fill="auto"/>
            <w:vAlign w:val="bottom"/>
          </w:tcPr>
          <w:p w14:paraId="4A36F5BF" w14:textId="77777777" w:rsidR="00A26FD6" w:rsidRPr="00875B9A" w:rsidRDefault="00A26FD6" w:rsidP="00B573EE">
            <w:pPr>
              <w:pStyle w:val="TableText"/>
              <w:tabs>
                <w:tab w:val="decimal" w:pos="595"/>
              </w:tabs>
              <w:jc w:val="right"/>
            </w:pPr>
            <w:r w:rsidRPr="00875B9A">
              <w:rPr>
                <w:rFonts w:ascii="Calibri" w:hAnsi="Calibri" w:cs="Calibri"/>
              </w:rPr>
              <w:t>*</w:t>
            </w:r>
          </w:p>
        </w:tc>
        <w:tc>
          <w:tcPr>
            <w:tcW w:w="1447" w:type="dxa"/>
            <w:tcBorders>
              <w:top w:val="nil"/>
              <w:left w:val="single" w:sz="4" w:space="0" w:color="auto"/>
              <w:bottom w:val="nil"/>
              <w:right w:val="single" w:sz="4" w:space="0" w:color="auto"/>
            </w:tcBorders>
            <w:shd w:val="clear" w:color="auto" w:fill="auto"/>
            <w:vAlign w:val="bottom"/>
          </w:tcPr>
          <w:p w14:paraId="397E7821" w14:textId="77777777" w:rsidR="00A26FD6" w:rsidRPr="00875B9A" w:rsidRDefault="00A26FD6" w:rsidP="00B573EE">
            <w:pPr>
              <w:pStyle w:val="TableText"/>
              <w:tabs>
                <w:tab w:val="decimal" w:pos="526"/>
              </w:tabs>
              <w:jc w:val="right"/>
            </w:pPr>
            <w:r w:rsidRPr="00875B9A">
              <w:rPr>
                <w:rFonts w:ascii="Calibri" w:hAnsi="Calibri" w:cs="Calibri"/>
              </w:rPr>
              <w:t>2.07</w:t>
            </w:r>
          </w:p>
        </w:tc>
      </w:tr>
      <w:tr w:rsidR="00A26FD6" w:rsidRPr="00875B9A" w14:paraId="27B77090" w14:textId="77777777" w:rsidTr="00E415E0">
        <w:trPr>
          <w:cantSplit/>
        </w:trPr>
        <w:tc>
          <w:tcPr>
            <w:tcW w:w="2127" w:type="dxa"/>
            <w:tcBorders>
              <w:top w:val="nil"/>
              <w:bottom w:val="nil"/>
            </w:tcBorders>
            <w:shd w:val="clear" w:color="auto" w:fill="auto"/>
          </w:tcPr>
          <w:p w14:paraId="1DF1C17A" w14:textId="77777777" w:rsidR="00A26FD6" w:rsidRPr="00875B9A" w:rsidRDefault="00A26FD6" w:rsidP="00B573EE">
            <w:pPr>
              <w:pStyle w:val="TableText"/>
              <w:rPr>
                <w:i/>
              </w:rPr>
            </w:pPr>
            <w:r w:rsidRPr="00875B9A">
              <w:rPr>
                <w:i/>
                <w:lang w:eastAsia="en-AU"/>
              </w:rPr>
              <w:t>Cannabis</w:t>
            </w:r>
          </w:p>
        </w:tc>
        <w:tc>
          <w:tcPr>
            <w:tcW w:w="1594" w:type="dxa"/>
            <w:tcBorders>
              <w:top w:val="nil"/>
              <w:left w:val="nil"/>
              <w:bottom w:val="nil"/>
              <w:right w:val="single" w:sz="4" w:space="0" w:color="auto"/>
            </w:tcBorders>
            <w:shd w:val="clear" w:color="auto" w:fill="auto"/>
            <w:vAlign w:val="bottom"/>
          </w:tcPr>
          <w:p w14:paraId="5E98290E" w14:textId="77777777" w:rsidR="00A26FD6" w:rsidRPr="00875B9A" w:rsidRDefault="00A26FD6" w:rsidP="00B573EE">
            <w:pPr>
              <w:pStyle w:val="TableText"/>
              <w:tabs>
                <w:tab w:val="decimal" w:pos="737"/>
              </w:tabs>
              <w:ind w:right="400"/>
              <w:jc w:val="right"/>
            </w:pPr>
            <w:r w:rsidRPr="00875B9A">
              <w:rPr>
                <w:rFonts w:ascii="Calibri" w:hAnsi="Calibri" w:cs="Calibri"/>
              </w:rPr>
              <w:t>287.01</w:t>
            </w:r>
          </w:p>
        </w:tc>
        <w:tc>
          <w:tcPr>
            <w:tcW w:w="1311" w:type="dxa"/>
            <w:tcBorders>
              <w:top w:val="nil"/>
              <w:left w:val="single" w:sz="4" w:space="0" w:color="auto"/>
              <w:bottom w:val="nil"/>
              <w:right w:val="single" w:sz="4" w:space="0" w:color="auto"/>
            </w:tcBorders>
            <w:shd w:val="clear" w:color="auto" w:fill="auto"/>
            <w:vAlign w:val="bottom"/>
          </w:tcPr>
          <w:p w14:paraId="0E6BDFB9" w14:textId="77777777" w:rsidR="00A26FD6" w:rsidRPr="00875B9A" w:rsidRDefault="00A26FD6" w:rsidP="00B573EE">
            <w:pPr>
              <w:pStyle w:val="TableText"/>
              <w:tabs>
                <w:tab w:val="decimal" w:pos="561"/>
              </w:tabs>
              <w:jc w:val="right"/>
            </w:pPr>
            <w:r w:rsidRPr="00875B9A">
              <w:rPr>
                <w:rFonts w:ascii="Calibri" w:hAnsi="Calibri" w:cs="Calibri"/>
              </w:rPr>
              <w:t>94.06</w:t>
            </w:r>
          </w:p>
        </w:tc>
        <w:tc>
          <w:tcPr>
            <w:tcW w:w="1631" w:type="dxa"/>
            <w:tcBorders>
              <w:top w:val="nil"/>
              <w:left w:val="single" w:sz="4" w:space="0" w:color="auto"/>
              <w:bottom w:val="nil"/>
              <w:right w:val="single" w:sz="4" w:space="0" w:color="auto"/>
            </w:tcBorders>
            <w:shd w:val="clear" w:color="auto" w:fill="auto"/>
            <w:vAlign w:val="bottom"/>
          </w:tcPr>
          <w:p w14:paraId="5B726351" w14:textId="77777777" w:rsidR="00A26FD6" w:rsidRPr="00875B9A" w:rsidRDefault="00A26FD6" w:rsidP="00B573EE">
            <w:pPr>
              <w:pStyle w:val="TableText"/>
              <w:tabs>
                <w:tab w:val="decimal" w:pos="652"/>
              </w:tabs>
              <w:jc w:val="right"/>
            </w:pPr>
            <w:r w:rsidRPr="00875B9A">
              <w:rPr>
                <w:rFonts w:ascii="Calibri" w:hAnsi="Calibri" w:cs="Calibri"/>
              </w:rPr>
              <w:t>56.53</w:t>
            </w:r>
          </w:p>
        </w:tc>
        <w:tc>
          <w:tcPr>
            <w:tcW w:w="1312" w:type="dxa"/>
            <w:tcBorders>
              <w:top w:val="nil"/>
              <w:left w:val="single" w:sz="4" w:space="0" w:color="auto"/>
              <w:bottom w:val="nil"/>
              <w:right w:val="single" w:sz="4" w:space="0" w:color="auto"/>
            </w:tcBorders>
            <w:shd w:val="clear" w:color="auto" w:fill="auto"/>
            <w:vAlign w:val="bottom"/>
          </w:tcPr>
          <w:p w14:paraId="4E591396" w14:textId="77777777" w:rsidR="00A26FD6" w:rsidRPr="00875B9A" w:rsidRDefault="00A26FD6" w:rsidP="00B573EE">
            <w:pPr>
              <w:pStyle w:val="TableText"/>
              <w:tabs>
                <w:tab w:val="decimal" w:pos="595"/>
              </w:tabs>
              <w:jc w:val="right"/>
            </w:pPr>
            <w:r w:rsidRPr="00875B9A">
              <w:rPr>
                <w:rFonts w:ascii="Calibri" w:hAnsi="Calibri" w:cs="Calibri"/>
              </w:rPr>
              <w:t>221.00</w:t>
            </w:r>
          </w:p>
        </w:tc>
        <w:tc>
          <w:tcPr>
            <w:tcW w:w="1447" w:type="dxa"/>
            <w:tcBorders>
              <w:top w:val="nil"/>
              <w:left w:val="single" w:sz="4" w:space="0" w:color="auto"/>
              <w:bottom w:val="nil"/>
              <w:right w:val="single" w:sz="4" w:space="0" w:color="auto"/>
            </w:tcBorders>
            <w:shd w:val="clear" w:color="auto" w:fill="auto"/>
            <w:vAlign w:val="bottom"/>
          </w:tcPr>
          <w:p w14:paraId="4A513051" w14:textId="77777777" w:rsidR="00A26FD6" w:rsidRPr="00875B9A" w:rsidRDefault="00A26FD6" w:rsidP="00B573EE">
            <w:pPr>
              <w:pStyle w:val="TableText"/>
              <w:tabs>
                <w:tab w:val="decimal" w:pos="526"/>
              </w:tabs>
              <w:jc w:val="right"/>
            </w:pPr>
            <w:r w:rsidRPr="00875B9A">
              <w:rPr>
                <w:rFonts w:ascii="Calibri" w:hAnsi="Calibri" w:cs="Calibri"/>
              </w:rPr>
              <w:t>658.60</w:t>
            </w:r>
          </w:p>
        </w:tc>
      </w:tr>
      <w:tr w:rsidR="00A26FD6" w:rsidRPr="00875B9A" w14:paraId="2365D89A" w14:textId="77777777" w:rsidTr="00E415E0">
        <w:trPr>
          <w:cantSplit/>
        </w:trPr>
        <w:tc>
          <w:tcPr>
            <w:tcW w:w="2127" w:type="dxa"/>
            <w:tcBorders>
              <w:top w:val="nil"/>
            </w:tcBorders>
            <w:shd w:val="clear" w:color="auto" w:fill="auto"/>
          </w:tcPr>
          <w:p w14:paraId="436615AF" w14:textId="77777777" w:rsidR="00A26FD6" w:rsidRPr="00875B9A" w:rsidRDefault="00A26FD6" w:rsidP="00B573EE">
            <w:pPr>
              <w:pStyle w:val="TableText"/>
              <w:rPr>
                <w:i/>
              </w:rPr>
            </w:pPr>
            <w:r w:rsidRPr="00875B9A">
              <w:rPr>
                <w:i/>
                <w:lang w:eastAsia="en-AU"/>
              </w:rPr>
              <w:t>Synthetic cannabinoids</w:t>
            </w:r>
          </w:p>
        </w:tc>
        <w:tc>
          <w:tcPr>
            <w:tcW w:w="1594" w:type="dxa"/>
            <w:tcBorders>
              <w:top w:val="nil"/>
              <w:left w:val="nil"/>
              <w:bottom w:val="single" w:sz="4" w:space="0" w:color="auto"/>
              <w:right w:val="single" w:sz="4" w:space="0" w:color="auto"/>
            </w:tcBorders>
            <w:shd w:val="clear" w:color="auto" w:fill="auto"/>
            <w:vAlign w:val="bottom"/>
          </w:tcPr>
          <w:p w14:paraId="3E5ABE74" w14:textId="77777777" w:rsidR="00A26FD6" w:rsidRPr="00875B9A" w:rsidRDefault="00A26FD6" w:rsidP="00B573EE">
            <w:pPr>
              <w:pStyle w:val="TableText"/>
              <w:tabs>
                <w:tab w:val="decimal" w:pos="737"/>
              </w:tabs>
              <w:ind w:right="400"/>
              <w:jc w:val="right"/>
            </w:pPr>
            <w:r w:rsidRPr="00875B9A">
              <w:rPr>
                <w:rFonts w:ascii="Calibri" w:hAnsi="Calibri" w:cs="Calibri"/>
              </w:rPr>
              <w:t>0.00</w:t>
            </w:r>
          </w:p>
        </w:tc>
        <w:tc>
          <w:tcPr>
            <w:tcW w:w="1311" w:type="dxa"/>
            <w:tcBorders>
              <w:top w:val="nil"/>
              <w:left w:val="single" w:sz="4" w:space="0" w:color="auto"/>
              <w:bottom w:val="single" w:sz="4" w:space="0" w:color="auto"/>
              <w:right w:val="single" w:sz="4" w:space="0" w:color="auto"/>
            </w:tcBorders>
            <w:shd w:val="clear" w:color="auto" w:fill="auto"/>
            <w:vAlign w:val="bottom"/>
          </w:tcPr>
          <w:p w14:paraId="3A4946DA" w14:textId="77777777" w:rsidR="00A26FD6" w:rsidRPr="00875B9A" w:rsidRDefault="00A26FD6" w:rsidP="00B573EE">
            <w:pPr>
              <w:pStyle w:val="TableText"/>
              <w:tabs>
                <w:tab w:val="decimal" w:pos="561"/>
              </w:tabs>
              <w:jc w:val="right"/>
            </w:pPr>
            <w:r w:rsidRPr="00875B9A">
              <w:rPr>
                <w:rFonts w:ascii="Calibri" w:hAnsi="Calibri" w:cs="Calibri"/>
              </w:rPr>
              <w:t>0.00</w:t>
            </w:r>
          </w:p>
        </w:tc>
        <w:tc>
          <w:tcPr>
            <w:tcW w:w="1631" w:type="dxa"/>
            <w:tcBorders>
              <w:top w:val="nil"/>
              <w:left w:val="single" w:sz="4" w:space="0" w:color="auto"/>
              <w:bottom w:val="single" w:sz="4" w:space="0" w:color="auto"/>
              <w:right w:val="single" w:sz="4" w:space="0" w:color="auto"/>
            </w:tcBorders>
            <w:shd w:val="clear" w:color="auto" w:fill="auto"/>
            <w:vAlign w:val="bottom"/>
          </w:tcPr>
          <w:p w14:paraId="282FE373" w14:textId="77777777" w:rsidR="00A26FD6" w:rsidRPr="00875B9A" w:rsidRDefault="00A26FD6" w:rsidP="00B573EE">
            <w:pPr>
              <w:pStyle w:val="TableText"/>
              <w:tabs>
                <w:tab w:val="decimal" w:pos="652"/>
              </w:tabs>
              <w:jc w:val="right"/>
            </w:pPr>
            <w:r w:rsidRPr="00875B9A">
              <w:rPr>
                <w:rFonts w:ascii="Calibri" w:hAnsi="Calibri" w:cs="Calibri"/>
              </w:rPr>
              <w:t>*</w:t>
            </w:r>
          </w:p>
        </w:tc>
        <w:tc>
          <w:tcPr>
            <w:tcW w:w="1312" w:type="dxa"/>
            <w:tcBorders>
              <w:top w:val="nil"/>
              <w:left w:val="single" w:sz="4" w:space="0" w:color="auto"/>
              <w:bottom w:val="single" w:sz="4" w:space="0" w:color="auto"/>
              <w:right w:val="single" w:sz="4" w:space="0" w:color="auto"/>
            </w:tcBorders>
            <w:shd w:val="clear" w:color="auto" w:fill="auto"/>
            <w:vAlign w:val="bottom"/>
          </w:tcPr>
          <w:p w14:paraId="50358CD7" w14:textId="77777777" w:rsidR="00A26FD6" w:rsidRPr="00875B9A" w:rsidRDefault="00A26FD6" w:rsidP="00B573EE">
            <w:pPr>
              <w:pStyle w:val="TableText"/>
              <w:tabs>
                <w:tab w:val="decimal" w:pos="595"/>
              </w:tabs>
              <w:jc w:val="right"/>
            </w:pPr>
            <w:r w:rsidRPr="00875B9A">
              <w:rPr>
                <w:rFonts w:ascii="Calibri" w:hAnsi="Calibri" w:cs="Calibri"/>
              </w:rPr>
              <w:t>*</w:t>
            </w:r>
          </w:p>
        </w:tc>
        <w:tc>
          <w:tcPr>
            <w:tcW w:w="1447" w:type="dxa"/>
            <w:tcBorders>
              <w:top w:val="nil"/>
              <w:left w:val="single" w:sz="4" w:space="0" w:color="auto"/>
              <w:bottom w:val="single" w:sz="4" w:space="0" w:color="auto"/>
              <w:right w:val="single" w:sz="4" w:space="0" w:color="auto"/>
            </w:tcBorders>
            <w:shd w:val="clear" w:color="auto" w:fill="auto"/>
            <w:vAlign w:val="bottom"/>
          </w:tcPr>
          <w:p w14:paraId="3168FAAF" w14:textId="77777777" w:rsidR="00A26FD6" w:rsidRPr="00875B9A" w:rsidRDefault="00A26FD6" w:rsidP="00B573EE">
            <w:pPr>
              <w:pStyle w:val="TableText"/>
              <w:tabs>
                <w:tab w:val="decimal" w:pos="526"/>
              </w:tabs>
              <w:jc w:val="right"/>
            </w:pPr>
            <w:r w:rsidRPr="00875B9A">
              <w:rPr>
                <w:rFonts w:ascii="Calibri" w:hAnsi="Calibri" w:cs="Calibri"/>
              </w:rPr>
              <w:t>0.00</w:t>
            </w:r>
          </w:p>
        </w:tc>
      </w:tr>
      <w:tr w:rsidR="00A26FD6" w:rsidRPr="00875B9A" w14:paraId="3031ED58" w14:textId="77777777" w:rsidTr="00E415E0">
        <w:trPr>
          <w:cantSplit/>
        </w:trPr>
        <w:tc>
          <w:tcPr>
            <w:tcW w:w="2127" w:type="dxa"/>
            <w:shd w:val="clear" w:color="auto" w:fill="auto"/>
          </w:tcPr>
          <w:p w14:paraId="15335B4C" w14:textId="77777777" w:rsidR="00A26FD6" w:rsidRPr="00875B9A" w:rsidRDefault="00A26FD6" w:rsidP="00B573EE">
            <w:pPr>
              <w:pStyle w:val="TableText"/>
            </w:pPr>
            <w:r w:rsidRPr="00875B9A">
              <w:t>Total</w:t>
            </w:r>
          </w:p>
        </w:tc>
        <w:tc>
          <w:tcPr>
            <w:tcW w:w="1594" w:type="dxa"/>
            <w:tcBorders>
              <w:top w:val="single" w:sz="4" w:space="0" w:color="auto"/>
              <w:left w:val="nil"/>
              <w:bottom w:val="single" w:sz="4" w:space="0" w:color="auto"/>
              <w:right w:val="single" w:sz="4" w:space="0" w:color="auto"/>
            </w:tcBorders>
            <w:shd w:val="clear" w:color="auto" w:fill="auto"/>
            <w:vAlign w:val="bottom"/>
          </w:tcPr>
          <w:p w14:paraId="6E4233CB" w14:textId="77777777" w:rsidR="00A26FD6" w:rsidRPr="00875B9A" w:rsidRDefault="00A26FD6" w:rsidP="00B573EE">
            <w:pPr>
              <w:pStyle w:val="TableText"/>
              <w:tabs>
                <w:tab w:val="decimal" w:pos="737"/>
              </w:tabs>
              <w:jc w:val="right"/>
            </w:pPr>
            <w:r w:rsidRPr="00875B9A">
              <w:rPr>
                <w:rFonts w:ascii="Calibri" w:hAnsi="Calibri" w:cs="Calibri"/>
              </w:rPr>
              <w:t>557.27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14:paraId="7CC9F3FE" w14:textId="77777777" w:rsidR="00A26FD6" w:rsidRPr="00875B9A" w:rsidRDefault="00A26FD6" w:rsidP="00B573EE">
            <w:pPr>
              <w:pStyle w:val="TableText"/>
              <w:tabs>
                <w:tab w:val="decimal" w:pos="561"/>
              </w:tabs>
              <w:jc w:val="right"/>
            </w:pPr>
            <w:r w:rsidRPr="00875B9A">
              <w:rPr>
                <w:rFonts w:ascii="Calibri" w:hAnsi="Calibri" w:cs="Calibri"/>
              </w:rPr>
              <w:t>182.64</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bottom"/>
          </w:tcPr>
          <w:p w14:paraId="6AA26436" w14:textId="77777777" w:rsidR="00A26FD6" w:rsidRPr="00875B9A" w:rsidRDefault="00A26FD6" w:rsidP="00B573EE">
            <w:pPr>
              <w:pStyle w:val="TableText"/>
              <w:tabs>
                <w:tab w:val="decimal" w:pos="652"/>
              </w:tabs>
              <w:jc w:val="right"/>
            </w:pPr>
            <w:r w:rsidRPr="00875B9A">
              <w:rPr>
                <w:rFonts w:ascii="Calibri" w:hAnsi="Calibri" w:cs="Calibri"/>
              </w:rPr>
              <w:t>72.71</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bottom"/>
          </w:tcPr>
          <w:p w14:paraId="72EB5F14" w14:textId="77777777" w:rsidR="00A26FD6" w:rsidRPr="00875B9A" w:rsidRDefault="00A26FD6" w:rsidP="00B573EE">
            <w:pPr>
              <w:pStyle w:val="TableText"/>
              <w:tabs>
                <w:tab w:val="decimal" w:pos="595"/>
              </w:tabs>
              <w:jc w:val="right"/>
            </w:pPr>
            <w:r w:rsidRPr="00875B9A">
              <w:rPr>
                <w:rFonts w:ascii="Calibri" w:hAnsi="Calibri" w:cs="Calibri"/>
              </w:rPr>
              <w:t>284.22</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tcPr>
          <w:p w14:paraId="4AAB7EF2" w14:textId="77777777" w:rsidR="00A26FD6" w:rsidRPr="00875B9A" w:rsidRDefault="00A26FD6" w:rsidP="00B573EE">
            <w:pPr>
              <w:pStyle w:val="TableText"/>
              <w:tabs>
                <w:tab w:val="decimal" w:pos="526"/>
              </w:tabs>
              <w:jc w:val="right"/>
            </w:pPr>
            <w:r w:rsidRPr="00875B9A">
              <w:rPr>
                <w:rFonts w:ascii="Calibri" w:hAnsi="Calibri" w:cs="Calibri"/>
              </w:rPr>
              <w:t>1096.82</w:t>
            </w:r>
          </w:p>
        </w:tc>
      </w:tr>
    </w:tbl>
    <w:p w14:paraId="066B243C" w14:textId="77777777" w:rsidR="00A26FD6" w:rsidRPr="00875B9A" w:rsidRDefault="00A26FD6" w:rsidP="00A26FD6">
      <w:pPr>
        <w:pStyle w:val="Note"/>
        <w:ind w:left="284" w:hanging="284"/>
        <w:rPr>
          <w:lang w:eastAsia="en-AU"/>
        </w:rPr>
      </w:pPr>
      <w:r w:rsidRPr="00875B9A">
        <w:rPr>
          <w:lang w:eastAsia="en-AU"/>
        </w:rPr>
        <w:t>*</w:t>
      </w:r>
      <w:r w:rsidRPr="00875B9A">
        <w:rPr>
          <w:lang w:eastAsia="en-AU"/>
        </w:rPr>
        <w:tab/>
        <w:t>Insufficient data for an estimate to be made.</w:t>
      </w:r>
    </w:p>
    <w:p w14:paraId="5759CE6A" w14:textId="77777777" w:rsidR="00A26FD6" w:rsidRPr="00875B9A" w:rsidRDefault="00A26FD6" w:rsidP="00A26FD6">
      <w:pPr>
        <w:spacing w:line="240" w:lineRule="auto"/>
        <w:rPr>
          <w:lang w:eastAsia="en-AU"/>
        </w:rPr>
      </w:pPr>
      <w:r w:rsidRPr="00875B9A">
        <w:rPr>
          <w:lang w:eastAsia="en-AU"/>
        </w:rPr>
        <w:t>In total, the cost to the community of harms associated with drug use was</w:t>
      </w:r>
      <w:r w:rsidRPr="00875B9A">
        <w:rPr>
          <w:color w:val="FF0000"/>
          <w:lang w:eastAsia="en-AU"/>
        </w:rPr>
        <w:t xml:space="preserve"> </w:t>
      </w:r>
      <w:r w:rsidRPr="00875B9A">
        <w:rPr>
          <w:lang w:eastAsia="en-AU"/>
        </w:rPr>
        <w:t>$</w:t>
      </w:r>
      <w:r w:rsidRPr="00875B9A">
        <w:rPr>
          <w:rFonts w:ascii="Calibri" w:hAnsi="Calibri" w:cs="Calibri"/>
          <w:szCs w:val="22"/>
          <w:lang w:eastAsia="zh-CN"/>
        </w:rPr>
        <w:t xml:space="preserve">1096.83 </w:t>
      </w:r>
      <w:r w:rsidRPr="00875B9A">
        <w:rPr>
          <w:lang w:eastAsia="en-AU"/>
        </w:rPr>
        <w:t>million in 2021. Harm to family and friends of people who use drugs was the major contributing harm at $557.07 million and cannabis the major contributing drug type at $287.01 million.</w:t>
      </w:r>
      <w:bookmarkStart w:id="51" w:name="_Toc89352344"/>
    </w:p>
    <w:p w14:paraId="2B509053" w14:textId="2FA76383" w:rsidR="00A26FD6" w:rsidRPr="00875B9A" w:rsidRDefault="00A26FD6" w:rsidP="00A26FD6">
      <w:pPr>
        <w:pStyle w:val="Heading1"/>
      </w:pPr>
      <w:bookmarkStart w:id="52" w:name="_Toc170116268"/>
      <w:r w:rsidRPr="00875B9A">
        <w:t>Conclusion</w:t>
      </w:r>
      <w:bookmarkEnd w:id="51"/>
      <w:bookmarkEnd w:id="52"/>
    </w:p>
    <w:p w14:paraId="4CBD957F" w14:textId="01B86CD4" w:rsidR="00A26FD6" w:rsidRPr="00875B9A" w:rsidRDefault="00A26FD6" w:rsidP="00A26FD6">
      <w:r w:rsidRPr="00875B9A">
        <w:t xml:space="preserve">Estimates of harms per kilogram of illicit drug consumed are given in Table </w:t>
      </w:r>
      <w:r w:rsidR="00195D7A">
        <w:t>5</w:t>
      </w:r>
      <w:r w:rsidRPr="00875B9A">
        <w:t>. These estimates underpin any attempt to calculate return-on-investment for interventions aimed at reducing or eliminating the consumption of illicit drugs in specific user populations.</w:t>
      </w:r>
    </w:p>
    <w:p w14:paraId="201CFEB5" w14:textId="1B33A489" w:rsidR="00A26FD6" w:rsidRPr="00875B9A" w:rsidRDefault="00A26FD6" w:rsidP="00A26FD6">
      <w:pPr>
        <w:pStyle w:val="Table"/>
        <w:rPr>
          <w:lang w:eastAsia="en-AU"/>
        </w:rPr>
      </w:pPr>
      <w:bookmarkStart w:id="53" w:name="_Ref88223600"/>
      <w:bookmarkStart w:id="54" w:name="_Toc88231913"/>
      <w:bookmarkStart w:id="55" w:name="_Toc170116276"/>
      <w:r w:rsidRPr="00875B9A">
        <w:t>Table </w:t>
      </w:r>
      <w:bookmarkEnd w:id="53"/>
      <w:r w:rsidR="005421CA">
        <w:t>5</w:t>
      </w:r>
      <w:r w:rsidRPr="00875B9A">
        <w:rPr>
          <w:noProof/>
        </w:rPr>
        <w:t>.</w:t>
      </w:r>
      <w:r w:rsidRPr="00875B9A">
        <w:rPr>
          <w:lang w:eastAsia="en-AU"/>
        </w:rPr>
        <w:t xml:space="preserve"> Summary of social harms ($) per kilogram by drug type</w:t>
      </w:r>
      <w:bookmarkEnd w:id="54"/>
      <w:bookmarkEnd w:id="55"/>
    </w:p>
    <w:tbl>
      <w:tblPr>
        <w:tblStyle w:val="TableGrid"/>
        <w:tblW w:w="9072" w:type="dxa"/>
        <w:tblLayout w:type="fixed"/>
        <w:tblCellMar>
          <w:left w:w="113" w:type="dxa"/>
          <w:right w:w="113" w:type="dxa"/>
        </w:tblCellMar>
        <w:tblLook w:val="04A0" w:firstRow="1" w:lastRow="0" w:firstColumn="1" w:lastColumn="0" w:noHBand="0" w:noVBand="1"/>
      </w:tblPr>
      <w:tblGrid>
        <w:gridCol w:w="2552"/>
        <w:gridCol w:w="2173"/>
        <w:gridCol w:w="2173"/>
        <w:gridCol w:w="2174"/>
      </w:tblGrid>
      <w:tr w:rsidR="00A26FD6" w:rsidRPr="00875B9A" w14:paraId="478E68C8" w14:textId="77777777" w:rsidTr="00E415E0">
        <w:trPr>
          <w:cantSplit/>
        </w:trPr>
        <w:tc>
          <w:tcPr>
            <w:tcW w:w="2552" w:type="dxa"/>
            <w:shd w:val="clear" w:color="auto" w:fill="auto"/>
          </w:tcPr>
          <w:p w14:paraId="136429DE" w14:textId="77777777" w:rsidR="00A26FD6" w:rsidRPr="00875B9A" w:rsidRDefault="00A26FD6" w:rsidP="00B573EE">
            <w:pPr>
              <w:pStyle w:val="TableText"/>
              <w:rPr>
                <w:b/>
              </w:rPr>
            </w:pPr>
            <w:r w:rsidRPr="00875B9A">
              <w:rPr>
                <w:b/>
              </w:rPr>
              <w:t>Drug type</w:t>
            </w:r>
          </w:p>
        </w:tc>
        <w:tc>
          <w:tcPr>
            <w:tcW w:w="2173" w:type="dxa"/>
            <w:tcBorders>
              <w:bottom w:val="single" w:sz="4" w:space="0" w:color="auto"/>
            </w:tcBorders>
            <w:shd w:val="clear" w:color="auto" w:fill="auto"/>
          </w:tcPr>
          <w:p w14:paraId="04A6E166" w14:textId="77777777" w:rsidR="00A26FD6" w:rsidRPr="00875B9A" w:rsidRDefault="00A26FD6" w:rsidP="00B573EE">
            <w:pPr>
              <w:pStyle w:val="TableText"/>
              <w:jc w:val="center"/>
              <w:rPr>
                <w:b/>
              </w:rPr>
            </w:pPr>
            <w:r w:rsidRPr="00875B9A">
              <w:rPr>
                <w:b/>
              </w:rPr>
              <w:t>Personal harm</w:t>
            </w:r>
            <w:r w:rsidRPr="00875B9A">
              <w:rPr>
                <w:b/>
              </w:rPr>
              <w:br/>
              <w:t>$ per kilogram</w:t>
            </w:r>
          </w:p>
        </w:tc>
        <w:tc>
          <w:tcPr>
            <w:tcW w:w="2173" w:type="dxa"/>
            <w:shd w:val="clear" w:color="auto" w:fill="auto"/>
          </w:tcPr>
          <w:p w14:paraId="1121BEEE" w14:textId="77777777" w:rsidR="00A26FD6" w:rsidRPr="00875B9A" w:rsidRDefault="00A26FD6" w:rsidP="00B573EE">
            <w:pPr>
              <w:pStyle w:val="TableText"/>
              <w:jc w:val="center"/>
              <w:rPr>
                <w:b/>
              </w:rPr>
            </w:pPr>
            <w:r w:rsidRPr="00875B9A">
              <w:rPr>
                <w:b/>
              </w:rPr>
              <w:t>Community harm</w:t>
            </w:r>
            <w:r w:rsidRPr="00875B9A">
              <w:rPr>
                <w:b/>
              </w:rPr>
              <w:br/>
              <w:t>$ per kilogram</w:t>
            </w:r>
          </w:p>
        </w:tc>
        <w:tc>
          <w:tcPr>
            <w:tcW w:w="2174" w:type="dxa"/>
            <w:shd w:val="clear" w:color="auto" w:fill="auto"/>
          </w:tcPr>
          <w:p w14:paraId="56A65EC4" w14:textId="77777777" w:rsidR="00A26FD6" w:rsidRPr="00875B9A" w:rsidRDefault="00A26FD6" w:rsidP="00B573EE">
            <w:pPr>
              <w:pStyle w:val="TableText"/>
              <w:jc w:val="center"/>
              <w:rPr>
                <w:b/>
              </w:rPr>
            </w:pPr>
            <w:r w:rsidRPr="00875B9A">
              <w:rPr>
                <w:b/>
              </w:rPr>
              <w:t>Total harm</w:t>
            </w:r>
            <w:r w:rsidRPr="00875B9A">
              <w:rPr>
                <w:b/>
              </w:rPr>
              <w:br/>
              <w:t>$ per kilogram</w:t>
            </w:r>
          </w:p>
        </w:tc>
      </w:tr>
      <w:tr w:rsidR="00A26FD6" w:rsidRPr="00875B9A" w14:paraId="525E001A" w14:textId="77777777" w:rsidTr="00E415E0">
        <w:trPr>
          <w:cantSplit/>
        </w:trPr>
        <w:tc>
          <w:tcPr>
            <w:tcW w:w="2552" w:type="dxa"/>
            <w:tcBorders>
              <w:bottom w:val="nil"/>
            </w:tcBorders>
            <w:shd w:val="clear" w:color="auto" w:fill="auto"/>
          </w:tcPr>
          <w:p w14:paraId="3D56A9DB" w14:textId="77777777" w:rsidR="00A26FD6" w:rsidRPr="00875B9A" w:rsidRDefault="00A26FD6" w:rsidP="00B573EE">
            <w:pPr>
              <w:pStyle w:val="TableText"/>
              <w:rPr>
                <w:i/>
              </w:rPr>
            </w:pPr>
            <w:r w:rsidRPr="00875B9A">
              <w:rPr>
                <w:i/>
              </w:rPr>
              <w:t>Methamphetamine</w:t>
            </w:r>
          </w:p>
        </w:tc>
        <w:tc>
          <w:tcPr>
            <w:tcW w:w="2173" w:type="dxa"/>
            <w:tcBorders>
              <w:top w:val="single" w:sz="4" w:space="0" w:color="auto"/>
              <w:left w:val="nil"/>
              <w:bottom w:val="nil"/>
              <w:right w:val="single" w:sz="4" w:space="0" w:color="auto"/>
            </w:tcBorders>
            <w:shd w:val="clear" w:color="auto" w:fill="auto"/>
            <w:vAlign w:val="bottom"/>
          </w:tcPr>
          <w:p w14:paraId="40BF114C" w14:textId="77777777" w:rsidR="00A26FD6" w:rsidRPr="00875B9A" w:rsidRDefault="00A26FD6" w:rsidP="00B573EE">
            <w:pPr>
              <w:pStyle w:val="TableText"/>
              <w:tabs>
                <w:tab w:val="decimal" w:pos="1304"/>
              </w:tabs>
              <w:jc w:val="right"/>
            </w:pPr>
            <w:r w:rsidRPr="00875B9A">
              <w:rPr>
                <w:rFonts w:ascii="Calibri" w:hAnsi="Calibri" w:cs="Calibri"/>
                <w:color w:val="000000"/>
              </w:rPr>
              <w:t>546,321.04</w:t>
            </w:r>
          </w:p>
        </w:tc>
        <w:tc>
          <w:tcPr>
            <w:tcW w:w="2173" w:type="dxa"/>
            <w:tcBorders>
              <w:top w:val="single" w:sz="4" w:space="0" w:color="auto"/>
              <w:left w:val="single" w:sz="4" w:space="0" w:color="auto"/>
              <w:bottom w:val="nil"/>
              <w:right w:val="nil"/>
            </w:tcBorders>
            <w:shd w:val="clear" w:color="auto" w:fill="auto"/>
            <w:vAlign w:val="bottom"/>
          </w:tcPr>
          <w:p w14:paraId="7D07692C" w14:textId="77777777" w:rsidR="00A26FD6" w:rsidRPr="00875B9A" w:rsidRDefault="00A26FD6" w:rsidP="00B573EE">
            <w:pPr>
              <w:pStyle w:val="TableText"/>
              <w:tabs>
                <w:tab w:val="decimal" w:pos="1304"/>
              </w:tabs>
              <w:jc w:val="right"/>
            </w:pPr>
            <w:r w:rsidRPr="00875B9A">
              <w:rPr>
                <w:rFonts w:ascii="Calibri" w:hAnsi="Calibri" w:cs="Calibri"/>
                <w:color w:val="000000"/>
              </w:rPr>
              <w:t>501,890.02</w:t>
            </w:r>
          </w:p>
        </w:tc>
        <w:tc>
          <w:tcPr>
            <w:tcW w:w="2174" w:type="dxa"/>
            <w:tcBorders>
              <w:top w:val="nil"/>
              <w:left w:val="single" w:sz="4" w:space="0" w:color="auto"/>
              <w:bottom w:val="nil"/>
              <w:right w:val="single" w:sz="4" w:space="0" w:color="auto"/>
            </w:tcBorders>
            <w:shd w:val="clear" w:color="auto" w:fill="auto"/>
            <w:vAlign w:val="bottom"/>
          </w:tcPr>
          <w:p w14:paraId="205AB1A6" w14:textId="77777777" w:rsidR="00A26FD6" w:rsidRPr="00875B9A" w:rsidRDefault="00A26FD6" w:rsidP="00B573EE">
            <w:pPr>
              <w:pStyle w:val="TableText"/>
              <w:tabs>
                <w:tab w:val="decimal" w:pos="1304"/>
              </w:tabs>
              <w:jc w:val="right"/>
            </w:pPr>
            <w:r w:rsidRPr="00875B9A">
              <w:rPr>
                <w:rFonts w:ascii="Calibri" w:hAnsi="Calibri" w:cs="Calibri"/>
                <w:color w:val="000000"/>
              </w:rPr>
              <w:t>1,048,211.06</w:t>
            </w:r>
          </w:p>
        </w:tc>
      </w:tr>
      <w:tr w:rsidR="00A26FD6" w:rsidRPr="00875B9A" w14:paraId="448A76D1" w14:textId="77777777" w:rsidTr="00E415E0">
        <w:trPr>
          <w:cantSplit/>
        </w:trPr>
        <w:tc>
          <w:tcPr>
            <w:tcW w:w="2552" w:type="dxa"/>
            <w:tcBorders>
              <w:top w:val="nil"/>
              <w:bottom w:val="nil"/>
            </w:tcBorders>
            <w:shd w:val="clear" w:color="auto" w:fill="auto"/>
          </w:tcPr>
          <w:p w14:paraId="7B36B444" w14:textId="77777777" w:rsidR="00A26FD6" w:rsidRPr="00875B9A" w:rsidRDefault="00A26FD6" w:rsidP="00B573EE">
            <w:pPr>
              <w:pStyle w:val="TableText"/>
              <w:rPr>
                <w:i/>
              </w:rPr>
            </w:pPr>
            <w:r w:rsidRPr="00875B9A">
              <w:rPr>
                <w:i/>
              </w:rPr>
              <w:t>Cocaine</w:t>
            </w:r>
          </w:p>
        </w:tc>
        <w:tc>
          <w:tcPr>
            <w:tcW w:w="2173" w:type="dxa"/>
            <w:tcBorders>
              <w:top w:val="nil"/>
              <w:left w:val="nil"/>
              <w:bottom w:val="nil"/>
              <w:right w:val="single" w:sz="4" w:space="0" w:color="auto"/>
            </w:tcBorders>
            <w:shd w:val="clear" w:color="auto" w:fill="auto"/>
            <w:vAlign w:val="bottom"/>
          </w:tcPr>
          <w:p w14:paraId="7CAE9833" w14:textId="77777777" w:rsidR="00A26FD6" w:rsidRPr="00875B9A" w:rsidRDefault="00A26FD6" w:rsidP="00B573EE">
            <w:pPr>
              <w:pStyle w:val="TableText"/>
              <w:tabs>
                <w:tab w:val="decimal" w:pos="1304"/>
              </w:tabs>
              <w:jc w:val="right"/>
            </w:pPr>
            <w:r w:rsidRPr="00875B9A">
              <w:rPr>
                <w:rFonts w:ascii="Calibri" w:hAnsi="Calibri" w:cs="Calibri"/>
                <w:color w:val="000000"/>
              </w:rPr>
              <w:t>88,434.00</w:t>
            </w:r>
          </w:p>
        </w:tc>
        <w:tc>
          <w:tcPr>
            <w:tcW w:w="2173" w:type="dxa"/>
            <w:tcBorders>
              <w:top w:val="nil"/>
              <w:left w:val="single" w:sz="4" w:space="0" w:color="auto"/>
              <w:bottom w:val="nil"/>
              <w:right w:val="nil"/>
            </w:tcBorders>
            <w:shd w:val="clear" w:color="auto" w:fill="auto"/>
            <w:vAlign w:val="bottom"/>
          </w:tcPr>
          <w:p w14:paraId="5111D456" w14:textId="77777777" w:rsidR="00A26FD6" w:rsidRPr="00875B9A" w:rsidRDefault="00A26FD6" w:rsidP="00B573EE">
            <w:pPr>
              <w:pStyle w:val="TableText"/>
              <w:tabs>
                <w:tab w:val="decimal" w:pos="1304"/>
              </w:tabs>
              <w:jc w:val="right"/>
            </w:pPr>
            <w:r w:rsidRPr="00875B9A">
              <w:rPr>
                <w:rFonts w:ascii="Calibri" w:hAnsi="Calibri" w:cs="Calibri"/>
                <w:color w:val="000000"/>
              </w:rPr>
              <w:t>285,147.44</w:t>
            </w:r>
          </w:p>
        </w:tc>
        <w:tc>
          <w:tcPr>
            <w:tcW w:w="2174" w:type="dxa"/>
            <w:tcBorders>
              <w:top w:val="nil"/>
              <w:left w:val="single" w:sz="4" w:space="0" w:color="auto"/>
              <w:bottom w:val="nil"/>
              <w:right w:val="single" w:sz="4" w:space="0" w:color="auto"/>
            </w:tcBorders>
            <w:shd w:val="clear" w:color="auto" w:fill="auto"/>
            <w:vAlign w:val="bottom"/>
          </w:tcPr>
          <w:p w14:paraId="340BD22A" w14:textId="77777777" w:rsidR="00A26FD6" w:rsidRPr="00875B9A" w:rsidRDefault="00A26FD6" w:rsidP="00B573EE">
            <w:pPr>
              <w:pStyle w:val="TableText"/>
              <w:tabs>
                <w:tab w:val="decimal" w:pos="1304"/>
              </w:tabs>
              <w:jc w:val="right"/>
            </w:pPr>
            <w:r w:rsidRPr="00875B9A">
              <w:rPr>
                <w:rFonts w:ascii="Calibri" w:hAnsi="Calibri" w:cs="Calibri"/>
                <w:color w:val="000000"/>
              </w:rPr>
              <w:t>373,581.44</w:t>
            </w:r>
          </w:p>
        </w:tc>
      </w:tr>
      <w:tr w:rsidR="00A26FD6" w:rsidRPr="00875B9A" w14:paraId="783E1682" w14:textId="77777777" w:rsidTr="00E415E0">
        <w:trPr>
          <w:cantSplit/>
        </w:trPr>
        <w:tc>
          <w:tcPr>
            <w:tcW w:w="2552" w:type="dxa"/>
            <w:tcBorders>
              <w:top w:val="nil"/>
              <w:bottom w:val="nil"/>
            </w:tcBorders>
            <w:shd w:val="clear" w:color="auto" w:fill="auto"/>
          </w:tcPr>
          <w:p w14:paraId="0EFCF670" w14:textId="77777777" w:rsidR="00A26FD6" w:rsidRPr="00875B9A" w:rsidRDefault="00A26FD6" w:rsidP="00B573EE">
            <w:pPr>
              <w:pStyle w:val="TableText"/>
              <w:rPr>
                <w:i/>
              </w:rPr>
            </w:pPr>
            <w:r w:rsidRPr="00875B9A">
              <w:rPr>
                <w:i/>
              </w:rPr>
              <w:t>MDMA</w:t>
            </w:r>
          </w:p>
        </w:tc>
        <w:tc>
          <w:tcPr>
            <w:tcW w:w="2173" w:type="dxa"/>
            <w:tcBorders>
              <w:top w:val="nil"/>
              <w:left w:val="nil"/>
              <w:bottom w:val="nil"/>
              <w:right w:val="single" w:sz="4" w:space="0" w:color="auto"/>
            </w:tcBorders>
            <w:shd w:val="clear" w:color="auto" w:fill="auto"/>
            <w:vAlign w:val="bottom"/>
          </w:tcPr>
          <w:p w14:paraId="1986D73E" w14:textId="77777777" w:rsidR="00A26FD6" w:rsidRPr="00875B9A" w:rsidRDefault="00A26FD6" w:rsidP="00B573EE">
            <w:pPr>
              <w:pStyle w:val="TableText"/>
              <w:tabs>
                <w:tab w:val="decimal" w:pos="1304"/>
              </w:tabs>
              <w:jc w:val="right"/>
            </w:pPr>
            <w:r w:rsidRPr="00875B9A">
              <w:rPr>
                <w:rFonts w:ascii="Calibri" w:hAnsi="Calibri" w:cs="Calibri"/>
                <w:color w:val="000000"/>
              </w:rPr>
              <w:t>91,828.77</w:t>
            </w:r>
          </w:p>
        </w:tc>
        <w:tc>
          <w:tcPr>
            <w:tcW w:w="2173" w:type="dxa"/>
            <w:tcBorders>
              <w:top w:val="nil"/>
              <w:left w:val="single" w:sz="4" w:space="0" w:color="auto"/>
              <w:bottom w:val="nil"/>
              <w:right w:val="nil"/>
            </w:tcBorders>
            <w:shd w:val="clear" w:color="auto" w:fill="auto"/>
            <w:vAlign w:val="bottom"/>
          </w:tcPr>
          <w:p w14:paraId="64FC33F9" w14:textId="77777777" w:rsidR="00A26FD6" w:rsidRPr="00875B9A" w:rsidRDefault="00A26FD6" w:rsidP="00B573EE">
            <w:pPr>
              <w:pStyle w:val="TableText"/>
              <w:tabs>
                <w:tab w:val="decimal" w:pos="1304"/>
              </w:tabs>
              <w:jc w:val="right"/>
            </w:pPr>
            <w:r w:rsidRPr="00875B9A">
              <w:rPr>
                <w:rFonts w:ascii="Calibri" w:hAnsi="Calibri" w:cs="Calibri"/>
                <w:color w:val="000000"/>
              </w:rPr>
              <w:t>117,596.15</w:t>
            </w:r>
          </w:p>
        </w:tc>
        <w:tc>
          <w:tcPr>
            <w:tcW w:w="2174" w:type="dxa"/>
            <w:tcBorders>
              <w:top w:val="nil"/>
              <w:left w:val="single" w:sz="4" w:space="0" w:color="auto"/>
              <w:bottom w:val="nil"/>
              <w:right w:val="single" w:sz="4" w:space="0" w:color="auto"/>
            </w:tcBorders>
            <w:shd w:val="clear" w:color="auto" w:fill="auto"/>
            <w:vAlign w:val="bottom"/>
          </w:tcPr>
          <w:p w14:paraId="3A62B81D" w14:textId="77777777" w:rsidR="00A26FD6" w:rsidRPr="00875B9A" w:rsidRDefault="00A26FD6" w:rsidP="00B573EE">
            <w:pPr>
              <w:pStyle w:val="TableText"/>
              <w:tabs>
                <w:tab w:val="decimal" w:pos="1304"/>
              </w:tabs>
              <w:jc w:val="right"/>
            </w:pPr>
            <w:r w:rsidRPr="00875B9A">
              <w:rPr>
                <w:rFonts w:ascii="Calibri" w:hAnsi="Calibri" w:cs="Calibri"/>
                <w:color w:val="000000"/>
              </w:rPr>
              <w:t>209,424.92</w:t>
            </w:r>
          </w:p>
        </w:tc>
      </w:tr>
      <w:tr w:rsidR="00A26FD6" w:rsidRPr="00875B9A" w14:paraId="7E1B12CE" w14:textId="77777777" w:rsidTr="00E415E0">
        <w:trPr>
          <w:cantSplit/>
        </w:trPr>
        <w:tc>
          <w:tcPr>
            <w:tcW w:w="2552" w:type="dxa"/>
            <w:tcBorders>
              <w:top w:val="nil"/>
            </w:tcBorders>
            <w:shd w:val="clear" w:color="auto" w:fill="auto"/>
          </w:tcPr>
          <w:p w14:paraId="00F2819A" w14:textId="77777777" w:rsidR="00A26FD6" w:rsidRPr="00875B9A" w:rsidRDefault="00A26FD6" w:rsidP="00B573EE">
            <w:pPr>
              <w:pStyle w:val="TableText"/>
              <w:rPr>
                <w:i/>
              </w:rPr>
            </w:pPr>
            <w:r w:rsidRPr="00875B9A">
              <w:rPr>
                <w:i/>
              </w:rPr>
              <w:t>Cannabis</w:t>
            </w:r>
          </w:p>
        </w:tc>
        <w:tc>
          <w:tcPr>
            <w:tcW w:w="2173" w:type="dxa"/>
            <w:tcBorders>
              <w:top w:val="nil"/>
              <w:left w:val="nil"/>
              <w:bottom w:val="single" w:sz="4" w:space="0" w:color="auto"/>
              <w:right w:val="single" w:sz="4" w:space="0" w:color="auto"/>
            </w:tcBorders>
            <w:shd w:val="clear" w:color="auto" w:fill="auto"/>
            <w:vAlign w:val="bottom"/>
          </w:tcPr>
          <w:p w14:paraId="72629489" w14:textId="77777777" w:rsidR="00A26FD6" w:rsidRPr="00875B9A" w:rsidRDefault="00A26FD6" w:rsidP="00B573EE">
            <w:pPr>
              <w:pStyle w:val="TableText"/>
              <w:tabs>
                <w:tab w:val="decimal" w:pos="1304"/>
              </w:tabs>
              <w:jc w:val="right"/>
            </w:pPr>
            <w:r w:rsidRPr="00875B9A">
              <w:rPr>
                <w:rFonts w:ascii="Calibri" w:hAnsi="Calibri" w:cs="Calibri"/>
                <w:color w:val="000000"/>
              </w:rPr>
              <w:t>5,425.47</w:t>
            </w:r>
          </w:p>
        </w:tc>
        <w:tc>
          <w:tcPr>
            <w:tcW w:w="2173" w:type="dxa"/>
            <w:tcBorders>
              <w:top w:val="nil"/>
              <w:left w:val="single" w:sz="4" w:space="0" w:color="auto"/>
              <w:bottom w:val="single" w:sz="4" w:space="0" w:color="auto"/>
              <w:right w:val="single" w:sz="4" w:space="0" w:color="auto"/>
            </w:tcBorders>
            <w:shd w:val="clear" w:color="auto" w:fill="auto"/>
            <w:vAlign w:val="bottom"/>
          </w:tcPr>
          <w:p w14:paraId="4AE93053" w14:textId="77777777" w:rsidR="00A26FD6" w:rsidRPr="00875B9A" w:rsidRDefault="00A26FD6" w:rsidP="00B573EE">
            <w:pPr>
              <w:pStyle w:val="TableText"/>
              <w:tabs>
                <w:tab w:val="decimal" w:pos="1304"/>
              </w:tabs>
              <w:jc w:val="right"/>
            </w:pPr>
            <w:r w:rsidRPr="00875B9A">
              <w:rPr>
                <w:rFonts w:ascii="Calibri" w:hAnsi="Calibri" w:cs="Calibri"/>
                <w:color w:val="000000"/>
              </w:rPr>
              <w:t>10,454.61</w:t>
            </w:r>
          </w:p>
        </w:tc>
        <w:tc>
          <w:tcPr>
            <w:tcW w:w="2174" w:type="dxa"/>
            <w:tcBorders>
              <w:top w:val="nil"/>
              <w:left w:val="single" w:sz="4" w:space="0" w:color="auto"/>
              <w:bottom w:val="single" w:sz="4" w:space="0" w:color="auto"/>
              <w:right w:val="single" w:sz="4" w:space="0" w:color="auto"/>
            </w:tcBorders>
            <w:shd w:val="clear" w:color="auto" w:fill="auto"/>
            <w:vAlign w:val="bottom"/>
          </w:tcPr>
          <w:p w14:paraId="6EEFBC63" w14:textId="77777777" w:rsidR="00A26FD6" w:rsidRPr="00875B9A" w:rsidRDefault="00A26FD6" w:rsidP="00B573EE">
            <w:pPr>
              <w:pStyle w:val="TableText"/>
              <w:tabs>
                <w:tab w:val="decimal" w:pos="1304"/>
              </w:tabs>
              <w:jc w:val="right"/>
            </w:pPr>
            <w:r w:rsidRPr="00875B9A">
              <w:rPr>
                <w:rFonts w:ascii="Calibri" w:hAnsi="Calibri" w:cs="Calibri"/>
                <w:color w:val="000000"/>
              </w:rPr>
              <w:t>15,880.08</w:t>
            </w:r>
          </w:p>
        </w:tc>
      </w:tr>
    </w:tbl>
    <w:p w14:paraId="6FAD57F4" w14:textId="77777777" w:rsidR="00A26FD6" w:rsidRPr="00875B9A" w:rsidRDefault="00A26FD6" w:rsidP="00A26FD6">
      <w:pPr>
        <w:rPr>
          <w:lang w:eastAsia="en-AU"/>
        </w:rPr>
      </w:pPr>
    </w:p>
    <w:p w14:paraId="681413DD" w14:textId="273BD2FF" w:rsidR="00A26FD6" w:rsidRPr="00875B9A" w:rsidRDefault="00A26FD6" w:rsidP="00A26FD6">
      <w:r w:rsidRPr="00875B9A">
        <w:t xml:space="preserve">Overall, the estimated harm resulting from the use of Illicit drugs is $1,941.5 million (Table </w:t>
      </w:r>
      <w:r w:rsidR="00195D7A">
        <w:t>6</w:t>
      </w:r>
      <w:r w:rsidRPr="00875B9A">
        <w:t xml:space="preserve">) This compares with the estimate of $1,904.3 million in 2020. </w:t>
      </w:r>
    </w:p>
    <w:p w14:paraId="654AF899" w14:textId="67D918D4" w:rsidR="00A26FD6" w:rsidRPr="00875B9A" w:rsidRDefault="00A26FD6" w:rsidP="00A26FD6">
      <w:pPr>
        <w:pStyle w:val="Table"/>
        <w:rPr>
          <w:lang w:eastAsia="en-AU"/>
        </w:rPr>
      </w:pPr>
      <w:bookmarkStart w:id="56" w:name="_Ref88223620"/>
      <w:bookmarkStart w:id="57" w:name="_Toc88231914"/>
      <w:bookmarkStart w:id="58" w:name="_Toc170116277"/>
      <w:bookmarkStart w:id="59" w:name="_Hlk131599319"/>
      <w:r w:rsidRPr="00875B9A">
        <w:t>Table </w:t>
      </w:r>
      <w:bookmarkEnd w:id="56"/>
      <w:r w:rsidR="005421CA">
        <w:t>6</w:t>
      </w:r>
      <w:r w:rsidRPr="00875B9A">
        <w:rPr>
          <w:noProof/>
        </w:rPr>
        <w:t>.</w:t>
      </w:r>
      <w:r w:rsidRPr="00875B9A">
        <w:rPr>
          <w:lang w:eastAsia="en-AU"/>
        </w:rPr>
        <w:t xml:space="preserve"> Summary of social harms by drug type ($ million)</w:t>
      </w:r>
      <w:bookmarkEnd w:id="57"/>
      <w:bookmarkEnd w:id="58"/>
    </w:p>
    <w:tbl>
      <w:tblPr>
        <w:tblStyle w:val="TableGrid"/>
        <w:tblW w:w="9072" w:type="dxa"/>
        <w:tblLayout w:type="fixed"/>
        <w:tblCellMar>
          <w:left w:w="57" w:type="dxa"/>
          <w:right w:w="57" w:type="dxa"/>
        </w:tblCellMar>
        <w:tblLook w:val="04A0" w:firstRow="1" w:lastRow="0" w:firstColumn="1" w:lastColumn="0" w:noHBand="0" w:noVBand="1"/>
      </w:tblPr>
      <w:tblGrid>
        <w:gridCol w:w="2552"/>
        <w:gridCol w:w="2173"/>
        <w:gridCol w:w="2173"/>
        <w:gridCol w:w="2174"/>
      </w:tblGrid>
      <w:tr w:rsidR="00A26FD6" w:rsidRPr="00875B9A" w14:paraId="0F18E1D3" w14:textId="77777777" w:rsidTr="00E415E0">
        <w:trPr>
          <w:cantSplit/>
        </w:trPr>
        <w:tc>
          <w:tcPr>
            <w:tcW w:w="2552" w:type="dxa"/>
            <w:shd w:val="clear" w:color="auto" w:fill="auto"/>
          </w:tcPr>
          <w:bookmarkEnd w:id="59"/>
          <w:p w14:paraId="082FF454" w14:textId="77777777" w:rsidR="00A26FD6" w:rsidRPr="00875B9A" w:rsidRDefault="00A26FD6" w:rsidP="00B573EE">
            <w:pPr>
              <w:pStyle w:val="TableText"/>
              <w:ind w:right="113"/>
              <w:rPr>
                <w:b/>
              </w:rPr>
            </w:pPr>
            <w:r w:rsidRPr="00875B9A">
              <w:rPr>
                <w:b/>
              </w:rPr>
              <w:t>Drug type</w:t>
            </w:r>
          </w:p>
        </w:tc>
        <w:tc>
          <w:tcPr>
            <w:tcW w:w="2173" w:type="dxa"/>
            <w:shd w:val="clear" w:color="auto" w:fill="auto"/>
          </w:tcPr>
          <w:p w14:paraId="32BCFFD3" w14:textId="77777777" w:rsidR="00A26FD6" w:rsidRPr="00875B9A" w:rsidRDefault="00A26FD6" w:rsidP="00B573EE">
            <w:pPr>
              <w:pStyle w:val="TableText"/>
              <w:jc w:val="center"/>
              <w:rPr>
                <w:b/>
                <w:lang w:eastAsia="en-AU"/>
              </w:rPr>
            </w:pPr>
            <w:r w:rsidRPr="00875B9A">
              <w:rPr>
                <w:b/>
                <w:lang w:eastAsia="en-AU"/>
              </w:rPr>
              <w:t>Personal harm</w:t>
            </w:r>
            <w:r w:rsidRPr="00875B9A">
              <w:rPr>
                <w:b/>
                <w:lang w:eastAsia="en-AU"/>
              </w:rPr>
              <w:br/>
              <w:t>($ million)</w:t>
            </w:r>
          </w:p>
        </w:tc>
        <w:tc>
          <w:tcPr>
            <w:tcW w:w="2173" w:type="dxa"/>
            <w:tcBorders>
              <w:bottom w:val="single" w:sz="4" w:space="0" w:color="auto"/>
            </w:tcBorders>
            <w:shd w:val="clear" w:color="auto" w:fill="auto"/>
          </w:tcPr>
          <w:p w14:paraId="17AF1C2B" w14:textId="77777777" w:rsidR="00A26FD6" w:rsidRPr="00875B9A" w:rsidRDefault="00A26FD6" w:rsidP="00B573EE">
            <w:pPr>
              <w:pStyle w:val="TableText"/>
              <w:jc w:val="center"/>
              <w:rPr>
                <w:b/>
                <w:lang w:eastAsia="en-AU"/>
              </w:rPr>
            </w:pPr>
            <w:r w:rsidRPr="00875B9A">
              <w:rPr>
                <w:b/>
                <w:lang w:eastAsia="en-AU"/>
              </w:rPr>
              <w:t>Community harm</w:t>
            </w:r>
            <w:r w:rsidRPr="00875B9A">
              <w:rPr>
                <w:b/>
                <w:lang w:eastAsia="en-AU"/>
              </w:rPr>
              <w:br/>
              <w:t>($ million)</w:t>
            </w:r>
          </w:p>
        </w:tc>
        <w:tc>
          <w:tcPr>
            <w:tcW w:w="2174" w:type="dxa"/>
            <w:tcBorders>
              <w:bottom w:val="single" w:sz="4" w:space="0" w:color="auto"/>
            </w:tcBorders>
            <w:shd w:val="clear" w:color="auto" w:fill="auto"/>
          </w:tcPr>
          <w:p w14:paraId="33D86148" w14:textId="77777777" w:rsidR="00A26FD6" w:rsidRPr="00875B9A" w:rsidRDefault="00A26FD6" w:rsidP="00B573EE">
            <w:pPr>
              <w:pStyle w:val="TableText"/>
              <w:jc w:val="center"/>
              <w:rPr>
                <w:b/>
              </w:rPr>
            </w:pPr>
            <w:r w:rsidRPr="00875B9A">
              <w:rPr>
                <w:b/>
              </w:rPr>
              <w:t>Total harm</w:t>
            </w:r>
            <w:r w:rsidRPr="00875B9A">
              <w:rPr>
                <w:b/>
              </w:rPr>
              <w:br/>
            </w:r>
            <w:r w:rsidRPr="00875B9A">
              <w:rPr>
                <w:b/>
                <w:lang w:eastAsia="en-AU"/>
              </w:rPr>
              <w:t>($ million)</w:t>
            </w:r>
          </w:p>
        </w:tc>
      </w:tr>
      <w:tr w:rsidR="00A26FD6" w:rsidRPr="00875B9A" w14:paraId="6556650C" w14:textId="77777777" w:rsidTr="00E415E0">
        <w:trPr>
          <w:cantSplit/>
        </w:trPr>
        <w:tc>
          <w:tcPr>
            <w:tcW w:w="2552" w:type="dxa"/>
            <w:tcBorders>
              <w:bottom w:val="nil"/>
            </w:tcBorders>
            <w:shd w:val="clear" w:color="auto" w:fill="auto"/>
          </w:tcPr>
          <w:p w14:paraId="489C06E3" w14:textId="77777777" w:rsidR="00A26FD6" w:rsidRPr="00875B9A" w:rsidRDefault="00A26FD6" w:rsidP="00B573EE">
            <w:pPr>
              <w:pStyle w:val="TableText"/>
              <w:ind w:right="113"/>
              <w:rPr>
                <w:i/>
              </w:rPr>
            </w:pPr>
            <w:r w:rsidRPr="00875B9A">
              <w:rPr>
                <w:i/>
              </w:rPr>
              <w:t>Methamphetamine</w:t>
            </w:r>
          </w:p>
        </w:tc>
        <w:tc>
          <w:tcPr>
            <w:tcW w:w="2173" w:type="dxa"/>
            <w:tcBorders>
              <w:top w:val="single" w:sz="4" w:space="0" w:color="auto"/>
              <w:left w:val="single" w:sz="4" w:space="0" w:color="auto"/>
              <w:bottom w:val="nil"/>
              <w:right w:val="single" w:sz="4" w:space="0" w:color="auto"/>
            </w:tcBorders>
            <w:shd w:val="clear" w:color="auto" w:fill="auto"/>
            <w:vAlign w:val="bottom"/>
          </w:tcPr>
          <w:p w14:paraId="24C104E3"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451.26</w:t>
            </w:r>
          </w:p>
        </w:tc>
        <w:tc>
          <w:tcPr>
            <w:tcW w:w="2173" w:type="dxa"/>
            <w:tcBorders>
              <w:top w:val="single" w:sz="4" w:space="0" w:color="auto"/>
              <w:left w:val="nil"/>
              <w:bottom w:val="nil"/>
              <w:right w:val="single" w:sz="4" w:space="0" w:color="auto"/>
            </w:tcBorders>
            <w:shd w:val="clear" w:color="auto" w:fill="auto"/>
            <w:vAlign w:val="bottom"/>
          </w:tcPr>
          <w:p w14:paraId="1BE54AD0" w14:textId="77777777" w:rsidR="00A26FD6" w:rsidRPr="00875B9A" w:rsidRDefault="00A26FD6" w:rsidP="00B573EE">
            <w:pPr>
              <w:pStyle w:val="TableText"/>
              <w:tabs>
                <w:tab w:val="decimal" w:pos="1077"/>
              </w:tabs>
              <w:jc w:val="right"/>
            </w:pPr>
            <w:r w:rsidRPr="00875B9A">
              <w:rPr>
                <w:rFonts w:ascii="Calibri" w:hAnsi="Calibri" w:cs="Calibri"/>
                <w:sz w:val="22"/>
                <w:szCs w:val="22"/>
              </w:rPr>
              <w:t>413.65</w:t>
            </w:r>
          </w:p>
        </w:tc>
        <w:tc>
          <w:tcPr>
            <w:tcW w:w="2174" w:type="dxa"/>
            <w:tcBorders>
              <w:top w:val="single" w:sz="4" w:space="0" w:color="auto"/>
              <w:left w:val="nil"/>
              <w:bottom w:val="nil"/>
              <w:right w:val="single" w:sz="4" w:space="0" w:color="auto"/>
            </w:tcBorders>
            <w:shd w:val="clear" w:color="auto" w:fill="auto"/>
            <w:vAlign w:val="bottom"/>
          </w:tcPr>
          <w:p w14:paraId="4673D8F1"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864.9</w:t>
            </w:r>
          </w:p>
        </w:tc>
      </w:tr>
      <w:tr w:rsidR="00A26FD6" w:rsidRPr="00875B9A" w14:paraId="3B06737F" w14:textId="77777777" w:rsidTr="00E415E0">
        <w:trPr>
          <w:cantSplit/>
        </w:trPr>
        <w:tc>
          <w:tcPr>
            <w:tcW w:w="2552" w:type="dxa"/>
            <w:tcBorders>
              <w:top w:val="nil"/>
              <w:bottom w:val="nil"/>
            </w:tcBorders>
            <w:shd w:val="clear" w:color="auto" w:fill="auto"/>
          </w:tcPr>
          <w:p w14:paraId="3E6F72D9" w14:textId="77777777" w:rsidR="00A26FD6" w:rsidRPr="00875B9A" w:rsidRDefault="00A26FD6" w:rsidP="00B573EE">
            <w:pPr>
              <w:pStyle w:val="TableText"/>
              <w:ind w:right="113"/>
              <w:rPr>
                <w:i/>
              </w:rPr>
            </w:pPr>
            <w:r w:rsidRPr="00875B9A">
              <w:rPr>
                <w:i/>
              </w:rPr>
              <w:t>Cocaine</w:t>
            </w:r>
          </w:p>
        </w:tc>
        <w:tc>
          <w:tcPr>
            <w:tcW w:w="2173" w:type="dxa"/>
            <w:tcBorders>
              <w:top w:val="nil"/>
              <w:left w:val="single" w:sz="4" w:space="0" w:color="auto"/>
              <w:bottom w:val="nil"/>
              <w:right w:val="single" w:sz="4" w:space="0" w:color="auto"/>
            </w:tcBorders>
            <w:shd w:val="clear" w:color="auto" w:fill="auto"/>
            <w:vAlign w:val="bottom"/>
          </w:tcPr>
          <w:p w14:paraId="5495C17A"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2.74</w:t>
            </w:r>
          </w:p>
        </w:tc>
        <w:tc>
          <w:tcPr>
            <w:tcW w:w="2173" w:type="dxa"/>
            <w:tcBorders>
              <w:top w:val="nil"/>
              <w:left w:val="nil"/>
              <w:bottom w:val="nil"/>
              <w:right w:val="single" w:sz="4" w:space="0" w:color="auto"/>
            </w:tcBorders>
            <w:shd w:val="clear" w:color="auto" w:fill="auto"/>
            <w:vAlign w:val="bottom"/>
          </w:tcPr>
          <w:p w14:paraId="102C4C93" w14:textId="77777777" w:rsidR="00A26FD6" w:rsidRPr="00875B9A" w:rsidRDefault="00A26FD6" w:rsidP="00B573EE">
            <w:pPr>
              <w:pStyle w:val="TableText"/>
              <w:tabs>
                <w:tab w:val="decimal" w:pos="1077"/>
              </w:tabs>
              <w:jc w:val="right"/>
            </w:pPr>
            <w:r w:rsidRPr="00875B9A">
              <w:rPr>
                <w:rFonts w:ascii="Calibri" w:hAnsi="Calibri" w:cs="Calibri"/>
                <w:sz w:val="22"/>
                <w:szCs w:val="22"/>
              </w:rPr>
              <w:t>4.98</w:t>
            </w:r>
          </w:p>
        </w:tc>
        <w:tc>
          <w:tcPr>
            <w:tcW w:w="2174" w:type="dxa"/>
            <w:tcBorders>
              <w:top w:val="nil"/>
              <w:left w:val="nil"/>
              <w:bottom w:val="nil"/>
              <w:right w:val="single" w:sz="4" w:space="0" w:color="auto"/>
            </w:tcBorders>
            <w:shd w:val="clear" w:color="auto" w:fill="auto"/>
            <w:vAlign w:val="bottom"/>
          </w:tcPr>
          <w:p w14:paraId="0E82626C"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7.7</w:t>
            </w:r>
          </w:p>
        </w:tc>
      </w:tr>
      <w:tr w:rsidR="00A26FD6" w:rsidRPr="00875B9A" w14:paraId="783E281D" w14:textId="77777777" w:rsidTr="00E415E0">
        <w:trPr>
          <w:cantSplit/>
        </w:trPr>
        <w:tc>
          <w:tcPr>
            <w:tcW w:w="2552" w:type="dxa"/>
            <w:tcBorders>
              <w:top w:val="nil"/>
              <w:bottom w:val="nil"/>
            </w:tcBorders>
            <w:shd w:val="clear" w:color="auto" w:fill="auto"/>
          </w:tcPr>
          <w:p w14:paraId="018993B3" w14:textId="77777777" w:rsidR="00A26FD6" w:rsidRPr="00875B9A" w:rsidRDefault="00A26FD6" w:rsidP="00B573EE">
            <w:pPr>
              <w:pStyle w:val="TableText"/>
              <w:ind w:right="113"/>
              <w:rPr>
                <w:i/>
              </w:rPr>
            </w:pPr>
            <w:r w:rsidRPr="00875B9A">
              <w:rPr>
                <w:i/>
              </w:rPr>
              <w:t>MDMA</w:t>
            </w:r>
          </w:p>
        </w:tc>
        <w:tc>
          <w:tcPr>
            <w:tcW w:w="2173" w:type="dxa"/>
            <w:tcBorders>
              <w:top w:val="nil"/>
              <w:left w:val="single" w:sz="4" w:space="0" w:color="auto"/>
              <w:bottom w:val="nil"/>
              <w:right w:val="single" w:sz="4" w:space="0" w:color="auto"/>
            </w:tcBorders>
            <w:shd w:val="clear" w:color="auto" w:fill="auto"/>
            <w:vAlign w:val="bottom"/>
          </w:tcPr>
          <w:p w14:paraId="15F3F539"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22.41</w:t>
            </w:r>
          </w:p>
        </w:tc>
        <w:tc>
          <w:tcPr>
            <w:tcW w:w="2173" w:type="dxa"/>
            <w:tcBorders>
              <w:top w:val="nil"/>
              <w:left w:val="nil"/>
              <w:bottom w:val="nil"/>
              <w:right w:val="single" w:sz="4" w:space="0" w:color="auto"/>
            </w:tcBorders>
            <w:shd w:val="clear" w:color="auto" w:fill="auto"/>
            <w:vAlign w:val="bottom"/>
          </w:tcPr>
          <w:p w14:paraId="4B135237" w14:textId="77777777" w:rsidR="00A26FD6" w:rsidRPr="00875B9A" w:rsidRDefault="00A26FD6" w:rsidP="00B573EE">
            <w:pPr>
              <w:pStyle w:val="TableText"/>
              <w:tabs>
                <w:tab w:val="decimal" w:pos="1077"/>
              </w:tabs>
              <w:jc w:val="right"/>
            </w:pPr>
            <w:r w:rsidRPr="00875B9A">
              <w:rPr>
                <w:rFonts w:ascii="Calibri" w:hAnsi="Calibri" w:cs="Calibri"/>
                <w:sz w:val="22"/>
                <w:szCs w:val="22"/>
              </w:rPr>
              <w:t>17.52</w:t>
            </w:r>
          </w:p>
        </w:tc>
        <w:tc>
          <w:tcPr>
            <w:tcW w:w="2174" w:type="dxa"/>
            <w:tcBorders>
              <w:top w:val="nil"/>
              <w:left w:val="nil"/>
              <w:bottom w:val="nil"/>
              <w:right w:val="single" w:sz="4" w:space="0" w:color="auto"/>
            </w:tcBorders>
            <w:shd w:val="clear" w:color="auto" w:fill="auto"/>
            <w:vAlign w:val="bottom"/>
          </w:tcPr>
          <w:p w14:paraId="3F45EA66"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39.9</w:t>
            </w:r>
          </w:p>
        </w:tc>
      </w:tr>
      <w:tr w:rsidR="00A26FD6" w:rsidRPr="00875B9A" w14:paraId="371BD644" w14:textId="77777777" w:rsidTr="00E415E0">
        <w:trPr>
          <w:cantSplit/>
        </w:trPr>
        <w:tc>
          <w:tcPr>
            <w:tcW w:w="2552" w:type="dxa"/>
            <w:tcBorders>
              <w:top w:val="nil"/>
              <w:bottom w:val="nil"/>
            </w:tcBorders>
            <w:shd w:val="clear" w:color="auto" w:fill="auto"/>
          </w:tcPr>
          <w:p w14:paraId="0395D14E" w14:textId="77777777" w:rsidR="00A26FD6" w:rsidRPr="00875B9A" w:rsidRDefault="00A26FD6" w:rsidP="00B573EE">
            <w:pPr>
              <w:pStyle w:val="TableText"/>
              <w:ind w:right="113"/>
              <w:rPr>
                <w:i/>
              </w:rPr>
            </w:pPr>
            <w:r w:rsidRPr="00875B9A">
              <w:rPr>
                <w:i/>
              </w:rPr>
              <w:t>Heroin</w:t>
            </w:r>
          </w:p>
        </w:tc>
        <w:tc>
          <w:tcPr>
            <w:tcW w:w="2173" w:type="dxa"/>
            <w:tcBorders>
              <w:top w:val="nil"/>
              <w:left w:val="single" w:sz="4" w:space="0" w:color="auto"/>
              <w:bottom w:val="nil"/>
              <w:right w:val="single" w:sz="4" w:space="0" w:color="auto"/>
            </w:tcBorders>
            <w:shd w:val="clear" w:color="auto" w:fill="auto"/>
            <w:vAlign w:val="bottom"/>
          </w:tcPr>
          <w:p w14:paraId="258B5F0D"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15.15</w:t>
            </w:r>
          </w:p>
        </w:tc>
        <w:tc>
          <w:tcPr>
            <w:tcW w:w="2173" w:type="dxa"/>
            <w:tcBorders>
              <w:top w:val="nil"/>
              <w:left w:val="nil"/>
              <w:bottom w:val="nil"/>
              <w:right w:val="single" w:sz="4" w:space="0" w:color="auto"/>
            </w:tcBorders>
            <w:shd w:val="clear" w:color="auto" w:fill="auto"/>
            <w:vAlign w:val="bottom"/>
          </w:tcPr>
          <w:p w14:paraId="6ECA34A9" w14:textId="77777777" w:rsidR="00A26FD6" w:rsidRPr="00875B9A" w:rsidRDefault="00A26FD6" w:rsidP="00B573EE">
            <w:pPr>
              <w:pStyle w:val="TableText"/>
              <w:tabs>
                <w:tab w:val="decimal" w:pos="1077"/>
              </w:tabs>
              <w:jc w:val="right"/>
            </w:pPr>
            <w:r w:rsidRPr="00875B9A">
              <w:rPr>
                <w:rFonts w:ascii="Calibri" w:hAnsi="Calibri" w:cs="Calibri"/>
                <w:sz w:val="22"/>
                <w:szCs w:val="22"/>
              </w:rPr>
              <w:t>*</w:t>
            </w:r>
          </w:p>
        </w:tc>
        <w:tc>
          <w:tcPr>
            <w:tcW w:w="2174" w:type="dxa"/>
            <w:tcBorders>
              <w:top w:val="nil"/>
              <w:left w:val="nil"/>
              <w:bottom w:val="nil"/>
              <w:right w:val="single" w:sz="4" w:space="0" w:color="auto"/>
            </w:tcBorders>
            <w:shd w:val="clear" w:color="auto" w:fill="auto"/>
            <w:vAlign w:val="bottom"/>
          </w:tcPr>
          <w:p w14:paraId="5E532769"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15.15</w:t>
            </w:r>
          </w:p>
        </w:tc>
      </w:tr>
      <w:tr w:rsidR="00A26FD6" w:rsidRPr="00875B9A" w14:paraId="3C80E7BB" w14:textId="77777777" w:rsidTr="00E415E0">
        <w:trPr>
          <w:cantSplit/>
        </w:trPr>
        <w:tc>
          <w:tcPr>
            <w:tcW w:w="2552" w:type="dxa"/>
            <w:tcBorders>
              <w:top w:val="nil"/>
              <w:bottom w:val="nil"/>
            </w:tcBorders>
            <w:shd w:val="clear" w:color="auto" w:fill="auto"/>
          </w:tcPr>
          <w:p w14:paraId="41F7B07E" w14:textId="77777777" w:rsidR="00A26FD6" w:rsidRPr="00875B9A" w:rsidRDefault="00A26FD6" w:rsidP="00B573EE">
            <w:pPr>
              <w:pStyle w:val="TableText"/>
              <w:ind w:right="113"/>
              <w:rPr>
                <w:i/>
              </w:rPr>
            </w:pPr>
            <w:r w:rsidRPr="00875B9A">
              <w:rPr>
                <w:i/>
              </w:rPr>
              <w:t>GHB/GBL</w:t>
            </w:r>
          </w:p>
        </w:tc>
        <w:tc>
          <w:tcPr>
            <w:tcW w:w="2173" w:type="dxa"/>
            <w:tcBorders>
              <w:top w:val="nil"/>
              <w:left w:val="single" w:sz="4" w:space="0" w:color="auto"/>
              <w:bottom w:val="nil"/>
              <w:right w:val="single" w:sz="4" w:space="0" w:color="auto"/>
            </w:tcBorders>
            <w:shd w:val="clear" w:color="auto" w:fill="auto"/>
            <w:vAlign w:val="bottom"/>
          </w:tcPr>
          <w:p w14:paraId="563A97AE"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2.94</w:t>
            </w:r>
          </w:p>
        </w:tc>
        <w:tc>
          <w:tcPr>
            <w:tcW w:w="2173" w:type="dxa"/>
            <w:tcBorders>
              <w:top w:val="nil"/>
              <w:left w:val="nil"/>
              <w:bottom w:val="nil"/>
              <w:right w:val="single" w:sz="4" w:space="0" w:color="auto"/>
            </w:tcBorders>
            <w:shd w:val="clear" w:color="auto" w:fill="auto"/>
            <w:vAlign w:val="bottom"/>
          </w:tcPr>
          <w:p w14:paraId="20D9DA1C" w14:textId="77777777" w:rsidR="00A26FD6" w:rsidRPr="00875B9A" w:rsidRDefault="00A26FD6" w:rsidP="00B573EE">
            <w:pPr>
              <w:pStyle w:val="TableText"/>
              <w:tabs>
                <w:tab w:val="decimal" w:pos="1077"/>
              </w:tabs>
              <w:jc w:val="right"/>
            </w:pPr>
            <w:r w:rsidRPr="00875B9A">
              <w:rPr>
                <w:rFonts w:ascii="Calibri" w:hAnsi="Calibri" w:cs="Calibri"/>
                <w:sz w:val="22"/>
                <w:szCs w:val="22"/>
              </w:rPr>
              <w:t>2.07</w:t>
            </w:r>
          </w:p>
        </w:tc>
        <w:tc>
          <w:tcPr>
            <w:tcW w:w="2174" w:type="dxa"/>
            <w:tcBorders>
              <w:top w:val="nil"/>
              <w:left w:val="nil"/>
              <w:bottom w:val="nil"/>
              <w:right w:val="single" w:sz="4" w:space="0" w:color="auto"/>
            </w:tcBorders>
            <w:shd w:val="clear" w:color="auto" w:fill="auto"/>
            <w:vAlign w:val="bottom"/>
          </w:tcPr>
          <w:p w14:paraId="60912D3A"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5.0</w:t>
            </w:r>
          </w:p>
        </w:tc>
      </w:tr>
      <w:tr w:rsidR="00A26FD6" w:rsidRPr="00875B9A" w14:paraId="05CB63F2" w14:textId="77777777" w:rsidTr="00E415E0">
        <w:trPr>
          <w:cantSplit/>
        </w:trPr>
        <w:tc>
          <w:tcPr>
            <w:tcW w:w="2552" w:type="dxa"/>
            <w:tcBorders>
              <w:top w:val="nil"/>
              <w:bottom w:val="nil"/>
            </w:tcBorders>
            <w:shd w:val="clear" w:color="auto" w:fill="auto"/>
          </w:tcPr>
          <w:p w14:paraId="3846CCB9" w14:textId="77777777" w:rsidR="00A26FD6" w:rsidRPr="00875B9A" w:rsidRDefault="00A26FD6" w:rsidP="00B573EE">
            <w:pPr>
              <w:pStyle w:val="TableText"/>
              <w:ind w:right="113"/>
              <w:rPr>
                <w:i/>
              </w:rPr>
            </w:pPr>
            <w:r w:rsidRPr="00875B9A">
              <w:rPr>
                <w:i/>
              </w:rPr>
              <w:t>Cannabis</w:t>
            </w:r>
          </w:p>
        </w:tc>
        <w:tc>
          <w:tcPr>
            <w:tcW w:w="2173" w:type="dxa"/>
            <w:tcBorders>
              <w:top w:val="nil"/>
              <w:left w:val="single" w:sz="4" w:space="0" w:color="auto"/>
              <w:bottom w:val="nil"/>
              <w:right w:val="single" w:sz="4" w:space="0" w:color="auto"/>
            </w:tcBorders>
            <w:shd w:val="clear" w:color="auto" w:fill="auto"/>
            <w:vAlign w:val="bottom"/>
          </w:tcPr>
          <w:p w14:paraId="0F289C3E"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325.10</w:t>
            </w:r>
          </w:p>
        </w:tc>
        <w:tc>
          <w:tcPr>
            <w:tcW w:w="2173" w:type="dxa"/>
            <w:tcBorders>
              <w:top w:val="nil"/>
              <w:left w:val="nil"/>
              <w:bottom w:val="nil"/>
              <w:right w:val="single" w:sz="4" w:space="0" w:color="auto"/>
            </w:tcBorders>
            <w:shd w:val="clear" w:color="auto" w:fill="auto"/>
            <w:vAlign w:val="bottom"/>
          </w:tcPr>
          <w:p w14:paraId="23FEB17E" w14:textId="77777777" w:rsidR="00A26FD6" w:rsidRPr="00875B9A" w:rsidRDefault="00A26FD6" w:rsidP="00B573EE">
            <w:pPr>
              <w:pStyle w:val="TableText"/>
              <w:tabs>
                <w:tab w:val="decimal" w:pos="1077"/>
              </w:tabs>
              <w:jc w:val="right"/>
            </w:pPr>
            <w:r w:rsidRPr="00875B9A">
              <w:rPr>
                <w:rFonts w:ascii="Calibri" w:hAnsi="Calibri" w:cs="Calibri"/>
                <w:sz w:val="22"/>
                <w:szCs w:val="22"/>
              </w:rPr>
              <w:t>658.60</w:t>
            </w:r>
          </w:p>
        </w:tc>
        <w:tc>
          <w:tcPr>
            <w:tcW w:w="2174" w:type="dxa"/>
            <w:tcBorders>
              <w:top w:val="nil"/>
              <w:left w:val="nil"/>
              <w:bottom w:val="nil"/>
              <w:right w:val="single" w:sz="4" w:space="0" w:color="auto"/>
            </w:tcBorders>
            <w:shd w:val="clear" w:color="auto" w:fill="auto"/>
            <w:vAlign w:val="bottom"/>
          </w:tcPr>
          <w:p w14:paraId="7CEC06BC"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983.7</w:t>
            </w:r>
          </w:p>
        </w:tc>
      </w:tr>
      <w:tr w:rsidR="00A26FD6" w:rsidRPr="00875B9A" w14:paraId="3D0A833C" w14:textId="77777777" w:rsidTr="00E415E0">
        <w:trPr>
          <w:cantSplit/>
        </w:trPr>
        <w:tc>
          <w:tcPr>
            <w:tcW w:w="2552" w:type="dxa"/>
            <w:tcBorders>
              <w:top w:val="nil"/>
            </w:tcBorders>
            <w:shd w:val="clear" w:color="auto" w:fill="auto"/>
          </w:tcPr>
          <w:p w14:paraId="66C5E1F3" w14:textId="77777777" w:rsidR="00A26FD6" w:rsidRPr="00875B9A" w:rsidRDefault="00A26FD6" w:rsidP="00B573EE">
            <w:pPr>
              <w:pStyle w:val="TableText"/>
              <w:ind w:right="113"/>
              <w:rPr>
                <w:i/>
              </w:rPr>
            </w:pPr>
            <w:r w:rsidRPr="00875B9A">
              <w:rPr>
                <w:i/>
              </w:rPr>
              <w:t>Synthetic cannabinoids</w:t>
            </w:r>
          </w:p>
        </w:tc>
        <w:tc>
          <w:tcPr>
            <w:tcW w:w="2173" w:type="dxa"/>
            <w:tcBorders>
              <w:top w:val="nil"/>
              <w:left w:val="single" w:sz="4" w:space="0" w:color="auto"/>
              <w:bottom w:val="nil"/>
              <w:right w:val="single" w:sz="4" w:space="0" w:color="auto"/>
            </w:tcBorders>
            <w:shd w:val="clear" w:color="auto" w:fill="auto"/>
            <w:vAlign w:val="bottom"/>
          </w:tcPr>
          <w:p w14:paraId="507A1978"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25.11</w:t>
            </w:r>
          </w:p>
        </w:tc>
        <w:tc>
          <w:tcPr>
            <w:tcW w:w="2173" w:type="dxa"/>
            <w:tcBorders>
              <w:top w:val="nil"/>
              <w:left w:val="nil"/>
              <w:bottom w:val="single" w:sz="4" w:space="0" w:color="auto"/>
              <w:right w:val="single" w:sz="4" w:space="0" w:color="auto"/>
            </w:tcBorders>
            <w:shd w:val="clear" w:color="auto" w:fill="auto"/>
            <w:vAlign w:val="bottom"/>
          </w:tcPr>
          <w:p w14:paraId="772FE389" w14:textId="77777777" w:rsidR="00A26FD6" w:rsidRPr="00875B9A" w:rsidRDefault="00A26FD6" w:rsidP="00B573EE">
            <w:pPr>
              <w:pStyle w:val="TableText"/>
              <w:tabs>
                <w:tab w:val="decimal" w:pos="1077"/>
              </w:tabs>
              <w:jc w:val="right"/>
            </w:pPr>
            <w:r w:rsidRPr="00875B9A">
              <w:rPr>
                <w:rFonts w:ascii="Calibri" w:hAnsi="Calibri" w:cs="Calibri"/>
                <w:sz w:val="22"/>
                <w:szCs w:val="22"/>
              </w:rPr>
              <w:t>*</w:t>
            </w:r>
          </w:p>
        </w:tc>
        <w:tc>
          <w:tcPr>
            <w:tcW w:w="2174" w:type="dxa"/>
            <w:tcBorders>
              <w:top w:val="nil"/>
              <w:left w:val="nil"/>
              <w:bottom w:val="single" w:sz="4" w:space="0" w:color="auto"/>
              <w:right w:val="single" w:sz="4" w:space="0" w:color="auto"/>
            </w:tcBorders>
            <w:shd w:val="clear" w:color="auto" w:fill="auto"/>
            <w:vAlign w:val="bottom"/>
          </w:tcPr>
          <w:p w14:paraId="033901E6"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25.1</w:t>
            </w:r>
          </w:p>
        </w:tc>
      </w:tr>
      <w:tr w:rsidR="00A26FD6" w:rsidRPr="00875B9A" w14:paraId="746538CC" w14:textId="77777777" w:rsidTr="00E415E0">
        <w:trPr>
          <w:cantSplit/>
          <w:trHeight w:val="64"/>
        </w:trPr>
        <w:tc>
          <w:tcPr>
            <w:tcW w:w="2552" w:type="dxa"/>
            <w:shd w:val="clear" w:color="auto" w:fill="auto"/>
          </w:tcPr>
          <w:p w14:paraId="575974DB" w14:textId="77777777" w:rsidR="00A26FD6" w:rsidRPr="00875B9A" w:rsidRDefault="00A26FD6" w:rsidP="00B573EE">
            <w:pPr>
              <w:pStyle w:val="TableText"/>
              <w:ind w:right="113"/>
            </w:pPr>
            <w:r w:rsidRPr="00875B9A">
              <w:t>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14:paraId="1DE4E128"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844.71</w:t>
            </w:r>
          </w:p>
        </w:tc>
        <w:tc>
          <w:tcPr>
            <w:tcW w:w="2173" w:type="dxa"/>
            <w:tcBorders>
              <w:top w:val="single" w:sz="4" w:space="0" w:color="auto"/>
              <w:left w:val="nil"/>
              <w:bottom w:val="single" w:sz="4" w:space="0" w:color="auto"/>
              <w:right w:val="single" w:sz="4" w:space="0" w:color="auto"/>
            </w:tcBorders>
            <w:shd w:val="clear" w:color="auto" w:fill="auto"/>
            <w:vAlign w:val="bottom"/>
          </w:tcPr>
          <w:p w14:paraId="709E8F13" w14:textId="77777777" w:rsidR="00A26FD6" w:rsidRPr="00875B9A" w:rsidRDefault="00A26FD6" w:rsidP="00B573EE">
            <w:pPr>
              <w:pStyle w:val="TableText"/>
              <w:tabs>
                <w:tab w:val="decimal" w:pos="1077"/>
              </w:tabs>
              <w:jc w:val="right"/>
            </w:pPr>
            <w:r w:rsidRPr="00875B9A">
              <w:rPr>
                <w:rFonts w:ascii="Calibri" w:hAnsi="Calibri" w:cs="Calibri"/>
                <w:sz w:val="22"/>
                <w:szCs w:val="22"/>
              </w:rPr>
              <w:t>1096.82</w:t>
            </w:r>
          </w:p>
        </w:tc>
        <w:tc>
          <w:tcPr>
            <w:tcW w:w="2174" w:type="dxa"/>
            <w:tcBorders>
              <w:top w:val="single" w:sz="4" w:space="0" w:color="auto"/>
              <w:left w:val="nil"/>
              <w:bottom w:val="single" w:sz="4" w:space="0" w:color="auto"/>
              <w:right w:val="single" w:sz="4" w:space="0" w:color="auto"/>
            </w:tcBorders>
            <w:shd w:val="clear" w:color="auto" w:fill="auto"/>
            <w:vAlign w:val="bottom"/>
          </w:tcPr>
          <w:p w14:paraId="0DE3BA0D" w14:textId="77777777" w:rsidR="00A26FD6" w:rsidRPr="00875B9A" w:rsidRDefault="00A26FD6" w:rsidP="00B573EE">
            <w:pPr>
              <w:pStyle w:val="TableText"/>
              <w:tabs>
                <w:tab w:val="decimal" w:pos="1077"/>
              </w:tabs>
              <w:jc w:val="right"/>
            </w:pPr>
            <w:r w:rsidRPr="00875B9A">
              <w:rPr>
                <w:rFonts w:ascii="Calibri" w:hAnsi="Calibri" w:cs="Calibri"/>
                <w:color w:val="000000"/>
                <w:sz w:val="22"/>
                <w:szCs w:val="22"/>
              </w:rPr>
              <w:t>1941.53</w:t>
            </w:r>
          </w:p>
        </w:tc>
      </w:tr>
    </w:tbl>
    <w:p w14:paraId="6A40CD2A" w14:textId="77777777" w:rsidR="00A26FD6" w:rsidRPr="00875B9A" w:rsidRDefault="00A26FD6" w:rsidP="00A26FD6">
      <w:pPr>
        <w:pStyle w:val="Note"/>
        <w:ind w:left="284" w:hanging="284"/>
        <w:rPr>
          <w:lang w:eastAsia="en-AU"/>
        </w:rPr>
      </w:pPr>
      <w:r w:rsidRPr="00875B9A">
        <w:rPr>
          <w:lang w:eastAsia="en-AU"/>
        </w:rPr>
        <w:t>*</w:t>
      </w:r>
      <w:r w:rsidRPr="00875B9A">
        <w:rPr>
          <w:lang w:eastAsia="en-AU"/>
        </w:rPr>
        <w:tab/>
        <w:t>Insufficient data for an estimate to be made.</w:t>
      </w:r>
    </w:p>
    <w:p w14:paraId="00806DF7" w14:textId="77777777" w:rsidR="00A26FD6" w:rsidRPr="00875B9A" w:rsidRDefault="00A26FD6" w:rsidP="00A26FD6">
      <w:pPr>
        <w:spacing w:after="0" w:line="240" w:lineRule="auto"/>
        <w:rPr>
          <w:lang w:eastAsia="en-AU"/>
        </w:rPr>
      </w:pPr>
    </w:p>
    <w:p w14:paraId="5A074411" w14:textId="2D76427B" w:rsidR="00A26FD6" w:rsidRPr="00875B9A" w:rsidRDefault="00A26FD6" w:rsidP="00A26FD6">
      <w:pPr>
        <w:pStyle w:val="Heading1"/>
      </w:pPr>
      <w:bookmarkStart w:id="60" w:name="_Toc444941802"/>
      <w:bookmarkStart w:id="61" w:name="_Toc89352345"/>
      <w:bookmarkStart w:id="62" w:name="_Toc170116269"/>
      <w:r w:rsidRPr="00875B9A">
        <w:t>References</w:t>
      </w:r>
      <w:bookmarkEnd w:id="60"/>
      <w:bookmarkEnd w:id="61"/>
      <w:bookmarkEnd w:id="62"/>
    </w:p>
    <w:p w14:paraId="63CB27E0" w14:textId="77777777" w:rsidR="00A26FD6" w:rsidRPr="00875B9A" w:rsidRDefault="00A26FD6" w:rsidP="00A26FD6">
      <w:pPr>
        <w:pStyle w:val="References"/>
        <w:rPr>
          <w:rFonts w:cstheme="minorHAnsi"/>
        </w:rPr>
      </w:pPr>
      <w:r w:rsidRPr="00875B9A">
        <w:rPr>
          <w:rFonts w:cstheme="minorHAnsi"/>
        </w:rPr>
        <w:t xml:space="preserve">Hughes C, Chalmers J, Bright D &amp; McFadden M (2015). </w:t>
      </w:r>
      <w:r w:rsidRPr="00875B9A">
        <w:rPr>
          <w:rFonts w:cstheme="minorHAnsi"/>
          <w:i/>
        </w:rPr>
        <w:t>Trafficking in multiple commodities: Exposing Australia’s polydrug and poly-crime networks</w:t>
      </w:r>
      <w:r w:rsidRPr="00875B9A">
        <w:rPr>
          <w:rFonts w:cstheme="minorHAnsi"/>
        </w:rPr>
        <w:t>. Monograph Series No. 4, National Drug Law Enforcement Research Fund.</w:t>
      </w:r>
    </w:p>
    <w:p w14:paraId="03C5B0AB" w14:textId="77777777" w:rsidR="00A26FD6" w:rsidRPr="00875B9A" w:rsidRDefault="00A26FD6" w:rsidP="00A26FD6">
      <w:pPr>
        <w:pStyle w:val="References"/>
        <w:rPr>
          <w:rFonts w:cstheme="minorHAnsi"/>
        </w:rPr>
      </w:pPr>
      <w:r w:rsidRPr="00875B9A">
        <w:rPr>
          <w:rFonts w:cstheme="minorHAnsi"/>
        </w:rPr>
        <w:t xml:space="preserve">Lai FY, Wilkins C, Thai P, &amp; Mueller J F (2017). An exploratory wastewater analysis study of drug use in Auckland, New Zealand, </w:t>
      </w:r>
      <w:r w:rsidRPr="00875B9A">
        <w:rPr>
          <w:rFonts w:cstheme="minorHAnsi"/>
          <w:i/>
          <w:iCs/>
          <w:szCs w:val="22"/>
          <w:lang w:val="en-AU" w:eastAsia="en-NZ"/>
        </w:rPr>
        <w:t xml:space="preserve">Drug and Alcohol Review </w:t>
      </w:r>
      <w:r w:rsidRPr="00875B9A">
        <w:rPr>
          <w:rFonts w:cstheme="minorHAnsi"/>
          <w:szCs w:val="22"/>
          <w:lang w:val="en-AU" w:eastAsia="en-NZ"/>
        </w:rPr>
        <w:t>(September 2017), 36, 597–601.</w:t>
      </w:r>
    </w:p>
    <w:p w14:paraId="52174000" w14:textId="77777777" w:rsidR="00A26FD6" w:rsidRPr="00875B9A" w:rsidRDefault="00A26FD6" w:rsidP="00A26FD6">
      <w:pPr>
        <w:pStyle w:val="References"/>
        <w:rPr>
          <w:rFonts w:cstheme="minorHAnsi"/>
        </w:rPr>
      </w:pPr>
      <w:bookmarkStart w:id="63" w:name="_Hlk142483449"/>
      <w:r w:rsidRPr="00875B9A">
        <w:rPr>
          <w:rFonts w:cstheme="minorHAnsi"/>
        </w:rPr>
        <w:t xml:space="preserve">McDowell J &amp; </w:t>
      </w:r>
      <w:proofErr w:type="spellStart"/>
      <w:r w:rsidRPr="00875B9A">
        <w:rPr>
          <w:rFonts w:cstheme="minorHAnsi"/>
        </w:rPr>
        <w:t>Novis</w:t>
      </w:r>
      <w:proofErr w:type="spellEnd"/>
      <w:r w:rsidRPr="00875B9A">
        <w:rPr>
          <w:rFonts w:cstheme="minorHAnsi"/>
        </w:rPr>
        <w:t xml:space="preserve"> G (2001). </w:t>
      </w:r>
      <w:r w:rsidRPr="00875B9A">
        <w:rPr>
          <w:rFonts w:cstheme="minorHAnsi"/>
          <w:i/>
        </w:rPr>
        <w:t>The Consequences of Money Laundering and Financial Crime</w:t>
      </w:r>
      <w:r w:rsidRPr="00875B9A">
        <w:rPr>
          <w:rFonts w:cstheme="minorHAnsi"/>
        </w:rPr>
        <w:t>, Bureau of International Narcotics and Law Enforcement Affairs, US Department of State.</w:t>
      </w:r>
    </w:p>
    <w:bookmarkEnd w:id="63"/>
    <w:p w14:paraId="60FF1C76" w14:textId="77777777" w:rsidR="00A26FD6" w:rsidRPr="00875B9A" w:rsidRDefault="00A26FD6" w:rsidP="00A26FD6">
      <w:pPr>
        <w:pStyle w:val="References"/>
        <w:rPr>
          <w:rFonts w:cstheme="minorHAnsi"/>
        </w:rPr>
      </w:pPr>
      <w:r w:rsidRPr="00875B9A">
        <w:rPr>
          <w:rFonts w:cstheme="minorHAnsi"/>
        </w:rPr>
        <w:t xml:space="preserve">McFadden M (2015). </w:t>
      </w:r>
      <w:r w:rsidRPr="00875B9A">
        <w:rPr>
          <w:rFonts w:cstheme="minorHAnsi"/>
          <w:i/>
        </w:rPr>
        <w:t>Development of a Proceeds of Crime Disruption Index</w:t>
      </w:r>
      <w:r w:rsidRPr="00875B9A">
        <w:rPr>
          <w:rFonts w:cstheme="minorHAnsi"/>
        </w:rPr>
        <w:t>, New Zealand Police, Wellington.</w:t>
      </w:r>
    </w:p>
    <w:p w14:paraId="35F3BA40" w14:textId="77777777" w:rsidR="00A26FD6" w:rsidRPr="00875B9A" w:rsidRDefault="00A26FD6" w:rsidP="00A26FD6">
      <w:pPr>
        <w:pStyle w:val="References"/>
        <w:rPr>
          <w:rFonts w:cstheme="minorHAnsi"/>
        </w:rPr>
      </w:pPr>
      <w:r w:rsidRPr="00875B9A">
        <w:rPr>
          <w:rFonts w:cstheme="minorHAnsi"/>
        </w:rPr>
        <w:t xml:space="preserve">McFadden M (2016). </w:t>
      </w:r>
      <w:r w:rsidRPr="00875B9A">
        <w:rPr>
          <w:rFonts w:cstheme="minorHAnsi"/>
          <w:i/>
          <w:iCs/>
        </w:rPr>
        <w:t>The New Zealand Drug Harm Index 2016</w:t>
      </w:r>
      <w:r w:rsidRPr="00875B9A">
        <w:rPr>
          <w:rFonts w:cstheme="minorHAnsi"/>
        </w:rPr>
        <w:t>, Ministry of Health, Wellington.</w:t>
      </w:r>
    </w:p>
    <w:p w14:paraId="623D0BDB" w14:textId="77777777" w:rsidR="00A26FD6" w:rsidRPr="00875B9A" w:rsidRDefault="00A26FD6" w:rsidP="00A26FD6">
      <w:pPr>
        <w:pStyle w:val="References"/>
        <w:rPr>
          <w:rFonts w:cstheme="minorHAnsi"/>
        </w:rPr>
      </w:pPr>
      <w:r w:rsidRPr="00875B9A">
        <w:rPr>
          <w:rFonts w:cstheme="minorHAnsi"/>
        </w:rPr>
        <w:t xml:space="preserve">McFadden M, </w:t>
      </w:r>
      <w:proofErr w:type="spellStart"/>
      <w:r w:rsidRPr="00875B9A">
        <w:rPr>
          <w:rFonts w:cstheme="minorHAnsi"/>
        </w:rPr>
        <w:t>Bellamore</w:t>
      </w:r>
      <w:proofErr w:type="spellEnd"/>
      <w:r w:rsidRPr="00875B9A">
        <w:rPr>
          <w:rFonts w:cstheme="minorHAnsi"/>
        </w:rPr>
        <w:t xml:space="preserve"> L &amp; MacDonald B (2022). The New Zealand Illicit Drug Harm Index 2020: Version 1.1. Wellington: Ministry of Health.</w:t>
      </w:r>
    </w:p>
    <w:p w14:paraId="5AFCABE5" w14:textId="77777777" w:rsidR="00A26FD6" w:rsidRPr="00875B9A" w:rsidRDefault="00A26FD6" w:rsidP="00A26FD6">
      <w:pPr>
        <w:pStyle w:val="References"/>
        <w:rPr>
          <w:rFonts w:cstheme="minorHAnsi"/>
        </w:rPr>
      </w:pPr>
      <w:proofErr w:type="spellStart"/>
      <w:r w:rsidRPr="00875B9A">
        <w:rPr>
          <w:rFonts w:cstheme="minorHAnsi"/>
        </w:rPr>
        <w:t>Melberg</w:t>
      </w:r>
      <w:proofErr w:type="spellEnd"/>
      <w:r w:rsidRPr="00875B9A">
        <w:rPr>
          <w:rFonts w:cstheme="minorHAnsi"/>
        </w:rPr>
        <w:t xml:space="preserve"> H, </w:t>
      </w:r>
      <w:proofErr w:type="spellStart"/>
      <w:r w:rsidRPr="00875B9A">
        <w:rPr>
          <w:rFonts w:cstheme="minorHAnsi"/>
        </w:rPr>
        <w:t>Hakkarainen</w:t>
      </w:r>
      <w:proofErr w:type="spellEnd"/>
      <w:r w:rsidRPr="00875B9A">
        <w:rPr>
          <w:rFonts w:cstheme="minorHAnsi"/>
        </w:rPr>
        <w:t xml:space="preserve"> P, </w:t>
      </w:r>
      <w:proofErr w:type="spellStart"/>
      <w:r w:rsidRPr="00875B9A">
        <w:rPr>
          <w:rFonts w:cstheme="minorHAnsi"/>
        </w:rPr>
        <w:t>Houborg</w:t>
      </w:r>
      <w:proofErr w:type="spellEnd"/>
      <w:r w:rsidRPr="00875B9A">
        <w:rPr>
          <w:rFonts w:cstheme="minorHAnsi"/>
        </w:rPr>
        <w:t xml:space="preserve"> E, </w:t>
      </w:r>
      <w:proofErr w:type="spellStart"/>
      <w:r w:rsidRPr="00875B9A">
        <w:rPr>
          <w:rFonts w:cstheme="minorHAnsi"/>
        </w:rPr>
        <w:t>Jääskeläinen</w:t>
      </w:r>
      <w:proofErr w:type="spellEnd"/>
      <w:r w:rsidRPr="00875B9A">
        <w:rPr>
          <w:rFonts w:cstheme="minorHAnsi"/>
        </w:rPr>
        <w:t xml:space="preserve"> M, </w:t>
      </w:r>
      <w:proofErr w:type="spellStart"/>
      <w:r w:rsidRPr="00875B9A">
        <w:rPr>
          <w:rFonts w:cstheme="minorHAnsi"/>
        </w:rPr>
        <w:t>Skretting</w:t>
      </w:r>
      <w:proofErr w:type="spellEnd"/>
      <w:r w:rsidRPr="00875B9A">
        <w:rPr>
          <w:rFonts w:cstheme="minorHAnsi"/>
        </w:rPr>
        <w:t xml:space="preserve"> A, </w:t>
      </w:r>
      <w:proofErr w:type="spellStart"/>
      <w:r w:rsidRPr="00875B9A">
        <w:rPr>
          <w:rFonts w:cstheme="minorHAnsi"/>
        </w:rPr>
        <w:t>Ramstedt</w:t>
      </w:r>
      <w:proofErr w:type="spellEnd"/>
      <w:r w:rsidRPr="00875B9A">
        <w:rPr>
          <w:rFonts w:cstheme="minorHAnsi"/>
        </w:rPr>
        <w:t xml:space="preserve"> M &amp; </w:t>
      </w:r>
      <w:proofErr w:type="spellStart"/>
      <w:r w:rsidRPr="00875B9A">
        <w:rPr>
          <w:rFonts w:cstheme="minorHAnsi"/>
        </w:rPr>
        <w:t>Rosenqvist</w:t>
      </w:r>
      <w:proofErr w:type="spellEnd"/>
      <w:r w:rsidRPr="00875B9A">
        <w:rPr>
          <w:rFonts w:cstheme="minorHAnsi"/>
        </w:rPr>
        <w:t xml:space="preserve"> P (2011). Measuring the harm of illicit drug use on friends and family,</w:t>
      </w:r>
      <w:r w:rsidRPr="00875B9A">
        <w:rPr>
          <w:rFonts w:cstheme="minorHAnsi"/>
          <w:i/>
        </w:rPr>
        <w:t xml:space="preserve"> Nordic Studies on Alcohol and Drugs</w:t>
      </w:r>
      <w:r w:rsidRPr="00875B9A">
        <w:rPr>
          <w:rFonts w:cstheme="minorHAnsi"/>
        </w:rPr>
        <w:t>, 28, 2, 105–121.</w:t>
      </w:r>
    </w:p>
    <w:p w14:paraId="2A5B5A24" w14:textId="77777777" w:rsidR="00A26FD6" w:rsidRPr="00875B9A" w:rsidRDefault="00A26FD6" w:rsidP="00A26FD6">
      <w:pPr>
        <w:pStyle w:val="References"/>
        <w:rPr>
          <w:rFonts w:cstheme="minorHAnsi"/>
        </w:rPr>
      </w:pPr>
      <w:r w:rsidRPr="00875B9A">
        <w:rPr>
          <w:rFonts w:cstheme="minorHAnsi"/>
        </w:rPr>
        <w:t xml:space="preserve">Ministry of Justice, Coronial Services. (2023) </w:t>
      </w:r>
    </w:p>
    <w:p w14:paraId="0D9DEAC7" w14:textId="77777777" w:rsidR="00A26FD6" w:rsidRPr="00875B9A" w:rsidRDefault="00A26FD6" w:rsidP="00A26FD6">
      <w:pPr>
        <w:pStyle w:val="References"/>
        <w:rPr>
          <w:rFonts w:cstheme="minorHAnsi"/>
        </w:rPr>
      </w:pPr>
      <w:r w:rsidRPr="00875B9A">
        <w:rPr>
          <w:rFonts w:cstheme="minorHAnsi"/>
          <w:lang w:eastAsia="en-AU"/>
        </w:rPr>
        <w:t>Ministry of Transport (2022).</w:t>
      </w:r>
      <w:r w:rsidRPr="00875B9A">
        <w:rPr>
          <w:rFonts w:cstheme="minorHAnsi"/>
          <w:i/>
          <w:iCs/>
          <w:lang w:eastAsia="en-AU"/>
        </w:rPr>
        <w:t xml:space="preserve"> Social Cost of Road Crashes and Injuries 2021 update</w:t>
      </w:r>
      <w:r w:rsidRPr="00875B9A">
        <w:rPr>
          <w:rFonts w:cstheme="minorHAnsi"/>
          <w:lang w:eastAsia="en-AU"/>
        </w:rPr>
        <w:t>, Wellington.</w:t>
      </w:r>
    </w:p>
    <w:p w14:paraId="7E4483A5" w14:textId="77777777" w:rsidR="00A26FD6" w:rsidRPr="00875B9A" w:rsidRDefault="00A26FD6" w:rsidP="00A26FD6">
      <w:pPr>
        <w:pStyle w:val="References"/>
        <w:rPr>
          <w:rFonts w:cstheme="minorHAnsi"/>
        </w:rPr>
      </w:pPr>
      <w:r w:rsidRPr="00875B9A">
        <w:rPr>
          <w:rFonts w:cstheme="minorHAnsi"/>
        </w:rPr>
        <w:t xml:space="preserve">Murray C et al (2012). Disability-adjusted life years (DALYs) for 291 diseases and injuries in 21 regions, 1990–2010: a systematic analysis for the Global Burden of Disease Study 2010, </w:t>
      </w:r>
      <w:r w:rsidRPr="00875B9A">
        <w:rPr>
          <w:rFonts w:cstheme="minorHAnsi"/>
          <w:i/>
        </w:rPr>
        <w:t>The Lancet</w:t>
      </w:r>
      <w:r w:rsidRPr="00875B9A">
        <w:rPr>
          <w:rFonts w:cstheme="minorHAnsi"/>
        </w:rPr>
        <w:t>, 380, 2213. (Full author list exceeds 400 names.)</w:t>
      </w:r>
    </w:p>
    <w:p w14:paraId="257B495A" w14:textId="77777777" w:rsidR="00A26FD6" w:rsidRPr="00875B9A" w:rsidRDefault="00A26FD6" w:rsidP="00A26FD6">
      <w:pPr>
        <w:pStyle w:val="References"/>
        <w:rPr>
          <w:rFonts w:cstheme="minorHAnsi"/>
        </w:rPr>
      </w:pPr>
      <w:r w:rsidRPr="00875B9A">
        <w:rPr>
          <w:rFonts w:cstheme="minorHAnsi"/>
        </w:rPr>
        <w:t xml:space="preserve">New Zealand Government. (January 2018) </w:t>
      </w:r>
      <w:r w:rsidRPr="00875B9A">
        <w:rPr>
          <w:rFonts w:cstheme="minorHAnsi"/>
          <w:i/>
          <w:iCs/>
        </w:rPr>
        <w:t>Inquiry to improve mental health services</w:t>
      </w:r>
      <w:r w:rsidRPr="00875B9A">
        <w:rPr>
          <w:rFonts w:cstheme="minorHAnsi"/>
        </w:rPr>
        <w:t xml:space="preserve">. Retrieved January 2023, from </w:t>
      </w:r>
      <w:hyperlink r:id="rId20" w:history="1">
        <w:r w:rsidRPr="00875B9A">
          <w:rPr>
            <w:rStyle w:val="Hyperlink"/>
            <w:rFonts w:cstheme="minorHAnsi"/>
            <w:b w:val="0"/>
            <w:bCs/>
            <w:color w:val="000000" w:themeColor="text1"/>
          </w:rPr>
          <w:t>https://www.beehive.govt.nz/release/inquiry-improve-mental-health-services</w:t>
        </w:r>
      </w:hyperlink>
    </w:p>
    <w:p w14:paraId="05B9D7A4" w14:textId="77777777" w:rsidR="00A26FD6" w:rsidRPr="00875B9A" w:rsidRDefault="00A26FD6" w:rsidP="00A26FD6">
      <w:pPr>
        <w:pStyle w:val="References"/>
        <w:rPr>
          <w:rFonts w:cstheme="minorHAnsi"/>
        </w:rPr>
      </w:pPr>
      <w:r w:rsidRPr="00875B9A">
        <w:rPr>
          <w:rFonts w:cstheme="minorHAnsi"/>
        </w:rPr>
        <w:t xml:space="preserve">New Zealand Police (2021). Crime in New Zealand at a glance. Accessed at </w:t>
      </w:r>
      <w:hyperlink r:id="rId21" w:history="1">
        <w:r w:rsidRPr="00875B9A">
          <w:rPr>
            <w:rStyle w:val="Hyperlink"/>
            <w:rFonts w:cstheme="minorHAnsi"/>
            <w:b w:val="0"/>
            <w:bCs/>
            <w:color w:val="000000" w:themeColor="text1"/>
          </w:rPr>
          <w:t>https://www.police.govt.nz/about-us/publications-statistics/data-and-statistics/policedatanz/victimisation-time-and-place</w:t>
        </w:r>
      </w:hyperlink>
    </w:p>
    <w:p w14:paraId="45926F2B" w14:textId="77777777" w:rsidR="00A26FD6" w:rsidRPr="00875B9A" w:rsidRDefault="00A26FD6" w:rsidP="00A26FD6">
      <w:pPr>
        <w:pStyle w:val="References"/>
        <w:rPr>
          <w:rFonts w:cstheme="minorHAnsi"/>
        </w:rPr>
      </w:pPr>
      <w:r w:rsidRPr="00875B9A">
        <w:rPr>
          <w:rFonts w:cstheme="minorHAnsi"/>
        </w:rPr>
        <w:t>Reuter P (2009). Ten years after the United Nations General Assembly Special Session (UNGASS): assessing drug problems, policies and reform proposals, Addiction, 104: 510–517.</w:t>
      </w:r>
    </w:p>
    <w:p w14:paraId="1DBF8E21" w14:textId="77777777" w:rsidR="00A26FD6" w:rsidRPr="00875B9A" w:rsidRDefault="00A26FD6" w:rsidP="00A26FD6">
      <w:pPr>
        <w:pStyle w:val="References"/>
        <w:rPr>
          <w:rFonts w:cstheme="minorHAnsi"/>
        </w:rPr>
      </w:pPr>
      <w:r w:rsidRPr="00875B9A">
        <w:rPr>
          <w:rFonts w:cstheme="minorHAnsi"/>
        </w:rPr>
        <w:t xml:space="preserve">Roberts M, Bewley-Taylor D &amp; Trace M (2006). </w:t>
      </w:r>
      <w:r w:rsidRPr="00875B9A">
        <w:rPr>
          <w:rFonts w:cstheme="minorHAnsi"/>
          <w:i/>
        </w:rPr>
        <w:t>Monitoring Drug Policy Outcomes: The Measurement of Drug-related Harm</w:t>
      </w:r>
      <w:r w:rsidRPr="00875B9A">
        <w:rPr>
          <w:rFonts w:cstheme="minorHAnsi"/>
        </w:rPr>
        <w:t>, The Beckley Foundation, Report Nine.</w:t>
      </w:r>
    </w:p>
    <w:p w14:paraId="58BC42BB" w14:textId="77777777" w:rsidR="00A26FD6" w:rsidRPr="00875B9A" w:rsidRDefault="00A26FD6" w:rsidP="00A26FD6">
      <w:pPr>
        <w:pStyle w:val="References"/>
        <w:rPr>
          <w:rFonts w:cstheme="minorHAnsi"/>
        </w:rPr>
      </w:pPr>
      <w:r w:rsidRPr="00875B9A">
        <w:rPr>
          <w:rFonts w:cstheme="minorHAnsi"/>
        </w:rPr>
        <w:t xml:space="preserve">Slack A, O’Dea D, Sheerin I, Norman D, </w:t>
      </w:r>
      <w:proofErr w:type="spellStart"/>
      <w:r w:rsidRPr="00875B9A">
        <w:rPr>
          <w:rFonts w:cstheme="minorHAnsi"/>
        </w:rPr>
        <w:t>Jiani</w:t>
      </w:r>
      <w:proofErr w:type="spellEnd"/>
      <w:r w:rsidRPr="00875B9A">
        <w:rPr>
          <w:rFonts w:cstheme="minorHAnsi"/>
        </w:rPr>
        <w:t xml:space="preserve"> Wu &amp; Nana G (2008). </w:t>
      </w:r>
      <w:r w:rsidRPr="00875B9A">
        <w:rPr>
          <w:rFonts w:cstheme="minorHAnsi"/>
          <w:i/>
        </w:rPr>
        <w:t xml:space="preserve">New Zealand Drug Harm Index, </w:t>
      </w:r>
      <w:r w:rsidRPr="00875B9A">
        <w:rPr>
          <w:rFonts w:cstheme="minorHAnsi"/>
        </w:rPr>
        <w:t>BERL report for the New Zealand Police.</w:t>
      </w:r>
    </w:p>
    <w:p w14:paraId="4958E95C" w14:textId="77777777" w:rsidR="00A26FD6" w:rsidRPr="00875B9A" w:rsidRDefault="00A26FD6" w:rsidP="00A26FD6">
      <w:pPr>
        <w:pStyle w:val="References"/>
        <w:rPr>
          <w:rFonts w:cstheme="minorHAnsi"/>
        </w:rPr>
      </w:pPr>
      <w:r w:rsidRPr="00875B9A">
        <w:rPr>
          <w:rFonts w:cstheme="minorHAnsi"/>
        </w:rPr>
        <w:t xml:space="preserve">Statistics New Zealand (2021, June 30). </w:t>
      </w:r>
      <w:r w:rsidRPr="00875B9A">
        <w:rPr>
          <w:rFonts w:cstheme="minorHAnsi"/>
          <w:i/>
          <w:iCs/>
        </w:rPr>
        <w:t xml:space="preserve">National population estimates: On 30 June 2021. </w:t>
      </w:r>
      <w:r w:rsidRPr="00875B9A">
        <w:rPr>
          <w:rFonts w:cstheme="minorHAnsi"/>
        </w:rPr>
        <w:t xml:space="preserve">Retrieved 8 March 2023, from Statistics New Zealand: </w:t>
      </w:r>
      <w:proofErr w:type="gramStart"/>
      <w:r w:rsidRPr="00875B9A">
        <w:rPr>
          <w:rFonts w:cstheme="minorHAnsi"/>
        </w:rPr>
        <w:t>https://www.stats.govt.nz/information-releases/national-population-estimates-at-30-june-2021</w:t>
      </w:r>
      <w:proofErr w:type="gramEnd"/>
    </w:p>
    <w:p w14:paraId="72FD37B3" w14:textId="77777777" w:rsidR="00A26FD6" w:rsidRPr="00875B9A" w:rsidRDefault="00A26FD6" w:rsidP="00A26FD6">
      <w:pPr>
        <w:pStyle w:val="References"/>
        <w:rPr>
          <w:rFonts w:cstheme="minorHAnsi"/>
        </w:rPr>
      </w:pPr>
      <w:r w:rsidRPr="00875B9A">
        <w:rPr>
          <w:rFonts w:cstheme="minorHAnsi"/>
        </w:rPr>
        <w:t>United Nations Office on Drugs and Crime (2005). World Drug Report 2005, United Nations publication, E.05.XI.10.</w:t>
      </w:r>
      <w:bookmarkStart w:id="64" w:name="_Ref88221730"/>
      <w:bookmarkStart w:id="65" w:name="_Toc89352346"/>
    </w:p>
    <w:p w14:paraId="774EC097" w14:textId="77777777" w:rsidR="00A26FD6" w:rsidRPr="00875B9A" w:rsidRDefault="00A26FD6" w:rsidP="00A26FD6">
      <w:pPr>
        <w:pStyle w:val="Heading1"/>
      </w:pPr>
      <w:bookmarkStart w:id="66" w:name="_Toc170116270"/>
      <w:r w:rsidRPr="00875B9A">
        <w:t>Appendix One</w:t>
      </w:r>
      <w:bookmarkEnd w:id="64"/>
      <w:r w:rsidRPr="00875B9A">
        <w:t>:</w:t>
      </w:r>
      <w:bookmarkEnd w:id="66"/>
    </w:p>
    <w:p w14:paraId="233F56B8" w14:textId="77777777" w:rsidR="00A26FD6" w:rsidRPr="00875B9A" w:rsidRDefault="00A26FD6" w:rsidP="00A26FD6">
      <w:pPr>
        <w:pStyle w:val="Heading2"/>
      </w:pPr>
      <w:bookmarkStart w:id="67" w:name="_Toc170116271"/>
      <w:r w:rsidRPr="00875B9A">
        <w:t>Conceptual framework</w:t>
      </w:r>
      <w:bookmarkEnd w:id="65"/>
      <w:bookmarkEnd w:id="67"/>
    </w:p>
    <w:p w14:paraId="4FEEA00B" w14:textId="77777777" w:rsidR="00A26FD6" w:rsidRPr="00875B9A" w:rsidRDefault="00A26FD6" w:rsidP="00A26FD6">
      <w:r w:rsidRPr="00875B9A">
        <w:t>Personal harms include poor health, injury, psychological trauma, poor interpersonal relationships, loss of income, loss of lifestyle, arrest, and imprisonment. The fact these outcomes can be identified as separate harms does not necessarily mean they should be measured separately. Actual measures of personal harm used in this report included the cost of premature death and the cost of years of life lost through drug-related disability. Both these measures incorporate a range of personal harms (Ministry of Transport, 2022; Murray et al, 2012). As with Slack et al (2008), this report did not consider the potential personal benefits of illicit drug use due to the difficulties related to quantification.</w:t>
      </w:r>
    </w:p>
    <w:p w14:paraId="107E9F9D" w14:textId="77777777" w:rsidR="00A26FD6" w:rsidRPr="00875B9A" w:rsidRDefault="00A26FD6" w:rsidP="00A26FD6">
      <w:r w:rsidRPr="00875B9A">
        <w:t>The majority of DHIs have used a prevalence approach to calculating harms, as is common in burden of disease studies. The approach is explained by Slack et al (2008):</w:t>
      </w:r>
    </w:p>
    <w:p w14:paraId="64BE06CD" w14:textId="77777777" w:rsidR="00A26FD6" w:rsidRPr="00875B9A" w:rsidRDefault="00A26FD6" w:rsidP="00A26FD6">
      <w:pPr>
        <w:pStyle w:val="Quote"/>
        <w:rPr>
          <w:sz w:val="22"/>
          <w:szCs w:val="22"/>
        </w:rPr>
      </w:pPr>
      <w:r w:rsidRPr="00875B9A">
        <w:rPr>
          <w:sz w:val="22"/>
          <w:szCs w:val="22"/>
        </w:rPr>
        <w:t>The prevalence approach estimates resource diverted in a given year due to the impacts of past and present illicit drug use. The costs estimated using the prevalence approach are then compared to a counterfactual situation, in this case where no illicit drugs were ever used. That is, in order to determine the harm avoided by reducing drug consumption we compare the current situation with drug use to a hypothetical case where there is no harmful drug use. (…) The prevalence approach has the advantage of using currently available health data, such as mortality and morbidity figures related to illicit drug use, to define what a counterfactual population would have looked like today. This is likely to result in more robust estimates than under the major alternative approach based on incidence.</w:t>
      </w:r>
    </w:p>
    <w:p w14:paraId="6917CC39" w14:textId="77777777" w:rsidR="00A26FD6" w:rsidRPr="00875B9A" w:rsidRDefault="00A26FD6" w:rsidP="00A26FD6">
      <w:r w:rsidRPr="00875B9A">
        <w:t>Here, incidence is the preferred and adopted approach for calculating harms. This approach uses data from a defined period (normally a year) to estimate harm and answers the question ‘How much harm is current drug use causing now and likely to cause in the near future?’. Making it of more interest to government, policy makers, practitioners, and the community. The prevalence approach is primarily a historical one and calculates the harm that could have been avoided had illicit drugs never existed; answering the question ‘How much harm has historical illicit drug use caused?’.</w:t>
      </w:r>
    </w:p>
    <w:p w14:paraId="51029A2C" w14:textId="77777777" w:rsidR="00A26FD6" w:rsidRDefault="00A26FD6" w:rsidP="00A26FD6">
      <w:r w:rsidRPr="00875B9A">
        <w:t>In summary, the current method included the methodology used in the previous version of the New Zealand Drug Harm Index. Changes were minimal and were mainly related to improved data sources to underpin the analysis.</w:t>
      </w:r>
    </w:p>
    <w:p w14:paraId="35625F10" w14:textId="77777777" w:rsidR="006B6F64" w:rsidRDefault="006B6F64" w:rsidP="00A26FD6"/>
    <w:sectPr w:rsidR="006B6F64" w:rsidSect="009350DF">
      <w:footerReference w:type="even" r:id="rId22"/>
      <w:footerReference w:type="default" r:id="rId23"/>
      <w:pgSz w:w="11907" w:h="16834" w:code="9"/>
      <w:pgMar w:top="1418" w:right="1418" w:bottom="1134" w:left="1418" w:header="425"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EBA1" w14:textId="77777777" w:rsidR="00265680" w:rsidRDefault="00265680">
      <w:r>
        <w:separator/>
      </w:r>
    </w:p>
    <w:p w14:paraId="275B336A" w14:textId="77777777" w:rsidR="00265680" w:rsidRDefault="00265680"/>
    <w:p w14:paraId="70D03EA0" w14:textId="77777777" w:rsidR="00265680" w:rsidRDefault="00265680"/>
  </w:endnote>
  <w:endnote w:type="continuationSeparator" w:id="0">
    <w:p w14:paraId="042513B8" w14:textId="77777777" w:rsidR="00265680" w:rsidRDefault="00265680">
      <w:r>
        <w:continuationSeparator/>
      </w:r>
    </w:p>
    <w:p w14:paraId="1D723783" w14:textId="77777777" w:rsidR="00265680" w:rsidRDefault="00265680"/>
    <w:p w14:paraId="41C862DF" w14:textId="77777777" w:rsidR="00265680" w:rsidRDefault="00265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60CF" w14:textId="77777777" w:rsidR="00A26FD6" w:rsidRDefault="00A26FD6">
    <w:pPr>
      <w:pStyle w:val="Footer"/>
    </w:pPr>
    <w:r>
      <w:rPr>
        <w:noProof/>
      </w:rPr>
      <w:drawing>
        <wp:anchor distT="0" distB="0" distL="114300" distR="114300" simplePos="0" relativeHeight="251659264" behindDoc="0" locked="0" layoutInCell="1" allowOverlap="1" wp14:anchorId="3B5D914E" wp14:editId="0F9C26C5">
          <wp:simplePos x="0" y="0"/>
          <wp:positionH relativeFrom="margin">
            <wp:posOffset>3861582</wp:posOffset>
          </wp:positionH>
          <wp:positionV relativeFrom="paragraph">
            <wp:posOffset>-281353</wp:posOffset>
          </wp:positionV>
          <wp:extent cx="1306073" cy="617517"/>
          <wp:effectExtent l="0" t="0" r="0" b="0"/>
          <wp:wrapNone/>
          <wp:docPr id="132427861" name="Picture 13242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073" cy="61751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9C82" w14:textId="77777777" w:rsidR="00A26FD6" w:rsidRDefault="00A26FD6"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EB89" w14:textId="77777777" w:rsidR="00A26FD6" w:rsidRPr="00A26FD6" w:rsidRDefault="00A26FD6" w:rsidP="00A26F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A26FD6" w14:paraId="3CC23286" w14:textId="77777777" w:rsidTr="00D662F8">
      <w:trPr>
        <w:cantSplit/>
      </w:trPr>
      <w:tc>
        <w:tcPr>
          <w:tcW w:w="709" w:type="dxa"/>
          <w:vAlign w:val="center"/>
        </w:tcPr>
        <w:p w14:paraId="1739E8AB" w14:textId="77777777" w:rsidR="00A26FD6" w:rsidRPr="00931466" w:rsidRDefault="00A26FD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239F9920" w14:textId="77777777" w:rsidR="00A26FD6" w:rsidRDefault="00A26FD6" w:rsidP="00117F59">
          <w:pPr>
            <w:pStyle w:val="RectoFooter"/>
            <w:jc w:val="left"/>
          </w:pPr>
          <w:r>
            <w:t>[title]: [subhead]</w:t>
          </w:r>
        </w:p>
      </w:tc>
    </w:tr>
  </w:tbl>
  <w:p w14:paraId="0119069D" w14:textId="77777777" w:rsidR="00A26FD6" w:rsidRPr="00571223" w:rsidRDefault="00A26FD6"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226F" w14:textId="77777777" w:rsidR="00A26FD6" w:rsidRPr="00581EB8" w:rsidRDefault="00A26FD6" w:rsidP="008A5DF9">
    <w:pPr>
      <w:pStyle w:val="Footer"/>
      <w:jc w:val="center"/>
      <w:rPr>
        <w:sz w:val="2"/>
        <w:szCs w:val="2"/>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D91EEF" w14:paraId="59506DF4" w14:textId="77777777" w:rsidTr="006E2886">
      <w:trPr>
        <w:cantSplit/>
      </w:trPr>
      <w:tc>
        <w:tcPr>
          <w:tcW w:w="675" w:type="dxa"/>
          <w:vAlign w:val="center"/>
        </w:tcPr>
        <w:p w14:paraId="36A16410" w14:textId="77777777" w:rsidR="00D91EEF" w:rsidRPr="00931466" w:rsidRDefault="00D91EEF"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18</w:t>
          </w:r>
          <w:r w:rsidRPr="00931466">
            <w:rPr>
              <w:rStyle w:val="PageNumber"/>
            </w:rPr>
            <w:fldChar w:fldCharType="end"/>
          </w:r>
        </w:p>
      </w:tc>
      <w:tc>
        <w:tcPr>
          <w:tcW w:w="9072" w:type="dxa"/>
          <w:vAlign w:val="center"/>
        </w:tcPr>
        <w:p w14:paraId="68888B2F" w14:textId="77777777" w:rsidR="00D91EEF" w:rsidRDefault="00D91EEF" w:rsidP="00305E02">
          <w:pPr>
            <w:pStyle w:val="RectoFooter"/>
            <w:ind w:left="-108"/>
            <w:jc w:val="left"/>
          </w:pPr>
          <w:r>
            <w:t>the new zealand illicit drug harm index 2020</w:t>
          </w:r>
        </w:p>
      </w:tc>
    </w:tr>
  </w:tbl>
  <w:p w14:paraId="7D970859" w14:textId="77777777" w:rsidR="00D91EEF" w:rsidRPr="00571223" w:rsidRDefault="00D91EEF"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A20E" w14:textId="4AA95438" w:rsidR="00D91EEF" w:rsidRPr="00581EB8" w:rsidRDefault="00D91EEF" w:rsidP="00A26FD6">
    <w:pPr>
      <w:pStyle w:val="Footer"/>
      <w:jc w:val="center"/>
      <w:rPr>
        <w:sz w:val="2"/>
        <w:szCs w:val="2"/>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15</w:t>
    </w:r>
    <w:r w:rsidRPr="0093146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8827" w14:textId="77777777" w:rsidR="00265680" w:rsidRDefault="00265680" w:rsidP="006B6F64">
      <w:pPr>
        <w:pStyle w:val="FootnoteText"/>
      </w:pPr>
    </w:p>
  </w:footnote>
  <w:footnote w:type="continuationSeparator" w:id="0">
    <w:p w14:paraId="1173C327" w14:textId="77777777" w:rsidR="00265680" w:rsidRDefault="00265680" w:rsidP="006B6F64">
      <w:pPr>
        <w:pStyle w:val="FootnoteText"/>
      </w:pPr>
      <w:r>
        <w:continuationSeparator/>
      </w:r>
    </w:p>
  </w:footnote>
  <w:footnote w:type="continuationNotice" w:id="1">
    <w:p w14:paraId="5CA0C01B" w14:textId="77777777" w:rsidR="00265680" w:rsidRDefault="00265680">
      <w:pPr>
        <w:spacing w:after="0" w:line="240" w:lineRule="auto"/>
      </w:pPr>
    </w:p>
  </w:footnote>
  <w:footnote w:id="2">
    <w:p w14:paraId="7640FE3B" w14:textId="77777777" w:rsidR="00A26FD6" w:rsidRPr="00063D20" w:rsidRDefault="00A26FD6" w:rsidP="00A26FD6">
      <w:pPr>
        <w:pStyle w:val="FootnoteText"/>
      </w:pPr>
      <w:r w:rsidRPr="00063D20">
        <w:rPr>
          <w:rStyle w:val="FootnoteReference"/>
        </w:rPr>
        <w:footnoteRef/>
      </w:r>
      <w:r w:rsidRPr="00063D20">
        <w:t xml:space="preserve"> </w:t>
      </w:r>
      <w:r>
        <w:tab/>
      </w:r>
      <w:r w:rsidRPr="00F76CF3">
        <w:t>McFadden</w:t>
      </w:r>
      <w:r w:rsidRPr="00063D20">
        <w:t xml:space="preserve"> Consultancy. 2016. Research Report: The New Zealand Drug Harm Index 2016 (2nd edn). Wellington: Ministry of Health.</w:t>
      </w:r>
    </w:p>
  </w:footnote>
  <w:footnote w:id="3">
    <w:p w14:paraId="366623C8" w14:textId="77777777" w:rsidR="00A26FD6" w:rsidRPr="00063D20" w:rsidRDefault="00A26FD6" w:rsidP="00A26FD6">
      <w:pPr>
        <w:pStyle w:val="FootnoteText"/>
      </w:pPr>
      <w:r w:rsidRPr="00063D20">
        <w:rPr>
          <w:rStyle w:val="FootnoteReference"/>
        </w:rPr>
        <w:footnoteRef/>
      </w:r>
      <w:r w:rsidRPr="00063D20">
        <w:t xml:space="preserve"> </w:t>
      </w:r>
      <w:r>
        <w:tab/>
      </w:r>
      <w:r w:rsidRPr="00063D20">
        <w:t>McFadden M, Bellamore L &amp; MacDonald B. (2021). The New Zealand Illicit Drug Harm Index 2020: Research report. Wellington: Ministry of Health</w:t>
      </w:r>
    </w:p>
  </w:footnote>
  <w:footnote w:id="4">
    <w:p w14:paraId="07777D5C" w14:textId="77777777" w:rsidR="00A26FD6" w:rsidRPr="00063D20" w:rsidRDefault="00A26FD6" w:rsidP="00A26FD6">
      <w:pPr>
        <w:pStyle w:val="FootnoteText"/>
      </w:pPr>
      <w:r w:rsidRPr="00063D20">
        <w:rPr>
          <w:rStyle w:val="FootnoteReference"/>
        </w:rPr>
        <w:footnoteRef/>
      </w:r>
      <w:r w:rsidRPr="00063D20">
        <w:t xml:space="preserve"> </w:t>
      </w:r>
      <w:r>
        <w:tab/>
      </w:r>
      <w:r w:rsidRPr="00063D20">
        <w:t>McFadden Consultancy. (2016). Research Report: The New Zealand Drug Harm Index 2016 (2nd edn). Wellington: Ministry of Health.</w:t>
      </w:r>
    </w:p>
  </w:footnote>
  <w:footnote w:id="5">
    <w:p w14:paraId="0E10F3C3" w14:textId="77777777" w:rsidR="00A26FD6" w:rsidRPr="00063D20" w:rsidRDefault="00A26FD6" w:rsidP="00A26FD6">
      <w:pPr>
        <w:pStyle w:val="FootnoteText"/>
      </w:pPr>
      <w:r w:rsidRPr="00063D20">
        <w:rPr>
          <w:rStyle w:val="FootnoteReference"/>
        </w:rPr>
        <w:footnoteRef/>
      </w:r>
      <w:r w:rsidRPr="00063D20">
        <w:t xml:space="preserve"> </w:t>
      </w:r>
      <w:bookmarkStart w:id="14" w:name="_Hlk147998411"/>
      <w:r>
        <w:tab/>
        <w:t>New Zealand Government</w:t>
      </w:r>
      <w:r w:rsidRPr="00063D20">
        <w:t xml:space="preserve">. (January 2018) </w:t>
      </w:r>
      <w:r w:rsidRPr="00063D20">
        <w:rPr>
          <w:i/>
          <w:iCs/>
        </w:rPr>
        <w:t>Inquiry to improve mental health services</w:t>
      </w:r>
      <w:r w:rsidRPr="00063D20">
        <w:t>. Retrieved January 2023, from Beehive.govt: https://www.beehive.govt.nz/release/inquiry-improve-mental-health-services</w:t>
      </w:r>
      <w:bookmarkEnd w:id="14"/>
    </w:p>
  </w:footnote>
  <w:footnote w:id="6">
    <w:p w14:paraId="3B64424D" w14:textId="77777777" w:rsidR="00A26FD6" w:rsidRDefault="00A26FD6" w:rsidP="00A26FD6">
      <w:pPr>
        <w:pStyle w:val="FootnoteText"/>
      </w:pPr>
      <w:r w:rsidRPr="00063D20">
        <w:rPr>
          <w:rStyle w:val="FootnoteReference"/>
        </w:rPr>
        <w:footnoteRef/>
      </w:r>
      <w:r w:rsidRPr="00063D20">
        <w:t xml:space="preserve"> </w:t>
      </w:r>
      <w:r>
        <w:tab/>
      </w:r>
      <w:r w:rsidRPr="00063D20">
        <w:t>Reuter P. (2009). Ten years after the United Nations General Assembly Special Session (UNGASS): assessing drug problems, policies and reform proposals, Addiction, 104: 510–517.</w:t>
      </w:r>
    </w:p>
  </w:footnote>
  <w:footnote w:id="7">
    <w:p w14:paraId="1050623C" w14:textId="77777777" w:rsidR="00A26FD6" w:rsidRPr="00063D20" w:rsidRDefault="00A26FD6" w:rsidP="00A26FD6">
      <w:pPr>
        <w:pStyle w:val="FootnoteText"/>
      </w:pPr>
      <w:r w:rsidRPr="00063D20">
        <w:rPr>
          <w:rStyle w:val="FootnoteReference"/>
        </w:rPr>
        <w:footnoteRef/>
      </w:r>
      <w:r w:rsidRPr="00063D20">
        <w:t xml:space="preserve"> </w:t>
      </w:r>
      <w:r>
        <w:tab/>
      </w:r>
      <w:r w:rsidRPr="00063D20">
        <w:t xml:space="preserve">Roberts M, Bewley-Taylor D &amp; Trace M. (2006) </w:t>
      </w:r>
      <w:r w:rsidRPr="00063D20">
        <w:rPr>
          <w:i/>
          <w:iCs/>
        </w:rPr>
        <w:t>The Measurement of Drug-related Harm</w:t>
      </w:r>
      <w:r w:rsidRPr="00063D20">
        <w:t xml:space="preserve"> Retrieved January 2023, from the Beckley Foundation: https://www.beckleyfoundation.org/wp-content/uploads/2016/04/BF_Report_09.pdf</w:t>
      </w:r>
    </w:p>
  </w:footnote>
  <w:footnote w:id="8">
    <w:p w14:paraId="76D55E9A" w14:textId="77777777" w:rsidR="00A26FD6" w:rsidRPr="00063D20" w:rsidRDefault="00A26FD6" w:rsidP="00A26FD6">
      <w:pPr>
        <w:pStyle w:val="FootnoteText"/>
      </w:pPr>
      <w:r w:rsidRPr="00063D20">
        <w:rPr>
          <w:rStyle w:val="FootnoteReference"/>
        </w:rPr>
        <w:footnoteRef/>
      </w:r>
      <w:r w:rsidRPr="00063D20">
        <w:t xml:space="preserve"> </w:t>
      </w:r>
      <w:r>
        <w:tab/>
      </w:r>
      <w:r w:rsidRPr="00063D20">
        <w:t>McFadden Consultancy. 2016. Research Report: The New Zealand Drug Harm Index 2016 (2nd edn). Wellington: Ministry of Health.</w:t>
      </w:r>
    </w:p>
  </w:footnote>
  <w:footnote w:id="9">
    <w:p w14:paraId="729B2CBC" w14:textId="77777777" w:rsidR="00A26FD6" w:rsidRDefault="00A26FD6" w:rsidP="00A26FD6">
      <w:pPr>
        <w:pStyle w:val="FootnoteText"/>
      </w:pPr>
      <w:r w:rsidRPr="00063D20">
        <w:rPr>
          <w:rStyle w:val="FootnoteReference"/>
        </w:rPr>
        <w:footnoteRef/>
      </w:r>
      <w:r w:rsidRPr="00063D20">
        <w:t xml:space="preserve"> </w:t>
      </w:r>
      <w:r>
        <w:tab/>
      </w:r>
      <w:r w:rsidRPr="00063D20">
        <w:t>McFadden M, Bellamore L &amp; MacDonald B. (2021). The New Zealand Illicit Drug Harm Index 2020: Research report. Wellington: Ministry of Health</w:t>
      </w:r>
    </w:p>
  </w:footnote>
  <w:footnote w:id="10">
    <w:p w14:paraId="46100CA0" w14:textId="77777777" w:rsidR="00A26FD6" w:rsidRPr="00063D20" w:rsidRDefault="00A26FD6" w:rsidP="00A26FD6">
      <w:pPr>
        <w:pStyle w:val="FootnoteText"/>
        <w:rPr>
          <w:lang w:val="mi-NZ"/>
        </w:rPr>
      </w:pPr>
      <w:r w:rsidRPr="00063D20">
        <w:rPr>
          <w:rStyle w:val="FootnoteReference"/>
        </w:rPr>
        <w:footnoteRef/>
      </w:r>
      <w:r>
        <w:rPr>
          <w:lang w:val="mi-NZ"/>
        </w:rPr>
        <w:t xml:space="preserve"> </w:t>
      </w:r>
      <w:r>
        <w:rPr>
          <w:lang w:val="mi-NZ"/>
        </w:rPr>
        <w:tab/>
      </w:r>
      <w:r w:rsidRPr="00063D20">
        <w:rPr>
          <w:lang w:val="mi-NZ"/>
        </w:rPr>
        <w:t>Keywords searched: heroin (heroin, opium), fentanyl, cocaine, methamphetamine, GHB (GHB, fantasy, liquid ecstasy), MDMA (MDMA, ecstasy), Synthetic cannabinoid (synthetic cannabis, FUBINACA, Kronic), Drug toxicity (drug overdose, drug toxicity), Multi-drug (multi-drug, multi drug).</w:t>
      </w:r>
    </w:p>
  </w:footnote>
  <w:footnote w:id="11">
    <w:p w14:paraId="70C1385A" w14:textId="77777777" w:rsidR="00A26FD6" w:rsidRPr="00063D20" w:rsidRDefault="00A26FD6" w:rsidP="00A26FD6">
      <w:pPr>
        <w:pStyle w:val="FootnoteText"/>
      </w:pPr>
      <w:r w:rsidRPr="00063D20">
        <w:rPr>
          <w:rStyle w:val="FootnoteReference"/>
        </w:rPr>
        <w:footnoteRef/>
      </w:r>
      <w:r w:rsidRPr="00063D20">
        <w:t xml:space="preserve"> </w:t>
      </w:r>
      <w:bookmarkStart w:id="35" w:name="_Hlk147998883"/>
      <w:r>
        <w:tab/>
      </w:r>
      <w:r w:rsidRPr="00063D20">
        <w:t>Ministry of Justice, Coronial Services</w:t>
      </w:r>
      <w:r>
        <w:t>. (</w:t>
      </w:r>
      <w:r w:rsidRPr="00063D20">
        <w:t>2023</w:t>
      </w:r>
      <w:r>
        <w:t>)</w:t>
      </w:r>
      <w:bookmarkEnd w:id="35"/>
    </w:p>
  </w:footnote>
  <w:footnote w:id="12">
    <w:p w14:paraId="3F9BD9EB" w14:textId="77777777" w:rsidR="00A26FD6" w:rsidRPr="00063D20" w:rsidRDefault="00A26FD6" w:rsidP="00A26FD6">
      <w:pPr>
        <w:pStyle w:val="FootnoteText"/>
      </w:pPr>
      <w:r w:rsidRPr="00063D20">
        <w:rPr>
          <w:rStyle w:val="FootnoteReference"/>
        </w:rPr>
        <w:footnoteRef/>
      </w:r>
      <w:r w:rsidRPr="00063D20">
        <w:t xml:space="preserve"> </w:t>
      </w:r>
      <w:r>
        <w:tab/>
      </w:r>
      <w:r w:rsidRPr="00063D20">
        <w:t>Cases may still be under investigation by the coroner</w:t>
      </w:r>
    </w:p>
  </w:footnote>
  <w:footnote w:id="13">
    <w:p w14:paraId="5903E4B6" w14:textId="77777777" w:rsidR="00A26FD6" w:rsidRDefault="00A26FD6" w:rsidP="00A26FD6">
      <w:pPr>
        <w:pStyle w:val="FootnoteText"/>
      </w:pPr>
      <w:r w:rsidRPr="00063D20">
        <w:rPr>
          <w:rStyle w:val="FootnoteReference"/>
        </w:rPr>
        <w:footnoteRef/>
      </w:r>
      <w:r w:rsidRPr="00063D20">
        <w:t xml:space="preserve"> </w:t>
      </w:r>
      <w:r>
        <w:tab/>
        <w:t xml:space="preserve">Ministry of Transport (2022) Social cost of road crashes and injuries. </w:t>
      </w:r>
      <w:r w:rsidRPr="00063D20">
        <w:t>https://www.transport.govt.nz/assets/Uploads/Social-Cost-of-Road-Crashes-and-Injuries-2021.pdf</w:t>
      </w:r>
    </w:p>
  </w:footnote>
  <w:footnote w:id="14">
    <w:p w14:paraId="4DA3E575" w14:textId="77777777" w:rsidR="00A26FD6" w:rsidRPr="00E1226E" w:rsidRDefault="00A26FD6" w:rsidP="00A26FD6">
      <w:pPr>
        <w:pStyle w:val="FootnoteText"/>
        <w:rPr>
          <w:b/>
          <w:bCs/>
        </w:rPr>
      </w:pPr>
      <w:r>
        <w:rPr>
          <w:rStyle w:val="FootnoteReference"/>
        </w:rPr>
        <w:footnoteRef/>
      </w:r>
      <w:r>
        <w:t xml:space="preserve"> </w:t>
      </w:r>
      <w:r w:rsidRPr="008533AA">
        <w:t xml:space="preserve"> </w:t>
      </w:r>
      <w:r w:rsidRPr="004F6FD9">
        <w:t xml:space="preserve">Statistics New Zealand (2021, June 30). </w:t>
      </w:r>
      <w:r w:rsidRPr="004F6FD9">
        <w:rPr>
          <w:i/>
          <w:iCs/>
        </w:rPr>
        <w:t xml:space="preserve">National population estimates: At 30 June 2021. </w:t>
      </w:r>
      <w:r w:rsidRPr="004F6FD9">
        <w:t>Retrieved 8 March 2023, from Statistics New Zealand: https://www.stats.govt.nz/information-releases/national-population-estimates-at-30-june-2021</w:t>
      </w:r>
    </w:p>
  </w:footnote>
  <w:footnote w:id="15">
    <w:p w14:paraId="23A6A69A" w14:textId="77777777" w:rsidR="00A26FD6" w:rsidRDefault="00A26FD6" w:rsidP="00A26FD6">
      <w:pPr>
        <w:pStyle w:val="FootnoteText"/>
      </w:pPr>
      <w:r>
        <w:rPr>
          <w:rStyle w:val="FootnoteReference"/>
        </w:rPr>
        <w:footnoteRef/>
      </w:r>
      <w:r>
        <w:t xml:space="preserve"> </w:t>
      </w:r>
      <w:r>
        <w:tab/>
      </w:r>
      <w:r w:rsidRPr="004F6FD9">
        <w:t xml:space="preserve">New Zealand Police (2023) </w:t>
      </w:r>
      <w:r w:rsidRPr="0066654B">
        <w:rPr>
          <w:i/>
          <w:iCs/>
        </w:rPr>
        <w:t>Victimisations time and place.</w:t>
      </w:r>
      <w:r w:rsidRPr="004F6FD9">
        <w:t xml:space="preserve"> Retrieved April 2023 from https://www.police.govt.nz/about-us/publications-statistics/data-and-statistics/policedatanz/victimisation-time-and-place</w:t>
      </w:r>
    </w:p>
  </w:footnote>
  <w:footnote w:id="16">
    <w:p w14:paraId="4B522767" w14:textId="77777777" w:rsidR="00A26FD6" w:rsidRDefault="00A26FD6" w:rsidP="00A26FD6">
      <w:pPr>
        <w:pStyle w:val="FootnoteText"/>
      </w:pPr>
      <w:r>
        <w:rPr>
          <w:rStyle w:val="FootnoteReference"/>
        </w:rPr>
        <w:footnoteRef/>
      </w:r>
      <w:r>
        <w:t xml:space="preserve"> </w:t>
      </w:r>
      <w:r>
        <w:tab/>
      </w:r>
      <w:r w:rsidRPr="004F6FD9">
        <w:t xml:space="preserve">New Zealand Police (2023) </w:t>
      </w:r>
      <w:r w:rsidRPr="0066654B">
        <w:rPr>
          <w:i/>
          <w:iCs/>
        </w:rPr>
        <w:t>Victimisations time and place</w:t>
      </w:r>
      <w:r w:rsidRPr="004F6FD9">
        <w:t>. Retrieved April 2023 from https://www.police.govt.nz/about-us/publications-statistics/data-and-statistics/policedatanz/victimisation-time-and-place</w:t>
      </w:r>
    </w:p>
  </w:footnote>
  <w:footnote w:id="17">
    <w:p w14:paraId="29BE82DF" w14:textId="77777777" w:rsidR="00A26FD6" w:rsidRDefault="00A26FD6" w:rsidP="00A26FD6">
      <w:pPr>
        <w:pStyle w:val="FootnoteText"/>
      </w:pPr>
    </w:p>
  </w:footnote>
  <w:footnote w:id="18">
    <w:p w14:paraId="0CAF606F" w14:textId="77777777" w:rsidR="00A26FD6" w:rsidRPr="008214AF" w:rsidRDefault="00A26FD6" w:rsidP="00A26FD6">
      <w:pPr>
        <w:pStyle w:val="FootnoteText"/>
      </w:pPr>
      <w:r w:rsidRPr="008214AF">
        <w:rPr>
          <w:rStyle w:val="FootnoteReference"/>
        </w:rPr>
        <w:footnoteRef/>
      </w:r>
      <w:r w:rsidRPr="008214AF">
        <w:t xml:space="preserve"> </w:t>
      </w:r>
      <w:r>
        <w:tab/>
      </w:r>
      <w:r w:rsidRPr="008214AF">
        <w:t xml:space="preserve">McDowell J &amp; Novis G (2001). </w:t>
      </w:r>
      <w:r w:rsidRPr="008214AF">
        <w:rPr>
          <w:i/>
        </w:rPr>
        <w:t>The Consequences of Money Laundering and Financial Crime</w:t>
      </w:r>
      <w:r w:rsidRPr="008214AF">
        <w:t>, Bureau of International Narcotics and Law Enforcement Affairs, US Department of State.</w:t>
      </w:r>
    </w:p>
    <w:p w14:paraId="3F133760" w14:textId="77777777" w:rsidR="00A26FD6" w:rsidRDefault="00A26FD6" w:rsidP="00A26F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9B62" w14:textId="77777777" w:rsidR="00A26FD6" w:rsidRDefault="00A26FD6" w:rsidP="00533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04D2" w14:textId="77777777" w:rsidR="00A26FD6" w:rsidRPr="00F35E01" w:rsidRDefault="00A26FD6" w:rsidP="00F35E01">
    <w:pPr>
      <w:pStyle w:val="Header"/>
    </w:pPr>
    <w:r w:rsidRPr="00F35E01">
      <w:t>New Zealand Illicit Drug Harm Index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0354F9CA"/>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B3D80C38"/>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A7B3D23"/>
    <w:multiLevelType w:val="hybridMultilevel"/>
    <w:tmpl w:val="4F12FD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CA71F78"/>
    <w:multiLevelType w:val="hybridMultilevel"/>
    <w:tmpl w:val="CA989E8E"/>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57F6FED8"/>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A37EB4"/>
    <w:multiLevelType w:val="hybridMultilevel"/>
    <w:tmpl w:val="1D76C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C1218D3"/>
    <w:multiLevelType w:val="singleLevel"/>
    <w:tmpl w:val="1AFEC712"/>
    <w:lvl w:ilvl="0">
      <w:start w:val="1"/>
      <w:numFmt w:val="bullet"/>
      <w:pStyle w:val="Bullet"/>
      <w:lvlText w:val=""/>
      <w:lvlJc w:val="left"/>
      <w:pPr>
        <w:tabs>
          <w:tab w:val="num" w:pos="284"/>
        </w:tabs>
        <w:ind w:left="284" w:hanging="284"/>
      </w:pPr>
      <w:rPr>
        <w:rFonts w:ascii="Symbol" w:hAnsi="Symbol" w:hint="default"/>
        <w:sz w:val="18"/>
      </w:rPr>
    </w:lvl>
  </w:abstractNum>
  <w:num w:numId="1" w16cid:durableId="429084534">
    <w:abstractNumId w:val="5"/>
  </w:num>
  <w:num w:numId="2" w16cid:durableId="1621260920">
    <w:abstractNumId w:val="6"/>
  </w:num>
  <w:num w:numId="3" w16cid:durableId="1554655099">
    <w:abstractNumId w:val="3"/>
  </w:num>
  <w:num w:numId="4" w16cid:durableId="400635209">
    <w:abstractNumId w:val="0"/>
  </w:num>
  <w:num w:numId="5" w16cid:durableId="681130339">
    <w:abstractNumId w:val="1"/>
  </w:num>
  <w:num w:numId="6" w16cid:durableId="34428988">
    <w:abstractNumId w:val="4"/>
  </w:num>
  <w:num w:numId="7" w16cid:durableId="49526960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860"/>
    <w:rsid w:val="00005BB5"/>
    <w:rsid w:val="0001067E"/>
    <w:rsid w:val="00017297"/>
    <w:rsid w:val="00017AF0"/>
    <w:rsid w:val="00025A6F"/>
    <w:rsid w:val="0002618D"/>
    <w:rsid w:val="0003000D"/>
    <w:rsid w:val="00030B26"/>
    <w:rsid w:val="00030B9F"/>
    <w:rsid w:val="00030E84"/>
    <w:rsid w:val="000320CC"/>
    <w:rsid w:val="00032C0A"/>
    <w:rsid w:val="00035257"/>
    <w:rsid w:val="00035D68"/>
    <w:rsid w:val="00036027"/>
    <w:rsid w:val="0003678B"/>
    <w:rsid w:val="00040A21"/>
    <w:rsid w:val="000419A9"/>
    <w:rsid w:val="00041E5A"/>
    <w:rsid w:val="000441F1"/>
    <w:rsid w:val="00044DF0"/>
    <w:rsid w:val="00045613"/>
    <w:rsid w:val="00047899"/>
    <w:rsid w:val="00053921"/>
    <w:rsid w:val="00054B44"/>
    <w:rsid w:val="00057568"/>
    <w:rsid w:val="0006006B"/>
    <w:rsid w:val="00061AC6"/>
    <w:rsid w:val="000620D5"/>
    <w:rsid w:val="0006228D"/>
    <w:rsid w:val="00062940"/>
    <w:rsid w:val="00063D20"/>
    <w:rsid w:val="000640CB"/>
    <w:rsid w:val="000656DA"/>
    <w:rsid w:val="0006583C"/>
    <w:rsid w:val="00071195"/>
    <w:rsid w:val="00072BD6"/>
    <w:rsid w:val="0007453C"/>
    <w:rsid w:val="00075B78"/>
    <w:rsid w:val="000762CA"/>
    <w:rsid w:val="000763E9"/>
    <w:rsid w:val="000777A9"/>
    <w:rsid w:val="00080D18"/>
    <w:rsid w:val="00082CD6"/>
    <w:rsid w:val="000837B8"/>
    <w:rsid w:val="0008437D"/>
    <w:rsid w:val="00085AFE"/>
    <w:rsid w:val="0009383C"/>
    <w:rsid w:val="000939EE"/>
    <w:rsid w:val="00094664"/>
    <w:rsid w:val="00094800"/>
    <w:rsid w:val="0009487A"/>
    <w:rsid w:val="0009588A"/>
    <w:rsid w:val="000A0158"/>
    <w:rsid w:val="000A0BC9"/>
    <w:rsid w:val="000A1E14"/>
    <w:rsid w:val="000A373D"/>
    <w:rsid w:val="000A384E"/>
    <w:rsid w:val="000A41ED"/>
    <w:rsid w:val="000A4310"/>
    <w:rsid w:val="000A52C0"/>
    <w:rsid w:val="000B0730"/>
    <w:rsid w:val="000B2B6A"/>
    <w:rsid w:val="000B4CD7"/>
    <w:rsid w:val="000B5242"/>
    <w:rsid w:val="000C16EE"/>
    <w:rsid w:val="000C3C23"/>
    <w:rsid w:val="000C4152"/>
    <w:rsid w:val="000C57F4"/>
    <w:rsid w:val="000C7C89"/>
    <w:rsid w:val="000D0FA9"/>
    <w:rsid w:val="000D16F3"/>
    <w:rsid w:val="000D19F4"/>
    <w:rsid w:val="000D4A2D"/>
    <w:rsid w:val="000D58DD"/>
    <w:rsid w:val="000E334E"/>
    <w:rsid w:val="000E424A"/>
    <w:rsid w:val="000F17F4"/>
    <w:rsid w:val="000F1A6D"/>
    <w:rsid w:val="000F1F42"/>
    <w:rsid w:val="000F2AE2"/>
    <w:rsid w:val="000F2BFF"/>
    <w:rsid w:val="000F7F78"/>
    <w:rsid w:val="00102063"/>
    <w:rsid w:val="001033E8"/>
    <w:rsid w:val="00103543"/>
    <w:rsid w:val="00103C6A"/>
    <w:rsid w:val="00104205"/>
    <w:rsid w:val="00104709"/>
    <w:rsid w:val="0010541C"/>
    <w:rsid w:val="00105770"/>
    <w:rsid w:val="00106F93"/>
    <w:rsid w:val="00111D50"/>
    <w:rsid w:val="00112927"/>
    <w:rsid w:val="00113B8E"/>
    <w:rsid w:val="00117F59"/>
    <w:rsid w:val="0012053C"/>
    <w:rsid w:val="00120B74"/>
    <w:rsid w:val="00122363"/>
    <w:rsid w:val="00125D45"/>
    <w:rsid w:val="001340DD"/>
    <w:rsid w:val="001342C7"/>
    <w:rsid w:val="00134508"/>
    <w:rsid w:val="0013585C"/>
    <w:rsid w:val="00141372"/>
    <w:rsid w:val="00142018"/>
    <w:rsid w:val="00142261"/>
    <w:rsid w:val="00142954"/>
    <w:rsid w:val="001460E0"/>
    <w:rsid w:val="001472F0"/>
    <w:rsid w:val="00147F71"/>
    <w:rsid w:val="00150A6E"/>
    <w:rsid w:val="00152480"/>
    <w:rsid w:val="001525B1"/>
    <w:rsid w:val="00153A0A"/>
    <w:rsid w:val="00153EEC"/>
    <w:rsid w:val="00155CCC"/>
    <w:rsid w:val="0016000D"/>
    <w:rsid w:val="0016304B"/>
    <w:rsid w:val="0016318F"/>
    <w:rsid w:val="0016468A"/>
    <w:rsid w:val="0017070E"/>
    <w:rsid w:val="00174F02"/>
    <w:rsid w:val="00182A07"/>
    <w:rsid w:val="0018376C"/>
    <w:rsid w:val="001839D2"/>
    <w:rsid w:val="0018662D"/>
    <w:rsid w:val="00193744"/>
    <w:rsid w:val="00193A04"/>
    <w:rsid w:val="00195D7A"/>
    <w:rsid w:val="00197427"/>
    <w:rsid w:val="001A11A4"/>
    <w:rsid w:val="001A21B4"/>
    <w:rsid w:val="001A5CF5"/>
    <w:rsid w:val="001B39D2"/>
    <w:rsid w:val="001B4BF8"/>
    <w:rsid w:val="001B64F7"/>
    <w:rsid w:val="001B77C5"/>
    <w:rsid w:val="001B7B14"/>
    <w:rsid w:val="001B7E58"/>
    <w:rsid w:val="001C212F"/>
    <w:rsid w:val="001C4326"/>
    <w:rsid w:val="001C665E"/>
    <w:rsid w:val="001C6869"/>
    <w:rsid w:val="001D3541"/>
    <w:rsid w:val="001D3E4E"/>
    <w:rsid w:val="001E254A"/>
    <w:rsid w:val="001E2771"/>
    <w:rsid w:val="001E4B05"/>
    <w:rsid w:val="001E51B3"/>
    <w:rsid w:val="001E5B40"/>
    <w:rsid w:val="001E7386"/>
    <w:rsid w:val="001F3983"/>
    <w:rsid w:val="001F45A7"/>
    <w:rsid w:val="001F5E27"/>
    <w:rsid w:val="0020027C"/>
    <w:rsid w:val="00201A01"/>
    <w:rsid w:val="00205E48"/>
    <w:rsid w:val="0020754B"/>
    <w:rsid w:val="002104D3"/>
    <w:rsid w:val="00213240"/>
    <w:rsid w:val="00213A33"/>
    <w:rsid w:val="00215FB9"/>
    <w:rsid w:val="0021763B"/>
    <w:rsid w:val="0022294F"/>
    <w:rsid w:val="002256B3"/>
    <w:rsid w:val="002256CB"/>
    <w:rsid w:val="00230286"/>
    <w:rsid w:val="00232AFB"/>
    <w:rsid w:val="00232E5E"/>
    <w:rsid w:val="00232E9F"/>
    <w:rsid w:val="002343B1"/>
    <w:rsid w:val="002345AF"/>
    <w:rsid w:val="0023604E"/>
    <w:rsid w:val="0023671B"/>
    <w:rsid w:val="0024142E"/>
    <w:rsid w:val="00243445"/>
    <w:rsid w:val="00243F30"/>
    <w:rsid w:val="00245748"/>
    <w:rsid w:val="00246DB1"/>
    <w:rsid w:val="002476B5"/>
    <w:rsid w:val="002520CC"/>
    <w:rsid w:val="00252362"/>
    <w:rsid w:val="00253ECF"/>
    <w:rsid w:val="00254044"/>
    <w:rsid w:val="002546A1"/>
    <w:rsid w:val="0025502A"/>
    <w:rsid w:val="0025531A"/>
    <w:rsid w:val="002559DD"/>
    <w:rsid w:val="00256686"/>
    <w:rsid w:val="002575E8"/>
    <w:rsid w:val="00257B0E"/>
    <w:rsid w:val="00257EF1"/>
    <w:rsid w:val="002624E8"/>
    <w:rsid w:val="002628F4"/>
    <w:rsid w:val="00265680"/>
    <w:rsid w:val="00266588"/>
    <w:rsid w:val="0027566E"/>
    <w:rsid w:val="00275D08"/>
    <w:rsid w:val="002767EF"/>
    <w:rsid w:val="002839AF"/>
    <w:rsid w:val="002858E3"/>
    <w:rsid w:val="00285A11"/>
    <w:rsid w:val="00286B69"/>
    <w:rsid w:val="0029000D"/>
    <w:rsid w:val="0029190A"/>
    <w:rsid w:val="00292C5A"/>
    <w:rsid w:val="00292E35"/>
    <w:rsid w:val="00292E4E"/>
    <w:rsid w:val="00295241"/>
    <w:rsid w:val="002A0133"/>
    <w:rsid w:val="002A4DFC"/>
    <w:rsid w:val="002A6D12"/>
    <w:rsid w:val="002B047D"/>
    <w:rsid w:val="002B2871"/>
    <w:rsid w:val="002B7016"/>
    <w:rsid w:val="002B732B"/>
    <w:rsid w:val="002B76A7"/>
    <w:rsid w:val="002B7BEC"/>
    <w:rsid w:val="002B7E21"/>
    <w:rsid w:val="002C2219"/>
    <w:rsid w:val="002C2552"/>
    <w:rsid w:val="002C380A"/>
    <w:rsid w:val="002D0DF2"/>
    <w:rsid w:val="002D23BD"/>
    <w:rsid w:val="002D393B"/>
    <w:rsid w:val="002D6624"/>
    <w:rsid w:val="002E0B47"/>
    <w:rsid w:val="002E2E2D"/>
    <w:rsid w:val="002E501D"/>
    <w:rsid w:val="002E570D"/>
    <w:rsid w:val="002F3A0D"/>
    <w:rsid w:val="002F4685"/>
    <w:rsid w:val="002F7213"/>
    <w:rsid w:val="002F78E4"/>
    <w:rsid w:val="0030310B"/>
    <w:rsid w:val="0030382F"/>
    <w:rsid w:val="0030408D"/>
    <w:rsid w:val="00305E02"/>
    <w:rsid w:val="003060E4"/>
    <w:rsid w:val="00310074"/>
    <w:rsid w:val="00313F40"/>
    <w:rsid w:val="00314323"/>
    <w:rsid w:val="003160E7"/>
    <w:rsid w:val="0031739E"/>
    <w:rsid w:val="00317DA3"/>
    <w:rsid w:val="003201D1"/>
    <w:rsid w:val="0032128D"/>
    <w:rsid w:val="003212F4"/>
    <w:rsid w:val="00321381"/>
    <w:rsid w:val="003235C6"/>
    <w:rsid w:val="003256B7"/>
    <w:rsid w:val="003309CA"/>
    <w:rsid w:val="00331E4A"/>
    <w:rsid w:val="003325AB"/>
    <w:rsid w:val="003332D1"/>
    <w:rsid w:val="0033412B"/>
    <w:rsid w:val="00334161"/>
    <w:rsid w:val="0033448B"/>
    <w:rsid w:val="003352CE"/>
    <w:rsid w:val="00337CC1"/>
    <w:rsid w:val="00341161"/>
    <w:rsid w:val="0034289D"/>
    <w:rsid w:val="00342B29"/>
    <w:rsid w:val="00342C14"/>
    <w:rsid w:val="00343365"/>
    <w:rsid w:val="003445F4"/>
    <w:rsid w:val="00344F22"/>
    <w:rsid w:val="00346E07"/>
    <w:rsid w:val="003518FD"/>
    <w:rsid w:val="00353501"/>
    <w:rsid w:val="00353734"/>
    <w:rsid w:val="003538D4"/>
    <w:rsid w:val="00357F47"/>
    <w:rsid w:val="003606F8"/>
    <w:rsid w:val="0036224D"/>
    <w:rsid w:val="00362CA4"/>
    <w:rsid w:val="003648EF"/>
    <w:rsid w:val="003663BE"/>
    <w:rsid w:val="00366CAA"/>
    <w:rsid w:val="003673E6"/>
    <w:rsid w:val="00372367"/>
    <w:rsid w:val="00376FAD"/>
    <w:rsid w:val="00377264"/>
    <w:rsid w:val="003779D2"/>
    <w:rsid w:val="00381A13"/>
    <w:rsid w:val="0038262F"/>
    <w:rsid w:val="00382C4A"/>
    <w:rsid w:val="0038589A"/>
    <w:rsid w:val="00385E38"/>
    <w:rsid w:val="00386594"/>
    <w:rsid w:val="003972E3"/>
    <w:rsid w:val="003A26A5"/>
    <w:rsid w:val="003A3649"/>
    <w:rsid w:val="003A3761"/>
    <w:rsid w:val="003A512D"/>
    <w:rsid w:val="003A5A32"/>
    <w:rsid w:val="003A5FEA"/>
    <w:rsid w:val="003A710B"/>
    <w:rsid w:val="003B0CF4"/>
    <w:rsid w:val="003B0E75"/>
    <w:rsid w:val="003B1D10"/>
    <w:rsid w:val="003B241F"/>
    <w:rsid w:val="003B4ABC"/>
    <w:rsid w:val="003B6162"/>
    <w:rsid w:val="003C154A"/>
    <w:rsid w:val="003C310C"/>
    <w:rsid w:val="003C3DDF"/>
    <w:rsid w:val="003C4CD7"/>
    <w:rsid w:val="003C4D62"/>
    <w:rsid w:val="003C58D6"/>
    <w:rsid w:val="003C71DA"/>
    <w:rsid w:val="003C76D4"/>
    <w:rsid w:val="003D1182"/>
    <w:rsid w:val="003D137D"/>
    <w:rsid w:val="003D2CC5"/>
    <w:rsid w:val="003D3E5C"/>
    <w:rsid w:val="003D41FD"/>
    <w:rsid w:val="003D4CAA"/>
    <w:rsid w:val="003D52A9"/>
    <w:rsid w:val="003E04C1"/>
    <w:rsid w:val="003E0887"/>
    <w:rsid w:val="003E1DD7"/>
    <w:rsid w:val="003E5D61"/>
    <w:rsid w:val="003E665A"/>
    <w:rsid w:val="003E74C8"/>
    <w:rsid w:val="003E74E2"/>
    <w:rsid w:val="003E7C46"/>
    <w:rsid w:val="003F09BD"/>
    <w:rsid w:val="003F0E17"/>
    <w:rsid w:val="003F2106"/>
    <w:rsid w:val="003F428C"/>
    <w:rsid w:val="003F52A7"/>
    <w:rsid w:val="003F7013"/>
    <w:rsid w:val="003F7F6A"/>
    <w:rsid w:val="00400207"/>
    <w:rsid w:val="0040240C"/>
    <w:rsid w:val="00402CD0"/>
    <w:rsid w:val="0040313E"/>
    <w:rsid w:val="00404A6C"/>
    <w:rsid w:val="00412AA9"/>
    <w:rsid w:val="00413021"/>
    <w:rsid w:val="00414C35"/>
    <w:rsid w:val="0041692A"/>
    <w:rsid w:val="004171B7"/>
    <w:rsid w:val="00420A1E"/>
    <w:rsid w:val="00423DB1"/>
    <w:rsid w:val="00426401"/>
    <w:rsid w:val="00426EC0"/>
    <w:rsid w:val="004301C6"/>
    <w:rsid w:val="0043478F"/>
    <w:rsid w:val="0043602B"/>
    <w:rsid w:val="004367D2"/>
    <w:rsid w:val="00440BE0"/>
    <w:rsid w:val="00442A06"/>
    <w:rsid w:val="00442C1C"/>
    <w:rsid w:val="004439C9"/>
    <w:rsid w:val="00443C91"/>
    <w:rsid w:val="004449CA"/>
    <w:rsid w:val="00445445"/>
    <w:rsid w:val="0044584B"/>
    <w:rsid w:val="0044675A"/>
    <w:rsid w:val="00447CB7"/>
    <w:rsid w:val="004553AA"/>
    <w:rsid w:val="00455CC9"/>
    <w:rsid w:val="00457AC7"/>
    <w:rsid w:val="00460826"/>
    <w:rsid w:val="00460B1E"/>
    <w:rsid w:val="00460EA7"/>
    <w:rsid w:val="0046195B"/>
    <w:rsid w:val="00461CB5"/>
    <w:rsid w:val="00462B06"/>
    <w:rsid w:val="0046362D"/>
    <w:rsid w:val="004653D2"/>
    <w:rsid w:val="0046596D"/>
    <w:rsid w:val="004667AE"/>
    <w:rsid w:val="00471D43"/>
    <w:rsid w:val="00475A1B"/>
    <w:rsid w:val="00476B21"/>
    <w:rsid w:val="00484437"/>
    <w:rsid w:val="004852AB"/>
    <w:rsid w:val="004877D3"/>
    <w:rsid w:val="00487C04"/>
    <w:rsid w:val="0049029F"/>
    <w:rsid w:val="004907E1"/>
    <w:rsid w:val="00492716"/>
    <w:rsid w:val="0049275A"/>
    <w:rsid w:val="00494C8E"/>
    <w:rsid w:val="00497DAD"/>
    <w:rsid w:val="004A035B"/>
    <w:rsid w:val="004A0DBE"/>
    <w:rsid w:val="004A1196"/>
    <w:rsid w:val="004A2108"/>
    <w:rsid w:val="004A21EA"/>
    <w:rsid w:val="004A38D7"/>
    <w:rsid w:val="004A44AE"/>
    <w:rsid w:val="004A778C"/>
    <w:rsid w:val="004B14DD"/>
    <w:rsid w:val="004B292B"/>
    <w:rsid w:val="004B2E4E"/>
    <w:rsid w:val="004B48C7"/>
    <w:rsid w:val="004B4CE1"/>
    <w:rsid w:val="004B4D6C"/>
    <w:rsid w:val="004C2E6A"/>
    <w:rsid w:val="004C3E32"/>
    <w:rsid w:val="004C64B8"/>
    <w:rsid w:val="004D1490"/>
    <w:rsid w:val="004D2A2D"/>
    <w:rsid w:val="004D479F"/>
    <w:rsid w:val="004D5DDD"/>
    <w:rsid w:val="004D6689"/>
    <w:rsid w:val="004E1D1D"/>
    <w:rsid w:val="004E296C"/>
    <w:rsid w:val="004E3C01"/>
    <w:rsid w:val="004E4285"/>
    <w:rsid w:val="004E5155"/>
    <w:rsid w:val="004E7AC8"/>
    <w:rsid w:val="004F0234"/>
    <w:rsid w:val="004F05F4"/>
    <w:rsid w:val="004F0C94"/>
    <w:rsid w:val="004F20D4"/>
    <w:rsid w:val="004F4E9A"/>
    <w:rsid w:val="004F5ED3"/>
    <w:rsid w:val="004F68BD"/>
    <w:rsid w:val="004F6F95"/>
    <w:rsid w:val="004F6FD9"/>
    <w:rsid w:val="004F7F1C"/>
    <w:rsid w:val="005006B1"/>
    <w:rsid w:val="00501543"/>
    <w:rsid w:val="005019AE"/>
    <w:rsid w:val="00503749"/>
    <w:rsid w:val="00503D59"/>
    <w:rsid w:val="00504CBA"/>
    <w:rsid w:val="00504CF4"/>
    <w:rsid w:val="00504D54"/>
    <w:rsid w:val="00505459"/>
    <w:rsid w:val="0050635B"/>
    <w:rsid w:val="005075B3"/>
    <w:rsid w:val="00507673"/>
    <w:rsid w:val="00507BC3"/>
    <w:rsid w:val="00507D29"/>
    <w:rsid w:val="005151C2"/>
    <w:rsid w:val="00516312"/>
    <w:rsid w:val="00521F41"/>
    <w:rsid w:val="0052293D"/>
    <w:rsid w:val="00524863"/>
    <w:rsid w:val="005275E8"/>
    <w:rsid w:val="00530332"/>
    <w:rsid w:val="005309FE"/>
    <w:rsid w:val="0053199F"/>
    <w:rsid w:val="00531E12"/>
    <w:rsid w:val="00533B90"/>
    <w:rsid w:val="00537348"/>
    <w:rsid w:val="005410F8"/>
    <w:rsid w:val="005421CA"/>
    <w:rsid w:val="00543A3D"/>
    <w:rsid w:val="005448EC"/>
    <w:rsid w:val="005451E1"/>
    <w:rsid w:val="00545963"/>
    <w:rsid w:val="005464D2"/>
    <w:rsid w:val="00550256"/>
    <w:rsid w:val="00553154"/>
    <w:rsid w:val="00553165"/>
    <w:rsid w:val="00553958"/>
    <w:rsid w:val="005559E9"/>
    <w:rsid w:val="00556840"/>
    <w:rsid w:val="00556BB7"/>
    <w:rsid w:val="0055763D"/>
    <w:rsid w:val="00561516"/>
    <w:rsid w:val="00561BC1"/>
    <w:rsid w:val="005621F2"/>
    <w:rsid w:val="005655EB"/>
    <w:rsid w:val="00567B58"/>
    <w:rsid w:val="00570DA7"/>
    <w:rsid w:val="00571223"/>
    <w:rsid w:val="00573118"/>
    <w:rsid w:val="00573254"/>
    <w:rsid w:val="0057335E"/>
    <w:rsid w:val="005763E0"/>
    <w:rsid w:val="00576FFB"/>
    <w:rsid w:val="005804E5"/>
    <w:rsid w:val="00581136"/>
    <w:rsid w:val="00581EB8"/>
    <w:rsid w:val="005839E7"/>
    <w:rsid w:val="0058437F"/>
    <w:rsid w:val="005868E3"/>
    <w:rsid w:val="00592350"/>
    <w:rsid w:val="005A266F"/>
    <w:rsid w:val="005A27CA"/>
    <w:rsid w:val="005A3AC3"/>
    <w:rsid w:val="005A43BD"/>
    <w:rsid w:val="005A79E5"/>
    <w:rsid w:val="005A7D07"/>
    <w:rsid w:val="005C16B2"/>
    <w:rsid w:val="005C3119"/>
    <w:rsid w:val="005C3FAA"/>
    <w:rsid w:val="005D034C"/>
    <w:rsid w:val="005D4EF9"/>
    <w:rsid w:val="005D68A2"/>
    <w:rsid w:val="005D79B0"/>
    <w:rsid w:val="005E0073"/>
    <w:rsid w:val="005E226E"/>
    <w:rsid w:val="005E2636"/>
    <w:rsid w:val="005E3D2A"/>
    <w:rsid w:val="005E6473"/>
    <w:rsid w:val="005F0303"/>
    <w:rsid w:val="005F4A76"/>
    <w:rsid w:val="005F7758"/>
    <w:rsid w:val="006015D7"/>
    <w:rsid w:val="00601B21"/>
    <w:rsid w:val="006041F0"/>
    <w:rsid w:val="00605C6D"/>
    <w:rsid w:val="00606D8F"/>
    <w:rsid w:val="006120CA"/>
    <w:rsid w:val="0061443A"/>
    <w:rsid w:val="00617C9D"/>
    <w:rsid w:val="00617DED"/>
    <w:rsid w:val="00621EFE"/>
    <w:rsid w:val="00622286"/>
    <w:rsid w:val="00624174"/>
    <w:rsid w:val="006253AD"/>
    <w:rsid w:val="0062563B"/>
    <w:rsid w:val="00626CF8"/>
    <w:rsid w:val="006314AF"/>
    <w:rsid w:val="0063362E"/>
    <w:rsid w:val="00634003"/>
    <w:rsid w:val="00634ED8"/>
    <w:rsid w:val="00636470"/>
    <w:rsid w:val="00636D7D"/>
    <w:rsid w:val="00636E96"/>
    <w:rsid w:val="00637408"/>
    <w:rsid w:val="00640923"/>
    <w:rsid w:val="00641952"/>
    <w:rsid w:val="00642868"/>
    <w:rsid w:val="00647AFE"/>
    <w:rsid w:val="00650417"/>
    <w:rsid w:val="006512BC"/>
    <w:rsid w:val="00653A5A"/>
    <w:rsid w:val="006554AC"/>
    <w:rsid w:val="00656F28"/>
    <w:rsid w:val="006575F4"/>
    <w:rsid w:val="006579E6"/>
    <w:rsid w:val="00660682"/>
    <w:rsid w:val="00660F74"/>
    <w:rsid w:val="00663EDC"/>
    <w:rsid w:val="0066654B"/>
    <w:rsid w:val="00670045"/>
    <w:rsid w:val="00671078"/>
    <w:rsid w:val="006758CA"/>
    <w:rsid w:val="00676599"/>
    <w:rsid w:val="00680A04"/>
    <w:rsid w:val="0068274B"/>
    <w:rsid w:val="00684461"/>
    <w:rsid w:val="00684EA6"/>
    <w:rsid w:val="006850E5"/>
    <w:rsid w:val="00686D80"/>
    <w:rsid w:val="00692056"/>
    <w:rsid w:val="006932B0"/>
    <w:rsid w:val="006938EA"/>
    <w:rsid w:val="00694542"/>
    <w:rsid w:val="00694895"/>
    <w:rsid w:val="00697BA8"/>
    <w:rsid w:val="00697E2E"/>
    <w:rsid w:val="006A1B57"/>
    <w:rsid w:val="006A21A1"/>
    <w:rsid w:val="006A25A2"/>
    <w:rsid w:val="006A3B87"/>
    <w:rsid w:val="006A5B87"/>
    <w:rsid w:val="006A5FE1"/>
    <w:rsid w:val="006A6D00"/>
    <w:rsid w:val="006A7871"/>
    <w:rsid w:val="006B0A88"/>
    <w:rsid w:val="006B0E73"/>
    <w:rsid w:val="006B1E3D"/>
    <w:rsid w:val="006B4468"/>
    <w:rsid w:val="006B4A4D"/>
    <w:rsid w:val="006B5185"/>
    <w:rsid w:val="006B5695"/>
    <w:rsid w:val="006B60A4"/>
    <w:rsid w:val="006B62E6"/>
    <w:rsid w:val="006B6F64"/>
    <w:rsid w:val="006B7B2E"/>
    <w:rsid w:val="006C1FFD"/>
    <w:rsid w:val="006C6BA9"/>
    <w:rsid w:val="006C78EB"/>
    <w:rsid w:val="006C798F"/>
    <w:rsid w:val="006D1660"/>
    <w:rsid w:val="006D63E5"/>
    <w:rsid w:val="006D72C6"/>
    <w:rsid w:val="006D78E4"/>
    <w:rsid w:val="006D7F92"/>
    <w:rsid w:val="006E01D9"/>
    <w:rsid w:val="006E1753"/>
    <w:rsid w:val="006E276B"/>
    <w:rsid w:val="006E2886"/>
    <w:rsid w:val="006E3911"/>
    <w:rsid w:val="006E69F4"/>
    <w:rsid w:val="006E6DBA"/>
    <w:rsid w:val="006E6F3C"/>
    <w:rsid w:val="006F0D93"/>
    <w:rsid w:val="006F1B67"/>
    <w:rsid w:val="006F49F8"/>
    <w:rsid w:val="006F4D9C"/>
    <w:rsid w:val="006F737E"/>
    <w:rsid w:val="0070091D"/>
    <w:rsid w:val="00702854"/>
    <w:rsid w:val="00703225"/>
    <w:rsid w:val="00703D92"/>
    <w:rsid w:val="00704B2E"/>
    <w:rsid w:val="0071741C"/>
    <w:rsid w:val="007212A7"/>
    <w:rsid w:val="00724332"/>
    <w:rsid w:val="00732A9C"/>
    <w:rsid w:val="007373E1"/>
    <w:rsid w:val="00741D7D"/>
    <w:rsid w:val="00742B90"/>
    <w:rsid w:val="0074386D"/>
    <w:rsid w:val="0074434D"/>
    <w:rsid w:val="00747568"/>
    <w:rsid w:val="00750B71"/>
    <w:rsid w:val="0075241A"/>
    <w:rsid w:val="00752E53"/>
    <w:rsid w:val="007540A2"/>
    <w:rsid w:val="0075662C"/>
    <w:rsid w:val="007570C4"/>
    <w:rsid w:val="007605B8"/>
    <w:rsid w:val="007616CB"/>
    <w:rsid w:val="00762681"/>
    <w:rsid w:val="00767833"/>
    <w:rsid w:val="00770CCD"/>
    <w:rsid w:val="00771B1E"/>
    <w:rsid w:val="00773C95"/>
    <w:rsid w:val="0078171E"/>
    <w:rsid w:val="0078658E"/>
    <w:rsid w:val="007920E2"/>
    <w:rsid w:val="0079566E"/>
    <w:rsid w:val="00795B34"/>
    <w:rsid w:val="0079725C"/>
    <w:rsid w:val="007A067F"/>
    <w:rsid w:val="007B0C12"/>
    <w:rsid w:val="007B0DA8"/>
    <w:rsid w:val="007B1770"/>
    <w:rsid w:val="007B4D3E"/>
    <w:rsid w:val="007B516F"/>
    <w:rsid w:val="007B742F"/>
    <w:rsid w:val="007B7AA2"/>
    <w:rsid w:val="007B7C70"/>
    <w:rsid w:val="007B7DEB"/>
    <w:rsid w:val="007C00FD"/>
    <w:rsid w:val="007C0449"/>
    <w:rsid w:val="007C050A"/>
    <w:rsid w:val="007C21A9"/>
    <w:rsid w:val="007C2C6D"/>
    <w:rsid w:val="007C43B6"/>
    <w:rsid w:val="007D2151"/>
    <w:rsid w:val="007D2CB4"/>
    <w:rsid w:val="007D35CD"/>
    <w:rsid w:val="007D3B90"/>
    <w:rsid w:val="007D4068"/>
    <w:rsid w:val="007D42CC"/>
    <w:rsid w:val="007D476C"/>
    <w:rsid w:val="007D5DE4"/>
    <w:rsid w:val="007D7C3A"/>
    <w:rsid w:val="007E0777"/>
    <w:rsid w:val="007E1341"/>
    <w:rsid w:val="007E135F"/>
    <w:rsid w:val="007E1B41"/>
    <w:rsid w:val="007E1EC4"/>
    <w:rsid w:val="007E2A04"/>
    <w:rsid w:val="007E30B9"/>
    <w:rsid w:val="007E6185"/>
    <w:rsid w:val="007E74F1"/>
    <w:rsid w:val="007F0F0C"/>
    <w:rsid w:val="007F1288"/>
    <w:rsid w:val="007F2896"/>
    <w:rsid w:val="007F3E11"/>
    <w:rsid w:val="007F4CFD"/>
    <w:rsid w:val="007F66A3"/>
    <w:rsid w:val="007F775A"/>
    <w:rsid w:val="00800754"/>
    <w:rsid w:val="00800A8A"/>
    <w:rsid w:val="0080131B"/>
    <w:rsid w:val="0080155C"/>
    <w:rsid w:val="008017B4"/>
    <w:rsid w:val="008052E1"/>
    <w:rsid w:val="00805F59"/>
    <w:rsid w:val="00810F54"/>
    <w:rsid w:val="00811EEB"/>
    <w:rsid w:val="00812059"/>
    <w:rsid w:val="008121AE"/>
    <w:rsid w:val="0081365B"/>
    <w:rsid w:val="0082081A"/>
    <w:rsid w:val="008214AF"/>
    <w:rsid w:val="00821BED"/>
    <w:rsid w:val="00822E74"/>
    <w:rsid w:val="00822F2C"/>
    <w:rsid w:val="00823D85"/>
    <w:rsid w:val="00823DEE"/>
    <w:rsid w:val="0082628F"/>
    <w:rsid w:val="008265DF"/>
    <w:rsid w:val="008275C5"/>
    <w:rsid w:val="008305E8"/>
    <w:rsid w:val="00836165"/>
    <w:rsid w:val="008365B2"/>
    <w:rsid w:val="00836871"/>
    <w:rsid w:val="00840E86"/>
    <w:rsid w:val="00844238"/>
    <w:rsid w:val="0084640C"/>
    <w:rsid w:val="00846535"/>
    <w:rsid w:val="008477CB"/>
    <w:rsid w:val="00847A6A"/>
    <w:rsid w:val="008533AA"/>
    <w:rsid w:val="00853852"/>
    <w:rsid w:val="00856088"/>
    <w:rsid w:val="00860826"/>
    <w:rsid w:val="00860E21"/>
    <w:rsid w:val="00861BD3"/>
    <w:rsid w:val="00862D30"/>
    <w:rsid w:val="00863117"/>
    <w:rsid w:val="0086388B"/>
    <w:rsid w:val="008642E5"/>
    <w:rsid w:val="00864488"/>
    <w:rsid w:val="00864FB8"/>
    <w:rsid w:val="00867622"/>
    <w:rsid w:val="0087008D"/>
    <w:rsid w:val="00870A36"/>
    <w:rsid w:val="008716E3"/>
    <w:rsid w:val="008725D4"/>
    <w:rsid w:val="00872D93"/>
    <w:rsid w:val="008745DB"/>
    <w:rsid w:val="00875B9A"/>
    <w:rsid w:val="00880470"/>
    <w:rsid w:val="00880D94"/>
    <w:rsid w:val="008814BC"/>
    <w:rsid w:val="008814E8"/>
    <w:rsid w:val="00882786"/>
    <w:rsid w:val="00886689"/>
    <w:rsid w:val="00886F64"/>
    <w:rsid w:val="008924DE"/>
    <w:rsid w:val="00895C6A"/>
    <w:rsid w:val="00897F2D"/>
    <w:rsid w:val="008A0D8E"/>
    <w:rsid w:val="008A1EAB"/>
    <w:rsid w:val="008A3755"/>
    <w:rsid w:val="008B19DC"/>
    <w:rsid w:val="008B264F"/>
    <w:rsid w:val="008B6F83"/>
    <w:rsid w:val="008B7FD8"/>
    <w:rsid w:val="008C2973"/>
    <w:rsid w:val="008C6324"/>
    <w:rsid w:val="008C64C4"/>
    <w:rsid w:val="008D2CDD"/>
    <w:rsid w:val="008D5B87"/>
    <w:rsid w:val="008D5E12"/>
    <w:rsid w:val="008D74D5"/>
    <w:rsid w:val="008D7C9F"/>
    <w:rsid w:val="008E04BA"/>
    <w:rsid w:val="008E0ED1"/>
    <w:rsid w:val="008E2083"/>
    <w:rsid w:val="008E30F5"/>
    <w:rsid w:val="008E3A07"/>
    <w:rsid w:val="008E4EE8"/>
    <w:rsid w:val="008E537B"/>
    <w:rsid w:val="008E7F6F"/>
    <w:rsid w:val="008F29BE"/>
    <w:rsid w:val="008F2B2E"/>
    <w:rsid w:val="008F303D"/>
    <w:rsid w:val="008F4AE5"/>
    <w:rsid w:val="008F51EB"/>
    <w:rsid w:val="008F5542"/>
    <w:rsid w:val="00900197"/>
    <w:rsid w:val="00901A02"/>
    <w:rsid w:val="00902C0B"/>
    <w:rsid w:val="00902F55"/>
    <w:rsid w:val="009047D8"/>
    <w:rsid w:val="0090582B"/>
    <w:rsid w:val="009060C0"/>
    <w:rsid w:val="009061EC"/>
    <w:rsid w:val="00911F0D"/>
    <w:rsid w:val="009133F5"/>
    <w:rsid w:val="00913710"/>
    <w:rsid w:val="0091756F"/>
    <w:rsid w:val="009206CF"/>
    <w:rsid w:val="0092077D"/>
    <w:rsid w:val="00920A27"/>
    <w:rsid w:val="00921216"/>
    <w:rsid w:val="009216CC"/>
    <w:rsid w:val="00922E41"/>
    <w:rsid w:val="00925055"/>
    <w:rsid w:val="00925892"/>
    <w:rsid w:val="00926083"/>
    <w:rsid w:val="009266B0"/>
    <w:rsid w:val="009266F2"/>
    <w:rsid w:val="00926D08"/>
    <w:rsid w:val="00930D08"/>
    <w:rsid w:val="00931466"/>
    <w:rsid w:val="00932D69"/>
    <w:rsid w:val="009350DF"/>
    <w:rsid w:val="009354FD"/>
    <w:rsid w:val="00935589"/>
    <w:rsid w:val="00937408"/>
    <w:rsid w:val="00937C13"/>
    <w:rsid w:val="00941EE6"/>
    <w:rsid w:val="009427FA"/>
    <w:rsid w:val="00944647"/>
    <w:rsid w:val="00944E88"/>
    <w:rsid w:val="009469E2"/>
    <w:rsid w:val="00946C89"/>
    <w:rsid w:val="009512E7"/>
    <w:rsid w:val="00952780"/>
    <w:rsid w:val="0095565C"/>
    <w:rsid w:val="00962720"/>
    <w:rsid w:val="0096276E"/>
    <w:rsid w:val="009636E1"/>
    <w:rsid w:val="00964AB6"/>
    <w:rsid w:val="00966F9A"/>
    <w:rsid w:val="0097278A"/>
    <w:rsid w:val="009748AC"/>
    <w:rsid w:val="0097524A"/>
    <w:rsid w:val="009772B5"/>
    <w:rsid w:val="00977B8A"/>
    <w:rsid w:val="00982971"/>
    <w:rsid w:val="009845AD"/>
    <w:rsid w:val="00984835"/>
    <w:rsid w:val="00987A9A"/>
    <w:rsid w:val="00991821"/>
    <w:rsid w:val="0099198F"/>
    <w:rsid w:val="009933EF"/>
    <w:rsid w:val="00995BA0"/>
    <w:rsid w:val="009A3E3A"/>
    <w:rsid w:val="009A418B"/>
    <w:rsid w:val="009A426F"/>
    <w:rsid w:val="009A42D5"/>
    <w:rsid w:val="009A4473"/>
    <w:rsid w:val="009A6274"/>
    <w:rsid w:val="009B05C9"/>
    <w:rsid w:val="009B0AA8"/>
    <w:rsid w:val="009B286C"/>
    <w:rsid w:val="009B5B23"/>
    <w:rsid w:val="009C151C"/>
    <w:rsid w:val="009C440A"/>
    <w:rsid w:val="009C4528"/>
    <w:rsid w:val="009C4A69"/>
    <w:rsid w:val="009C686F"/>
    <w:rsid w:val="009C7B61"/>
    <w:rsid w:val="009D0F8B"/>
    <w:rsid w:val="009D5125"/>
    <w:rsid w:val="009D60B8"/>
    <w:rsid w:val="009D7D4B"/>
    <w:rsid w:val="009E1873"/>
    <w:rsid w:val="009E36ED"/>
    <w:rsid w:val="009E3B47"/>
    <w:rsid w:val="009E3C8C"/>
    <w:rsid w:val="009E6B77"/>
    <w:rsid w:val="009F0FCA"/>
    <w:rsid w:val="009F4372"/>
    <w:rsid w:val="009F460A"/>
    <w:rsid w:val="00A043FB"/>
    <w:rsid w:val="00A06BE4"/>
    <w:rsid w:val="00A0729C"/>
    <w:rsid w:val="00A073CF"/>
    <w:rsid w:val="00A07779"/>
    <w:rsid w:val="00A1166A"/>
    <w:rsid w:val="00A12A36"/>
    <w:rsid w:val="00A206B8"/>
    <w:rsid w:val="00A20B2E"/>
    <w:rsid w:val="00A2198E"/>
    <w:rsid w:val="00A24F33"/>
    <w:rsid w:val="00A25069"/>
    <w:rsid w:val="00A2625A"/>
    <w:rsid w:val="00A2681F"/>
    <w:rsid w:val="00A26E6B"/>
    <w:rsid w:val="00A26FD6"/>
    <w:rsid w:val="00A3068F"/>
    <w:rsid w:val="00A3145B"/>
    <w:rsid w:val="00A3306D"/>
    <w:rsid w:val="00A339D0"/>
    <w:rsid w:val="00A3415C"/>
    <w:rsid w:val="00A41002"/>
    <w:rsid w:val="00A4201A"/>
    <w:rsid w:val="00A46CEB"/>
    <w:rsid w:val="00A47C43"/>
    <w:rsid w:val="00A51E51"/>
    <w:rsid w:val="00A52C6D"/>
    <w:rsid w:val="00A5338A"/>
    <w:rsid w:val="00A5465D"/>
    <w:rsid w:val="00A54E0B"/>
    <w:rsid w:val="00A55103"/>
    <w:rsid w:val="00A553CE"/>
    <w:rsid w:val="00A5677A"/>
    <w:rsid w:val="00A56DCC"/>
    <w:rsid w:val="00A5758C"/>
    <w:rsid w:val="00A609D6"/>
    <w:rsid w:val="00A60A72"/>
    <w:rsid w:val="00A62438"/>
    <w:rsid w:val="00A625E8"/>
    <w:rsid w:val="00A63DFF"/>
    <w:rsid w:val="00A64496"/>
    <w:rsid w:val="00A6490D"/>
    <w:rsid w:val="00A65A9F"/>
    <w:rsid w:val="00A67033"/>
    <w:rsid w:val="00A70710"/>
    <w:rsid w:val="00A70CB1"/>
    <w:rsid w:val="00A731B0"/>
    <w:rsid w:val="00A7415D"/>
    <w:rsid w:val="00A77FDF"/>
    <w:rsid w:val="00A80363"/>
    <w:rsid w:val="00A80939"/>
    <w:rsid w:val="00A82BFA"/>
    <w:rsid w:val="00A83A37"/>
    <w:rsid w:val="00A83E9D"/>
    <w:rsid w:val="00A878D5"/>
    <w:rsid w:val="00A87C05"/>
    <w:rsid w:val="00A912B9"/>
    <w:rsid w:val="00A9169D"/>
    <w:rsid w:val="00A9215C"/>
    <w:rsid w:val="00A93598"/>
    <w:rsid w:val="00A9738F"/>
    <w:rsid w:val="00A97A3A"/>
    <w:rsid w:val="00AA240C"/>
    <w:rsid w:val="00AB0332"/>
    <w:rsid w:val="00AB0928"/>
    <w:rsid w:val="00AB2E33"/>
    <w:rsid w:val="00AB75DF"/>
    <w:rsid w:val="00AB7EAF"/>
    <w:rsid w:val="00AC101C"/>
    <w:rsid w:val="00AC2E5F"/>
    <w:rsid w:val="00AD18C0"/>
    <w:rsid w:val="00AD2EAA"/>
    <w:rsid w:val="00AD4CF1"/>
    <w:rsid w:val="00AD5988"/>
    <w:rsid w:val="00AD6293"/>
    <w:rsid w:val="00AD7D02"/>
    <w:rsid w:val="00AE1643"/>
    <w:rsid w:val="00AE16AF"/>
    <w:rsid w:val="00AE3595"/>
    <w:rsid w:val="00AE6A81"/>
    <w:rsid w:val="00AF0A02"/>
    <w:rsid w:val="00AF372E"/>
    <w:rsid w:val="00AF59C9"/>
    <w:rsid w:val="00AF5F1C"/>
    <w:rsid w:val="00AF729B"/>
    <w:rsid w:val="00AF72D8"/>
    <w:rsid w:val="00AF7800"/>
    <w:rsid w:val="00B00CF5"/>
    <w:rsid w:val="00B010F0"/>
    <w:rsid w:val="00B0422C"/>
    <w:rsid w:val="00B04C14"/>
    <w:rsid w:val="00B0645A"/>
    <w:rsid w:val="00B072E0"/>
    <w:rsid w:val="00B07B6A"/>
    <w:rsid w:val="00B1007E"/>
    <w:rsid w:val="00B13D41"/>
    <w:rsid w:val="00B17AF9"/>
    <w:rsid w:val="00B23FE7"/>
    <w:rsid w:val="00B253F6"/>
    <w:rsid w:val="00B26675"/>
    <w:rsid w:val="00B30035"/>
    <w:rsid w:val="00B3033E"/>
    <w:rsid w:val="00B305DB"/>
    <w:rsid w:val="00B3101C"/>
    <w:rsid w:val="00B3293D"/>
    <w:rsid w:val="00B332F8"/>
    <w:rsid w:val="00B34256"/>
    <w:rsid w:val="00B346AB"/>
    <w:rsid w:val="00B3492B"/>
    <w:rsid w:val="00B4646F"/>
    <w:rsid w:val="00B54207"/>
    <w:rsid w:val="00B55C7D"/>
    <w:rsid w:val="00B605AD"/>
    <w:rsid w:val="00B63038"/>
    <w:rsid w:val="00B64BD8"/>
    <w:rsid w:val="00B701D1"/>
    <w:rsid w:val="00B73AF2"/>
    <w:rsid w:val="00B73D79"/>
    <w:rsid w:val="00B7551A"/>
    <w:rsid w:val="00B755BB"/>
    <w:rsid w:val="00B773F1"/>
    <w:rsid w:val="00B8165C"/>
    <w:rsid w:val="00B828BB"/>
    <w:rsid w:val="00B850F5"/>
    <w:rsid w:val="00B86AB1"/>
    <w:rsid w:val="00B86E79"/>
    <w:rsid w:val="00B87726"/>
    <w:rsid w:val="00B91B22"/>
    <w:rsid w:val="00B936B2"/>
    <w:rsid w:val="00B95A28"/>
    <w:rsid w:val="00B97B17"/>
    <w:rsid w:val="00BA0604"/>
    <w:rsid w:val="00BA15FA"/>
    <w:rsid w:val="00BA3089"/>
    <w:rsid w:val="00BA5228"/>
    <w:rsid w:val="00BA567B"/>
    <w:rsid w:val="00BA5FD7"/>
    <w:rsid w:val="00BA7EBA"/>
    <w:rsid w:val="00BB05E8"/>
    <w:rsid w:val="00BB0B9D"/>
    <w:rsid w:val="00BB2827"/>
    <w:rsid w:val="00BB2A06"/>
    <w:rsid w:val="00BB2CBB"/>
    <w:rsid w:val="00BB4198"/>
    <w:rsid w:val="00BB441A"/>
    <w:rsid w:val="00BB5D30"/>
    <w:rsid w:val="00BB6B2B"/>
    <w:rsid w:val="00BC03EE"/>
    <w:rsid w:val="00BC59F1"/>
    <w:rsid w:val="00BD38CD"/>
    <w:rsid w:val="00BD488E"/>
    <w:rsid w:val="00BD4E49"/>
    <w:rsid w:val="00BD57BF"/>
    <w:rsid w:val="00BD7D87"/>
    <w:rsid w:val="00BE13CC"/>
    <w:rsid w:val="00BE634B"/>
    <w:rsid w:val="00BF1C26"/>
    <w:rsid w:val="00BF3701"/>
    <w:rsid w:val="00BF3DE1"/>
    <w:rsid w:val="00BF4843"/>
    <w:rsid w:val="00BF5205"/>
    <w:rsid w:val="00BF5D35"/>
    <w:rsid w:val="00C0255B"/>
    <w:rsid w:val="00C027F1"/>
    <w:rsid w:val="00C05132"/>
    <w:rsid w:val="00C10593"/>
    <w:rsid w:val="00C10F66"/>
    <w:rsid w:val="00C11A65"/>
    <w:rsid w:val="00C12109"/>
    <w:rsid w:val="00C12508"/>
    <w:rsid w:val="00C178F8"/>
    <w:rsid w:val="00C22C61"/>
    <w:rsid w:val="00C23728"/>
    <w:rsid w:val="00C26030"/>
    <w:rsid w:val="00C3026C"/>
    <w:rsid w:val="00C313A9"/>
    <w:rsid w:val="00C31CC0"/>
    <w:rsid w:val="00C3344D"/>
    <w:rsid w:val="00C34167"/>
    <w:rsid w:val="00C347C8"/>
    <w:rsid w:val="00C358E4"/>
    <w:rsid w:val="00C363B5"/>
    <w:rsid w:val="00C3691D"/>
    <w:rsid w:val="00C418EE"/>
    <w:rsid w:val="00C42D92"/>
    <w:rsid w:val="00C43D28"/>
    <w:rsid w:val="00C441CF"/>
    <w:rsid w:val="00C447E8"/>
    <w:rsid w:val="00C45AA2"/>
    <w:rsid w:val="00C46664"/>
    <w:rsid w:val="00C4792C"/>
    <w:rsid w:val="00C5534E"/>
    <w:rsid w:val="00C55BEF"/>
    <w:rsid w:val="00C56882"/>
    <w:rsid w:val="00C57C00"/>
    <w:rsid w:val="00C601AF"/>
    <w:rsid w:val="00C6085E"/>
    <w:rsid w:val="00C61A63"/>
    <w:rsid w:val="00C66296"/>
    <w:rsid w:val="00C66FB7"/>
    <w:rsid w:val="00C72110"/>
    <w:rsid w:val="00C726B8"/>
    <w:rsid w:val="00C72EAE"/>
    <w:rsid w:val="00C7394D"/>
    <w:rsid w:val="00C745C5"/>
    <w:rsid w:val="00C756B7"/>
    <w:rsid w:val="00C77282"/>
    <w:rsid w:val="00C81620"/>
    <w:rsid w:val="00C84DE5"/>
    <w:rsid w:val="00C858A3"/>
    <w:rsid w:val="00C86248"/>
    <w:rsid w:val="00C868EE"/>
    <w:rsid w:val="00C90B31"/>
    <w:rsid w:val="00C9206F"/>
    <w:rsid w:val="00C956E1"/>
    <w:rsid w:val="00CA04DD"/>
    <w:rsid w:val="00CA0D6F"/>
    <w:rsid w:val="00CA24EB"/>
    <w:rsid w:val="00CA4C33"/>
    <w:rsid w:val="00CA6F4A"/>
    <w:rsid w:val="00CB3483"/>
    <w:rsid w:val="00CB6427"/>
    <w:rsid w:val="00CC0935"/>
    <w:rsid w:val="00CC0FBE"/>
    <w:rsid w:val="00CD03AF"/>
    <w:rsid w:val="00CD077C"/>
    <w:rsid w:val="00CD0A96"/>
    <w:rsid w:val="00CD2119"/>
    <w:rsid w:val="00CD237A"/>
    <w:rsid w:val="00CD36AC"/>
    <w:rsid w:val="00CD3A12"/>
    <w:rsid w:val="00CD68A0"/>
    <w:rsid w:val="00CE13A3"/>
    <w:rsid w:val="00CE36BC"/>
    <w:rsid w:val="00CE38F6"/>
    <w:rsid w:val="00CE48B5"/>
    <w:rsid w:val="00CE5227"/>
    <w:rsid w:val="00CE5A36"/>
    <w:rsid w:val="00CF0C40"/>
    <w:rsid w:val="00CF10B3"/>
    <w:rsid w:val="00CF1747"/>
    <w:rsid w:val="00CF4A83"/>
    <w:rsid w:val="00CF60ED"/>
    <w:rsid w:val="00D006E3"/>
    <w:rsid w:val="00D02472"/>
    <w:rsid w:val="00D0597E"/>
    <w:rsid w:val="00D05D74"/>
    <w:rsid w:val="00D12640"/>
    <w:rsid w:val="00D13F67"/>
    <w:rsid w:val="00D16ECC"/>
    <w:rsid w:val="00D20C59"/>
    <w:rsid w:val="00D23323"/>
    <w:rsid w:val="00D2392A"/>
    <w:rsid w:val="00D23B2C"/>
    <w:rsid w:val="00D246E4"/>
    <w:rsid w:val="00D249B7"/>
    <w:rsid w:val="00D25FFE"/>
    <w:rsid w:val="00D27922"/>
    <w:rsid w:val="00D27A64"/>
    <w:rsid w:val="00D33BBC"/>
    <w:rsid w:val="00D365CA"/>
    <w:rsid w:val="00D378FE"/>
    <w:rsid w:val="00D37D80"/>
    <w:rsid w:val="00D416D1"/>
    <w:rsid w:val="00D41C27"/>
    <w:rsid w:val="00D442F3"/>
    <w:rsid w:val="00D44483"/>
    <w:rsid w:val="00D4476F"/>
    <w:rsid w:val="00D452FB"/>
    <w:rsid w:val="00D47622"/>
    <w:rsid w:val="00D50573"/>
    <w:rsid w:val="00D5187D"/>
    <w:rsid w:val="00D52D75"/>
    <w:rsid w:val="00D53B0E"/>
    <w:rsid w:val="00D54749"/>
    <w:rsid w:val="00D54D50"/>
    <w:rsid w:val="00D553CB"/>
    <w:rsid w:val="00D560B4"/>
    <w:rsid w:val="00D65D90"/>
    <w:rsid w:val="00D662F8"/>
    <w:rsid w:val="00D66797"/>
    <w:rsid w:val="00D7078F"/>
    <w:rsid w:val="00D7087C"/>
    <w:rsid w:val="00D70C3C"/>
    <w:rsid w:val="00D71DF7"/>
    <w:rsid w:val="00D72BE5"/>
    <w:rsid w:val="00D75413"/>
    <w:rsid w:val="00D81462"/>
    <w:rsid w:val="00D81936"/>
    <w:rsid w:val="00D82431"/>
    <w:rsid w:val="00D82F26"/>
    <w:rsid w:val="00D83708"/>
    <w:rsid w:val="00D83D78"/>
    <w:rsid w:val="00D85663"/>
    <w:rsid w:val="00D863D0"/>
    <w:rsid w:val="00D86B00"/>
    <w:rsid w:val="00D86FB9"/>
    <w:rsid w:val="00D87C87"/>
    <w:rsid w:val="00D90BB4"/>
    <w:rsid w:val="00D90C0E"/>
    <w:rsid w:val="00D90E07"/>
    <w:rsid w:val="00D90F7B"/>
    <w:rsid w:val="00D91EEF"/>
    <w:rsid w:val="00D932C2"/>
    <w:rsid w:val="00D94AEC"/>
    <w:rsid w:val="00DA0232"/>
    <w:rsid w:val="00DA48D6"/>
    <w:rsid w:val="00DA4A68"/>
    <w:rsid w:val="00DA603B"/>
    <w:rsid w:val="00DA7F9E"/>
    <w:rsid w:val="00DB39CF"/>
    <w:rsid w:val="00DB7256"/>
    <w:rsid w:val="00DB7A6E"/>
    <w:rsid w:val="00DC0401"/>
    <w:rsid w:val="00DC0C10"/>
    <w:rsid w:val="00DC20BD"/>
    <w:rsid w:val="00DC2D6B"/>
    <w:rsid w:val="00DD0BCD"/>
    <w:rsid w:val="00DD1739"/>
    <w:rsid w:val="00DD3A83"/>
    <w:rsid w:val="00DD3A96"/>
    <w:rsid w:val="00DD447A"/>
    <w:rsid w:val="00DD6A2C"/>
    <w:rsid w:val="00DE384F"/>
    <w:rsid w:val="00DE3851"/>
    <w:rsid w:val="00DE3B20"/>
    <w:rsid w:val="00DE6AA3"/>
    <w:rsid w:val="00DE6C94"/>
    <w:rsid w:val="00DE6FD7"/>
    <w:rsid w:val="00DF098C"/>
    <w:rsid w:val="00DF0C7C"/>
    <w:rsid w:val="00DF3473"/>
    <w:rsid w:val="00DF37CB"/>
    <w:rsid w:val="00DF3F1D"/>
    <w:rsid w:val="00DF7BC8"/>
    <w:rsid w:val="00E04B98"/>
    <w:rsid w:val="00E10AD4"/>
    <w:rsid w:val="00E10B18"/>
    <w:rsid w:val="00E1226E"/>
    <w:rsid w:val="00E12881"/>
    <w:rsid w:val="00E203EF"/>
    <w:rsid w:val="00E23271"/>
    <w:rsid w:val="00E23DC0"/>
    <w:rsid w:val="00E24F80"/>
    <w:rsid w:val="00E259F3"/>
    <w:rsid w:val="00E30985"/>
    <w:rsid w:val="00E31611"/>
    <w:rsid w:val="00E33238"/>
    <w:rsid w:val="00E33934"/>
    <w:rsid w:val="00E34313"/>
    <w:rsid w:val="00E376B7"/>
    <w:rsid w:val="00E415E0"/>
    <w:rsid w:val="00E42630"/>
    <w:rsid w:val="00E42F5D"/>
    <w:rsid w:val="00E4486C"/>
    <w:rsid w:val="00E460B6"/>
    <w:rsid w:val="00E511D5"/>
    <w:rsid w:val="00E53A9F"/>
    <w:rsid w:val="00E57349"/>
    <w:rsid w:val="00E574E9"/>
    <w:rsid w:val="00E5752F"/>
    <w:rsid w:val="00E60249"/>
    <w:rsid w:val="00E6173B"/>
    <w:rsid w:val="00E62238"/>
    <w:rsid w:val="00E64C2F"/>
    <w:rsid w:val="00E65269"/>
    <w:rsid w:val="00E65400"/>
    <w:rsid w:val="00E70609"/>
    <w:rsid w:val="00E711E8"/>
    <w:rsid w:val="00E71405"/>
    <w:rsid w:val="00E740E5"/>
    <w:rsid w:val="00E74C1E"/>
    <w:rsid w:val="00E76D66"/>
    <w:rsid w:val="00E832BC"/>
    <w:rsid w:val="00E8665E"/>
    <w:rsid w:val="00E868E2"/>
    <w:rsid w:val="00E870BD"/>
    <w:rsid w:val="00E87804"/>
    <w:rsid w:val="00E90DA1"/>
    <w:rsid w:val="00E910DD"/>
    <w:rsid w:val="00E94ED7"/>
    <w:rsid w:val="00E95F6C"/>
    <w:rsid w:val="00EA6420"/>
    <w:rsid w:val="00EA796A"/>
    <w:rsid w:val="00EB1856"/>
    <w:rsid w:val="00EB4408"/>
    <w:rsid w:val="00EC0339"/>
    <w:rsid w:val="00EC149B"/>
    <w:rsid w:val="00EC50CE"/>
    <w:rsid w:val="00EC5B34"/>
    <w:rsid w:val="00EC5ED7"/>
    <w:rsid w:val="00ED021E"/>
    <w:rsid w:val="00ED1A34"/>
    <w:rsid w:val="00ED22D7"/>
    <w:rsid w:val="00ED323C"/>
    <w:rsid w:val="00ED324C"/>
    <w:rsid w:val="00ED3FF0"/>
    <w:rsid w:val="00ED573F"/>
    <w:rsid w:val="00ED6F40"/>
    <w:rsid w:val="00ED7D94"/>
    <w:rsid w:val="00EE2D5C"/>
    <w:rsid w:val="00EE4ADE"/>
    <w:rsid w:val="00EE4DE8"/>
    <w:rsid w:val="00EE5CB7"/>
    <w:rsid w:val="00EF2925"/>
    <w:rsid w:val="00EF44C4"/>
    <w:rsid w:val="00EF4BCC"/>
    <w:rsid w:val="00EF4E47"/>
    <w:rsid w:val="00EF562B"/>
    <w:rsid w:val="00EF6644"/>
    <w:rsid w:val="00F000BF"/>
    <w:rsid w:val="00F01E17"/>
    <w:rsid w:val="00F01F31"/>
    <w:rsid w:val="00F024FE"/>
    <w:rsid w:val="00F05AD4"/>
    <w:rsid w:val="00F0621E"/>
    <w:rsid w:val="00F103BE"/>
    <w:rsid w:val="00F10EB6"/>
    <w:rsid w:val="00F11BC5"/>
    <w:rsid w:val="00F13F07"/>
    <w:rsid w:val="00F140B2"/>
    <w:rsid w:val="00F16595"/>
    <w:rsid w:val="00F167D9"/>
    <w:rsid w:val="00F22808"/>
    <w:rsid w:val="00F25970"/>
    <w:rsid w:val="00F30D50"/>
    <w:rsid w:val="00F311A9"/>
    <w:rsid w:val="00F31343"/>
    <w:rsid w:val="00F3293F"/>
    <w:rsid w:val="00F33C1C"/>
    <w:rsid w:val="00F352F6"/>
    <w:rsid w:val="00F36293"/>
    <w:rsid w:val="00F37381"/>
    <w:rsid w:val="00F46006"/>
    <w:rsid w:val="00F5180D"/>
    <w:rsid w:val="00F51E17"/>
    <w:rsid w:val="00F52BF8"/>
    <w:rsid w:val="00F5342B"/>
    <w:rsid w:val="00F54E74"/>
    <w:rsid w:val="00F55678"/>
    <w:rsid w:val="00F6149D"/>
    <w:rsid w:val="00F63781"/>
    <w:rsid w:val="00F656AB"/>
    <w:rsid w:val="00F65A74"/>
    <w:rsid w:val="00F66A9A"/>
    <w:rsid w:val="00F67496"/>
    <w:rsid w:val="00F7086C"/>
    <w:rsid w:val="00F7245F"/>
    <w:rsid w:val="00F7377D"/>
    <w:rsid w:val="00F7421E"/>
    <w:rsid w:val="00F801BA"/>
    <w:rsid w:val="00F807AD"/>
    <w:rsid w:val="00F84404"/>
    <w:rsid w:val="00F90C8B"/>
    <w:rsid w:val="00F9146B"/>
    <w:rsid w:val="00F9366A"/>
    <w:rsid w:val="00F946C9"/>
    <w:rsid w:val="00F960E5"/>
    <w:rsid w:val="00FA0EA5"/>
    <w:rsid w:val="00FA68C7"/>
    <w:rsid w:val="00FA69FF"/>
    <w:rsid w:val="00FA74EE"/>
    <w:rsid w:val="00FB0A5B"/>
    <w:rsid w:val="00FB1B3A"/>
    <w:rsid w:val="00FB1B8E"/>
    <w:rsid w:val="00FB37F5"/>
    <w:rsid w:val="00FB6A14"/>
    <w:rsid w:val="00FC2084"/>
    <w:rsid w:val="00FC3711"/>
    <w:rsid w:val="00FC46E7"/>
    <w:rsid w:val="00FC4F32"/>
    <w:rsid w:val="00FC5D25"/>
    <w:rsid w:val="00FC7BF6"/>
    <w:rsid w:val="00FD037C"/>
    <w:rsid w:val="00FD0D7E"/>
    <w:rsid w:val="00FD16C4"/>
    <w:rsid w:val="00FD18D7"/>
    <w:rsid w:val="00FD20B2"/>
    <w:rsid w:val="00FD362F"/>
    <w:rsid w:val="00FD38A3"/>
    <w:rsid w:val="00FD47FE"/>
    <w:rsid w:val="00FD4FFB"/>
    <w:rsid w:val="00FE022F"/>
    <w:rsid w:val="00FE0B6E"/>
    <w:rsid w:val="00FE6730"/>
    <w:rsid w:val="00FE6E13"/>
    <w:rsid w:val="00FE7D38"/>
    <w:rsid w:val="00FF15F6"/>
    <w:rsid w:val="00FF4A5B"/>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978CB"/>
  <w15:docId w15:val="{34E92548-0F22-40A4-A3A5-BF4B276B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B9A"/>
    <w:rPr>
      <w:rFonts w:asciiTheme="minorHAnsi" w:hAnsiTheme="minorHAnsi"/>
      <w:color w:val="000000" w:themeColor="text1"/>
      <w:sz w:val="22"/>
      <w:lang w:eastAsia="en-GB"/>
    </w:rPr>
  </w:style>
  <w:style w:type="paragraph" w:styleId="Heading1">
    <w:name w:val="heading 1"/>
    <w:basedOn w:val="Normal"/>
    <w:next w:val="Normal"/>
    <w:link w:val="Heading1Char"/>
    <w:qFormat/>
    <w:rsid w:val="00962720"/>
    <w:pPr>
      <w:pageBreakBefore/>
      <w:spacing w:after="120" w:line="300" w:lineRule="auto"/>
      <w:outlineLvl w:val="0"/>
    </w:pPr>
    <w:rPr>
      <w:b/>
      <w:sz w:val="36"/>
    </w:rPr>
  </w:style>
  <w:style w:type="paragraph" w:styleId="Heading2">
    <w:name w:val="heading 2"/>
    <w:basedOn w:val="Normal"/>
    <w:next w:val="Normal"/>
    <w:link w:val="Heading2Char"/>
    <w:qFormat/>
    <w:rsid w:val="00875B9A"/>
    <w:pPr>
      <w:spacing w:before="320" w:after="60" w:line="300" w:lineRule="auto"/>
      <w:outlineLvl w:val="1"/>
    </w:pPr>
    <w:rPr>
      <w:b/>
      <w:iCs/>
      <w:sz w:val="28"/>
      <w:szCs w:val="22"/>
    </w:rPr>
  </w:style>
  <w:style w:type="paragraph" w:styleId="Heading3">
    <w:name w:val="heading 3"/>
    <w:basedOn w:val="Normal"/>
    <w:next w:val="Normal"/>
    <w:link w:val="Heading3Char"/>
    <w:qFormat/>
    <w:rsid w:val="00875B9A"/>
    <w:pPr>
      <w:keepNext/>
      <w:spacing w:before="280" w:after="60" w:line="300" w:lineRule="auto"/>
      <w:outlineLvl w:val="2"/>
    </w:pPr>
    <w:rPr>
      <w:b/>
      <w:sz w:val="24"/>
    </w:rPr>
  </w:style>
  <w:style w:type="paragraph" w:styleId="Heading4">
    <w:name w:val="heading 4"/>
    <w:basedOn w:val="Normal"/>
    <w:next w:val="Normal"/>
    <w:link w:val="Heading4Char"/>
    <w:qFormat/>
    <w:rsid w:val="00A26FD6"/>
    <w:pPr>
      <w:keepNext/>
      <w:spacing w:before="240" w:after="120"/>
      <w:outlineLvl w:val="3"/>
    </w:pPr>
    <w:rPr>
      <w:color w:val="0A6AB4"/>
      <w:sz w:val="28"/>
    </w:rPr>
  </w:style>
  <w:style w:type="paragraph" w:styleId="Heading5">
    <w:name w:val="heading 5"/>
    <w:basedOn w:val="Normal"/>
    <w:next w:val="Normal"/>
    <w:link w:val="Heading5Char"/>
    <w:qFormat/>
    <w:rsid w:val="00A26FD6"/>
    <w:pPr>
      <w:keepNext/>
      <w:spacing w:before="120" w:after="120"/>
      <w:outlineLvl w:val="4"/>
    </w:pPr>
    <w:rPr>
      <w:color w:val="0A6AB4"/>
      <w:sz w:val="24"/>
    </w:rPr>
  </w:style>
  <w:style w:type="paragraph" w:styleId="Heading6">
    <w:name w:val="heading 6"/>
    <w:basedOn w:val="Normal"/>
    <w:next w:val="Normal"/>
    <w:link w:val="Heading6Char"/>
    <w:unhideWhenUsed/>
    <w:qFormat/>
    <w:rsid w:val="00A26FD6"/>
    <w:pPr>
      <w:keepNext/>
      <w:keepLines/>
      <w:spacing w:before="200" w:after="120"/>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A26FD6"/>
    <w:pPr>
      <w:keepNext/>
      <w:keepLines/>
      <w:spacing w:before="200" w:after="120"/>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A26FD6"/>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A26FD6"/>
    <w:pPr>
      <w:keepNext/>
      <w:keepLines/>
      <w:spacing w:before="200" w:after="120"/>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2720"/>
    <w:rPr>
      <w:rFonts w:asciiTheme="minorHAnsi" w:hAnsiTheme="minorHAnsi"/>
      <w:b/>
      <w:color w:val="000000" w:themeColor="text1"/>
      <w:sz w:val="36"/>
      <w:lang w:eastAsia="en-GB"/>
    </w:rPr>
  </w:style>
  <w:style w:type="character" w:customStyle="1" w:styleId="Heading2Char">
    <w:name w:val="Heading 2 Char"/>
    <w:link w:val="Heading2"/>
    <w:rsid w:val="00875B9A"/>
    <w:rPr>
      <w:rFonts w:asciiTheme="minorHAnsi" w:hAnsiTheme="minorHAnsi"/>
      <w:b/>
      <w:iCs/>
      <w:color w:val="000000" w:themeColor="text1"/>
      <w:sz w:val="28"/>
      <w:szCs w:val="22"/>
      <w:lang w:eastAsia="en-GB"/>
    </w:rPr>
  </w:style>
  <w:style w:type="character" w:customStyle="1" w:styleId="Heading3Char">
    <w:name w:val="Heading 3 Char"/>
    <w:link w:val="Heading3"/>
    <w:rsid w:val="00875B9A"/>
    <w:rPr>
      <w:rFonts w:asciiTheme="minorHAnsi" w:hAnsiTheme="minorHAnsi"/>
      <w:b/>
      <w:color w:val="000000" w:themeColor="text1"/>
      <w:sz w:val="24"/>
      <w:lang w:eastAsia="en-GB"/>
    </w:rPr>
  </w:style>
  <w:style w:type="character" w:customStyle="1" w:styleId="Heading4Char">
    <w:name w:val="Heading 4 Char"/>
    <w:link w:val="Heading4"/>
    <w:rsid w:val="00A26FD6"/>
    <w:rPr>
      <w:rFonts w:asciiTheme="minorHAnsi" w:hAnsiTheme="minorHAnsi"/>
      <w:color w:val="0A6AB4"/>
      <w:sz w:val="28"/>
      <w:lang w:eastAsia="en-GB"/>
    </w:rPr>
  </w:style>
  <w:style w:type="character" w:customStyle="1" w:styleId="Heading5Char">
    <w:name w:val="Heading 5 Char"/>
    <w:link w:val="Heading5"/>
    <w:rsid w:val="00A26FD6"/>
    <w:rPr>
      <w:rFonts w:asciiTheme="minorHAnsi" w:hAnsiTheme="minorHAnsi"/>
      <w:color w:val="0A6AB4"/>
      <w:sz w:val="24"/>
      <w:lang w:eastAsia="en-GB"/>
    </w:rPr>
  </w:style>
  <w:style w:type="character" w:customStyle="1" w:styleId="Heading6Char">
    <w:name w:val="Heading 6 Char"/>
    <w:basedOn w:val="DefaultParagraphFont"/>
    <w:link w:val="Heading6"/>
    <w:rsid w:val="00A26FD6"/>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A26FD6"/>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A26FD6"/>
    <w:rPr>
      <w:rFonts w:asciiTheme="minorHAnsi" w:eastAsia="MS Gothic" w:hAnsiTheme="minorHAnsi"/>
      <w:color w:val="0A6AB4"/>
      <w:spacing w:val="-10"/>
      <w:sz w:val="36"/>
      <w:szCs w:val="24"/>
      <w:lang w:eastAsia="en-US"/>
    </w:rPr>
  </w:style>
  <w:style w:type="character" w:customStyle="1" w:styleId="Heading9Char">
    <w:name w:val="Heading 9 Char"/>
    <w:basedOn w:val="DefaultParagraphFont"/>
    <w:link w:val="Heading9"/>
    <w:rsid w:val="00A26FD6"/>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BF3701"/>
    <w:pPr>
      <w:tabs>
        <w:tab w:val="right" w:pos="9072"/>
      </w:tabs>
      <w:spacing w:before="300" w:after="60"/>
      <w:ind w:right="567"/>
    </w:pPr>
    <w:rPr>
      <w:b/>
    </w:rPr>
  </w:style>
  <w:style w:type="paragraph" w:styleId="TOC2">
    <w:name w:val="toc 2"/>
    <w:basedOn w:val="Normal"/>
    <w:next w:val="Normal"/>
    <w:uiPriority w:val="39"/>
    <w:qFormat/>
    <w:rsid w:val="00875B9A"/>
    <w:pPr>
      <w:tabs>
        <w:tab w:val="right" w:pos="9072"/>
      </w:tabs>
      <w:spacing w:before="120"/>
      <w:ind w:left="567" w:right="567"/>
      <w:contextualSpacing/>
    </w:pPr>
  </w:style>
  <w:style w:type="paragraph" w:styleId="TOC3">
    <w:name w:val="toc 3"/>
    <w:basedOn w:val="Normal"/>
    <w:next w:val="Normal"/>
    <w:uiPriority w:val="39"/>
    <w:rsid w:val="00875B9A"/>
    <w:pPr>
      <w:tabs>
        <w:tab w:val="right" w:pos="9072"/>
      </w:tabs>
      <w:spacing w:before="120"/>
      <w:ind w:right="567"/>
      <w:contextualSpacing/>
    </w:pPr>
  </w:style>
  <w:style w:type="paragraph" w:customStyle="1" w:styleId="Bullet">
    <w:name w:val="Bullet"/>
    <w:basedOn w:val="Normal"/>
    <w:link w:val="BulletChar"/>
    <w:qFormat/>
    <w:rsid w:val="00A26FD6"/>
    <w:pPr>
      <w:numPr>
        <w:numId w:val="2"/>
      </w:numPr>
      <w:tabs>
        <w:tab w:val="clear" w:pos="284"/>
      </w:tabs>
      <w:spacing w:before="120"/>
    </w:pPr>
  </w:style>
  <w:style w:type="character" w:customStyle="1" w:styleId="BulletChar">
    <w:name w:val="Bullet Char"/>
    <w:link w:val="Bullet"/>
    <w:locked/>
    <w:rsid w:val="00A26FD6"/>
    <w:rPr>
      <w:rFonts w:asciiTheme="minorHAnsi" w:hAnsiTheme="minorHAnsi"/>
      <w:color w:val="F79646" w:themeColor="accent6"/>
      <w:sz w:val="22"/>
      <w:lang w:eastAsia="en-GB"/>
    </w:rPr>
  </w:style>
  <w:style w:type="paragraph" w:styleId="Quote">
    <w:name w:val="Quote"/>
    <w:aliases w:val="Indented"/>
    <w:basedOn w:val="Normal"/>
    <w:next w:val="Normal"/>
    <w:link w:val="QuoteChar"/>
    <w:qFormat/>
    <w:rsid w:val="006B6F64"/>
    <w:pPr>
      <w:spacing w:before="120"/>
      <w:ind w:left="284" w:right="284"/>
    </w:pPr>
    <w:rPr>
      <w:sz w:val="20"/>
    </w:rPr>
  </w:style>
  <w:style w:type="character" w:customStyle="1" w:styleId="QuoteChar">
    <w:name w:val="Quote Char"/>
    <w:aliases w:val="Indented Char"/>
    <w:link w:val="Quote"/>
    <w:rsid w:val="006B6F64"/>
    <w:rPr>
      <w:rFonts w:asciiTheme="minorHAnsi" w:hAnsiTheme="minorHAnsi"/>
      <w:color w:val="000000" w:themeColor="text1"/>
      <w:lang w:eastAsia="en-GB"/>
    </w:rPr>
  </w:style>
  <w:style w:type="paragraph" w:styleId="FootnoteText">
    <w:name w:val="footnote text"/>
    <w:basedOn w:val="Normal"/>
    <w:link w:val="FootnoteTextChar"/>
    <w:uiPriority w:val="99"/>
    <w:rsid w:val="009772B5"/>
    <w:pPr>
      <w:spacing w:before="60" w:after="60"/>
      <w:ind w:left="284" w:hanging="284"/>
    </w:pPr>
    <w:rPr>
      <w:sz w:val="18"/>
      <w:szCs w:val="14"/>
    </w:rPr>
  </w:style>
  <w:style w:type="character" w:customStyle="1" w:styleId="FootnoteTextChar">
    <w:name w:val="Footnote Text Char"/>
    <w:link w:val="FootnoteText"/>
    <w:uiPriority w:val="99"/>
    <w:rsid w:val="009772B5"/>
    <w:rPr>
      <w:rFonts w:asciiTheme="minorHAnsi" w:hAnsiTheme="minorHAnsi"/>
      <w:color w:val="000000" w:themeColor="text1"/>
      <w:sz w:val="18"/>
      <w:szCs w:val="14"/>
      <w:lang w:eastAsia="en-GB"/>
    </w:rPr>
  </w:style>
  <w:style w:type="paragraph" w:styleId="Header">
    <w:name w:val="header"/>
    <w:basedOn w:val="Normal"/>
    <w:link w:val="HeaderChar"/>
    <w:uiPriority w:val="99"/>
    <w:qFormat/>
    <w:rsid w:val="00A26FD6"/>
    <w:pPr>
      <w:pBdr>
        <w:bottom w:val="single" w:sz="4" w:space="2" w:color="006FC0"/>
      </w:pBdr>
    </w:pPr>
    <w:rPr>
      <w:i/>
      <w:color w:val="006FC0"/>
      <w:sz w:val="20"/>
      <w:szCs w:val="18"/>
    </w:rPr>
  </w:style>
  <w:style w:type="character" w:customStyle="1" w:styleId="HeaderChar">
    <w:name w:val="Header Char"/>
    <w:link w:val="Header"/>
    <w:uiPriority w:val="99"/>
    <w:rsid w:val="00A26FD6"/>
    <w:rPr>
      <w:rFonts w:asciiTheme="minorHAnsi" w:hAnsiTheme="minorHAnsi"/>
      <w:i/>
      <w:color w:val="006FC0"/>
      <w:szCs w:val="18"/>
      <w:lang w:eastAsia="en-GB"/>
    </w:rPr>
  </w:style>
  <w:style w:type="paragraph" w:styleId="Title">
    <w:name w:val="Title"/>
    <w:basedOn w:val="Normal"/>
    <w:next w:val="Normal"/>
    <w:link w:val="TitleChar"/>
    <w:qFormat/>
    <w:rsid w:val="00A26FD6"/>
    <w:pPr>
      <w:jc w:val="center"/>
    </w:pPr>
    <w:rPr>
      <w:rFonts w:cs="Lucida Sans Unicode"/>
      <w:b/>
      <w:sz w:val="64"/>
      <w:szCs w:val="72"/>
    </w:rPr>
  </w:style>
  <w:style w:type="character" w:customStyle="1" w:styleId="TitleChar">
    <w:name w:val="Title Char"/>
    <w:link w:val="Title"/>
    <w:rsid w:val="00A26FD6"/>
    <w:rPr>
      <w:rFonts w:asciiTheme="minorHAnsi" w:hAnsiTheme="minorHAnsi" w:cs="Lucida Sans Unicode"/>
      <w:b/>
      <w:color w:val="F79646" w:themeColor="accent6"/>
      <w:sz w:val="64"/>
      <w:szCs w:val="72"/>
      <w:lang w:eastAsia="en-GB"/>
    </w:rPr>
  </w:style>
  <w:style w:type="paragraph" w:customStyle="1" w:styleId="Imprint">
    <w:name w:val="Imprint"/>
    <w:basedOn w:val="Normal"/>
    <w:next w:val="Normal"/>
    <w:qFormat/>
    <w:rsid w:val="00A26FD6"/>
    <w:pPr>
      <w:spacing w:after="240"/>
      <w:jc w:val="center"/>
    </w:pPr>
  </w:style>
  <w:style w:type="paragraph" w:styleId="Footer">
    <w:name w:val="footer"/>
    <w:basedOn w:val="Normal"/>
    <w:link w:val="FooterChar"/>
    <w:uiPriority w:val="99"/>
    <w:qFormat/>
    <w:rsid w:val="00A26FD6"/>
  </w:style>
  <w:style w:type="character" w:customStyle="1" w:styleId="FooterChar">
    <w:name w:val="Footer Char"/>
    <w:link w:val="Footer"/>
    <w:uiPriority w:val="99"/>
    <w:rsid w:val="00A26FD6"/>
    <w:rPr>
      <w:rFonts w:asciiTheme="minorHAnsi" w:hAnsiTheme="minorHAnsi"/>
      <w:color w:val="F79646" w:themeColor="accent6"/>
      <w:sz w:val="22"/>
      <w:lang w:eastAsia="en-GB"/>
    </w:rPr>
  </w:style>
  <w:style w:type="character" w:styleId="PageNumber">
    <w:name w:val="page number"/>
    <w:rsid w:val="00875B9A"/>
    <w:rPr>
      <w:rFonts w:asciiTheme="minorHAnsi" w:hAnsiTheme="minorHAnsi"/>
      <w:b w:val="0"/>
      <w:color w:val="000000" w:themeColor="text1"/>
      <w:sz w:val="22"/>
    </w:rPr>
  </w:style>
  <w:style w:type="paragraph" w:customStyle="1" w:styleId="VersoFooter">
    <w:name w:val="Verso Footer"/>
    <w:basedOn w:val="Footer"/>
    <w:rsid w:val="00A26FD6"/>
    <w:pPr>
      <w:jc w:val="center"/>
    </w:pPr>
    <w:rPr>
      <w:sz w:val="15"/>
    </w:rPr>
  </w:style>
  <w:style w:type="paragraph" w:customStyle="1" w:styleId="RectoFooter">
    <w:name w:val="Recto Footer"/>
    <w:basedOn w:val="Footer"/>
    <w:rsid w:val="00A26FD6"/>
    <w:pPr>
      <w:jc w:val="center"/>
    </w:pPr>
    <w:rPr>
      <w:caps/>
      <w:sz w:val="15"/>
    </w:rPr>
  </w:style>
  <w:style w:type="paragraph" w:customStyle="1" w:styleId="Figure">
    <w:name w:val="Figure"/>
    <w:basedOn w:val="Normal"/>
    <w:next w:val="Normal"/>
    <w:link w:val="FigureChar"/>
    <w:qFormat/>
    <w:rsid w:val="00A26FD6"/>
    <w:pPr>
      <w:keepNext/>
      <w:spacing w:before="120" w:after="120"/>
    </w:pPr>
    <w:rPr>
      <w:b/>
      <w:sz w:val="20"/>
    </w:rPr>
  </w:style>
  <w:style w:type="character" w:customStyle="1" w:styleId="FigureChar">
    <w:name w:val="Figure Char"/>
    <w:link w:val="Figure"/>
    <w:locked/>
    <w:rsid w:val="00A26FD6"/>
    <w:rPr>
      <w:rFonts w:asciiTheme="minorHAnsi" w:hAnsiTheme="minorHAnsi"/>
      <w:b/>
      <w:color w:val="F79646" w:themeColor="accent6"/>
      <w:lang w:eastAsia="en-GB"/>
    </w:rPr>
  </w:style>
  <w:style w:type="character" w:styleId="FootnoteReference">
    <w:name w:val="footnote reference"/>
    <w:uiPriority w:val="99"/>
    <w:rsid w:val="00A26FD6"/>
    <w:rPr>
      <w:vertAlign w:val="superscript"/>
    </w:rPr>
  </w:style>
  <w:style w:type="paragraph" w:customStyle="1" w:styleId="Table">
    <w:name w:val="Table"/>
    <w:basedOn w:val="Figure"/>
    <w:link w:val="TableChar"/>
    <w:qFormat/>
    <w:rsid w:val="00A26FD6"/>
    <w:rPr>
      <w:b w:val="0"/>
      <w:i/>
      <w:sz w:val="22"/>
    </w:rPr>
  </w:style>
  <w:style w:type="character" w:customStyle="1" w:styleId="TableChar">
    <w:name w:val="Table Char"/>
    <w:link w:val="Table"/>
    <w:locked/>
    <w:rsid w:val="00A26FD6"/>
    <w:rPr>
      <w:rFonts w:asciiTheme="minorHAnsi" w:hAnsiTheme="minorHAnsi"/>
      <w:i/>
      <w:color w:val="000000" w:themeColor="text1"/>
      <w:sz w:val="22"/>
      <w:lang w:eastAsia="en-GB"/>
    </w:rPr>
  </w:style>
  <w:style w:type="paragraph" w:customStyle="1" w:styleId="Dash">
    <w:name w:val="Dash"/>
    <w:basedOn w:val="Bullet"/>
    <w:qFormat/>
    <w:rsid w:val="00A26FD6"/>
    <w:pPr>
      <w:numPr>
        <w:numId w:val="3"/>
      </w:numPr>
      <w:spacing w:before="60"/>
    </w:pPr>
  </w:style>
  <w:style w:type="paragraph" w:customStyle="1" w:styleId="TableText">
    <w:name w:val="TableText"/>
    <w:basedOn w:val="Normal"/>
    <w:qFormat/>
    <w:rsid w:val="00A26FD6"/>
    <w:pPr>
      <w:spacing w:before="60" w:after="60" w:line="240" w:lineRule="auto"/>
    </w:pPr>
    <w:rPr>
      <w:sz w:val="20"/>
    </w:rPr>
  </w:style>
  <w:style w:type="paragraph" w:customStyle="1" w:styleId="TableBullet">
    <w:name w:val="TableBullet"/>
    <w:basedOn w:val="TableText"/>
    <w:qFormat/>
    <w:rsid w:val="00A26FD6"/>
    <w:pPr>
      <w:numPr>
        <w:numId w:val="5"/>
      </w:numPr>
      <w:spacing w:before="0"/>
    </w:pPr>
  </w:style>
  <w:style w:type="paragraph" w:customStyle="1" w:styleId="IntroHead">
    <w:name w:val="IntroHead"/>
    <w:basedOn w:val="Heading1"/>
    <w:next w:val="Normal"/>
    <w:qFormat/>
    <w:rsid w:val="00A26FD6"/>
    <w:pPr>
      <w:outlineLvl w:val="9"/>
    </w:pPr>
  </w:style>
  <w:style w:type="paragraph" w:customStyle="1" w:styleId="Source">
    <w:name w:val="Source"/>
    <w:basedOn w:val="Note"/>
    <w:next w:val="Normal"/>
    <w:qFormat/>
    <w:rsid w:val="00A26FD6"/>
  </w:style>
  <w:style w:type="paragraph" w:customStyle="1" w:styleId="Note">
    <w:name w:val="Note"/>
    <w:basedOn w:val="Normal"/>
    <w:next w:val="Normal"/>
    <w:link w:val="NoteChar"/>
    <w:qFormat/>
    <w:rsid w:val="00A26FD6"/>
    <w:pPr>
      <w:spacing w:before="80"/>
    </w:pPr>
    <w:rPr>
      <w:sz w:val="20"/>
    </w:rPr>
  </w:style>
  <w:style w:type="character" w:customStyle="1" w:styleId="NoteChar">
    <w:name w:val="Note Char"/>
    <w:link w:val="Note"/>
    <w:rsid w:val="00A26FD6"/>
    <w:rPr>
      <w:rFonts w:asciiTheme="minorHAnsi" w:hAnsiTheme="minorHAnsi"/>
      <w:color w:val="F79646" w:themeColor="accent6"/>
      <w:lang w:eastAsia="en-GB"/>
    </w:rPr>
  </w:style>
  <w:style w:type="paragraph" w:customStyle="1" w:styleId="Subhead">
    <w:name w:val="Subhead"/>
    <w:basedOn w:val="Normal"/>
    <w:next w:val="Year"/>
    <w:qFormat/>
    <w:rsid w:val="00A26FD6"/>
    <w:pPr>
      <w:jc w:val="center"/>
    </w:pPr>
    <w:rPr>
      <w:rFonts w:cs="Segoe UI Semibold"/>
      <w:sz w:val="44"/>
      <w:szCs w:val="26"/>
    </w:rPr>
  </w:style>
  <w:style w:type="paragraph" w:customStyle="1" w:styleId="Year">
    <w:name w:val="Year"/>
    <w:basedOn w:val="Subhead"/>
    <w:next w:val="Subhead"/>
    <w:qFormat/>
    <w:rsid w:val="00A26FD6"/>
    <w:rPr>
      <w:sz w:val="28"/>
    </w:rPr>
  </w:style>
  <w:style w:type="character" w:styleId="Hyperlink">
    <w:name w:val="Hyperlink"/>
    <w:uiPriority w:val="99"/>
    <w:rsid w:val="00A26FD6"/>
    <w:rPr>
      <w:b/>
      <w:color w:val="595959" w:themeColor="text1" w:themeTint="A6"/>
      <w:u w:val="none"/>
    </w:rPr>
  </w:style>
  <w:style w:type="paragraph" w:customStyle="1" w:styleId="References">
    <w:name w:val="References"/>
    <w:basedOn w:val="Normal"/>
    <w:qFormat/>
    <w:rsid w:val="00A26FD6"/>
    <w:pPr>
      <w:spacing w:after="120" w:line="252" w:lineRule="auto"/>
      <w:ind w:left="567" w:hanging="567"/>
    </w:pPr>
  </w:style>
  <w:style w:type="paragraph" w:customStyle="1" w:styleId="TableDash">
    <w:name w:val="TableDash"/>
    <w:basedOn w:val="TableText"/>
    <w:qFormat/>
    <w:rsid w:val="00A26FD6"/>
    <w:pPr>
      <w:numPr>
        <w:numId w:val="6"/>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A26FD6"/>
    <w:pPr>
      <w:numPr>
        <w:ilvl w:val="3"/>
        <w:numId w:val="4"/>
      </w:numPr>
      <w:spacing w:before="60"/>
    </w:pPr>
    <w:rPr>
      <w:szCs w:val="24"/>
    </w:rPr>
  </w:style>
  <w:style w:type="table" w:styleId="TableGrid">
    <w:name w:val="Table Grid"/>
    <w:basedOn w:val="TableNormal"/>
    <w:rsid w:val="00A26FD6"/>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26FD6"/>
    <w:rPr>
      <w:b/>
      <w:bCs/>
      <w:color w:val="4F81BD" w:themeColor="accent1"/>
      <w:sz w:val="18"/>
      <w:szCs w:val="18"/>
    </w:rPr>
  </w:style>
  <w:style w:type="character" w:styleId="CommentReference">
    <w:name w:val="annotation reference"/>
    <w:basedOn w:val="DefaultParagraphFont"/>
    <w:uiPriority w:val="99"/>
    <w:semiHidden/>
    <w:unhideWhenUsed/>
    <w:rsid w:val="00A26FD6"/>
    <w:rPr>
      <w:sz w:val="16"/>
      <w:szCs w:val="16"/>
    </w:rPr>
  </w:style>
  <w:style w:type="paragraph" w:styleId="CommentText">
    <w:name w:val="annotation text"/>
    <w:basedOn w:val="Normal"/>
    <w:link w:val="CommentTextChar"/>
    <w:uiPriority w:val="99"/>
    <w:unhideWhenUsed/>
    <w:rsid w:val="00A26FD6"/>
    <w:pPr>
      <w:spacing w:line="240" w:lineRule="auto"/>
    </w:pPr>
    <w:rPr>
      <w:sz w:val="20"/>
    </w:rPr>
  </w:style>
  <w:style w:type="character" w:customStyle="1" w:styleId="CommentTextChar">
    <w:name w:val="Comment Text Char"/>
    <w:basedOn w:val="DefaultParagraphFont"/>
    <w:link w:val="CommentText"/>
    <w:uiPriority w:val="99"/>
    <w:rsid w:val="00A26FD6"/>
    <w:rPr>
      <w:rFonts w:asciiTheme="minorHAnsi" w:hAnsiTheme="minorHAnsi"/>
      <w:color w:val="F79646" w:themeColor="accent6"/>
      <w:lang w:eastAsia="en-GB"/>
    </w:rPr>
  </w:style>
  <w:style w:type="paragraph" w:styleId="CommentSubject">
    <w:name w:val="annotation subject"/>
    <w:basedOn w:val="CommentText"/>
    <w:next w:val="CommentText"/>
    <w:link w:val="CommentSubjectChar"/>
    <w:semiHidden/>
    <w:unhideWhenUsed/>
    <w:rsid w:val="00A26FD6"/>
    <w:rPr>
      <w:b/>
      <w:bCs/>
    </w:rPr>
  </w:style>
  <w:style w:type="character" w:customStyle="1" w:styleId="CommentSubjectChar">
    <w:name w:val="Comment Subject Char"/>
    <w:basedOn w:val="CommentTextChar"/>
    <w:link w:val="CommentSubject"/>
    <w:semiHidden/>
    <w:rsid w:val="00A26FD6"/>
    <w:rPr>
      <w:rFonts w:asciiTheme="minorHAnsi" w:hAnsiTheme="minorHAnsi"/>
      <w:b/>
      <w:bCs/>
      <w:color w:val="F79646" w:themeColor="accent6"/>
      <w:lang w:eastAsia="en-GB"/>
    </w:rPr>
  </w:style>
  <w:style w:type="paragraph" w:styleId="BalloonText">
    <w:name w:val="Balloon Text"/>
    <w:basedOn w:val="Normal"/>
    <w:link w:val="BalloonTextChar"/>
    <w:semiHidden/>
    <w:unhideWhenUsed/>
    <w:rsid w:val="00A26F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26FD6"/>
    <w:rPr>
      <w:rFonts w:ascii="Segoe UI" w:hAnsi="Segoe UI" w:cs="Segoe UI"/>
      <w:color w:val="F79646" w:themeColor="accent6"/>
      <w:sz w:val="18"/>
      <w:szCs w:val="18"/>
      <w:lang w:eastAsia="en-GB"/>
    </w:rPr>
  </w:style>
  <w:style w:type="character" w:styleId="UnresolvedMention">
    <w:name w:val="Unresolved Mention"/>
    <w:basedOn w:val="DefaultParagraphFont"/>
    <w:uiPriority w:val="99"/>
    <w:semiHidden/>
    <w:unhideWhenUsed/>
    <w:rsid w:val="00A26FD6"/>
    <w:rPr>
      <w:color w:val="605E5C"/>
      <w:shd w:val="clear" w:color="auto" w:fill="E1DFDD"/>
    </w:rPr>
  </w:style>
  <w:style w:type="paragraph" w:styleId="ListParagraph">
    <w:name w:val="List Paragraph"/>
    <w:basedOn w:val="Normal"/>
    <w:uiPriority w:val="34"/>
    <w:qFormat/>
    <w:rsid w:val="00A26FD6"/>
    <w:pPr>
      <w:ind w:left="720"/>
      <w:contextualSpacing/>
    </w:pPr>
  </w:style>
  <w:style w:type="character" w:styleId="FollowedHyperlink">
    <w:name w:val="FollowedHyperlink"/>
    <w:basedOn w:val="DefaultParagraphFont"/>
    <w:semiHidden/>
    <w:unhideWhenUsed/>
    <w:rsid w:val="00A26FD6"/>
    <w:rPr>
      <w:color w:val="800080" w:themeColor="followedHyperlink"/>
      <w:u w:val="single"/>
    </w:rPr>
  </w:style>
  <w:style w:type="paragraph" w:customStyle="1" w:styleId="H1notinTOC">
    <w:name w:val="H1 not in TOC"/>
    <w:next w:val="Normal"/>
    <w:qFormat/>
    <w:rsid w:val="00875B9A"/>
    <w:rPr>
      <w:rFonts w:asciiTheme="minorHAnsi" w:hAnsiTheme="minorHAnsi"/>
      <w:b/>
      <w:color w:val="000000" w:themeColor="text1"/>
      <w:sz w:val="36"/>
      <w:lang w:eastAsia="en-GB"/>
    </w:rPr>
  </w:style>
  <w:style w:type="paragraph" w:styleId="TableofFigures">
    <w:name w:val="table of figures"/>
    <w:basedOn w:val="Normal"/>
    <w:next w:val="Normal"/>
    <w:uiPriority w:val="99"/>
    <w:semiHidden/>
    <w:unhideWhenUsed/>
    <w:qFormat/>
    <w:rsid w:val="00A26FD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976">
      <w:bodyDiv w:val="1"/>
      <w:marLeft w:val="0"/>
      <w:marRight w:val="0"/>
      <w:marTop w:val="0"/>
      <w:marBottom w:val="0"/>
      <w:divBdr>
        <w:top w:val="none" w:sz="0" w:space="0" w:color="auto"/>
        <w:left w:val="none" w:sz="0" w:space="0" w:color="auto"/>
        <w:bottom w:val="none" w:sz="0" w:space="0" w:color="auto"/>
        <w:right w:val="none" w:sz="0" w:space="0" w:color="auto"/>
      </w:divBdr>
    </w:div>
    <w:div w:id="87846898">
      <w:bodyDiv w:val="1"/>
      <w:marLeft w:val="0"/>
      <w:marRight w:val="0"/>
      <w:marTop w:val="0"/>
      <w:marBottom w:val="0"/>
      <w:divBdr>
        <w:top w:val="none" w:sz="0" w:space="0" w:color="auto"/>
        <w:left w:val="none" w:sz="0" w:space="0" w:color="auto"/>
        <w:bottom w:val="none" w:sz="0" w:space="0" w:color="auto"/>
        <w:right w:val="none" w:sz="0" w:space="0" w:color="auto"/>
      </w:divBdr>
    </w:div>
    <w:div w:id="285432457">
      <w:bodyDiv w:val="1"/>
      <w:marLeft w:val="0"/>
      <w:marRight w:val="0"/>
      <w:marTop w:val="0"/>
      <w:marBottom w:val="0"/>
      <w:divBdr>
        <w:top w:val="none" w:sz="0" w:space="0" w:color="auto"/>
        <w:left w:val="none" w:sz="0" w:space="0" w:color="auto"/>
        <w:bottom w:val="none" w:sz="0" w:space="0" w:color="auto"/>
        <w:right w:val="none" w:sz="0" w:space="0" w:color="auto"/>
      </w:divBdr>
    </w:div>
    <w:div w:id="534268167">
      <w:bodyDiv w:val="1"/>
      <w:marLeft w:val="0"/>
      <w:marRight w:val="0"/>
      <w:marTop w:val="0"/>
      <w:marBottom w:val="0"/>
      <w:divBdr>
        <w:top w:val="none" w:sz="0" w:space="0" w:color="auto"/>
        <w:left w:val="none" w:sz="0" w:space="0" w:color="auto"/>
        <w:bottom w:val="none" w:sz="0" w:space="0" w:color="auto"/>
        <w:right w:val="none" w:sz="0" w:space="0" w:color="auto"/>
      </w:divBdr>
    </w:div>
    <w:div w:id="810635272">
      <w:bodyDiv w:val="1"/>
      <w:marLeft w:val="0"/>
      <w:marRight w:val="0"/>
      <w:marTop w:val="0"/>
      <w:marBottom w:val="0"/>
      <w:divBdr>
        <w:top w:val="none" w:sz="0" w:space="0" w:color="auto"/>
        <w:left w:val="none" w:sz="0" w:space="0" w:color="auto"/>
        <w:bottom w:val="none" w:sz="0" w:space="0" w:color="auto"/>
        <w:right w:val="none" w:sz="0" w:space="0" w:color="auto"/>
      </w:divBdr>
    </w:div>
    <w:div w:id="921139359">
      <w:bodyDiv w:val="1"/>
      <w:marLeft w:val="0"/>
      <w:marRight w:val="0"/>
      <w:marTop w:val="0"/>
      <w:marBottom w:val="0"/>
      <w:divBdr>
        <w:top w:val="none" w:sz="0" w:space="0" w:color="auto"/>
        <w:left w:val="none" w:sz="0" w:space="0" w:color="auto"/>
        <w:bottom w:val="none" w:sz="0" w:space="0" w:color="auto"/>
        <w:right w:val="none" w:sz="0" w:space="0" w:color="auto"/>
      </w:divBdr>
    </w:div>
    <w:div w:id="1388529299">
      <w:bodyDiv w:val="1"/>
      <w:marLeft w:val="0"/>
      <w:marRight w:val="0"/>
      <w:marTop w:val="0"/>
      <w:marBottom w:val="0"/>
      <w:divBdr>
        <w:top w:val="none" w:sz="0" w:space="0" w:color="auto"/>
        <w:left w:val="none" w:sz="0" w:space="0" w:color="auto"/>
        <w:bottom w:val="none" w:sz="0" w:space="0" w:color="auto"/>
        <w:right w:val="none" w:sz="0" w:space="0" w:color="auto"/>
      </w:divBdr>
    </w:div>
    <w:div w:id="1491410909">
      <w:bodyDiv w:val="1"/>
      <w:marLeft w:val="0"/>
      <w:marRight w:val="0"/>
      <w:marTop w:val="0"/>
      <w:marBottom w:val="0"/>
      <w:divBdr>
        <w:top w:val="none" w:sz="0" w:space="0" w:color="auto"/>
        <w:left w:val="none" w:sz="0" w:space="0" w:color="auto"/>
        <w:bottom w:val="none" w:sz="0" w:space="0" w:color="auto"/>
        <w:right w:val="none" w:sz="0" w:space="0" w:color="auto"/>
      </w:divBdr>
    </w:div>
    <w:div w:id="1591043377">
      <w:bodyDiv w:val="1"/>
      <w:marLeft w:val="0"/>
      <w:marRight w:val="0"/>
      <w:marTop w:val="0"/>
      <w:marBottom w:val="0"/>
      <w:divBdr>
        <w:top w:val="none" w:sz="0" w:space="0" w:color="auto"/>
        <w:left w:val="none" w:sz="0" w:space="0" w:color="auto"/>
        <w:bottom w:val="none" w:sz="0" w:space="0" w:color="auto"/>
        <w:right w:val="none" w:sz="0" w:space="0" w:color="auto"/>
      </w:divBdr>
    </w:div>
    <w:div w:id="1801680924">
      <w:bodyDiv w:val="1"/>
      <w:marLeft w:val="0"/>
      <w:marRight w:val="0"/>
      <w:marTop w:val="0"/>
      <w:marBottom w:val="0"/>
      <w:divBdr>
        <w:top w:val="none" w:sz="0" w:space="0" w:color="auto"/>
        <w:left w:val="none" w:sz="0" w:space="0" w:color="auto"/>
        <w:bottom w:val="none" w:sz="0" w:space="0" w:color="auto"/>
        <w:right w:val="none" w:sz="0" w:space="0" w:color="auto"/>
      </w:divBdr>
    </w:div>
    <w:div w:id="2051371512">
      <w:bodyDiv w:val="1"/>
      <w:marLeft w:val="0"/>
      <w:marRight w:val="0"/>
      <w:marTop w:val="0"/>
      <w:marBottom w:val="0"/>
      <w:divBdr>
        <w:top w:val="none" w:sz="0" w:space="0" w:color="auto"/>
        <w:left w:val="none" w:sz="0" w:space="0" w:color="auto"/>
        <w:bottom w:val="none" w:sz="0" w:space="0" w:color="auto"/>
        <w:right w:val="none" w:sz="0" w:space="0" w:color="auto"/>
      </w:divBdr>
    </w:div>
    <w:div w:id="2098669833">
      <w:bodyDiv w:val="1"/>
      <w:marLeft w:val="0"/>
      <w:marRight w:val="0"/>
      <w:marTop w:val="0"/>
      <w:marBottom w:val="0"/>
      <w:divBdr>
        <w:top w:val="none" w:sz="0" w:space="0" w:color="auto"/>
        <w:left w:val="none" w:sz="0" w:space="0" w:color="auto"/>
        <w:bottom w:val="none" w:sz="0" w:space="0" w:color="auto"/>
        <w:right w:val="none" w:sz="0" w:space="0" w:color="auto"/>
      </w:divBdr>
    </w:div>
    <w:div w:id="2105344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police.govt.nz/about-us/publications-statistics/data-and-statistics/policedatanz/victimisation-time-and-pla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beehive.govt.nz/release/inquiry-improve-mental-health-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751f7a0-2fff-4fdf-994f-8ad677b6dd3c" xsi:nil="true"/>
    <lcf76f155ced4ddcb4097134ff3c332f xmlns="5364bee5-d588-4d35-bc5e-6186b3568449">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8F875A0A9FE1478F466D63D92067B4" ma:contentTypeVersion="15" ma:contentTypeDescription="Create a new document." ma:contentTypeScope="" ma:versionID="5cec9dce6515e3da9d89a740c6c1e02e">
  <xsd:schema xmlns:xsd="http://www.w3.org/2001/XMLSchema" xmlns:xs="http://www.w3.org/2001/XMLSchema" xmlns:p="http://schemas.microsoft.com/office/2006/metadata/properties" xmlns:ns1="http://schemas.microsoft.com/sharepoint/v3" xmlns:ns2="5364bee5-d588-4d35-bc5e-6186b3568449" xmlns:ns3="2751f7a0-2fff-4fdf-994f-8ad677b6dd3c" targetNamespace="http://schemas.microsoft.com/office/2006/metadata/properties" ma:root="true" ma:fieldsID="e1534530c5ff6131dc60d464976d089a" ns1:_="" ns2:_="" ns3:_="">
    <xsd:import namespace="http://schemas.microsoft.com/sharepoint/v3"/>
    <xsd:import namespace="5364bee5-d588-4d35-bc5e-6186b3568449"/>
    <xsd:import namespace="2751f7a0-2fff-4fdf-994f-8ad677b6dd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4bee5-d588-4d35-bc5e-6186b3568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1f7a0-2fff-4fdf-994f-8ad677b6dd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0dbbe0a-1d4b-49fe-a16c-ef836272c918}" ma:internalName="TaxCatchAll" ma:showField="CatchAllData" ma:web="2751f7a0-2fff-4fdf-994f-8ad677b6dd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90F64-1D26-466E-BBBE-D04672544FB4}">
  <ds:schemaRefs>
    <ds:schemaRef ds:uri="http://schemas.openxmlformats.org/officeDocument/2006/bibliography"/>
  </ds:schemaRefs>
</ds:datastoreItem>
</file>

<file path=customXml/itemProps2.xml><?xml version="1.0" encoding="utf-8"?>
<ds:datastoreItem xmlns:ds="http://schemas.openxmlformats.org/officeDocument/2006/customXml" ds:itemID="{16CAF102-000C-46C9-AB7A-0E384E2706C7}">
  <ds:schemaRefs>
    <ds:schemaRef ds:uri="http://schemas.microsoft.com/sharepoint/v3/contenttype/forms"/>
  </ds:schemaRefs>
</ds:datastoreItem>
</file>

<file path=customXml/itemProps3.xml><?xml version="1.0" encoding="utf-8"?>
<ds:datastoreItem xmlns:ds="http://schemas.openxmlformats.org/officeDocument/2006/customXml" ds:itemID="{7920D6C4-44EE-4974-B3FC-37ADF494EE15}">
  <ds:schemaRefs>
    <ds:schemaRef ds:uri="http://schemas.microsoft.com/office/2006/metadata/properties"/>
    <ds:schemaRef ds:uri="http://schemas.microsoft.com/office/infopath/2007/PartnerControls"/>
    <ds:schemaRef ds:uri="http://schemas.microsoft.com/sharepoint/v3"/>
    <ds:schemaRef ds:uri="2751f7a0-2fff-4fdf-994f-8ad677b6dd3c"/>
    <ds:schemaRef ds:uri="5364bee5-d588-4d35-bc5e-6186b3568449"/>
  </ds:schemaRefs>
</ds:datastoreItem>
</file>

<file path=customXml/itemProps4.xml><?xml version="1.0" encoding="utf-8"?>
<ds:datastoreItem xmlns:ds="http://schemas.openxmlformats.org/officeDocument/2006/customXml" ds:itemID="{DABC1FF2-A0B5-4D21-ABF4-08C4EC97D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64bee5-d588-4d35-bc5e-6186b3568449"/>
    <ds:schemaRef ds:uri="2751f7a0-2fff-4fdf-994f-8ad677b6d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18</TotalTime>
  <Pages>18</Pages>
  <Words>5703</Words>
  <Characters>32512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The New Zealand Illicit Drug Harm Index 2020: Research report</vt:lpstr>
    </vt:vector>
  </TitlesOfParts>
  <Company>Microsoft</Company>
  <LinksUpToDate>false</LinksUpToDate>
  <CharactersWithSpaces>38139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Illicit Drug Harm Index 2023</dc:title>
  <dc:subject/>
  <dc:creator>National Drug Intelligence Bureau</dc:creator>
  <cp:keywords/>
  <dc:description/>
  <cp:lastModifiedBy>Ministry of Health</cp:lastModifiedBy>
  <cp:revision>10</cp:revision>
  <cp:lastPrinted>2024-06-24T01:13:00Z</cp:lastPrinted>
  <dcterms:created xsi:type="dcterms:W3CDTF">2024-06-23T22:23:00Z</dcterms:created>
  <dcterms:modified xsi:type="dcterms:W3CDTF">2024-06-24T01:13:00Z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0x010100B88F875A0A9FE1478F466D63D92067B4</vt:lpwstr>
  </property>
  <property fmtid="{D5CDD505-2E9C-101B-9397-08002B2CF9AE}" pid="3" name="MediaServiceImageTags">
    <vt:lpwstr/>
  </property>
</Properties>
</file>