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3005B17B" w:rsidR="00C86248" w:rsidRPr="00926083" w:rsidRDefault="00EC4094" w:rsidP="00EC4094">
      <w:pPr>
        <w:pStyle w:val="Title"/>
        <w:ind w:right="3260"/>
      </w:pPr>
      <w:r w:rsidRPr="00EC4094">
        <w:t xml:space="preserve">Health and Independence Report 2023 - </w:t>
      </w:r>
      <w:r>
        <w:br/>
      </w:r>
      <w:proofErr w:type="spellStart"/>
      <w:r w:rsidRPr="00EC4094">
        <w:t>Te</w:t>
      </w:r>
      <w:proofErr w:type="spellEnd"/>
      <w:r w:rsidRPr="00EC4094">
        <w:t xml:space="preserve"> </w:t>
      </w:r>
      <w:proofErr w:type="spellStart"/>
      <w:r w:rsidRPr="00EC4094">
        <w:t>Pūrongo</w:t>
      </w:r>
      <w:proofErr w:type="spellEnd"/>
      <w:r w:rsidRPr="00EC4094">
        <w:t xml:space="preserve"> </w:t>
      </w:r>
      <w:proofErr w:type="spellStart"/>
      <w:r w:rsidRPr="00EC4094">
        <w:t>mō</w:t>
      </w:r>
      <w:proofErr w:type="spellEnd"/>
      <w:r w:rsidRPr="00EC4094">
        <w:t xml:space="preserve"> </w:t>
      </w:r>
      <w:proofErr w:type="spellStart"/>
      <w:r w:rsidRPr="00EC4094">
        <w:t>te</w:t>
      </w:r>
      <w:proofErr w:type="spellEnd"/>
      <w:r w:rsidRPr="00EC4094">
        <w:t xml:space="preserve"> Hauora me </w:t>
      </w:r>
      <w:proofErr w:type="spellStart"/>
      <w:r w:rsidRPr="00EC4094">
        <w:t>te</w:t>
      </w:r>
      <w:proofErr w:type="spellEnd"/>
      <w:r w:rsidRPr="00EC4094">
        <w:t xml:space="preserve"> </w:t>
      </w:r>
      <w:proofErr w:type="spellStart"/>
      <w:r w:rsidRPr="00EC4094">
        <w:t>Tū</w:t>
      </w:r>
      <w:proofErr w:type="spellEnd"/>
      <w:r w:rsidRPr="00EC4094">
        <w:t xml:space="preserve"> Motuhake 2023</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73CA68DF" w:rsidR="00A80363" w:rsidRPr="00C05132" w:rsidRDefault="00A80363" w:rsidP="00EC4094">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EC4094">
        <w:rPr>
          <w:rFonts w:cs="Segoe UI"/>
        </w:rPr>
        <w:t>202</w:t>
      </w:r>
      <w:r w:rsidR="00207454">
        <w:rPr>
          <w:rFonts w:cs="Segoe UI"/>
        </w:rPr>
        <w:t>4</w:t>
      </w:r>
      <w:r w:rsidR="00442C1C" w:rsidRPr="00C05132">
        <w:rPr>
          <w:rFonts w:cs="Segoe UI"/>
        </w:rPr>
        <w:t xml:space="preserve">. </w:t>
      </w:r>
      <w:r w:rsidR="00EC4094" w:rsidRPr="00EC4094">
        <w:rPr>
          <w:rFonts w:cs="Segoe UI"/>
          <w:i/>
        </w:rPr>
        <w:t>Health and Independence Report 2023 -</w:t>
      </w:r>
      <w:r w:rsidR="00EC4094">
        <w:rPr>
          <w:rFonts w:cs="Segoe UI"/>
          <w:i/>
        </w:rPr>
        <w:t xml:space="preserve"> </w:t>
      </w:r>
      <w:proofErr w:type="spellStart"/>
      <w:r w:rsidR="00EC4094" w:rsidRPr="00EC4094">
        <w:rPr>
          <w:rFonts w:cs="Segoe UI"/>
          <w:i/>
        </w:rPr>
        <w:t>Te</w:t>
      </w:r>
      <w:proofErr w:type="spellEnd"/>
      <w:r w:rsidR="00EC4094" w:rsidRPr="00EC4094">
        <w:rPr>
          <w:rFonts w:cs="Segoe UI"/>
          <w:i/>
        </w:rPr>
        <w:t xml:space="preserve"> </w:t>
      </w:r>
      <w:proofErr w:type="spellStart"/>
      <w:r w:rsidR="00EC4094" w:rsidRPr="00EC4094">
        <w:rPr>
          <w:rFonts w:cs="Segoe UI"/>
          <w:i/>
        </w:rPr>
        <w:t>Pūrongo</w:t>
      </w:r>
      <w:proofErr w:type="spellEnd"/>
      <w:r w:rsidR="00EC4094" w:rsidRPr="00EC4094">
        <w:rPr>
          <w:rFonts w:cs="Segoe UI"/>
          <w:i/>
        </w:rPr>
        <w:t xml:space="preserve"> </w:t>
      </w:r>
      <w:proofErr w:type="spellStart"/>
      <w:r w:rsidR="00EC4094" w:rsidRPr="00EC4094">
        <w:rPr>
          <w:rFonts w:cs="Segoe UI"/>
          <w:i/>
        </w:rPr>
        <w:t>mō</w:t>
      </w:r>
      <w:proofErr w:type="spellEnd"/>
      <w:r w:rsidR="00EC4094" w:rsidRPr="00EC4094">
        <w:rPr>
          <w:rFonts w:cs="Segoe UI"/>
          <w:i/>
        </w:rPr>
        <w:t xml:space="preserve"> </w:t>
      </w:r>
      <w:proofErr w:type="spellStart"/>
      <w:r w:rsidR="00EC4094" w:rsidRPr="00EC4094">
        <w:rPr>
          <w:rFonts w:cs="Segoe UI"/>
          <w:i/>
        </w:rPr>
        <w:t>te</w:t>
      </w:r>
      <w:proofErr w:type="spellEnd"/>
      <w:r w:rsidR="00EC4094" w:rsidRPr="00EC4094">
        <w:rPr>
          <w:rFonts w:cs="Segoe UI"/>
          <w:i/>
        </w:rPr>
        <w:t xml:space="preserve"> Hauora me </w:t>
      </w:r>
      <w:proofErr w:type="spellStart"/>
      <w:r w:rsidR="00EC4094" w:rsidRPr="00EC4094">
        <w:rPr>
          <w:rFonts w:cs="Segoe UI"/>
          <w:i/>
        </w:rPr>
        <w:t>te</w:t>
      </w:r>
      <w:proofErr w:type="spellEnd"/>
      <w:r w:rsidR="00EC4094" w:rsidRPr="00EC4094">
        <w:rPr>
          <w:rFonts w:cs="Segoe UI"/>
          <w:i/>
        </w:rPr>
        <w:t xml:space="preserve"> </w:t>
      </w:r>
      <w:proofErr w:type="spellStart"/>
      <w:r w:rsidR="00EC4094" w:rsidRPr="00EC4094">
        <w:rPr>
          <w:rFonts w:cs="Segoe UI"/>
          <w:i/>
        </w:rPr>
        <w:t>Tū</w:t>
      </w:r>
      <w:proofErr w:type="spellEnd"/>
      <w:r w:rsidR="00EC4094" w:rsidRPr="00EC4094">
        <w:rPr>
          <w:rFonts w:cs="Segoe UI"/>
          <w:i/>
        </w:rPr>
        <w:t xml:space="preserve"> Motuhake 2023</w:t>
      </w:r>
      <w:r w:rsidR="00442C1C" w:rsidRPr="00C05132">
        <w:rPr>
          <w:rFonts w:cs="Segoe UI"/>
        </w:rPr>
        <w:t>. Wellington: Ministry of Health.</w:t>
      </w:r>
    </w:p>
    <w:p w14:paraId="7909192E" w14:textId="0F95F2F4" w:rsidR="00C86248" w:rsidRDefault="00C86248">
      <w:pPr>
        <w:pStyle w:val="Imprint"/>
      </w:pPr>
      <w:r>
        <w:t xml:space="preserve">Published in </w:t>
      </w:r>
      <w:r w:rsidR="009B7C39">
        <w:t>July</w:t>
      </w:r>
      <w:r w:rsidR="009A42D5">
        <w:t xml:space="preserve"> </w:t>
      </w:r>
      <w:r w:rsidR="00EC4094">
        <w:t>202</w:t>
      </w:r>
      <w:r w:rsidR="00207454">
        <w:t>4</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6AFC6206" w:rsidR="00082CD6" w:rsidRPr="009C0F2D" w:rsidRDefault="00D863D0" w:rsidP="00082CD6">
      <w:pPr>
        <w:pStyle w:val="Imprint"/>
      </w:pPr>
      <w:r w:rsidRPr="009B7C39">
        <w:t>ISBN</w:t>
      </w:r>
      <w:r w:rsidR="00442C1C" w:rsidRPr="009B7C39">
        <w:t xml:space="preserve"> </w:t>
      </w:r>
      <w:r w:rsidR="00AF1F3D">
        <w:rPr>
          <w:rStyle w:val="normaltextrun"/>
          <w:rFonts w:cs="Segoe UI"/>
          <w:color w:val="000000"/>
          <w:shd w:val="clear" w:color="auto" w:fill="FFFFFF"/>
          <w:lang w:val="en-US"/>
        </w:rPr>
        <w:t>978-1-991075-82-6</w:t>
      </w:r>
      <w:r w:rsidR="00AF1F3D">
        <w:rPr>
          <w:rStyle w:val="eop"/>
          <w:rFonts w:cs="Segoe UI"/>
          <w:color w:val="000000"/>
          <w:shd w:val="clear" w:color="auto" w:fill="FFFFFF"/>
        </w:rPr>
        <w:t> </w:t>
      </w:r>
      <w:r w:rsidR="009A42D5" w:rsidRPr="009B7C39">
        <w:t xml:space="preserve"> (print)</w:t>
      </w:r>
      <w:r w:rsidR="009A42D5" w:rsidRPr="009B7C39">
        <w:br/>
        <w:t xml:space="preserve">ISBN </w:t>
      </w:r>
      <w:r w:rsidR="00540AE3">
        <w:rPr>
          <w:rStyle w:val="normaltextrun"/>
          <w:rFonts w:cs="Segoe UI"/>
          <w:color w:val="000000"/>
          <w:shd w:val="clear" w:color="auto" w:fill="FFFFFF"/>
          <w:lang w:val="en-US"/>
        </w:rPr>
        <w:t>978-1-991075-83-3</w:t>
      </w:r>
      <w:r w:rsidR="00540AE3">
        <w:rPr>
          <w:rStyle w:val="eop"/>
          <w:rFonts w:cs="Segoe UI"/>
          <w:color w:val="000000"/>
          <w:shd w:val="clear" w:color="auto" w:fill="FFFFFF"/>
        </w:rPr>
        <w:t> </w:t>
      </w:r>
      <w:r w:rsidR="009A42D5" w:rsidRPr="009B7C39">
        <w:t xml:space="preserve"> </w:t>
      </w:r>
      <w:r w:rsidRPr="009B7C39">
        <w:t>(</w:t>
      </w:r>
      <w:r w:rsidR="00442C1C" w:rsidRPr="009B7C39">
        <w:t>online</w:t>
      </w:r>
      <w:r w:rsidRPr="009B7C39">
        <w:t>)</w:t>
      </w:r>
      <w:r w:rsidR="00082CD6" w:rsidRPr="009B7C39">
        <w:br/>
        <w:t xml:space="preserve">HP </w:t>
      </w:r>
      <w:r w:rsidR="00B1519E">
        <w:t>8870</w:t>
      </w:r>
    </w:p>
    <w:p w14:paraId="48DBDA36" w14:textId="77777777" w:rsidR="00C86248" w:rsidRDefault="008C64C4" w:rsidP="00A63DFF">
      <w:r>
        <w:rPr>
          <w:noProof/>
          <w:lang w:eastAsia="en-NZ"/>
        </w:rPr>
        <w:drawing>
          <wp:inline distT="0" distB="0" distL="0" distR="0" wp14:anchorId="6EF4539D" wp14:editId="00CCBCF4">
            <wp:extent cx="1216825" cy="493307"/>
            <wp:effectExtent l="0" t="0" r="2540" b="254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16825" cy="493307"/>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 xml:space="preserve">This document is available at </w:t>
      </w:r>
      <w:proofErr w:type="gramStart"/>
      <w:r>
        <w:t>health.govt.nz</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F8774BA" w14:textId="77777777" w:rsidR="00032C0A" w:rsidRDefault="008E3A07" w:rsidP="00EC4094">
      <w:pPr>
        <w:pStyle w:val="Heading1"/>
      </w:pPr>
      <w:bookmarkStart w:id="1" w:name="_Toc171944510"/>
      <w:bookmarkStart w:id="2" w:name="_Toc405792991"/>
      <w:bookmarkStart w:id="3" w:name="_Toc405793224"/>
      <w:bookmarkStart w:id="4" w:name="_Toc172104650"/>
      <w:r>
        <w:lastRenderedPageBreak/>
        <w:t>Foreword</w:t>
      </w:r>
      <w:bookmarkEnd w:id="1"/>
      <w:bookmarkEnd w:id="4"/>
    </w:p>
    <w:p w14:paraId="232CD39D" w14:textId="67171540" w:rsidR="00EC4094" w:rsidRDefault="00EC4094" w:rsidP="00EC4094">
      <w:pPr>
        <w:rPr>
          <w:spacing w:val="-5"/>
        </w:rPr>
      </w:pPr>
      <w:proofErr w:type="spellStart"/>
      <w:r w:rsidRPr="00EC4094">
        <w:rPr>
          <w:spacing w:val="-5"/>
        </w:rPr>
        <w:t>Tēnā</w:t>
      </w:r>
      <w:proofErr w:type="spellEnd"/>
      <w:r w:rsidRPr="00EC4094">
        <w:rPr>
          <w:spacing w:val="-5"/>
        </w:rPr>
        <w:t xml:space="preserve"> koutou </w:t>
      </w:r>
      <w:proofErr w:type="spellStart"/>
      <w:r w:rsidRPr="00EC4094">
        <w:rPr>
          <w:spacing w:val="-5"/>
        </w:rPr>
        <w:t>katoa</w:t>
      </w:r>
      <w:proofErr w:type="spellEnd"/>
      <w:r w:rsidRPr="00EC4094">
        <w:rPr>
          <w:spacing w:val="-5"/>
        </w:rPr>
        <w:t xml:space="preserve"> </w:t>
      </w:r>
    </w:p>
    <w:p w14:paraId="7B972A10" w14:textId="77777777" w:rsidR="00EC4094" w:rsidRPr="00EC4094" w:rsidRDefault="00EC4094" w:rsidP="00EC4094">
      <w:pPr>
        <w:rPr>
          <w:spacing w:val="-5"/>
        </w:rPr>
      </w:pPr>
    </w:p>
    <w:p w14:paraId="09BEF020" w14:textId="6BEFD078" w:rsidR="00EC4094" w:rsidRDefault="00EC4094" w:rsidP="00EC4094">
      <w:pPr>
        <w:ind w:right="-285"/>
        <w:rPr>
          <w:spacing w:val="-5"/>
        </w:rPr>
      </w:pPr>
      <w:r w:rsidRPr="00EC4094">
        <w:rPr>
          <w:spacing w:val="-5"/>
        </w:rPr>
        <w:t>I am pleased to introduce the Health and Independence Report 2023, which offers a comprehensive overview of the state of public health in Aotearoa New Zealand for the 2023 calendar year. This report points to not only the progress we have made in many areas, but also the challenges we have encountered on our journey toward better health and wellbeing for all. </w:t>
      </w:r>
    </w:p>
    <w:p w14:paraId="31FA1918" w14:textId="77777777" w:rsidR="00EC4094" w:rsidRPr="00EC4094" w:rsidRDefault="00EC4094" w:rsidP="00EC4094">
      <w:pPr>
        <w:rPr>
          <w:spacing w:val="-5"/>
        </w:rPr>
      </w:pPr>
    </w:p>
    <w:p w14:paraId="6AEE3E34" w14:textId="41A2628C" w:rsidR="00EC4094" w:rsidRDefault="00EC4094" w:rsidP="00EC4094">
      <w:pPr>
        <w:rPr>
          <w:spacing w:val="-5"/>
        </w:rPr>
      </w:pPr>
      <w:r w:rsidRPr="00EC4094">
        <w:rPr>
          <w:spacing w:val="-5"/>
        </w:rPr>
        <w:t>The 2023 year saw the health system consolidating changes that will enable health care to be nationally planned, regionally delivered and locally tailored – so people get the right care at the right time and in the right place, delivered by the right people.</w:t>
      </w:r>
    </w:p>
    <w:p w14:paraId="7D0EB70A" w14:textId="62A18EC0" w:rsidR="00EC4094" w:rsidRPr="00EC4094" w:rsidRDefault="00EC4094" w:rsidP="00EC4094">
      <w:pPr>
        <w:rPr>
          <w:spacing w:val="-5"/>
        </w:rPr>
      </w:pPr>
      <w:r w:rsidRPr="00EC4094">
        <w:rPr>
          <w:spacing w:val="-5"/>
        </w:rPr>
        <w:t xml:space="preserve">  </w:t>
      </w:r>
    </w:p>
    <w:p w14:paraId="3890FC69" w14:textId="50D544A7" w:rsidR="00EC4094" w:rsidRDefault="00EC4094" w:rsidP="00EC4094">
      <w:pPr>
        <w:rPr>
          <w:spacing w:val="-5"/>
        </w:rPr>
      </w:pPr>
      <w:r w:rsidRPr="00EC4094">
        <w:rPr>
          <w:spacing w:val="-5"/>
        </w:rPr>
        <w:t>Within that process, the Ministry of Health – Manatū Hauora has a key role as the chief steward of health and the health system. We lead the system by supporting the Government to set the strategic direction and policy for health. The Government Policy Statement on Health 2024-27 outlines what the Government expects the health system to deliver, and how success will be measured and reported. It captures the Government’s priorities of access, timeliness, quality, workforce and infrastructure, and ties in with the Health Targets launched in February 2024.</w:t>
      </w:r>
    </w:p>
    <w:p w14:paraId="20B7ACF0" w14:textId="77777777" w:rsidR="00EC4094" w:rsidRPr="00EC4094" w:rsidRDefault="00EC4094" w:rsidP="00EC4094">
      <w:pPr>
        <w:rPr>
          <w:spacing w:val="-5"/>
        </w:rPr>
      </w:pPr>
    </w:p>
    <w:p w14:paraId="2D3012B3" w14:textId="181CD43E" w:rsidR="00EC4094" w:rsidRDefault="00EC4094" w:rsidP="00EC4094">
      <w:pPr>
        <w:rPr>
          <w:spacing w:val="-5"/>
        </w:rPr>
      </w:pPr>
      <w:r w:rsidRPr="00EC4094">
        <w:rPr>
          <w:spacing w:val="-5"/>
        </w:rPr>
        <w:t xml:space="preserve">The Ministry also plays an essential role in monitoring the health system, using data and evidence to drive performance and inform future planning. This report provides robust data to support us to both set the direction and monitor health system performance.  </w:t>
      </w:r>
    </w:p>
    <w:p w14:paraId="25071D20" w14:textId="77777777" w:rsidR="00EC4094" w:rsidRPr="00EC4094" w:rsidRDefault="00EC4094" w:rsidP="00EC4094">
      <w:pPr>
        <w:rPr>
          <w:spacing w:val="-5"/>
        </w:rPr>
      </w:pPr>
    </w:p>
    <w:p w14:paraId="284A2C9A" w14:textId="417226BD" w:rsidR="00EC4094" w:rsidRDefault="00EC4094" w:rsidP="00EC4094">
      <w:pPr>
        <w:rPr>
          <w:spacing w:val="-5"/>
        </w:rPr>
      </w:pPr>
      <w:r w:rsidRPr="00EC4094">
        <w:rPr>
          <w:spacing w:val="-5"/>
        </w:rPr>
        <w:t xml:space="preserve">The data also shows some New Zealanders are experiencing avoidable differences in health outcomes from the general population – particularly Māori, Pacific peoples, disabled people, and those living in lower-income households or areas of high socioeconomic deprivation. It is vital to acknowledge that such disparities persist within our communities. Ensuring that all New Zealanders can access high-quality health care when they need it remains a key focus for the health system.   </w:t>
      </w:r>
    </w:p>
    <w:p w14:paraId="5344F94D" w14:textId="77777777" w:rsidR="00EC4094" w:rsidRPr="00EC4094" w:rsidRDefault="00EC4094" w:rsidP="00EC4094">
      <w:pPr>
        <w:rPr>
          <w:spacing w:val="-5"/>
        </w:rPr>
      </w:pPr>
    </w:p>
    <w:p w14:paraId="409DE60A" w14:textId="1CF51CDC" w:rsidR="00EC4094" w:rsidRDefault="00EC4094" w:rsidP="00EC4094">
      <w:pPr>
        <w:rPr>
          <w:spacing w:val="-5"/>
        </w:rPr>
      </w:pPr>
      <w:r w:rsidRPr="00EC4094">
        <w:rPr>
          <w:spacing w:val="-5"/>
        </w:rPr>
        <w:t xml:space="preserve">To this end, we need robust data that we can use to design health services that support all New Zealanders to live well for longer. Our annual Health and Independence Reports contribute to this essential foundation of data underpinning our health system.  </w:t>
      </w:r>
    </w:p>
    <w:p w14:paraId="0260DB4C" w14:textId="77777777" w:rsidR="00EC4094" w:rsidRPr="00EC4094" w:rsidRDefault="00EC4094" w:rsidP="00EC4094">
      <w:pPr>
        <w:rPr>
          <w:spacing w:val="-5"/>
        </w:rPr>
      </w:pPr>
    </w:p>
    <w:p w14:paraId="048EDC29" w14:textId="58C9AF00" w:rsidR="00EC4094" w:rsidRDefault="00EC4094" w:rsidP="00EC4094">
      <w:pPr>
        <w:rPr>
          <w:spacing w:val="-5"/>
        </w:rPr>
      </w:pPr>
      <w:r w:rsidRPr="00EC4094">
        <w:rPr>
          <w:spacing w:val="-5"/>
        </w:rPr>
        <w:t xml:space="preserve">Importantly, I want to acknowledge the data in this report is much more than numbers, dots, and lines. It represents people’s real-life experiences and outcomes – something I never lose sight of. Across the health system, we are seeking to make life tangibly better for individuals, families, and communities.  </w:t>
      </w:r>
    </w:p>
    <w:p w14:paraId="4C4B7C47" w14:textId="77777777" w:rsidR="00EC4094" w:rsidRPr="00EC4094" w:rsidRDefault="00EC4094" w:rsidP="00EC4094">
      <w:pPr>
        <w:rPr>
          <w:spacing w:val="-5"/>
        </w:rPr>
      </w:pPr>
    </w:p>
    <w:p w14:paraId="77A0D227" w14:textId="77777777" w:rsidR="00EC4094" w:rsidRPr="00EC4094" w:rsidRDefault="00EC4094" w:rsidP="00EC4094">
      <w:pPr>
        <w:rPr>
          <w:spacing w:val="-5"/>
        </w:rPr>
      </w:pPr>
      <w:r w:rsidRPr="00EC4094">
        <w:rPr>
          <w:spacing w:val="-5"/>
        </w:rPr>
        <w:t xml:space="preserve">Finally, I extend my sincere thanks to all those working to enhance the health and wellbeing of the people living in Aotearoa New Zealand. It is my hope this report will be a valuable resource to support your work.  </w:t>
      </w:r>
    </w:p>
    <w:p w14:paraId="6FAB2A63" w14:textId="77777777" w:rsidR="00EC4094" w:rsidRPr="00EC4094" w:rsidRDefault="00EC4094" w:rsidP="00EC4094">
      <w:pPr>
        <w:rPr>
          <w:spacing w:val="-5"/>
        </w:rPr>
      </w:pPr>
    </w:p>
    <w:p w14:paraId="1485FA80" w14:textId="77777777" w:rsidR="00EC4094" w:rsidRPr="00EC4094" w:rsidRDefault="00EC4094" w:rsidP="00EC4094">
      <w:pPr>
        <w:rPr>
          <w:spacing w:val="-5"/>
        </w:rPr>
      </w:pPr>
      <w:proofErr w:type="spellStart"/>
      <w:r w:rsidRPr="00EC4094">
        <w:rPr>
          <w:spacing w:val="-5"/>
        </w:rPr>
        <w:t>Ngā</w:t>
      </w:r>
      <w:proofErr w:type="spellEnd"/>
      <w:r w:rsidRPr="00EC4094">
        <w:rPr>
          <w:spacing w:val="-5"/>
        </w:rPr>
        <w:t xml:space="preserve"> mihi </w:t>
      </w:r>
    </w:p>
    <w:p w14:paraId="34FB5404" w14:textId="77777777" w:rsidR="00EC4094" w:rsidRDefault="00EC4094" w:rsidP="00EC4094">
      <w:pPr>
        <w:rPr>
          <w:spacing w:val="-5"/>
        </w:rPr>
      </w:pPr>
      <w:r w:rsidRPr="00EC4094">
        <w:rPr>
          <w:spacing w:val="-5"/>
        </w:rPr>
        <w:t xml:space="preserve">Dr Diana </w:t>
      </w:r>
      <w:proofErr w:type="spellStart"/>
      <w:r w:rsidRPr="00EC4094">
        <w:rPr>
          <w:spacing w:val="-5"/>
        </w:rPr>
        <w:t>Sarfati</w:t>
      </w:r>
      <w:proofErr w:type="spellEnd"/>
      <w:r w:rsidRPr="00EC4094">
        <w:rPr>
          <w:spacing w:val="-5"/>
        </w:rPr>
        <w:t xml:space="preserve"> </w:t>
      </w:r>
    </w:p>
    <w:p w14:paraId="5A95B5EC" w14:textId="3A3F99C8" w:rsidR="009A42D5" w:rsidRDefault="00EC4094" w:rsidP="00EC4094">
      <w:r w:rsidRPr="00EC4094">
        <w:rPr>
          <w:spacing w:val="-5"/>
        </w:rPr>
        <w:t>Director-General of Health</w:t>
      </w:r>
    </w:p>
    <w:p w14:paraId="5558ECEF" w14:textId="77777777" w:rsidR="00571223" w:rsidRDefault="00571223" w:rsidP="0046362D">
      <w:pPr>
        <w:sectPr w:rsidR="00571223"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4BF2C5EE" w14:textId="77777777" w:rsidR="00EC4094" w:rsidRDefault="00EC4094" w:rsidP="00EC4094">
      <w:pPr>
        <w:pStyle w:val="Heading1"/>
      </w:pPr>
      <w:bookmarkStart w:id="5" w:name="_Toc171944511"/>
      <w:bookmarkStart w:id="6" w:name="_Toc172104651"/>
      <w:r>
        <w:lastRenderedPageBreak/>
        <w:t xml:space="preserve">He </w:t>
      </w:r>
      <w:proofErr w:type="spellStart"/>
      <w:r>
        <w:t>wāhinga</w:t>
      </w:r>
      <w:proofErr w:type="spellEnd"/>
      <w:r>
        <w:t xml:space="preserve"> kōrero</w:t>
      </w:r>
      <w:bookmarkEnd w:id="5"/>
      <w:bookmarkEnd w:id="6"/>
    </w:p>
    <w:p w14:paraId="3BA00797" w14:textId="77777777" w:rsidR="00EC4094" w:rsidRDefault="00EC4094" w:rsidP="00EC4094">
      <w:proofErr w:type="spellStart"/>
      <w:r>
        <w:t>Tēnā</w:t>
      </w:r>
      <w:proofErr w:type="spellEnd"/>
      <w:r>
        <w:t xml:space="preserve"> koutou </w:t>
      </w:r>
      <w:proofErr w:type="spellStart"/>
      <w:r>
        <w:t>katoa</w:t>
      </w:r>
      <w:proofErr w:type="spellEnd"/>
      <w:r>
        <w:t xml:space="preserve"> </w:t>
      </w:r>
    </w:p>
    <w:p w14:paraId="054FF451" w14:textId="77777777" w:rsidR="00EC4094" w:rsidRDefault="00EC4094" w:rsidP="00EC4094"/>
    <w:p w14:paraId="675C6D56" w14:textId="1B2EB794" w:rsidR="00EC4094" w:rsidRDefault="00EC4094" w:rsidP="00EC4094">
      <w:r>
        <w:t xml:space="preserve">E </w:t>
      </w:r>
      <w:proofErr w:type="spellStart"/>
      <w:r>
        <w:t>koa</w:t>
      </w:r>
      <w:proofErr w:type="spellEnd"/>
      <w:r>
        <w:t xml:space="preserve"> ana au ki </w:t>
      </w:r>
      <w:proofErr w:type="spellStart"/>
      <w:r>
        <w:t>te</w:t>
      </w:r>
      <w:proofErr w:type="spellEnd"/>
      <w:r>
        <w:t xml:space="preserve"> </w:t>
      </w:r>
      <w:proofErr w:type="spellStart"/>
      <w:r>
        <w:t>whakapuaki</w:t>
      </w:r>
      <w:proofErr w:type="spellEnd"/>
      <w:r>
        <w:t xml:space="preserve"> </w:t>
      </w:r>
      <w:proofErr w:type="spellStart"/>
      <w:r>
        <w:t>i</w:t>
      </w:r>
      <w:proofErr w:type="spellEnd"/>
      <w:r>
        <w:t xml:space="preserve"> </w:t>
      </w:r>
      <w:proofErr w:type="spellStart"/>
      <w:r>
        <w:t>te</w:t>
      </w:r>
      <w:proofErr w:type="spellEnd"/>
      <w:r>
        <w:t xml:space="preserve"> </w:t>
      </w:r>
      <w:proofErr w:type="spellStart"/>
      <w:r>
        <w:t>Pūrongo</w:t>
      </w:r>
      <w:proofErr w:type="spellEnd"/>
      <w:r>
        <w:t xml:space="preserve"> Hauora me </w:t>
      </w:r>
      <w:proofErr w:type="spellStart"/>
      <w:r>
        <w:t>te</w:t>
      </w:r>
      <w:proofErr w:type="spellEnd"/>
      <w:r>
        <w:t xml:space="preserve"> </w:t>
      </w:r>
      <w:proofErr w:type="spellStart"/>
      <w:r>
        <w:t>Tū</w:t>
      </w:r>
      <w:proofErr w:type="spellEnd"/>
      <w:r>
        <w:t xml:space="preserve"> Motuhake 2023, ka </w:t>
      </w:r>
      <w:proofErr w:type="spellStart"/>
      <w:r>
        <w:t>tuku</w:t>
      </w:r>
      <w:proofErr w:type="spellEnd"/>
      <w:r>
        <w:t xml:space="preserve"> </w:t>
      </w:r>
      <w:proofErr w:type="spellStart"/>
      <w:r>
        <w:t>i</w:t>
      </w:r>
      <w:proofErr w:type="spellEnd"/>
      <w:r>
        <w:t xml:space="preserve"> </w:t>
      </w:r>
      <w:proofErr w:type="spellStart"/>
      <w:r>
        <w:t>tētahi</w:t>
      </w:r>
      <w:proofErr w:type="spellEnd"/>
      <w:r>
        <w:t xml:space="preserve"> </w:t>
      </w:r>
      <w:proofErr w:type="spellStart"/>
      <w:r>
        <w:t>tirohanga</w:t>
      </w:r>
      <w:proofErr w:type="spellEnd"/>
      <w:r>
        <w:t xml:space="preserve"> </w:t>
      </w:r>
      <w:proofErr w:type="spellStart"/>
      <w:r>
        <w:t>whānui</w:t>
      </w:r>
      <w:proofErr w:type="spellEnd"/>
      <w:r>
        <w:t xml:space="preserve"> o </w:t>
      </w:r>
      <w:proofErr w:type="spellStart"/>
      <w:r>
        <w:t>te</w:t>
      </w:r>
      <w:proofErr w:type="spellEnd"/>
      <w:r>
        <w:t xml:space="preserve"> </w:t>
      </w:r>
      <w:proofErr w:type="spellStart"/>
      <w:r>
        <w:t>āhuatanga</w:t>
      </w:r>
      <w:proofErr w:type="spellEnd"/>
      <w:r>
        <w:t xml:space="preserve"> o </w:t>
      </w:r>
      <w:proofErr w:type="spellStart"/>
      <w:r>
        <w:t>te</w:t>
      </w:r>
      <w:proofErr w:type="spellEnd"/>
      <w:r>
        <w:t xml:space="preserve"> </w:t>
      </w:r>
      <w:proofErr w:type="spellStart"/>
      <w:r>
        <w:t>hauora</w:t>
      </w:r>
      <w:proofErr w:type="spellEnd"/>
      <w:r>
        <w:t xml:space="preserve"> </w:t>
      </w:r>
      <w:proofErr w:type="spellStart"/>
      <w:r>
        <w:t>tūmatanui</w:t>
      </w:r>
      <w:proofErr w:type="spellEnd"/>
      <w:r>
        <w:t xml:space="preserve"> </w:t>
      </w:r>
      <w:proofErr w:type="spellStart"/>
      <w:r>
        <w:t>i</w:t>
      </w:r>
      <w:proofErr w:type="spellEnd"/>
      <w:r>
        <w:t xml:space="preserve"> Aotearoa </w:t>
      </w:r>
      <w:proofErr w:type="spellStart"/>
      <w:r>
        <w:t>mō</w:t>
      </w:r>
      <w:proofErr w:type="spellEnd"/>
      <w:r>
        <w:t xml:space="preserve"> </w:t>
      </w:r>
      <w:proofErr w:type="spellStart"/>
      <w:r>
        <w:t>te</w:t>
      </w:r>
      <w:proofErr w:type="spellEnd"/>
      <w:r>
        <w:t xml:space="preserve"> tau </w:t>
      </w:r>
      <w:proofErr w:type="spellStart"/>
      <w:r>
        <w:t>maramataka</w:t>
      </w:r>
      <w:proofErr w:type="spellEnd"/>
      <w:r>
        <w:t xml:space="preserve">  2023. Ka kōrero </w:t>
      </w:r>
      <w:proofErr w:type="spellStart"/>
      <w:r>
        <w:t>tēnei</w:t>
      </w:r>
      <w:proofErr w:type="spellEnd"/>
      <w:r>
        <w:t xml:space="preserve"> </w:t>
      </w:r>
      <w:proofErr w:type="spellStart"/>
      <w:r>
        <w:t>pūrongo</w:t>
      </w:r>
      <w:proofErr w:type="spellEnd"/>
      <w:r>
        <w:t xml:space="preserve"> </w:t>
      </w:r>
      <w:proofErr w:type="spellStart"/>
      <w:r>
        <w:t>mō</w:t>
      </w:r>
      <w:proofErr w:type="spellEnd"/>
      <w:r>
        <w:t xml:space="preserve"> </w:t>
      </w:r>
      <w:proofErr w:type="spellStart"/>
      <w:r>
        <w:t>tō</w:t>
      </w:r>
      <w:proofErr w:type="spellEnd"/>
      <w:r>
        <w:t xml:space="preserve"> </w:t>
      </w:r>
      <w:proofErr w:type="spellStart"/>
      <w:r>
        <w:t>mātou</w:t>
      </w:r>
      <w:proofErr w:type="spellEnd"/>
      <w:r>
        <w:t xml:space="preserve"> </w:t>
      </w:r>
      <w:proofErr w:type="spellStart"/>
      <w:r>
        <w:t>koke</w:t>
      </w:r>
      <w:proofErr w:type="spellEnd"/>
      <w:r>
        <w:t xml:space="preserve"> </w:t>
      </w:r>
      <w:proofErr w:type="spellStart"/>
      <w:r>
        <w:t>whakamua</w:t>
      </w:r>
      <w:proofErr w:type="spellEnd"/>
      <w:r>
        <w:t xml:space="preserve"> ki </w:t>
      </w:r>
      <w:proofErr w:type="spellStart"/>
      <w:r>
        <w:t>ngā</w:t>
      </w:r>
      <w:proofErr w:type="spellEnd"/>
      <w:r>
        <w:t xml:space="preserve"> wāhi </w:t>
      </w:r>
      <w:proofErr w:type="spellStart"/>
      <w:r>
        <w:t>maha</w:t>
      </w:r>
      <w:proofErr w:type="spellEnd"/>
      <w:r>
        <w:t xml:space="preserve">, </w:t>
      </w:r>
      <w:proofErr w:type="spellStart"/>
      <w:r>
        <w:t>waihoki</w:t>
      </w:r>
      <w:proofErr w:type="spellEnd"/>
      <w:r>
        <w:t xml:space="preserve"> ka kōrero </w:t>
      </w:r>
      <w:proofErr w:type="spellStart"/>
      <w:r>
        <w:t>mō</w:t>
      </w:r>
      <w:proofErr w:type="spellEnd"/>
      <w:r>
        <w:t xml:space="preserve"> </w:t>
      </w:r>
      <w:proofErr w:type="spellStart"/>
      <w:r>
        <w:t>ngā</w:t>
      </w:r>
      <w:proofErr w:type="spellEnd"/>
      <w:r>
        <w:t xml:space="preserve"> wero </w:t>
      </w:r>
      <w:proofErr w:type="spellStart"/>
      <w:r>
        <w:t>i</w:t>
      </w:r>
      <w:proofErr w:type="spellEnd"/>
      <w:r>
        <w:t xml:space="preserve"> </w:t>
      </w:r>
      <w:proofErr w:type="spellStart"/>
      <w:r>
        <w:t>tūpono</w:t>
      </w:r>
      <w:proofErr w:type="spellEnd"/>
      <w:r>
        <w:t xml:space="preserve"> </w:t>
      </w:r>
      <w:proofErr w:type="spellStart"/>
      <w:r>
        <w:t>mātou</w:t>
      </w:r>
      <w:proofErr w:type="spellEnd"/>
      <w:r>
        <w:t xml:space="preserve"> </w:t>
      </w:r>
      <w:proofErr w:type="spellStart"/>
      <w:r>
        <w:t>i</w:t>
      </w:r>
      <w:proofErr w:type="spellEnd"/>
      <w:r>
        <w:t xml:space="preserve"> </w:t>
      </w:r>
      <w:proofErr w:type="spellStart"/>
      <w:r>
        <w:t>tō</w:t>
      </w:r>
      <w:proofErr w:type="spellEnd"/>
      <w:r>
        <w:t xml:space="preserve"> </w:t>
      </w:r>
      <w:proofErr w:type="spellStart"/>
      <w:r>
        <w:t>mātou</w:t>
      </w:r>
      <w:proofErr w:type="spellEnd"/>
      <w:r>
        <w:t xml:space="preserve"> </w:t>
      </w:r>
      <w:proofErr w:type="spellStart"/>
      <w:r>
        <w:t>haerenga</w:t>
      </w:r>
      <w:proofErr w:type="spellEnd"/>
      <w:r>
        <w:t xml:space="preserve"> ki </w:t>
      </w:r>
      <w:proofErr w:type="spellStart"/>
      <w:r>
        <w:t>te</w:t>
      </w:r>
      <w:proofErr w:type="spellEnd"/>
      <w:r>
        <w:t xml:space="preserve"> </w:t>
      </w:r>
      <w:proofErr w:type="spellStart"/>
      <w:r>
        <w:t>hauora</w:t>
      </w:r>
      <w:proofErr w:type="spellEnd"/>
      <w:r>
        <w:t xml:space="preserve"> me </w:t>
      </w:r>
      <w:proofErr w:type="spellStart"/>
      <w:r>
        <w:t>te</w:t>
      </w:r>
      <w:proofErr w:type="spellEnd"/>
      <w:r>
        <w:t xml:space="preserve"> </w:t>
      </w:r>
      <w:proofErr w:type="spellStart"/>
      <w:r>
        <w:t>oranga</w:t>
      </w:r>
      <w:proofErr w:type="spellEnd"/>
      <w:r>
        <w:t xml:space="preserve"> pai </w:t>
      </w:r>
      <w:proofErr w:type="spellStart"/>
      <w:r>
        <w:t>ake</w:t>
      </w:r>
      <w:proofErr w:type="spellEnd"/>
      <w:r>
        <w:t xml:space="preserve"> </w:t>
      </w:r>
      <w:proofErr w:type="spellStart"/>
      <w:r>
        <w:t>mā</w:t>
      </w:r>
      <w:proofErr w:type="spellEnd"/>
      <w:r>
        <w:t xml:space="preserve"> </w:t>
      </w:r>
      <w:proofErr w:type="spellStart"/>
      <w:r>
        <w:t>te</w:t>
      </w:r>
      <w:proofErr w:type="spellEnd"/>
      <w:r>
        <w:t xml:space="preserve"> </w:t>
      </w:r>
      <w:proofErr w:type="spellStart"/>
      <w:r>
        <w:t>katoa</w:t>
      </w:r>
      <w:proofErr w:type="spellEnd"/>
      <w:r>
        <w:t>. </w:t>
      </w:r>
    </w:p>
    <w:p w14:paraId="07DB009E" w14:textId="77777777" w:rsidR="00EC4094" w:rsidRDefault="00EC4094" w:rsidP="00EC4094"/>
    <w:p w14:paraId="5FDB78FF" w14:textId="07BBCF95" w:rsidR="00EC4094" w:rsidRDefault="00EC4094" w:rsidP="00EC4094">
      <w:r>
        <w:t xml:space="preserve">I </w:t>
      </w:r>
      <w:proofErr w:type="spellStart"/>
      <w:r>
        <w:t>te</w:t>
      </w:r>
      <w:proofErr w:type="spellEnd"/>
      <w:r>
        <w:t xml:space="preserve"> tau 2023 </w:t>
      </w:r>
      <w:proofErr w:type="spellStart"/>
      <w:r>
        <w:t>i</w:t>
      </w:r>
      <w:proofErr w:type="spellEnd"/>
      <w:r>
        <w:t xml:space="preserve"> </w:t>
      </w:r>
      <w:proofErr w:type="spellStart"/>
      <w:r>
        <w:t>kitea</w:t>
      </w:r>
      <w:proofErr w:type="spellEnd"/>
      <w:r>
        <w:t xml:space="preserve"> </w:t>
      </w:r>
      <w:proofErr w:type="spellStart"/>
      <w:r>
        <w:t>ngā</w:t>
      </w:r>
      <w:proofErr w:type="spellEnd"/>
      <w:r>
        <w:t xml:space="preserve"> </w:t>
      </w:r>
      <w:proofErr w:type="spellStart"/>
      <w:r>
        <w:t>panoni</w:t>
      </w:r>
      <w:proofErr w:type="spellEnd"/>
      <w:r>
        <w:t xml:space="preserve"> </w:t>
      </w:r>
      <w:proofErr w:type="spellStart"/>
      <w:r>
        <w:t>whakatōpū</w:t>
      </w:r>
      <w:proofErr w:type="spellEnd"/>
      <w:r>
        <w:t xml:space="preserve"> </w:t>
      </w:r>
      <w:proofErr w:type="spellStart"/>
      <w:r>
        <w:t>i</w:t>
      </w:r>
      <w:proofErr w:type="spellEnd"/>
      <w:r>
        <w:t xml:space="preserve"> roto </w:t>
      </w:r>
      <w:proofErr w:type="spellStart"/>
      <w:r>
        <w:t>i</w:t>
      </w:r>
      <w:proofErr w:type="spellEnd"/>
      <w:r>
        <w:t xml:space="preserve">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e </w:t>
      </w:r>
      <w:proofErr w:type="spellStart"/>
      <w:r>
        <w:t>taea</w:t>
      </w:r>
      <w:proofErr w:type="spellEnd"/>
      <w:r>
        <w:t xml:space="preserve"> ai </w:t>
      </w:r>
      <w:proofErr w:type="spellStart"/>
      <w:r>
        <w:t>te</w:t>
      </w:r>
      <w:proofErr w:type="spellEnd"/>
      <w:r>
        <w:t xml:space="preserve"> </w:t>
      </w:r>
      <w:proofErr w:type="spellStart"/>
      <w:r>
        <w:t>whakamahere</w:t>
      </w:r>
      <w:proofErr w:type="spellEnd"/>
      <w:r>
        <w:t xml:space="preserve"> ā-motu, </w:t>
      </w:r>
      <w:proofErr w:type="spellStart"/>
      <w:r>
        <w:t>te</w:t>
      </w:r>
      <w:proofErr w:type="spellEnd"/>
      <w:r>
        <w:t xml:space="preserve"> </w:t>
      </w:r>
      <w:proofErr w:type="spellStart"/>
      <w:r>
        <w:t>whakarato</w:t>
      </w:r>
      <w:proofErr w:type="spellEnd"/>
      <w:r>
        <w:t xml:space="preserve"> ā-</w:t>
      </w:r>
      <w:proofErr w:type="spellStart"/>
      <w:r>
        <w:t>takiwā</w:t>
      </w:r>
      <w:proofErr w:type="spellEnd"/>
      <w:r>
        <w:t xml:space="preserve">, me </w:t>
      </w:r>
      <w:proofErr w:type="spellStart"/>
      <w:r>
        <w:t>te</w:t>
      </w:r>
      <w:proofErr w:type="spellEnd"/>
      <w:r>
        <w:t xml:space="preserve"> </w:t>
      </w:r>
      <w:proofErr w:type="spellStart"/>
      <w:r>
        <w:t>whakahāngai</w:t>
      </w:r>
      <w:proofErr w:type="spellEnd"/>
      <w:r>
        <w:t xml:space="preserve"> ā-</w:t>
      </w:r>
      <w:proofErr w:type="spellStart"/>
      <w:r>
        <w:t>rohe</w:t>
      </w:r>
      <w:proofErr w:type="spellEnd"/>
      <w:r>
        <w:t xml:space="preserve"> </w:t>
      </w:r>
      <w:proofErr w:type="spellStart"/>
      <w:r>
        <w:t>te</w:t>
      </w:r>
      <w:proofErr w:type="spellEnd"/>
      <w:r>
        <w:t xml:space="preserve"> </w:t>
      </w:r>
      <w:proofErr w:type="spellStart"/>
      <w:r>
        <w:t>tiaki</w:t>
      </w:r>
      <w:proofErr w:type="spellEnd"/>
      <w:r>
        <w:t xml:space="preserve"> </w:t>
      </w:r>
      <w:proofErr w:type="spellStart"/>
      <w:r>
        <w:t>hauora</w:t>
      </w:r>
      <w:proofErr w:type="spellEnd"/>
      <w:r>
        <w:t xml:space="preserve"> – kia </w:t>
      </w:r>
      <w:proofErr w:type="spellStart"/>
      <w:r>
        <w:t>whiwhi</w:t>
      </w:r>
      <w:proofErr w:type="spellEnd"/>
      <w:r>
        <w:t xml:space="preserve"> </w:t>
      </w:r>
      <w:proofErr w:type="spellStart"/>
      <w:r>
        <w:t>ngā</w:t>
      </w:r>
      <w:proofErr w:type="spellEnd"/>
      <w:r>
        <w:t xml:space="preserve"> tāngata ki </w:t>
      </w:r>
      <w:proofErr w:type="spellStart"/>
      <w:r>
        <w:t>te</w:t>
      </w:r>
      <w:proofErr w:type="spellEnd"/>
      <w:r>
        <w:t xml:space="preserve"> </w:t>
      </w:r>
      <w:proofErr w:type="spellStart"/>
      <w:r>
        <w:t>tiakitanga</w:t>
      </w:r>
      <w:proofErr w:type="spellEnd"/>
      <w:r>
        <w:t xml:space="preserve"> tika </w:t>
      </w:r>
      <w:proofErr w:type="spellStart"/>
      <w:r>
        <w:t>i</w:t>
      </w:r>
      <w:proofErr w:type="spellEnd"/>
      <w:r>
        <w:t xml:space="preserve"> </w:t>
      </w:r>
      <w:proofErr w:type="spellStart"/>
      <w:r>
        <w:t>te</w:t>
      </w:r>
      <w:proofErr w:type="spellEnd"/>
      <w:r>
        <w:t xml:space="preserve"> </w:t>
      </w:r>
      <w:proofErr w:type="spellStart"/>
      <w:r>
        <w:t>wā</w:t>
      </w:r>
      <w:proofErr w:type="spellEnd"/>
      <w:r>
        <w:t xml:space="preserve"> tika, </w:t>
      </w:r>
      <w:proofErr w:type="spellStart"/>
      <w:r>
        <w:t>i</w:t>
      </w:r>
      <w:proofErr w:type="spellEnd"/>
      <w:r>
        <w:t xml:space="preserve"> </w:t>
      </w:r>
      <w:proofErr w:type="spellStart"/>
      <w:r>
        <w:t>te</w:t>
      </w:r>
      <w:proofErr w:type="spellEnd"/>
      <w:r>
        <w:t xml:space="preserve"> wāhi tika </w:t>
      </w:r>
      <w:proofErr w:type="spellStart"/>
      <w:r>
        <w:t>hoki</w:t>
      </w:r>
      <w:proofErr w:type="spellEnd"/>
      <w:r>
        <w:t xml:space="preserve">, e </w:t>
      </w:r>
      <w:proofErr w:type="spellStart"/>
      <w:r>
        <w:t>whakaratoa</w:t>
      </w:r>
      <w:proofErr w:type="spellEnd"/>
      <w:r>
        <w:t xml:space="preserve"> ana e </w:t>
      </w:r>
      <w:proofErr w:type="spellStart"/>
      <w:r>
        <w:t>ngā</w:t>
      </w:r>
      <w:proofErr w:type="spellEnd"/>
      <w:r>
        <w:t xml:space="preserve"> tāngata tika. </w:t>
      </w:r>
    </w:p>
    <w:p w14:paraId="397E0D31" w14:textId="77777777" w:rsidR="00EC4094" w:rsidRDefault="00EC4094" w:rsidP="00EC4094"/>
    <w:p w14:paraId="01BDB90A" w14:textId="33CCE459" w:rsidR="00EC4094" w:rsidRDefault="00EC4094" w:rsidP="00EC4094">
      <w:r>
        <w:t xml:space="preserve">I roto </w:t>
      </w:r>
      <w:proofErr w:type="spellStart"/>
      <w:r>
        <w:t>i</w:t>
      </w:r>
      <w:proofErr w:type="spellEnd"/>
      <w:r>
        <w:t xml:space="preserve"> </w:t>
      </w:r>
      <w:proofErr w:type="spellStart"/>
      <w:r>
        <w:t>taua</w:t>
      </w:r>
      <w:proofErr w:type="spellEnd"/>
      <w:r>
        <w:t xml:space="preserve"> </w:t>
      </w:r>
      <w:proofErr w:type="spellStart"/>
      <w:r>
        <w:t>tukanga</w:t>
      </w:r>
      <w:proofErr w:type="spellEnd"/>
      <w:r>
        <w:t xml:space="preserve">, he </w:t>
      </w:r>
      <w:proofErr w:type="spellStart"/>
      <w:r>
        <w:t>tūnga</w:t>
      </w:r>
      <w:proofErr w:type="spellEnd"/>
      <w:r>
        <w:t xml:space="preserve"> </w:t>
      </w:r>
      <w:proofErr w:type="spellStart"/>
      <w:r>
        <w:t>matua</w:t>
      </w:r>
      <w:proofErr w:type="spellEnd"/>
      <w:r>
        <w:t xml:space="preserve"> </w:t>
      </w:r>
      <w:proofErr w:type="spellStart"/>
      <w:r>
        <w:t>tō</w:t>
      </w:r>
      <w:proofErr w:type="spellEnd"/>
      <w:r>
        <w:t xml:space="preserve"> </w:t>
      </w:r>
      <w:proofErr w:type="spellStart"/>
      <w:r>
        <w:t>te</w:t>
      </w:r>
      <w:proofErr w:type="spellEnd"/>
      <w:r>
        <w:t xml:space="preserve"> Manatū Hauora </w:t>
      </w:r>
      <w:proofErr w:type="spellStart"/>
      <w:r>
        <w:t>hei</w:t>
      </w:r>
      <w:proofErr w:type="spellEnd"/>
      <w:r>
        <w:t xml:space="preserve"> </w:t>
      </w:r>
      <w:proofErr w:type="spellStart"/>
      <w:r>
        <w:t>tuari</w:t>
      </w:r>
      <w:proofErr w:type="spellEnd"/>
      <w:r>
        <w:t xml:space="preserve"> </w:t>
      </w:r>
      <w:proofErr w:type="spellStart"/>
      <w:r>
        <w:t>matua</w:t>
      </w:r>
      <w:proofErr w:type="spellEnd"/>
      <w:r>
        <w:t xml:space="preserve"> o </w:t>
      </w:r>
      <w:proofErr w:type="spellStart"/>
      <w:r>
        <w:t>te</w:t>
      </w:r>
      <w:proofErr w:type="spellEnd"/>
      <w:r>
        <w:t xml:space="preserve"> </w:t>
      </w:r>
      <w:proofErr w:type="spellStart"/>
      <w:r>
        <w:t>hauora</w:t>
      </w:r>
      <w:proofErr w:type="spellEnd"/>
      <w:r>
        <w:t xml:space="preserve"> me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E </w:t>
      </w:r>
      <w:proofErr w:type="spellStart"/>
      <w:r>
        <w:t>ārahi</w:t>
      </w:r>
      <w:proofErr w:type="spellEnd"/>
      <w:r>
        <w:t xml:space="preserve"> ana </w:t>
      </w:r>
      <w:proofErr w:type="spellStart"/>
      <w:r>
        <w:t>mātou</w:t>
      </w:r>
      <w:proofErr w:type="spellEnd"/>
      <w:r>
        <w:t xml:space="preserve"> </w:t>
      </w:r>
      <w:proofErr w:type="spellStart"/>
      <w:r>
        <w:t>i</w:t>
      </w:r>
      <w:proofErr w:type="spellEnd"/>
      <w:r>
        <w:t xml:space="preserve"> </w:t>
      </w:r>
      <w:proofErr w:type="spellStart"/>
      <w:r>
        <w:t>te</w:t>
      </w:r>
      <w:proofErr w:type="spellEnd"/>
      <w:r>
        <w:t xml:space="preserve"> </w:t>
      </w:r>
      <w:proofErr w:type="spellStart"/>
      <w:r>
        <w:t>pūnaha</w:t>
      </w:r>
      <w:proofErr w:type="spellEnd"/>
      <w:r>
        <w:t xml:space="preserve"> </w:t>
      </w:r>
      <w:proofErr w:type="spellStart"/>
      <w:r>
        <w:t>mā</w:t>
      </w:r>
      <w:proofErr w:type="spellEnd"/>
      <w:r>
        <w:t xml:space="preserve"> </w:t>
      </w:r>
      <w:proofErr w:type="spellStart"/>
      <w:r>
        <w:t>te</w:t>
      </w:r>
      <w:proofErr w:type="spellEnd"/>
      <w:r>
        <w:t xml:space="preserve"> </w:t>
      </w:r>
      <w:proofErr w:type="spellStart"/>
      <w:r>
        <w:t>tautoko</w:t>
      </w:r>
      <w:proofErr w:type="spellEnd"/>
      <w:r>
        <w:t xml:space="preserve"> </w:t>
      </w:r>
      <w:proofErr w:type="spellStart"/>
      <w:r>
        <w:t>i</w:t>
      </w:r>
      <w:proofErr w:type="spellEnd"/>
      <w:r>
        <w:t xml:space="preserve"> </w:t>
      </w:r>
      <w:proofErr w:type="spellStart"/>
      <w:r>
        <w:t>te</w:t>
      </w:r>
      <w:proofErr w:type="spellEnd"/>
      <w:r>
        <w:t xml:space="preserve"> Kāwanatanga kia </w:t>
      </w:r>
      <w:proofErr w:type="spellStart"/>
      <w:r>
        <w:t>whakarite</w:t>
      </w:r>
      <w:proofErr w:type="spellEnd"/>
      <w:r>
        <w:t xml:space="preserve"> </w:t>
      </w:r>
      <w:proofErr w:type="spellStart"/>
      <w:r>
        <w:t>i</w:t>
      </w:r>
      <w:proofErr w:type="spellEnd"/>
      <w:r>
        <w:t xml:space="preserve"> </w:t>
      </w:r>
      <w:proofErr w:type="spellStart"/>
      <w:r>
        <w:t>te</w:t>
      </w:r>
      <w:proofErr w:type="spellEnd"/>
      <w:r>
        <w:t xml:space="preserve"> </w:t>
      </w:r>
      <w:proofErr w:type="spellStart"/>
      <w:r>
        <w:t>ahunga</w:t>
      </w:r>
      <w:proofErr w:type="spellEnd"/>
      <w:r>
        <w:t xml:space="preserve"> </w:t>
      </w:r>
      <w:proofErr w:type="spellStart"/>
      <w:r>
        <w:t>rautaki</w:t>
      </w:r>
      <w:proofErr w:type="spellEnd"/>
      <w:r>
        <w:t xml:space="preserve"> me </w:t>
      </w:r>
      <w:proofErr w:type="spellStart"/>
      <w:r>
        <w:t>te</w:t>
      </w:r>
      <w:proofErr w:type="spellEnd"/>
      <w:r>
        <w:t xml:space="preserve"> </w:t>
      </w:r>
      <w:proofErr w:type="spellStart"/>
      <w:r>
        <w:t>kaupapahere</w:t>
      </w:r>
      <w:proofErr w:type="spellEnd"/>
      <w:r>
        <w:t xml:space="preserve"> </w:t>
      </w:r>
      <w:proofErr w:type="spellStart"/>
      <w:r>
        <w:t>rautaki</w:t>
      </w:r>
      <w:proofErr w:type="spellEnd"/>
      <w:r>
        <w:t xml:space="preserve"> </w:t>
      </w:r>
      <w:proofErr w:type="spellStart"/>
      <w:r>
        <w:t>mō</w:t>
      </w:r>
      <w:proofErr w:type="spellEnd"/>
      <w:r>
        <w:t xml:space="preserve"> </w:t>
      </w:r>
      <w:proofErr w:type="spellStart"/>
      <w:r>
        <w:t>te</w:t>
      </w:r>
      <w:proofErr w:type="spellEnd"/>
      <w:r>
        <w:t xml:space="preserve"> </w:t>
      </w:r>
      <w:proofErr w:type="spellStart"/>
      <w:r>
        <w:t>hauora</w:t>
      </w:r>
      <w:proofErr w:type="spellEnd"/>
      <w:r>
        <w:t xml:space="preserve">. E </w:t>
      </w:r>
      <w:proofErr w:type="spellStart"/>
      <w:r>
        <w:t>whakahua</w:t>
      </w:r>
      <w:proofErr w:type="spellEnd"/>
      <w:r>
        <w:t xml:space="preserve"> ana </w:t>
      </w:r>
      <w:proofErr w:type="spellStart"/>
      <w:r>
        <w:t>te</w:t>
      </w:r>
      <w:proofErr w:type="spellEnd"/>
      <w:r>
        <w:t xml:space="preserve"> </w:t>
      </w:r>
      <w:proofErr w:type="spellStart"/>
      <w:r>
        <w:t>Tauākī</w:t>
      </w:r>
      <w:proofErr w:type="spellEnd"/>
      <w:r>
        <w:t xml:space="preserve"> </w:t>
      </w:r>
      <w:proofErr w:type="spellStart"/>
      <w:r>
        <w:t>Kaupapahere</w:t>
      </w:r>
      <w:proofErr w:type="spellEnd"/>
      <w:r>
        <w:t xml:space="preserve"> a </w:t>
      </w:r>
      <w:proofErr w:type="spellStart"/>
      <w:r>
        <w:t>te</w:t>
      </w:r>
      <w:proofErr w:type="spellEnd"/>
      <w:r>
        <w:t xml:space="preserve"> Kāwanatanga </w:t>
      </w:r>
      <w:proofErr w:type="spellStart"/>
      <w:r>
        <w:t>mō</w:t>
      </w:r>
      <w:proofErr w:type="spellEnd"/>
      <w:r>
        <w:t xml:space="preserve"> </w:t>
      </w:r>
      <w:proofErr w:type="spellStart"/>
      <w:r>
        <w:t>te</w:t>
      </w:r>
      <w:proofErr w:type="spellEnd"/>
      <w:r>
        <w:t xml:space="preserve"> Hauora 2024-27 he aha </w:t>
      </w:r>
      <w:proofErr w:type="spellStart"/>
      <w:r>
        <w:t>te</w:t>
      </w:r>
      <w:proofErr w:type="spellEnd"/>
      <w:r>
        <w:t xml:space="preserve"> </w:t>
      </w:r>
      <w:proofErr w:type="spellStart"/>
      <w:r>
        <w:t>tūmanako</w:t>
      </w:r>
      <w:proofErr w:type="spellEnd"/>
      <w:r>
        <w:t xml:space="preserve"> o </w:t>
      </w:r>
      <w:proofErr w:type="spellStart"/>
      <w:r>
        <w:t>te</w:t>
      </w:r>
      <w:proofErr w:type="spellEnd"/>
      <w:r>
        <w:t xml:space="preserve"> Kāwanatanga kia </w:t>
      </w:r>
      <w:proofErr w:type="spellStart"/>
      <w:r>
        <w:t>whakaratoa</w:t>
      </w:r>
      <w:proofErr w:type="spellEnd"/>
      <w:r>
        <w:t xml:space="preserve"> e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ā, me </w:t>
      </w:r>
      <w:proofErr w:type="spellStart"/>
      <w:r>
        <w:t>pēhea</w:t>
      </w:r>
      <w:proofErr w:type="spellEnd"/>
      <w:r>
        <w:t xml:space="preserve"> </w:t>
      </w:r>
      <w:proofErr w:type="spellStart"/>
      <w:r>
        <w:t>te</w:t>
      </w:r>
      <w:proofErr w:type="spellEnd"/>
      <w:r>
        <w:t xml:space="preserve"> </w:t>
      </w:r>
      <w:proofErr w:type="spellStart"/>
      <w:r>
        <w:t>angitu</w:t>
      </w:r>
      <w:proofErr w:type="spellEnd"/>
      <w:r>
        <w:t xml:space="preserve"> e </w:t>
      </w:r>
      <w:proofErr w:type="spellStart"/>
      <w:r>
        <w:t>inea</w:t>
      </w:r>
      <w:proofErr w:type="spellEnd"/>
      <w:r>
        <w:t xml:space="preserve"> ai, e </w:t>
      </w:r>
      <w:proofErr w:type="spellStart"/>
      <w:r>
        <w:t>pūrongohia</w:t>
      </w:r>
      <w:proofErr w:type="spellEnd"/>
      <w:r>
        <w:t xml:space="preserve"> ai </w:t>
      </w:r>
      <w:proofErr w:type="spellStart"/>
      <w:r>
        <w:t>hoki</w:t>
      </w:r>
      <w:proofErr w:type="spellEnd"/>
      <w:r>
        <w:t xml:space="preserve">. E </w:t>
      </w:r>
      <w:proofErr w:type="spellStart"/>
      <w:r>
        <w:t>whakatinana</w:t>
      </w:r>
      <w:proofErr w:type="spellEnd"/>
      <w:r>
        <w:t xml:space="preserve"> ana </w:t>
      </w:r>
      <w:proofErr w:type="spellStart"/>
      <w:r>
        <w:t>tēnei</w:t>
      </w:r>
      <w:proofErr w:type="spellEnd"/>
      <w:r>
        <w:t xml:space="preserve"> </w:t>
      </w:r>
      <w:proofErr w:type="spellStart"/>
      <w:r>
        <w:t>i</w:t>
      </w:r>
      <w:proofErr w:type="spellEnd"/>
      <w:r>
        <w:t xml:space="preserve"> </w:t>
      </w:r>
      <w:proofErr w:type="spellStart"/>
      <w:r>
        <w:t>ngā</w:t>
      </w:r>
      <w:proofErr w:type="spellEnd"/>
      <w:r>
        <w:t xml:space="preserve"> </w:t>
      </w:r>
      <w:proofErr w:type="spellStart"/>
      <w:r>
        <w:t>whakaarotau</w:t>
      </w:r>
      <w:proofErr w:type="spellEnd"/>
      <w:r>
        <w:t xml:space="preserve"> Kāwanatanga o </w:t>
      </w:r>
      <w:proofErr w:type="spellStart"/>
      <w:r>
        <w:t>te</w:t>
      </w:r>
      <w:proofErr w:type="spellEnd"/>
      <w:r>
        <w:t xml:space="preserve"> </w:t>
      </w:r>
      <w:proofErr w:type="spellStart"/>
      <w:r>
        <w:t>āhei</w:t>
      </w:r>
      <w:proofErr w:type="spellEnd"/>
      <w:r>
        <w:t xml:space="preserve">, </w:t>
      </w:r>
      <w:proofErr w:type="spellStart"/>
      <w:r>
        <w:t>te</w:t>
      </w:r>
      <w:proofErr w:type="spellEnd"/>
      <w:r>
        <w:t xml:space="preserve"> </w:t>
      </w:r>
      <w:proofErr w:type="spellStart"/>
      <w:r>
        <w:t>wā</w:t>
      </w:r>
      <w:proofErr w:type="spellEnd"/>
      <w:r>
        <w:t xml:space="preserve"> tika, </w:t>
      </w:r>
      <w:proofErr w:type="spellStart"/>
      <w:r>
        <w:t>te</w:t>
      </w:r>
      <w:proofErr w:type="spellEnd"/>
      <w:r>
        <w:t xml:space="preserve"> </w:t>
      </w:r>
      <w:proofErr w:type="spellStart"/>
      <w:r>
        <w:t>kounga</w:t>
      </w:r>
      <w:proofErr w:type="spellEnd"/>
      <w:r>
        <w:t xml:space="preserve">, </w:t>
      </w:r>
      <w:proofErr w:type="spellStart"/>
      <w:r>
        <w:t>te</w:t>
      </w:r>
      <w:proofErr w:type="spellEnd"/>
      <w:r>
        <w:t xml:space="preserve"> </w:t>
      </w:r>
      <w:proofErr w:type="spellStart"/>
      <w:r>
        <w:t>rāngai</w:t>
      </w:r>
      <w:proofErr w:type="spellEnd"/>
      <w:r>
        <w:t xml:space="preserve"> mahi, me </w:t>
      </w:r>
      <w:proofErr w:type="spellStart"/>
      <w:r>
        <w:t>te</w:t>
      </w:r>
      <w:proofErr w:type="spellEnd"/>
      <w:r>
        <w:t xml:space="preserve"> </w:t>
      </w:r>
      <w:proofErr w:type="spellStart"/>
      <w:r>
        <w:t>tūāhanga</w:t>
      </w:r>
      <w:proofErr w:type="spellEnd"/>
      <w:r>
        <w:t xml:space="preserve">, ā, e </w:t>
      </w:r>
      <w:proofErr w:type="spellStart"/>
      <w:r>
        <w:t>tūhono</w:t>
      </w:r>
      <w:proofErr w:type="spellEnd"/>
      <w:r>
        <w:t xml:space="preserve"> ana </w:t>
      </w:r>
      <w:proofErr w:type="spellStart"/>
      <w:r>
        <w:t>hoki</w:t>
      </w:r>
      <w:proofErr w:type="spellEnd"/>
      <w:r>
        <w:t xml:space="preserve"> ki </w:t>
      </w:r>
      <w:proofErr w:type="spellStart"/>
      <w:r>
        <w:t>ngā</w:t>
      </w:r>
      <w:proofErr w:type="spellEnd"/>
      <w:r>
        <w:t xml:space="preserve"> </w:t>
      </w:r>
      <w:proofErr w:type="spellStart"/>
      <w:r>
        <w:t>Whāinga</w:t>
      </w:r>
      <w:proofErr w:type="spellEnd"/>
      <w:r>
        <w:t xml:space="preserve"> Hauora </w:t>
      </w:r>
      <w:proofErr w:type="spellStart"/>
      <w:r>
        <w:t>i</w:t>
      </w:r>
      <w:proofErr w:type="spellEnd"/>
      <w:r>
        <w:t xml:space="preserve"> </w:t>
      </w:r>
      <w:proofErr w:type="spellStart"/>
      <w:r>
        <w:t>whakarewahia</w:t>
      </w:r>
      <w:proofErr w:type="spellEnd"/>
      <w:r>
        <w:t xml:space="preserve"> </w:t>
      </w:r>
      <w:proofErr w:type="spellStart"/>
      <w:r>
        <w:t>i</w:t>
      </w:r>
      <w:proofErr w:type="spellEnd"/>
      <w:r>
        <w:t xml:space="preserve"> </w:t>
      </w:r>
      <w:proofErr w:type="spellStart"/>
      <w:r>
        <w:t>te</w:t>
      </w:r>
      <w:proofErr w:type="spellEnd"/>
      <w:r>
        <w:t xml:space="preserve"> </w:t>
      </w:r>
      <w:proofErr w:type="spellStart"/>
      <w:r>
        <w:t>Pēpuere</w:t>
      </w:r>
      <w:proofErr w:type="spellEnd"/>
      <w:r>
        <w:t xml:space="preserve"> o 2024.  </w:t>
      </w:r>
    </w:p>
    <w:p w14:paraId="5660F21D" w14:textId="77777777" w:rsidR="00EC4094" w:rsidRDefault="00EC4094" w:rsidP="00EC4094"/>
    <w:p w14:paraId="66706569" w14:textId="60351CD2" w:rsidR="00EC4094" w:rsidRDefault="00EC4094" w:rsidP="00EC4094">
      <w:r>
        <w:t xml:space="preserve">He </w:t>
      </w:r>
      <w:proofErr w:type="spellStart"/>
      <w:r>
        <w:t>tūnga</w:t>
      </w:r>
      <w:proofErr w:type="spellEnd"/>
      <w:r>
        <w:t xml:space="preserve"> </w:t>
      </w:r>
      <w:proofErr w:type="spellStart"/>
      <w:r>
        <w:t>waiwai</w:t>
      </w:r>
      <w:proofErr w:type="spellEnd"/>
      <w:r>
        <w:t xml:space="preserve"> </w:t>
      </w:r>
      <w:proofErr w:type="spellStart"/>
      <w:r>
        <w:t>hoki</w:t>
      </w:r>
      <w:proofErr w:type="spellEnd"/>
      <w:r>
        <w:t xml:space="preserve"> </w:t>
      </w:r>
      <w:proofErr w:type="spellStart"/>
      <w:r>
        <w:t>tō</w:t>
      </w:r>
      <w:proofErr w:type="spellEnd"/>
      <w:r>
        <w:t xml:space="preserve"> </w:t>
      </w:r>
      <w:proofErr w:type="spellStart"/>
      <w:r>
        <w:t>te</w:t>
      </w:r>
      <w:proofErr w:type="spellEnd"/>
      <w:r>
        <w:t xml:space="preserve"> Manatū Hauora ki </w:t>
      </w:r>
      <w:proofErr w:type="spellStart"/>
      <w:r>
        <w:t>te</w:t>
      </w:r>
      <w:proofErr w:type="spellEnd"/>
      <w:r>
        <w:t xml:space="preserve"> </w:t>
      </w:r>
      <w:proofErr w:type="spellStart"/>
      <w:r>
        <w:t>aroturuki</w:t>
      </w:r>
      <w:proofErr w:type="spellEnd"/>
      <w:r>
        <w:t xml:space="preserve"> </w:t>
      </w:r>
      <w:proofErr w:type="spellStart"/>
      <w:r>
        <w:t>i</w:t>
      </w:r>
      <w:proofErr w:type="spellEnd"/>
      <w:r>
        <w:t xml:space="preserve">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e </w:t>
      </w:r>
      <w:proofErr w:type="spellStart"/>
      <w:r>
        <w:t>whakamahi</w:t>
      </w:r>
      <w:proofErr w:type="spellEnd"/>
      <w:r>
        <w:t xml:space="preserve"> ana </w:t>
      </w:r>
      <w:proofErr w:type="spellStart"/>
      <w:r>
        <w:t>i</w:t>
      </w:r>
      <w:proofErr w:type="spellEnd"/>
      <w:r>
        <w:t xml:space="preserve"> </w:t>
      </w:r>
      <w:proofErr w:type="spellStart"/>
      <w:r>
        <w:t>te</w:t>
      </w:r>
      <w:proofErr w:type="spellEnd"/>
      <w:r>
        <w:t xml:space="preserve"> </w:t>
      </w:r>
      <w:proofErr w:type="spellStart"/>
      <w:r>
        <w:t>raraunga</w:t>
      </w:r>
      <w:proofErr w:type="spellEnd"/>
      <w:r>
        <w:t xml:space="preserve"> me </w:t>
      </w:r>
      <w:proofErr w:type="spellStart"/>
      <w:r>
        <w:t>te</w:t>
      </w:r>
      <w:proofErr w:type="spellEnd"/>
      <w:r>
        <w:t xml:space="preserve"> </w:t>
      </w:r>
      <w:proofErr w:type="spellStart"/>
      <w:r>
        <w:t>taunakitanga</w:t>
      </w:r>
      <w:proofErr w:type="spellEnd"/>
      <w:r>
        <w:t xml:space="preserve"> kia </w:t>
      </w:r>
      <w:proofErr w:type="spellStart"/>
      <w:r>
        <w:t>kōkiri</w:t>
      </w:r>
      <w:proofErr w:type="spellEnd"/>
      <w:r>
        <w:t xml:space="preserve"> </w:t>
      </w:r>
      <w:proofErr w:type="spellStart"/>
      <w:r>
        <w:t>i</w:t>
      </w:r>
      <w:proofErr w:type="spellEnd"/>
      <w:r>
        <w:t xml:space="preserve"> </w:t>
      </w:r>
      <w:proofErr w:type="spellStart"/>
      <w:r>
        <w:t>te</w:t>
      </w:r>
      <w:proofErr w:type="spellEnd"/>
      <w:r>
        <w:t xml:space="preserve"> </w:t>
      </w:r>
      <w:proofErr w:type="spellStart"/>
      <w:r>
        <w:t>tutukinga</w:t>
      </w:r>
      <w:proofErr w:type="spellEnd"/>
      <w:r>
        <w:t xml:space="preserve">, kia </w:t>
      </w:r>
      <w:proofErr w:type="spellStart"/>
      <w:r>
        <w:t>whai</w:t>
      </w:r>
      <w:proofErr w:type="spellEnd"/>
      <w:r>
        <w:t xml:space="preserve"> </w:t>
      </w:r>
      <w:proofErr w:type="spellStart"/>
      <w:r>
        <w:t>mōhio</w:t>
      </w:r>
      <w:proofErr w:type="spellEnd"/>
      <w:r>
        <w:t xml:space="preserve"> </w:t>
      </w:r>
      <w:proofErr w:type="spellStart"/>
      <w:r>
        <w:t>hoki</w:t>
      </w:r>
      <w:proofErr w:type="spellEnd"/>
      <w:r>
        <w:t xml:space="preserve"> </w:t>
      </w:r>
      <w:proofErr w:type="spellStart"/>
      <w:r>
        <w:t>te</w:t>
      </w:r>
      <w:proofErr w:type="spellEnd"/>
      <w:r>
        <w:t xml:space="preserve"> </w:t>
      </w:r>
      <w:proofErr w:type="spellStart"/>
      <w:r>
        <w:t>whakamahere</w:t>
      </w:r>
      <w:proofErr w:type="spellEnd"/>
      <w:r>
        <w:t xml:space="preserve"> </w:t>
      </w:r>
      <w:proofErr w:type="spellStart"/>
      <w:r>
        <w:t>anamata</w:t>
      </w:r>
      <w:proofErr w:type="spellEnd"/>
      <w:r>
        <w:t xml:space="preserve">. E </w:t>
      </w:r>
      <w:proofErr w:type="spellStart"/>
      <w:r>
        <w:t>whakarato</w:t>
      </w:r>
      <w:proofErr w:type="spellEnd"/>
      <w:r>
        <w:t xml:space="preserve"> ana </w:t>
      </w:r>
      <w:proofErr w:type="spellStart"/>
      <w:r>
        <w:t>tēnei</w:t>
      </w:r>
      <w:proofErr w:type="spellEnd"/>
      <w:r>
        <w:t xml:space="preserve"> </w:t>
      </w:r>
      <w:proofErr w:type="spellStart"/>
      <w:r>
        <w:t>pūrongo</w:t>
      </w:r>
      <w:proofErr w:type="spellEnd"/>
      <w:r>
        <w:t xml:space="preserve"> </w:t>
      </w:r>
      <w:proofErr w:type="spellStart"/>
      <w:r>
        <w:t>i</w:t>
      </w:r>
      <w:proofErr w:type="spellEnd"/>
      <w:r>
        <w:t xml:space="preserve"> </w:t>
      </w:r>
      <w:proofErr w:type="spellStart"/>
      <w:r>
        <w:t>te</w:t>
      </w:r>
      <w:proofErr w:type="spellEnd"/>
      <w:r>
        <w:t xml:space="preserve"> </w:t>
      </w:r>
      <w:proofErr w:type="spellStart"/>
      <w:r>
        <w:t>raraunga</w:t>
      </w:r>
      <w:proofErr w:type="spellEnd"/>
      <w:r>
        <w:t xml:space="preserve"> </w:t>
      </w:r>
      <w:proofErr w:type="spellStart"/>
      <w:r>
        <w:t>pakari</w:t>
      </w:r>
      <w:proofErr w:type="spellEnd"/>
      <w:r>
        <w:t xml:space="preserve"> </w:t>
      </w:r>
      <w:proofErr w:type="spellStart"/>
      <w:r>
        <w:t>hei</w:t>
      </w:r>
      <w:proofErr w:type="spellEnd"/>
      <w:r>
        <w:t xml:space="preserve"> </w:t>
      </w:r>
      <w:proofErr w:type="spellStart"/>
      <w:r>
        <w:t>tautoko</w:t>
      </w:r>
      <w:proofErr w:type="spellEnd"/>
      <w:r>
        <w:t xml:space="preserve"> </w:t>
      </w:r>
      <w:proofErr w:type="spellStart"/>
      <w:r>
        <w:t>i</w:t>
      </w:r>
      <w:proofErr w:type="spellEnd"/>
      <w:r>
        <w:t xml:space="preserve"> </w:t>
      </w:r>
      <w:proofErr w:type="spellStart"/>
      <w:r>
        <w:t>tā</w:t>
      </w:r>
      <w:proofErr w:type="spellEnd"/>
      <w:r>
        <w:t xml:space="preserve"> </w:t>
      </w:r>
      <w:proofErr w:type="spellStart"/>
      <w:r>
        <w:t>mātou</w:t>
      </w:r>
      <w:proofErr w:type="spellEnd"/>
      <w:r>
        <w:t xml:space="preserve"> </w:t>
      </w:r>
      <w:proofErr w:type="spellStart"/>
      <w:r>
        <w:t>whakarite</w:t>
      </w:r>
      <w:proofErr w:type="spellEnd"/>
      <w:r>
        <w:t xml:space="preserve"> </w:t>
      </w:r>
      <w:proofErr w:type="spellStart"/>
      <w:r>
        <w:t>i</w:t>
      </w:r>
      <w:proofErr w:type="spellEnd"/>
      <w:r>
        <w:t xml:space="preserve"> </w:t>
      </w:r>
      <w:proofErr w:type="spellStart"/>
      <w:r>
        <w:t>te</w:t>
      </w:r>
      <w:proofErr w:type="spellEnd"/>
      <w:r>
        <w:t xml:space="preserve"> </w:t>
      </w:r>
      <w:proofErr w:type="spellStart"/>
      <w:r>
        <w:t>ahunga</w:t>
      </w:r>
      <w:proofErr w:type="spellEnd"/>
      <w:r>
        <w:t xml:space="preserve"> me </w:t>
      </w:r>
      <w:proofErr w:type="spellStart"/>
      <w:r>
        <w:t>te</w:t>
      </w:r>
      <w:proofErr w:type="spellEnd"/>
      <w:r>
        <w:t xml:space="preserve"> </w:t>
      </w:r>
      <w:proofErr w:type="spellStart"/>
      <w:r>
        <w:t>aroturuki</w:t>
      </w:r>
      <w:proofErr w:type="spellEnd"/>
      <w:r>
        <w:t xml:space="preserve"> </w:t>
      </w:r>
      <w:proofErr w:type="spellStart"/>
      <w:r>
        <w:t>i</w:t>
      </w:r>
      <w:proofErr w:type="spellEnd"/>
      <w:r>
        <w:t xml:space="preserve"> </w:t>
      </w:r>
      <w:proofErr w:type="spellStart"/>
      <w:r>
        <w:t>te</w:t>
      </w:r>
      <w:proofErr w:type="spellEnd"/>
      <w:r>
        <w:t xml:space="preserve"> </w:t>
      </w:r>
      <w:proofErr w:type="spellStart"/>
      <w:r>
        <w:t>tutukinga</w:t>
      </w:r>
      <w:proofErr w:type="spellEnd"/>
      <w:r>
        <w:t xml:space="preserve"> </w:t>
      </w:r>
      <w:proofErr w:type="spellStart"/>
      <w:r>
        <w:t>pūnaha</w:t>
      </w:r>
      <w:proofErr w:type="spellEnd"/>
      <w:r>
        <w:t xml:space="preserve"> </w:t>
      </w:r>
      <w:proofErr w:type="spellStart"/>
      <w:r>
        <w:t>hauora</w:t>
      </w:r>
      <w:proofErr w:type="spellEnd"/>
      <w:r>
        <w:t xml:space="preserve"> </w:t>
      </w:r>
      <w:proofErr w:type="spellStart"/>
      <w:r>
        <w:t>hoki</w:t>
      </w:r>
      <w:proofErr w:type="spellEnd"/>
      <w:r>
        <w:t>. </w:t>
      </w:r>
    </w:p>
    <w:p w14:paraId="709F9FC5" w14:textId="77777777" w:rsidR="00EC4094" w:rsidRDefault="00EC4094" w:rsidP="00EC4094"/>
    <w:p w14:paraId="00EF5082" w14:textId="36C12F98" w:rsidR="00EC4094" w:rsidRDefault="00EC4094" w:rsidP="00EC4094">
      <w:r>
        <w:t xml:space="preserve">E </w:t>
      </w:r>
      <w:proofErr w:type="spellStart"/>
      <w:r>
        <w:t>whakaatu</w:t>
      </w:r>
      <w:proofErr w:type="spellEnd"/>
      <w:r>
        <w:t xml:space="preserve"> ana </w:t>
      </w:r>
      <w:proofErr w:type="spellStart"/>
      <w:r>
        <w:t>hoki</w:t>
      </w:r>
      <w:proofErr w:type="spellEnd"/>
      <w:r>
        <w:t xml:space="preserve"> </w:t>
      </w:r>
      <w:proofErr w:type="spellStart"/>
      <w:r>
        <w:t>te</w:t>
      </w:r>
      <w:proofErr w:type="spellEnd"/>
      <w:r>
        <w:t xml:space="preserve"> </w:t>
      </w:r>
      <w:proofErr w:type="spellStart"/>
      <w:r>
        <w:t>raraunga</w:t>
      </w:r>
      <w:proofErr w:type="spellEnd"/>
      <w:r>
        <w:t xml:space="preserve"> </w:t>
      </w:r>
      <w:proofErr w:type="spellStart"/>
      <w:r>
        <w:t>i</w:t>
      </w:r>
      <w:proofErr w:type="spellEnd"/>
      <w:r>
        <w:t xml:space="preserve"> </w:t>
      </w:r>
      <w:proofErr w:type="spellStart"/>
      <w:r>
        <w:t>te</w:t>
      </w:r>
      <w:proofErr w:type="spellEnd"/>
      <w:r>
        <w:t xml:space="preserve"> </w:t>
      </w:r>
      <w:proofErr w:type="spellStart"/>
      <w:r>
        <w:t>wheako</w:t>
      </w:r>
      <w:proofErr w:type="spellEnd"/>
      <w:r>
        <w:t xml:space="preserve"> o </w:t>
      </w:r>
      <w:proofErr w:type="spellStart"/>
      <w:r>
        <w:t>ētahi</w:t>
      </w:r>
      <w:proofErr w:type="spellEnd"/>
      <w:r>
        <w:t xml:space="preserve"> tāngata </w:t>
      </w:r>
      <w:proofErr w:type="spellStart"/>
      <w:r>
        <w:t>nō</w:t>
      </w:r>
      <w:proofErr w:type="spellEnd"/>
      <w:r>
        <w:t xml:space="preserve"> Aotearoa ki </w:t>
      </w:r>
      <w:proofErr w:type="spellStart"/>
      <w:r>
        <w:t>ngā</w:t>
      </w:r>
      <w:proofErr w:type="spellEnd"/>
      <w:r>
        <w:t xml:space="preserve"> </w:t>
      </w:r>
      <w:proofErr w:type="spellStart"/>
      <w:r>
        <w:t>putanga</w:t>
      </w:r>
      <w:proofErr w:type="spellEnd"/>
      <w:r>
        <w:t xml:space="preserve"> </w:t>
      </w:r>
      <w:proofErr w:type="spellStart"/>
      <w:r>
        <w:t>hauora</w:t>
      </w:r>
      <w:proofErr w:type="spellEnd"/>
      <w:r>
        <w:t xml:space="preserve"> e </w:t>
      </w:r>
      <w:proofErr w:type="spellStart"/>
      <w:r>
        <w:t>rerekē</w:t>
      </w:r>
      <w:proofErr w:type="spellEnd"/>
      <w:r>
        <w:t xml:space="preserve"> ana </w:t>
      </w:r>
      <w:proofErr w:type="spellStart"/>
      <w:r>
        <w:t>i</w:t>
      </w:r>
      <w:proofErr w:type="spellEnd"/>
      <w:r>
        <w:t xml:space="preserve"> ō </w:t>
      </w:r>
      <w:proofErr w:type="spellStart"/>
      <w:r>
        <w:t>te</w:t>
      </w:r>
      <w:proofErr w:type="spellEnd"/>
      <w:r>
        <w:t xml:space="preserve"> </w:t>
      </w:r>
      <w:proofErr w:type="spellStart"/>
      <w:r>
        <w:t>taupori</w:t>
      </w:r>
      <w:proofErr w:type="spellEnd"/>
      <w:r>
        <w:t xml:space="preserve"> </w:t>
      </w:r>
      <w:proofErr w:type="spellStart"/>
      <w:r>
        <w:t>whānui</w:t>
      </w:r>
      <w:proofErr w:type="spellEnd"/>
      <w:r>
        <w:t xml:space="preserve"> e </w:t>
      </w:r>
      <w:proofErr w:type="spellStart"/>
      <w:r>
        <w:t>taea</w:t>
      </w:r>
      <w:proofErr w:type="spellEnd"/>
      <w:r>
        <w:t xml:space="preserve"> ai </w:t>
      </w:r>
      <w:proofErr w:type="spellStart"/>
      <w:r>
        <w:t>te</w:t>
      </w:r>
      <w:proofErr w:type="spellEnd"/>
      <w:r>
        <w:t xml:space="preserve"> karo – </w:t>
      </w:r>
      <w:proofErr w:type="spellStart"/>
      <w:r>
        <w:t>otirā</w:t>
      </w:r>
      <w:proofErr w:type="spellEnd"/>
      <w:r>
        <w:t xml:space="preserve"> </w:t>
      </w:r>
      <w:proofErr w:type="spellStart"/>
      <w:r>
        <w:t>ngāi</w:t>
      </w:r>
      <w:proofErr w:type="spellEnd"/>
      <w:r>
        <w:t xml:space="preserve"> Māori, </w:t>
      </w:r>
      <w:proofErr w:type="spellStart"/>
      <w:r>
        <w:t>ngā</w:t>
      </w:r>
      <w:proofErr w:type="spellEnd"/>
      <w:r>
        <w:t xml:space="preserve"> tāngata </w:t>
      </w:r>
      <w:proofErr w:type="spellStart"/>
      <w:r>
        <w:t>nō</w:t>
      </w:r>
      <w:proofErr w:type="spellEnd"/>
      <w:r>
        <w:t xml:space="preserve"> </w:t>
      </w:r>
      <w:proofErr w:type="spellStart"/>
      <w:r>
        <w:t>te</w:t>
      </w:r>
      <w:proofErr w:type="spellEnd"/>
      <w:r>
        <w:t xml:space="preserve"> Moana-</w:t>
      </w:r>
      <w:proofErr w:type="spellStart"/>
      <w:r>
        <w:t>nui</w:t>
      </w:r>
      <w:proofErr w:type="spellEnd"/>
      <w:r>
        <w:t>-a-</w:t>
      </w:r>
      <w:proofErr w:type="spellStart"/>
      <w:r>
        <w:t>Kiwa</w:t>
      </w:r>
      <w:proofErr w:type="spellEnd"/>
      <w:r>
        <w:t xml:space="preserve">, </w:t>
      </w:r>
      <w:proofErr w:type="spellStart"/>
      <w:r>
        <w:t>ngā</w:t>
      </w:r>
      <w:proofErr w:type="spellEnd"/>
      <w:r>
        <w:t xml:space="preserve"> tāngata </w:t>
      </w:r>
      <w:proofErr w:type="spellStart"/>
      <w:r>
        <w:t>hauā</w:t>
      </w:r>
      <w:proofErr w:type="spellEnd"/>
      <w:r>
        <w:t xml:space="preserve">, me </w:t>
      </w:r>
      <w:proofErr w:type="spellStart"/>
      <w:r>
        <w:t>te</w:t>
      </w:r>
      <w:proofErr w:type="spellEnd"/>
      <w:r>
        <w:t xml:space="preserve"> </w:t>
      </w:r>
      <w:proofErr w:type="spellStart"/>
      <w:r>
        <w:t>hunga</w:t>
      </w:r>
      <w:proofErr w:type="spellEnd"/>
      <w:r>
        <w:t xml:space="preserve"> e </w:t>
      </w:r>
      <w:proofErr w:type="spellStart"/>
      <w:r>
        <w:t>noho</w:t>
      </w:r>
      <w:proofErr w:type="spellEnd"/>
      <w:r>
        <w:t xml:space="preserve"> ana ki </w:t>
      </w:r>
      <w:proofErr w:type="spellStart"/>
      <w:r>
        <w:t>ngā</w:t>
      </w:r>
      <w:proofErr w:type="spellEnd"/>
      <w:r>
        <w:t xml:space="preserve"> </w:t>
      </w:r>
      <w:proofErr w:type="spellStart"/>
      <w:r>
        <w:t>kāinga</w:t>
      </w:r>
      <w:proofErr w:type="spellEnd"/>
      <w:r>
        <w:t xml:space="preserve"> </w:t>
      </w:r>
      <w:proofErr w:type="spellStart"/>
      <w:r>
        <w:t>pūtea</w:t>
      </w:r>
      <w:proofErr w:type="spellEnd"/>
      <w:r>
        <w:t xml:space="preserve"> </w:t>
      </w:r>
      <w:proofErr w:type="spellStart"/>
      <w:r>
        <w:t>iti</w:t>
      </w:r>
      <w:proofErr w:type="spellEnd"/>
      <w:r>
        <w:t xml:space="preserve">, </w:t>
      </w:r>
      <w:proofErr w:type="spellStart"/>
      <w:r>
        <w:t>ngā</w:t>
      </w:r>
      <w:proofErr w:type="spellEnd"/>
      <w:r>
        <w:t xml:space="preserve"> </w:t>
      </w:r>
      <w:proofErr w:type="spellStart"/>
      <w:r>
        <w:t>takiwā</w:t>
      </w:r>
      <w:proofErr w:type="spellEnd"/>
      <w:r>
        <w:t xml:space="preserve"> </w:t>
      </w:r>
      <w:proofErr w:type="spellStart"/>
      <w:r>
        <w:t>rānei</w:t>
      </w:r>
      <w:proofErr w:type="spellEnd"/>
      <w:r>
        <w:t xml:space="preserve"> he </w:t>
      </w:r>
      <w:proofErr w:type="spellStart"/>
      <w:r>
        <w:t>nui</w:t>
      </w:r>
      <w:proofErr w:type="spellEnd"/>
      <w:r>
        <w:t xml:space="preserve"> </w:t>
      </w:r>
      <w:proofErr w:type="spellStart"/>
      <w:r>
        <w:t>rawa</w:t>
      </w:r>
      <w:proofErr w:type="spellEnd"/>
      <w:r>
        <w:t xml:space="preserve"> </w:t>
      </w:r>
      <w:proofErr w:type="spellStart"/>
      <w:r>
        <w:t>te</w:t>
      </w:r>
      <w:proofErr w:type="spellEnd"/>
      <w:r>
        <w:t xml:space="preserve"> </w:t>
      </w:r>
      <w:proofErr w:type="spellStart"/>
      <w:r>
        <w:t>pakukore</w:t>
      </w:r>
      <w:proofErr w:type="spellEnd"/>
      <w:r>
        <w:t xml:space="preserve"> </w:t>
      </w:r>
      <w:proofErr w:type="spellStart"/>
      <w:r>
        <w:t>ohapori</w:t>
      </w:r>
      <w:proofErr w:type="spellEnd"/>
      <w:r>
        <w:t xml:space="preserve"> </w:t>
      </w:r>
      <w:proofErr w:type="spellStart"/>
      <w:r>
        <w:t>teitei</w:t>
      </w:r>
      <w:proofErr w:type="spellEnd"/>
      <w:r>
        <w:t xml:space="preserve"> </w:t>
      </w:r>
      <w:proofErr w:type="spellStart"/>
      <w:r>
        <w:t>rānei</w:t>
      </w:r>
      <w:proofErr w:type="spellEnd"/>
      <w:r>
        <w:t xml:space="preserve">. He </w:t>
      </w:r>
      <w:proofErr w:type="spellStart"/>
      <w:r>
        <w:t>waiwai</w:t>
      </w:r>
      <w:proofErr w:type="spellEnd"/>
      <w:r>
        <w:t xml:space="preserve"> kia </w:t>
      </w:r>
      <w:proofErr w:type="spellStart"/>
      <w:r>
        <w:t>tūtohu</w:t>
      </w:r>
      <w:proofErr w:type="spellEnd"/>
      <w:r>
        <w:t xml:space="preserve"> </w:t>
      </w:r>
      <w:proofErr w:type="spellStart"/>
      <w:r>
        <w:t>i</w:t>
      </w:r>
      <w:proofErr w:type="spellEnd"/>
      <w:r>
        <w:t xml:space="preserve"> </w:t>
      </w:r>
      <w:proofErr w:type="spellStart"/>
      <w:r>
        <w:t>ngā</w:t>
      </w:r>
      <w:proofErr w:type="spellEnd"/>
      <w:r>
        <w:t xml:space="preserve"> </w:t>
      </w:r>
      <w:proofErr w:type="spellStart"/>
      <w:r>
        <w:t>manarite</w:t>
      </w:r>
      <w:proofErr w:type="spellEnd"/>
      <w:r>
        <w:t xml:space="preserve">-kore </w:t>
      </w:r>
      <w:proofErr w:type="spellStart"/>
      <w:r>
        <w:t>i</w:t>
      </w:r>
      <w:proofErr w:type="spellEnd"/>
      <w:r>
        <w:t xml:space="preserve"> roto </w:t>
      </w:r>
      <w:proofErr w:type="spellStart"/>
      <w:r>
        <w:t>i</w:t>
      </w:r>
      <w:proofErr w:type="spellEnd"/>
      <w:r>
        <w:t xml:space="preserve"> ō </w:t>
      </w:r>
      <w:proofErr w:type="spellStart"/>
      <w:r>
        <w:t>mātou</w:t>
      </w:r>
      <w:proofErr w:type="spellEnd"/>
      <w:r>
        <w:t xml:space="preserve"> </w:t>
      </w:r>
      <w:proofErr w:type="spellStart"/>
      <w:r>
        <w:t>hapori</w:t>
      </w:r>
      <w:proofErr w:type="spellEnd"/>
      <w:r>
        <w:t xml:space="preserve">. Ko </w:t>
      </w:r>
      <w:proofErr w:type="spellStart"/>
      <w:r>
        <w:t>te</w:t>
      </w:r>
      <w:proofErr w:type="spellEnd"/>
      <w:r>
        <w:t xml:space="preserve"> </w:t>
      </w:r>
      <w:proofErr w:type="spellStart"/>
      <w:r>
        <w:t>arotahi</w:t>
      </w:r>
      <w:proofErr w:type="spellEnd"/>
      <w:r>
        <w:t xml:space="preserve"> </w:t>
      </w:r>
      <w:proofErr w:type="spellStart"/>
      <w:r>
        <w:t>matua</w:t>
      </w:r>
      <w:proofErr w:type="spellEnd"/>
      <w:r>
        <w:t xml:space="preserve"> </w:t>
      </w:r>
      <w:proofErr w:type="spellStart"/>
      <w:r>
        <w:t>mō</w:t>
      </w:r>
      <w:proofErr w:type="spellEnd"/>
      <w:r>
        <w:t xml:space="preserve">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kia </w:t>
      </w:r>
      <w:proofErr w:type="spellStart"/>
      <w:r>
        <w:t>whakatūturu</w:t>
      </w:r>
      <w:proofErr w:type="spellEnd"/>
      <w:r>
        <w:t xml:space="preserve"> e </w:t>
      </w:r>
      <w:proofErr w:type="spellStart"/>
      <w:r>
        <w:t>taea</w:t>
      </w:r>
      <w:proofErr w:type="spellEnd"/>
      <w:r>
        <w:t xml:space="preserve"> ai e </w:t>
      </w:r>
      <w:proofErr w:type="spellStart"/>
      <w:r>
        <w:t>ngā</w:t>
      </w:r>
      <w:proofErr w:type="spellEnd"/>
      <w:r>
        <w:t xml:space="preserve"> tāngata </w:t>
      </w:r>
      <w:proofErr w:type="spellStart"/>
      <w:r>
        <w:t>katoa</w:t>
      </w:r>
      <w:proofErr w:type="spellEnd"/>
      <w:r>
        <w:t xml:space="preserve"> o Aotearoa </w:t>
      </w:r>
      <w:proofErr w:type="spellStart"/>
      <w:r>
        <w:t>te</w:t>
      </w:r>
      <w:proofErr w:type="spellEnd"/>
      <w:r>
        <w:t xml:space="preserve"> </w:t>
      </w:r>
      <w:proofErr w:type="spellStart"/>
      <w:r>
        <w:t>āhei</w:t>
      </w:r>
      <w:proofErr w:type="spellEnd"/>
      <w:r>
        <w:t xml:space="preserve"> ki </w:t>
      </w:r>
      <w:proofErr w:type="spellStart"/>
      <w:r>
        <w:t>ngā</w:t>
      </w:r>
      <w:proofErr w:type="spellEnd"/>
      <w:r>
        <w:t xml:space="preserve"> </w:t>
      </w:r>
      <w:proofErr w:type="spellStart"/>
      <w:r>
        <w:t>tiakitanga</w:t>
      </w:r>
      <w:proofErr w:type="spellEnd"/>
      <w:r>
        <w:t xml:space="preserve"> </w:t>
      </w:r>
      <w:proofErr w:type="spellStart"/>
      <w:r>
        <w:t>hauora</w:t>
      </w:r>
      <w:proofErr w:type="spellEnd"/>
      <w:r>
        <w:t xml:space="preserve"> </w:t>
      </w:r>
      <w:proofErr w:type="spellStart"/>
      <w:r>
        <w:t>tino</w:t>
      </w:r>
      <w:proofErr w:type="spellEnd"/>
      <w:r>
        <w:t xml:space="preserve"> </w:t>
      </w:r>
      <w:proofErr w:type="spellStart"/>
      <w:r>
        <w:t>kounga</w:t>
      </w:r>
      <w:proofErr w:type="spellEnd"/>
      <w:r>
        <w:t xml:space="preserve"> </w:t>
      </w:r>
      <w:proofErr w:type="spellStart"/>
      <w:r>
        <w:t>ina</w:t>
      </w:r>
      <w:proofErr w:type="spellEnd"/>
      <w:r>
        <w:t xml:space="preserve"> </w:t>
      </w:r>
      <w:proofErr w:type="spellStart"/>
      <w:r>
        <w:t>hiahiatia</w:t>
      </w:r>
      <w:proofErr w:type="spellEnd"/>
      <w:r>
        <w:t xml:space="preserve"> ana.</w:t>
      </w:r>
    </w:p>
    <w:p w14:paraId="2C4BAAC5" w14:textId="77777777" w:rsidR="00EC4094" w:rsidRDefault="00EC4094" w:rsidP="00EC4094"/>
    <w:p w14:paraId="3949B536" w14:textId="77777777" w:rsidR="00EC4094" w:rsidRDefault="00EC4094" w:rsidP="00EC4094">
      <w:proofErr w:type="spellStart"/>
      <w:r>
        <w:t>Nā</w:t>
      </w:r>
      <w:proofErr w:type="spellEnd"/>
      <w:r>
        <w:t xml:space="preserve"> </w:t>
      </w:r>
      <w:proofErr w:type="spellStart"/>
      <w:r>
        <w:t>reira</w:t>
      </w:r>
      <w:proofErr w:type="spellEnd"/>
      <w:r>
        <w:t xml:space="preserve">, e </w:t>
      </w:r>
      <w:proofErr w:type="spellStart"/>
      <w:r>
        <w:t>hiahia</w:t>
      </w:r>
      <w:proofErr w:type="spellEnd"/>
      <w:r>
        <w:t xml:space="preserve"> ana </w:t>
      </w:r>
      <w:proofErr w:type="spellStart"/>
      <w:r>
        <w:t>mātou</w:t>
      </w:r>
      <w:proofErr w:type="spellEnd"/>
      <w:r>
        <w:t xml:space="preserve"> ki </w:t>
      </w:r>
      <w:proofErr w:type="spellStart"/>
      <w:r>
        <w:t>te</w:t>
      </w:r>
      <w:proofErr w:type="spellEnd"/>
      <w:r>
        <w:t xml:space="preserve"> </w:t>
      </w:r>
      <w:proofErr w:type="spellStart"/>
      <w:r>
        <w:t>raraunga</w:t>
      </w:r>
      <w:proofErr w:type="spellEnd"/>
      <w:r>
        <w:t xml:space="preserve"> </w:t>
      </w:r>
      <w:proofErr w:type="spellStart"/>
      <w:r>
        <w:t>pakari</w:t>
      </w:r>
      <w:proofErr w:type="spellEnd"/>
      <w:r>
        <w:t xml:space="preserve"> e </w:t>
      </w:r>
      <w:proofErr w:type="spellStart"/>
      <w:r>
        <w:t>āhei</w:t>
      </w:r>
      <w:proofErr w:type="spellEnd"/>
      <w:r>
        <w:t xml:space="preserve"> ana </w:t>
      </w:r>
      <w:proofErr w:type="spellStart"/>
      <w:r>
        <w:t>mātou</w:t>
      </w:r>
      <w:proofErr w:type="spellEnd"/>
      <w:r>
        <w:t xml:space="preserve"> </w:t>
      </w:r>
      <w:proofErr w:type="spellStart"/>
      <w:r>
        <w:t>te</w:t>
      </w:r>
      <w:proofErr w:type="spellEnd"/>
      <w:r>
        <w:t xml:space="preserve"> </w:t>
      </w:r>
      <w:proofErr w:type="spellStart"/>
      <w:r>
        <w:t>whakamahi</w:t>
      </w:r>
      <w:proofErr w:type="spellEnd"/>
      <w:r>
        <w:t xml:space="preserve"> kia </w:t>
      </w:r>
      <w:proofErr w:type="spellStart"/>
      <w:r>
        <w:t>hoahoa</w:t>
      </w:r>
      <w:proofErr w:type="spellEnd"/>
      <w:r>
        <w:t xml:space="preserve"> </w:t>
      </w:r>
      <w:proofErr w:type="spellStart"/>
      <w:r>
        <w:t>i</w:t>
      </w:r>
      <w:proofErr w:type="spellEnd"/>
      <w:r>
        <w:t xml:space="preserve"> </w:t>
      </w:r>
      <w:proofErr w:type="spellStart"/>
      <w:r>
        <w:t>ngā</w:t>
      </w:r>
      <w:proofErr w:type="spellEnd"/>
      <w:r>
        <w:t xml:space="preserve"> </w:t>
      </w:r>
      <w:proofErr w:type="spellStart"/>
      <w:r>
        <w:t>ratonga</w:t>
      </w:r>
      <w:proofErr w:type="spellEnd"/>
      <w:r>
        <w:t xml:space="preserve"> </w:t>
      </w:r>
      <w:proofErr w:type="spellStart"/>
      <w:r>
        <w:t>hauora</w:t>
      </w:r>
      <w:proofErr w:type="spellEnd"/>
      <w:r>
        <w:t xml:space="preserve"> e </w:t>
      </w:r>
      <w:proofErr w:type="spellStart"/>
      <w:r>
        <w:t>tautoko</w:t>
      </w:r>
      <w:proofErr w:type="spellEnd"/>
      <w:r>
        <w:t xml:space="preserve"> ana </w:t>
      </w:r>
      <w:proofErr w:type="spellStart"/>
      <w:r>
        <w:t>i</w:t>
      </w:r>
      <w:proofErr w:type="spellEnd"/>
      <w:r>
        <w:t xml:space="preserve"> </w:t>
      </w:r>
      <w:proofErr w:type="spellStart"/>
      <w:r>
        <w:t>ngā</w:t>
      </w:r>
      <w:proofErr w:type="spellEnd"/>
      <w:r>
        <w:t xml:space="preserve"> tāngata o Aotearoa </w:t>
      </w:r>
      <w:proofErr w:type="spellStart"/>
      <w:r>
        <w:t>katoa</w:t>
      </w:r>
      <w:proofErr w:type="spellEnd"/>
      <w:r>
        <w:t xml:space="preserve"> kia </w:t>
      </w:r>
      <w:proofErr w:type="spellStart"/>
      <w:r>
        <w:t>noho</w:t>
      </w:r>
      <w:proofErr w:type="spellEnd"/>
      <w:r>
        <w:t xml:space="preserve"> </w:t>
      </w:r>
      <w:proofErr w:type="spellStart"/>
      <w:r>
        <w:t>ora</w:t>
      </w:r>
      <w:proofErr w:type="spellEnd"/>
      <w:r>
        <w:t xml:space="preserve"> ai </w:t>
      </w:r>
      <w:proofErr w:type="spellStart"/>
      <w:r>
        <w:t>mō</w:t>
      </w:r>
      <w:proofErr w:type="spellEnd"/>
      <w:r>
        <w:t xml:space="preserve"> </w:t>
      </w:r>
      <w:proofErr w:type="spellStart"/>
      <w:r>
        <w:t>te</w:t>
      </w:r>
      <w:proofErr w:type="spellEnd"/>
      <w:r>
        <w:t xml:space="preserve"> </w:t>
      </w:r>
      <w:proofErr w:type="spellStart"/>
      <w:r>
        <w:t>wā</w:t>
      </w:r>
      <w:proofErr w:type="spellEnd"/>
      <w:r>
        <w:t xml:space="preserve"> </w:t>
      </w:r>
      <w:proofErr w:type="spellStart"/>
      <w:r>
        <w:t>roa</w:t>
      </w:r>
      <w:proofErr w:type="spellEnd"/>
      <w:r>
        <w:t xml:space="preserve"> </w:t>
      </w:r>
      <w:proofErr w:type="spellStart"/>
      <w:r>
        <w:t>ake</w:t>
      </w:r>
      <w:proofErr w:type="spellEnd"/>
      <w:r>
        <w:t xml:space="preserve">. E </w:t>
      </w:r>
      <w:proofErr w:type="spellStart"/>
      <w:r>
        <w:t>tāpae</w:t>
      </w:r>
      <w:proofErr w:type="spellEnd"/>
      <w:r>
        <w:t xml:space="preserve"> ana ā </w:t>
      </w:r>
      <w:proofErr w:type="spellStart"/>
      <w:r>
        <w:t>mātou</w:t>
      </w:r>
      <w:proofErr w:type="spellEnd"/>
      <w:r>
        <w:t xml:space="preserve"> </w:t>
      </w:r>
      <w:proofErr w:type="spellStart"/>
      <w:r>
        <w:t>Pūrongo</w:t>
      </w:r>
      <w:proofErr w:type="spellEnd"/>
      <w:r>
        <w:t xml:space="preserve"> Hauora me </w:t>
      </w:r>
      <w:proofErr w:type="spellStart"/>
      <w:r>
        <w:t>te</w:t>
      </w:r>
      <w:proofErr w:type="spellEnd"/>
      <w:r>
        <w:t xml:space="preserve"> </w:t>
      </w:r>
      <w:proofErr w:type="spellStart"/>
      <w:r>
        <w:t>Motuhaketanga</w:t>
      </w:r>
      <w:proofErr w:type="spellEnd"/>
      <w:r>
        <w:t xml:space="preserve"> ā-tau ki </w:t>
      </w:r>
      <w:proofErr w:type="spellStart"/>
      <w:r>
        <w:t>tēnei</w:t>
      </w:r>
      <w:proofErr w:type="spellEnd"/>
      <w:r>
        <w:t xml:space="preserve"> </w:t>
      </w:r>
      <w:proofErr w:type="spellStart"/>
      <w:r>
        <w:t>tūapapa</w:t>
      </w:r>
      <w:proofErr w:type="spellEnd"/>
      <w:r>
        <w:t xml:space="preserve"> </w:t>
      </w:r>
      <w:proofErr w:type="spellStart"/>
      <w:r>
        <w:t>waiwai</w:t>
      </w:r>
      <w:proofErr w:type="spellEnd"/>
      <w:r>
        <w:t xml:space="preserve"> o </w:t>
      </w:r>
      <w:proofErr w:type="spellStart"/>
      <w:r>
        <w:t>te</w:t>
      </w:r>
      <w:proofErr w:type="spellEnd"/>
      <w:r>
        <w:t xml:space="preserve"> </w:t>
      </w:r>
      <w:proofErr w:type="spellStart"/>
      <w:r>
        <w:t>raraunga</w:t>
      </w:r>
      <w:proofErr w:type="spellEnd"/>
      <w:r>
        <w:t xml:space="preserve"> </w:t>
      </w:r>
      <w:proofErr w:type="spellStart"/>
      <w:r>
        <w:t>hei</w:t>
      </w:r>
      <w:proofErr w:type="spellEnd"/>
      <w:r>
        <w:t xml:space="preserve"> </w:t>
      </w:r>
      <w:proofErr w:type="spellStart"/>
      <w:r>
        <w:t>pūtake</w:t>
      </w:r>
      <w:proofErr w:type="spellEnd"/>
      <w:r>
        <w:t xml:space="preserve"> o </w:t>
      </w:r>
      <w:proofErr w:type="spellStart"/>
      <w:r>
        <w:t>tō</w:t>
      </w:r>
      <w:proofErr w:type="spellEnd"/>
      <w:r>
        <w:t xml:space="preserve"> </w:t>
      </w:r>
      <w:proofErr w:type="spellStart"/>
      <w:r>
        <w:t>mātou</w:t>
      </w:r>
      <w:proofErr w:type="spellEnd"/>
      <w:r>
        <w:t xml:space="preserve"> </w:t>
      </w:r>
      <w:proofErr w:type="spellStart"/>
      <w:r>
        <w:t>pūnaha</w:t>
      </w:r>
      <w:proofErr w:type="spellEnd"/>
      <w:r>
        <w:t xml:space="preserve"> </w:t>
      </w:r>
      <w:proofErr w:type="spellStart"/>
      <w:r>
        <w:t>hauora</w:t>
      </w:r>
      <w:proofErr w:type="spellEnd"/>
      <w:r>
        <w:t>. </w:t>
      </w:r>
    </w:p>
    <w:p w14:paraId="77F029CB" w14:textId="6DE30528" w:rsidR="00EC4094" w:rsidRDefault="00EC4094" w:rsidP="00EC4094">
      <w:r>
        <w:t xml:space="preserve"> </w:t>
      </w:r>
    </w:p>
    <w:p w14:paraId="53805525" w14:textId="5BB99ED3" w:rsidR="00EC4094" w:rsidRDefault="00EC4094" w:rsidP="00EC4094">
      <w:proofErr w:type="spellStart"/>
      <w:r>
        <w:t>Kāti</w:t>
      </w:r>
      <w:proofErr w:type="spellEnd"/>
      <w:r>
        <w:t xml:space="preserve"> </w:t>
      </w:r>
      <w:proofErr w:type="spellStart"/>
      <w:r>
        <w:t>rā</w:t>
      </w:r>
      <w:proofErr w:type="spellEnd"/>
      <w:r>
        <w:t xml:space="preserve">, e </w:t>
      </w:r>
      <w:proofErr w:type="spellStart"/>
      <w:r>
        <w:t>hiahia</w:t>
      </w:r>
      <w:proofErr w:type="spellEnd"/>
      <w:r>
        <w:t xml:space="preserve"> ana au ki </w:t>
      </w:r>
      <w:proofErr w:type="spellStart"/>
      <w:r>
        <w:t>te</w:t>
      </w:r>
      <w:proofErr w:type="spellEnd"/>
      <w:r>
        <w:t xml:space="preserve"> </w:t>
      </w:r>
      <w:proofErr w:type="spellStart"/>
      <w:r>
        <w:t>tūtohu</w:t>
      </w:r>
      <w:proofErr w:type="spellEnd"/>
      <w:r>
        <w:t xml:space="preserve"> he </w:t>
      </w:r>
      <w:proofErr w:type="spellStart"/>
      <w:r>
        <w:t>mea</w:t>
      </w:r>
      <w:proofErr w:type="spellEnd"/>
      <w:r>
        <w:t xml:space="preserve"> </w:t>
      </w:r>
      <w:proofErr w:type="spellStart"/>
      <w:r>
        <w:t>nui</w:t>
      </w:r>
      <w:proofErr w:type="spellEnd"/>
      <w:r>
        <w:t xml:space="preserve"> </w:t>
      </w:r>
      <w:proofErr w:type="spellStart"/>
      <w:r>
        <w:t>ake</w:t>
      </w:r>
      <w:proofErr w:type="spellEnd"/>
      <w:r>
        <w:t xml:space="preserve"> </w:t>
      </w:r>
      <w:proofErr w:type="spellStart"/>
      <w:r>
        <w:t>ngā</w:t>
      </w:r>
      <w:proofErr w:type="spellEnd"/>
      <w:r>
        <w:t xml:space="preserve"> </w:t>
      </w:r>
      <w:proofErr w:type="spellStart"/>
      <w:r>
        <w:t>raraunga</w:t>
      </w:r>
      <w:proofErr w:type="spellEnd"/>
      <w:r>
        <w:t xml:space="preserve"> o </w:t>
      </w:r>
      <w:proofErr w:type="spellStart"/>
      <w:r>
        <w:t>tēnei</w:t>
      </w:r>
      <w:proofErr w:type="spellEnd"/>
      <w:r>
        <w:t xml:space="preserve"> </w:t>
      </w:r>
      <w:proofErr w:type="spellStart"/>
      <w:r>
        <w:t>pūrongo</w:t>
      </w:r>
      <w:proofErr w:type="spellEnd"/>
      <w:r>
        <w:t xml:space="preserve"> </w:t>
      </w:r>
      <w:proofErr w:type="spellStart"/>
      <w:r>
        <w:t>i</w:t>
      </w:r>
      <w:proofErr w:type="spellEnd"/>
      <w:r>
        <w:t xml:space="preserve"> </w:t>
      </w:r>
      <w:proofErr w:type="spellStart"/>
      <w:r>
        <w:t>te</w:t>
      </w:r>
      <w:proofErr w:type="spellEnd"/>
      <w:r>
        <w:t xml:space="preserve"> </w:t>
      </w:r>
      <w:proofErr w:type="spellStart"/>
      <w:r>
        <w:t>nama</w:t>
      </w:r>
      <w:proofErr w:type="spellEnd"/>
      <w:r>
        <w:t xml:space="preserve">, </w:t>
      </w:r>
      <w:proofErr w:type="spellStart"/>
      <w:r>
        <w:t>te</w:t>
      </w:r>
      <w:proofErr w:type="spellEnd"/>
      <w:r>
        <w:t xml:space="preserve"> </w:t>
      </w:r>
      <w:proofErr w:type="spellStart"/>
      <w:r>
        <w:t>ira</w:t>
      </w:r>
      <w:proofErr w:type="spellEnd"/>
      <w:r>
        <w:t xml:space="preserve">, me </w:t>
      </w:r>
      <w:proofErr w:type="spellStart"/>
      <w:r>
        <w:t>ngā</w:t>
      </w:r>
      <w:proofErr w:type="spellEnd"/>
      <w:r>
        <w:t xml:space="preserve"> </w:t>
      </w:r>
      <w:proofErr w:type="spellStart"/>
      <w:r>
        <w:t>rārangi</w:t>
      </w:r>
      <w:proofErr w:type="spellEnd"/>
      <w:r>
        <w:t xml:space="preserve"> </w:t>
      </w:r>
      <w:proofErr w:type="spellStart"/>
      <w:r>
        <w:t>noa</w:t>
      </w:r>
      <w:proofErr w:type="spellEnd"/>
      <w:r>
        <w:t xml:space="preserve"> </w:t>
      </w:r>
      <w:proofErr w:type="spellStart"/>
      <w:r>
        <w:t>iho</w:t>
      </w:r>
      <w:proofErr w:type="spellEnd"/>
      <w:r>
        <w:t xml:space="preserve">. E </w:t>
      </w:r>
      <w:proofErr w:type="spellStart"/>
      <w:r>
        <w:t>whakakanohi</w:t>
      </w:r>
      <w:proofErr w:type="spellEnd"/>
      <w:r>
        <w:t xml:space="preserve"> ana </w:t>
      </w:r>
      <w:proofErr w:type="spellStart"/>
      <w:r>
        <w:t>i</w:t>
      </w:r>
      <w:proofErr w:type="spellEnd"/>
      <w:r>
        <w:t xml:space="preserve"> </w:t>
      </w:r>
      <w:proofErr w:type="spellStart"/>
      <w:r>
        <w:t>ngā</w:t>
      </w:r>
      <w:proofErr w:type="spellEnd"/>
      <w:r>
        <w:t xml:space="preserve"> </w:t>
      </w:r>
      <w:proofErr w:type="spellStart"/>
      <w:r>
        <w:t>wheako</w:t>
      </w:r>
      <w:proofErr w:type="spellEnd"/>
      <w:r>
        <w:t xml:space="preserve"> me </w:t>
      </w:r>
      <w:proofErr w:type="spellStart"/>
      <w:r>
        <w:t>ngā</w:t>
      </w:r>
      <w:proofErr w:type="spellEnd"/>
      <w:r>
        <w:t xml:space="preserve"> </w:t>
      </w:r>
      <w:proofErr w:type="spellStart"/>
      <w:r>
        <w:t>putanga</w:t>
      </w:r>
      <w:proofErr w:type="spellEnd"/>
      <w:r>
        <w:t xml:space="preserve"> </w:t>
      </w:r>
      <w:proofErr w:type="spellStart"/>
      <w:r>
        <w:t>tūturu</w:t>
      </w:r>
      <w:proofErr w:type="spellEnd"/>
      <w:r>
        <w:t xml:space="preserve"> o </w:t>
      </w:r>
      <w:proofErr w:type="spellStart"/>
      <w:r>
        <w:t>ngā</w:t>
      </w:r>
      <w:proofErr w:type="spellEnd"/>
      <w:r>
        <w:t xml:space="preserve"> tāngata – e kore </w:t>
      </w:r>
      <w:proofErr w:type="spellStart"/>
      <w:r>
        <w:t>tenei</w:t>
      </w:r>
      <w:proofErr w:type="spellEnd"/>
      <w:r>
        <w:t xml:space="preserve"> e </w:t>
      </w:r>
      <w:proofErr w:type="spellStart"/>
      <w:r>
        <w:t>wareware</w:t>
      </w:r>
      <w:proofErr w:type="spellEnd"/>
      <w:r>
        <w:t xml:space="preserve"> </w:t>
      </w:r>
      <w:proofErr w:type="spellStart"/>
      <w:r>
        <w:t>i</w:t>
      </w:r>
      <w:proofErr w:type="spellEnd"/>
      <w:r>
        <w:t xml:space="preserve"> </w:t>
      </w:r>
      <w:proofErr w:type="spellStart"/>
      <w:proofErr w:type="gramStart"/>
      <w:r>
        <w:t>a</w:t>
      </w:r>
      <w:proofErr w:type="spellEnd"/>
      <w:proofErr w:type="gramEnd"/>
      <w:r>
        <w:t xml:space="preserve"> au. Puta </w:t>
      </w:r>
      <w:proofErr w:type="spellStart"/>
      <w:r>
        <w:t>noa</w:t>
      </w:r>
      <w:proofErr w:type="spellEnd"/>
      <w:r>
        <w:t xml:space="preserve"> </w:t>
      </w:r>
      <w:proofErr w:type="spellStart"/>
      <w:r>
        <w:t>i</w:t>
      </w:r>
      <w:proofErr w:type="spellEnd"/>
      <w:r>
        <w:t xml:space="preserve"> </w:t>
      </w:r>
      <w:proofErr w:type="spellStart"/>
      <w:r>
        <w:t>te</w:t>
      </w:r>
      <w:proofErr w:type="spellEnd"/>
      <w:r>
        <w:t xml:space="preserve"> </w:t>
      </w:r>
      <w:proofErr w:type="spellStart"/>
      <w:r>
        <w:t>pūnaha</w:t>
      </w:r>
      <w:proofErr w:type="spellEnd"/>
      <w:r>
        <w:t xml:space="preserve"> </w:t>
      </w:r>
      <w:proofErr w:type="spellStart"/>
      <w:r>
        <w:t>hauora</w:t>
      </w:r>
      <w:proofErr w:type="spellEnd"/>
      <w:r>
        <w:t xml:space="preserve">, e </w:t>
      </w:r>
      <w:proofErr w:type="spellStart"/>
      <w:r>
        <w:t>kimi</w:t>
      </w:r>
      <w:proofErr w:type="spellEnd"/>
      <w:r>
        <w:t xml:space="preserve"> ana </w:t>
      </w:r>
      <w:proofErr w:type="spellStart"/>
      <w:r>
        <w:t>mātou</w:t>
      </w:r>
      <w:proofErr w:type="spellEnd"/>
      <w:r>
        <w:t xml:space="preserve"> kia </w:t>
      </w:r>
      <w:proofErr w:type="spellStart"/>
      <w:r>
        <w:t>tino</w:t>
      </w:r>
      <w:proofErr w:type="spellEnd"/>
      <w:r>
        <w:t xml:space="preserve"> piki </w:t>
      </w:r>
      <w:proofErr w:type="spellStart"/>
      <w:r>
        <w:t>ake</w:t>
      </w:r>
      <w:proofErr w:type="spellEnd"/>
      <w:r>
        <w:t xml:space="preserve"> </w:t>
      </w:r>
      <w:proofErr w:type="spellStart"/>
      <w:r>
        <w:t>te</w:t>
      </w:r>
      <w:proofErr w:type="spellEnd"/>
      <w:r>
        <w:t xml:space="preserve"> pai o </w:t>
      </w:r>
      <w:proofErr w:type="spellStart"/>
      <w:r>
        <w:t>te</w:t>
      </w:r>
      <w:proofErr w:type="spellEnd"/>
      <w:r>
        <w:t xml:space="preserve"> </w:t>
      </w:r>
      <w:proofErr w:type="spellStart"/>
      <w:r>
        <w:t>ao</w:t>
      </w:r>
      <w:proofErr w:type="spellEnd"/>
      <w:r>
        <w:t xml:space="preserve"> </w:t>
      </w:r>
      <w:proofErr w:type="spellStart"/>
      <w:r>
        <w:t>mō</w:t>
      </w:r>
      <w:proofErr w:type="spellEnd"/>
      <w:r>
        <w:t xml:space="preserve"> </w:t>
      </w:r>
      <w:proofErr w:type="spellStart"/>
      <w:r>
        <w:t>ngā</w:t>
      </w:r>
      <w:proofErr w:type="spellEnd"/>
      <w:r>
        <w:t xml:space="preserve"> tāngata </w:t>
      </w:r>
      <w:proofErr w:type="spellStart"/>
      <w:r>
        <w:t>takitahi</w:t>
      </w:r>
      <w:proofErr w:type="spellEnd"/>
      <w:r>
        <w:t xml:space="preserve">, </w:t>
      </w:r>
      <w:proofErr w:type="spellStart"/>
      <w:r>
        <w:t>ngā</w:t>
      </w:r>
      <w:proofErr w:type="spellEnd"/>
      <w:r>
        <w:t xml:space="preserve"> whānau, me </w:t>
      </w:r>
      <w:proofErr w:type="spellStart"/>
      <w:r>
        <w:t>ngā</w:t>
      </w:r>
      <w:proofErr w:type="spellEnd"/>
      <w:r>
        <w:t xml:space="preserve"> </w:t>
      </w:r>
      <w:proofErr w:type="spellStart"/>
      <w:r>
        <w:t>hapori</w:t>
      </w:r>
      <w:proofErr w:type="spellEnd"/>
      <w:r>
        <w:t xml:space="preserve">.    </w:t>
      </w:r>
    </w:p>
    <w:p w14:paraId="7D4F5051" w14:textId="77777777" w:rsidR="00EC4094" w:rsidRDefault="00EC4094" w:rsidP="00EC4094">
      <w:r>
        <w:lastRenderedPageBreak/>
        <w:t xml:space="preserve">Ka </w:t>
      </w:r>
      <w:proofErr w:type="spellStart"/>
      <w:r>
        <w:t>mutu</w:t>
      </w:r>
      <w:proofErr w:type="spellEnd"/>
      <w:r>
        <w:t xml:space="preserve">, ka </w:t>
      </w:r>
      <w:proofErr w:type="spellStart"/>
      <w:r>
        <w:t>whātoro</w:t>
      </w:r>
      <w:proofErr w:type="spellEnd"/>
      <w:r>
        <w:t xml:space="preserve"> </w:t>
      </w:r>
      <w:proofErr w:type="spellStart"/>
      <w:r>
        <w:t>atu</w:t>
      </w:r>
      <w:proofErr w:type="spellEnd"/>
      <w:r>
        <w:t xml:space="preserve"> </w:t>
      </w:r>
      <w:proofErr w:type="spellStart"/>
      <w:r>
        <w:t>taku</w:t>
      </w:r>
      <w:proofErr w:type="spellEnd"/>
      <w:r>
        <w:t xml:space="preserve"> mihi </w:t>
      </w:r>
      <w:proofErr w:type="spellStart"/>
      <w:r>
        <w:t>maioha</w:t>
      </w:r>
      <w:proofErr w:type="spellEnd"/>
      <w:r>
        <w:t xml:space="preserve"> ki a </w:t>
      </w:r>
      <w:proofErr w:type="spellStart"/>
      <w:r>
        <w:t>rātou</w:t>
      </w:r>
      <w:proofErr w:type="spellEnd"/>
      <w:r>
        <w:t xml:space="preserve"> </w:t>
      </w:r>
      <w:proofErr w:type="spellStart"/>
      <w:r>
        <w:t>mā</w:t>
      </w:r>
      <w:proofErr w:type="spellEnd"/>
      <w:r>
        <w:t xml:space="preserve"> e </w:t>
      </w:r>
      <w:proofErr w:type="spellStart"/>
      <w:r>
        <w:t>whakapau</w:t>
      </w:r>
      <w:proofErr w:type="spellEnd"/>
      <w:r>
        <w:t xml:space="preserve"> kaha ana ki </w:t>
      </w:r>
      <w:proofErr w:type="spellStart"/>
      <w:r>
        <w:t>te</w:t>
      </w:r>
      <w:proofErr w:type="spellEnd"/>
      <w:r>
        <w:t xml:space="preserve"> </w:t>
      </w:r>
      <w:proofErr w:type="spellStart"/>
      <w:r>
        <w:t>whakarākeei</w:t>
      </w:r>
      <w:proofErr w:type="spellEnd"/>
      <w:r>
        <w:t xml:space="preserve"> </w:t>
      </w:r>
      <w:proofErr w:type="spellStart"/>
      <w:r>
        <w:t>i</w:t>
      </w:r>
      <w:proofErr w:type="spellEnd"/>
      <w:r>
        <w:t xml:space="preserve"> </w:t>
      </w:r>
      <w:proofErr w:type="spellStart"/>
      <w:r>
        <w:t>te</w:t>
      </w:r>
      <w:proofErr w:type="spellEnd"/>
      <w:r>
        <w:t xml:space="preserve"> </w:t>
      </w:r>
      <w:proofErr w:type="spellStart"/>
      <w:r>
        <w:t>hauora</w:t>
      </w:r>
      <w:proofErr w:type="spellEnd"/>
      <w:r>
        <w:t xml:space="preserve"> me </w:t>
      </w:r>
      <w:proofErr w:type="spellStart"/>
      <w:r>
        <w:t>te</w:t>
      </w:r>
      <w:proofErr w:type="spellEnd"/>
      <w:r>
        <w:t xml:space="preserve"> </w:t>
      </w:r>
      <w:proofErr w:type="spellStart"/>
      <w:r>
        <w:t>oranga</w:t>
      </w:r>
      <w:proofErr w:type="spellEnd"/>
      <w:r>
        <w:t xml:space="preserve"> o </w:t>
      </w:r>
      <w:proofErr w:type="spellStart"/>
      <w:r>
        <w:t>ngā</w:t>
      </w:r>
      <w:proofErr w:type="spellEnd"/>
      <w:r>
        <w:t xml:space="preserve"> tāngata e </w:t>
      </w:r>
      <w:proofErr w:type="spellStart"/>
      <w:r>
        <w:t>noho</w:t>
      </w:r>
      <w:proofErr w:type="spellEnd"/>
      <w:r>
        <w:t xml:space="preserve"> ana ki Aotearoa. Ko </w:t>
      </w:r>
      <w:proofErr w:type="spellStart"/>
      <w:r>
        <w:t>taku</w:t>
      </w:r>
      <w:proofErr w:type="spellEnd"/>
      <w:r>
        <w:t xml:space="preserve"> </w:t>
      </w:r>
      <w:proofErr w:type="spellStart"/>
      <w:r>
        <w:t>tūmanako</w:t>
      </w:r>
      <w:proofErr w:type="spellEnd"/>
      <w:r>
        <w:t xml:space="preserve"> </w:t>
      </w:r>
      <w:proofErr w:type="spellStart"/>
      <w:r>
        <w:t>hei</w:t>
      </w:r>
      <w:proofErr w:type="spellEnd"/>
      <w:r>
        <w:t xml:space="preserve"> </w:t>
      </w:r>
      <w:proofErr w:type="spellStart"/>
      <w:r>
        <w:t>rauemi</w:t>
      </w:r>
      <w:proofErr w:type="spellEnd"/>
      <w:r>
        <w:t xml:space="preserve"> </w:t>
      </w:r>
      <w:proofErr w:type="spellStart"/>
      <w:r>
        <w:t>whai</w:t>
      </w:r>
      <w:proofErr w:type="spellEnd"/>
      <w:r>
        <w:t xml:space="preserve"> </w:t>
      </w:r>
      <w:proofErr w:type="spellStart"/>
      <w:r>
        <w:t>painga</w:t>
      </w:r>
      <w:proofErr w:type="spellEnd"/>
      <w:r>
        <w:t xml:space="preserve"> </w:t>
      </w:r>
      <w:proofErr w:type="spellStart"/>
      <w:r>
        <w:t>tēnei</w:t>
      </w:r>
      <w:proofErr w:type="spellEnd"/>
      <w:r>
        <w:t xml:space="preserve"> </w:t>
      </w:r>
      <w:proofErr w:type="spellStart"/>
      <w:r>
        <w:t>pūrongo</w:t>
      </w:r>
      <w:proofErr w:type="spellEnd"/>
      <w:r>
        <w:t xml:space="preserve"> </w:t>
      </w:r>
      <w:proofErr w:type="spellStart"/>
      <w:r>
        <w:t>hei</w:t>
      </w:r>
      <w:proofErr w:type="spellEnd"/>
      <w:r>
        <w:t xml:space="preserve"> </w:t>
      </w:r>
      <w:proofErr w:type="spellStart"/>
      <w:r>
        <w:t>tautoko</w:t>
      </w:r>
      <w:proofErr w:type="spellEnd"/>
      <w:r>
        <w:t xml:space="preserve"> </w:t>
      </w:r>
      <w:proofErr w:type="spellStart"/>
      <w:r>
        <w:t>i</w:t>
      </w:r>
      <w:proofErr w:type="spellEnd"/>
      <w:r>
        <w:t xml:space="preserve"> </w:t>
      </w:r>
      <w:proofErr w:type="spellStart"/>
      <w:r>
        <w:t>tō</w:t>
      </w:r>
      <w:proofErr w:type="spellEnd"/>
      <w:r>
        <w:t xml:space="preserve"> mahi.    </w:t>
      </w:r>
    </w:p>
    <w:p w14:paraId="66C9387F" w14:textId="77777777" w:rsidR="00EC4094" w:rsidRDefault="00EC4094" w:rsidP="00EC4094"/>
    <w:p w14:paraId="508950C1" w14:textId="77777777" w:rsidR="00EC4094" w:rsidRDefault="00EC4094" w:rsidP="00EC4094">
      <w:proofErr w:type="spellStart"/>
      <w:r>
        <w:t>Ngā</w:t>
      </w:r>
      <w:proofErr w:type="spellEnd"/>
      <w:r>
        <w:t xml:space="preserve"> mihi </w:t>
      </w:r>
    </w:p>
    <w:p w14:paraId="788462EC" w14:textId="77777777" w:rsidR="00EC4094" w:rsidRDefault="00EC4094" w:rsidP="00EC4094">
      <w:proofErr w:type="spellStart"/>
      <w:r>
        <w:t>Tākuta</w:t>
      </w:r>
      <w:proofErr w:type="spellEnd"/>
      <w:r>
        <w:t xml:space="preserve"> Diana </w:t>
      </w:r>
      <w:proofErr w:type="spellStart"/>
      <w:r>
        <w:t>Sarfati</w:t>
      </w:r>
      <w:proofErr w:type="spellEnd"/>
      <w:r>
        <w:t xml:space="preserve"> </w:t>
      </w:r>
    </w:p>
    <w:p w14:paraId="43C06B56" w14:textId="77777777" w:rsidR="00197427" w:rsidRDefault="00EC4094" w:rsidP="00EC4094">
      <w:proofErr w:type="spellStart"/>
      <w:r>
        <w:t>Te</w:t>
      </w:r>
      <w:proofErr w:type="spellEnd"/>
      <w:r>
        <w:t xml:space="preserve"> Tumu </w:t>
      </w:r>
      <w:proofErr w:type="spellStart"/>
      <w:r>
        <w:t>Whakarae</w:t>
      </w:r>
      <w:proofErr w:type="spellEnd"/>
      <w:r>
        <w:t xml:space="preserve"> </w:t>
      </w:r>
      <w:proofErr w:type="spellStart"/>
      <w:r>
        <w:t>mō</w:t>
      </w:r>
      <w:proofErr w:type="spellEnd"/>
      <w:r>
        <w:t xml:space="preserve"> </w:t>
      </w:r>
      <w:proofErr w:type="spellStart"/>
      <w:r>
        <w:t>te</w:t>
      </w:r>
      <w:proofErr w:type="spellEnd"/>
      <w:r>
        <w:t xml:space="preserve"> Hauora</w:t>
      </w:r>
    </w:p>
    <w:p w14:paraId="5979BB18" w14:textId="77777777" w:rsidR="001C7EEF" w:rsidRDefault="001C7EEF" w:rsidP="00EC4094"/>
    <w:p w14:paraId="0A000AB4" w14:textId="77777777" w:rsidR="001C7EEF" w:rsidRDefault="001C7EEF" w:rsidP="00EC4094">
      <w:pPr>
        <w:sectPr w:rsidR="001C7EEF" w:rsidSect="0078658E">
          <w:footerReference w:type="even" r:id="rId21"/>
          <w:footerReference w:type="default" r:id="rId22"/>
          <w:pgSz w:w="11907" w:h="16840" w:code="9"/>
          <w:pgMar w:top="1418" w:right="1701" w:bottom="1134" w:left="1843" w:header="284" w:footer="425" w:gutter="284"/>
          <w:pgNumType w:fmt="lowerRoman"/>
          <w:cols w:space="720"/>
        </w:sectPr>
      </w:pPr>
    </w:p>
    <w:p w14:paraId="3EA762F3" w14:textId="77777777" w:rsidR="001C7EEF" w:rsidRDefault="001C7EEF" w:rsidP="001C7EEF">
      <w:pPr>
        <w:pStyle w:val="Heading1"/>
      </w:pPr>
      <w:bookmarkStart w:id="7" w:name="_Toc171944512"/>
      <w:bookmarkStart w:id="8" w:name="_Toc172104652"/>
      <w:r w:rsidRPr="00EC4094">
        <w:lastRenderedPageBreak/>
        <w:t xml:space="preserve">Executive summary - He </w:t>
      </w:r>
      <w:proofErr w:type="spellStart"/>
      <w:r w:rsidRPr="00EC4094">
        <w:t>whakarāpopototanga</w:t>
      </w:r>
      <w:bookmarkEnd w:id="7"/>
      <w:bookmarkEnd w:id="8"/>
      <w:proofErr w:type="spellEnd"/>
    </w:p>
    <w:p w14:paraId="368BC9A9" w14:textId="77777777" w:rsidR="001C7EEF" w:rsidRPr="00E47714" w:rsidRDefault="001C7EEF" w:rsidP="001C7EEF">
      <w:pPr>
        <w:rPr>
          <w:rFonts w:cs="Segoe UI"/>
        </w:rPr>
      </w:pPr>
      <w:r w:rsidRPr="00E47714">
        <w:rPr>
          <w:rFonts w:cs="Segoe UI"/>
        </w:rPr>
        <w:t xml:space="preserve">The 2023 Health and Independence </w:t>
      </w:r>
      <w:r>
        <w:rPr>
          <w:rFonts w:cs="Segoe UI"/>
        </w:rPr>
        <w:t>R</w:t>
      </w:r>
      <w:r w:rsidRPr="00E47714">
        <w:rPr>
          <w:rFonts w:cs="Segoe UI"/>
        </w:rPr>
        <w:t xml:space="preserve">eport provides a comprehensive overview of the state of public health in Aotearoa New Zealand for the 2023 calendar year. </w:t>
      </w:r>
      <w:r>
        <w:rPr>
          <w:rFonts w:cs="Segoe UI"/>
        </w:rPr>
        <w:t>To do so, it</w:t>
      </w:r>
      <w:r w:rsidRPr="00E47714">
        <w:rPr>
          <w:rFonts w:cs="Segoe UI"/>
        </w:rPr>
        <w:t xml:space="preserve"> combin</w:t>
      </w:r>
      <w:r>
        <w:rPr>
          <w:rFonts w:cs="Segoe UI"/>
        </w:rPr>
        <w:t>es</w:t>
      </w:r>
      <w:r w:rsidRPr="00E47714">
        <w:rPr>
          <w:rFonts w:cs="Segoe UI"/>
        </w:rPr>
        <w:t xml:space="preserve"> the most up</w:t>
      </w:r>
      <w:r>
        <w:rPr>
          <w:rFonts w:cs="Segoe UI"/>
        </w:rPr>
        <w:t>-</w:t>
      </w:r>
      <w:r w:rsidRPr="00E47714">
        <w:rPr>
          <w:rFonts w:cs="Segoe UI"/>
        </w:rPr>
        <w:t>to</w:t>
      </w:r>
      <w:r>
        <w:rPr>
          <w:rFonts w:cs="Segoe UI"/>
        </w:rPr>
        <w:t>-</w:t>
      </w:r>
      <w:r w:rsidRPr="00E47714">
        <w:rPr>
          <w:rFonts w:cs="Segoe UI"/>
        </w:rPr>
        <w:t>date information</w:t>
      </w:r>
      <w:r w:rsidRPr="00394EC0">
        <w:rPr>
          <w:rFonts w:cs="Segoe UI"/>
        </w:rPr>
        <w:t xml:space="preserve"> </w:t>
      </w:r>
      <w:r w:rsidRPr="00E47714">
        <w:rPr>
          <w:rFonts w:cs="Segoe UI"/>
        </w:rPr>
        <w:t>available</w:t>
      </w:r>
      <w:r>
        <w:rPr>
          <w:rFonts w:cs="Segoe UI"/>
        </w:rPr>
        <w:t xml:space="preserve"> on</w:t>
      </w:r>
      <w:r w:rsidRPr="00E47714">
        <w:rPr>
          <w:rFonts w:cs="Segoe UI"/>
        </w:rPr>
        <w:t xml:space="preserve"> a range of measures </w:t>
      </w:r>
      <w:r>
        <w:rPr>
          <w:rFonts w:cs="Segoe UI"/>
        </w:rPr>
        <w:t>that</w:t>
      </w:r>
      <w:r w:rsidRPr="00E47714">
        <w:rPr>
          <w:rFonts w:cs="Segoe UI"/>
        </w:rPr>
        <w:t xml:space="preserve"> illustrate key trends and other factors affecting the health and wellbeing of New Zealanders. </w:t>
      </w:r>
    </w:p>
    <w:p w14:paraId="2BC439E1" w14:textId="77777777" w:rsidR="001C7EEF" w:rsidRPr="00E47714" w:rsidRDefault="001C7EEF" w:rsidP="001C7EEF">
      <w:pPr>
        <w:pStyle w:val="Heading3"/>
      </w:pPr>
      <w:r w:rsidRPr="00E47714">
        <w:t>People of Aotearoa</w:t>
      </w:r>
      <w:r w:rsidRPr="00E47714">
        <w:rPr>
          <w:rFonts w:cs="Segoe UI"/>
          <w:color w:val="365F91" w:themeColor="accent1" w:themeShade="BF"/>
          <w:szCs w:val="36"/>
        </w:rPr>
        <w:t xml:space="preserve"> </w:t>
      </w:r>
      <w:r w:rsidRPr="00E47714">
        <w:t>New Zealand</w:t>
      </w:r>
    </w:p>
    <w:p w14:paraId="21ED2C48" w14:textId="77777777" w:rsidR="001C7EEF" w:rsidRDefault="001C7EEF" w:rsidP="001C7EEF">
      <w:r w:rsidRPr="00E47714">
        <w:t xml:space="preserve">The strategic approach to health in </w:t>
      </w:r>
      <w:r>
        <w:t xml:space="preserve">Aotearoa </w:t>
      </w:r>
      <w:r w:rsidRPr="00E47714">
        <w:t xml:space="preserve">New Zealand includes the </w:t>
      </w:r>
      <w:proofErr w:type="spellStart"/>
      <w:r w:rsidRPr="00E47714">
        <w:t>Pae</w:t>
      </w:r>
      <w:proofErr w:type="spellEnd"/>
      <w:r w:rsidRPr="00E47714">
        <w:t xml:space="preserve"> Ora (Healthy Futures) Act </w:t>
      </w:r>
      <w:r>
        <w:t xml:space="preserve">2022, </w:t>
      </w:r>
      <w:r w:rsidRPr="00E47714">
        <w:t>which aims to protect, promote</w:t>
      </w:r>
      <w:r>
        <w:t>,</w:t>
      </w:r>
      <w:r w:rsidRPr="00E47714">
        <w:t xml:space="preserve"> and improve health, and achieve equity in health outcomes. To progress toward </w:t>
      </w:r>
      <w:proofErr w:type="spellStart"/>
      <w:r>
        <w:t>p</w:t>
      </w:r>
      <w:r w:rsidRPr="00E47714">
        <w:t>ae</w:t>
      </w:r>
      <w:proofErr w:type="spellEnd"/>
      <w:r w:rsidRPr="00E47714">
        <w:t xml:space="preserve"> </w:t>
      </w:r>
      <w:proofErr w:type="spellStart"/>
      <w:r>
        <w:t>o</w:t>
      </w:r>
      <w:r w:rsidRPr="00E47714">
        <w:t>ra</w:t>
      </w:r>
      <w:proofErr w:type="spellEnd"/>
      <w:r w:rsidRPr="00E47714">
        <w:t xml:space="preserve"> (healthy futures), </w:t>
      </w:r>
      <w:r>
        <w:t>the Ministry of Health – Manatū Hauora</w:t>
      </w:r>
      <w:r w:rsidRPr="000E3A2C">
        <w:t xml:space="preserve"> </w:t>
      </w:r>
      <w:r w:rsidRPr="00E47714">
        <w:t>published</w:t>
      </w:r>
      <w:r>
        <w:t xml:space="preserve"> </w:t>
      </w:r>
      <w:r w:rsidRPr="00E47714">
        <w:t xml:space="preserve">six strategies in 2023: an overarching </w:t>
      </w:r>
      <w:hyperlink r:id="rId23" w:history="1">
        <w:r w:rsidRPr="00E47714">
          <w:rPr>
            <w:rStyle w:val="Hyperlink"/>
            <w:rFonts w:cs="Segoe UI"/>
          </w:rPr>
          <w:t>New Zealand Health Strategy</w:t>
        </w:r>
      </w:hyperlink>
      <w:r w:rsidRPr="00E47714">
        <w:t>, and five additional strategies address</w:t>
      </w:r>
      <w:r>
        <w:t>ing</w:t>
      </w:r>
      <w:r w:rsidRPr="00E47714">
        <w:t xml:space="preserve"> health and wellbeing needs for specific population groups (</w:t>
      </w:r>
      <w:hyperlink r:id="rId24" w:history="1">
        <w:r w:rsidRPr="00E47714">
          <w:rPr>
            <w:rStyle w:val="Hyperlink"/>
            <w:rFonts w:cs="Segoe UI"/>
          </w:rPr>
          <w:t>Māori</w:t>
        </w:r>
      </w:hyperlink>
      <w:r w:rsidRPr="00E47714">
        <w:t xml:space="preserve">, </w:t>
      </w:r>
      <w:hyperlink r:id="rId25" w:history="1">
        <w:r w:rsidRPr="00E47714">
          <w:rPr>
            <w:rStyle w:val="Hyperlink"/>
            <w:rFonts w:cs="Segoe UI"/>
          </w:rPr>
          <w:t>Pacific peoples</w:t>
        </w:r>
      </w:hyperlink>
      <w:r w:rsidRPr="00E47714">
        <w:t xml:space="preserve">, </w:t>
      </w:r>
      <w:hyperlink r:id="rId26" w:history="1">
        <w:r>
          <w:rPr>
            <w:rStyle w:val="Hyperlink"/>
            <w:rFonts w:cs="Segoe UI"/>
          </w:rPr>
          <w:t>d</w:t>
        </w:r>
        <w:r w:rsidRPr="00E47714">
          <w:rPr>
            <w:rStyle w:val="Hyperlink"/>
            <w:rFonts w:cs="Segoe UI"/>
          </w:rPr>
          <w:t>isabled people</w:t>
        </w:r>
      </w:hyperlink>
      <w:r w:rsidRPr="00E47714">
        <w:t xml:space="preserve">, </w:t>
      </w:r>
      <w:hyperlink r:id="rId27" w:history="1">
        <w:r>
          <w:rPr>
            <w:rStyle w:val="Hyperlink"/>
            <w:rFonts w:cs="Segoe UI"/>
          </w:rPr>
          <w:t>r</w:t>
        </w:r>
        <w:r w:rsidRPr="00E47714">
          <w:rPr>
            <w:rStyle w:val="Hyperlink"/>
            <w:rFonts w:cs="Segoe UI"/>
          </w:rPr>
          <w:t>ural health</w:t>
        </w:r>
      </w:hyperlink>
      <w:r w:rsidRPr="00E47714">
        <w:t xml:space="preserve"> and </w:t>
      </w:r>
      <w:hyperlink r:id="rId28" w:history="1">
        <w:r>
          <w:rPr>
            <w:rStyle w:val="Hyperlink"/>
            <w:rFonts w:cs="Segoe UI"/>
          </w:rPr>
          <w:t>w</w:t>
        </w:r>
        <w:r w:rsidRPr="00E47714">
          <w:rPr>
            <w:rStyle w:val="Hyperlink"/>
            <w:rFonts w:cs="Segoe UI"/>
          </w:rPr>
          <w:t xml:space="preserve">omen’s </w:t>
        </w:r>
        <w:r>
          <w:rPr>
            <w:rStyle w:val="Hyperlink"/>
            <w:rFonts w:cs="Segoe UI"/>
          </w:rPr>
          <w:t>h</w:t>
        </w:r>
        <w:r w:rsidRPr="00E47714">
          <w:rPr>
            <w:rStyle w:val="Hyperlink"/>
            <w:rFonts w:cs="Segoe UI"/>
          </w:rPr>
          <w:t>ealth</w:t>
        </w:r>
      </w:hyperlink>
      <w:r w:rsidRPr="00E47714">
        <w:t xml:space="preserve">). </w:t>
      </w:r>
    </w:p>
    <w:p w14:paraId="22C87AD5" w14:textId="77777777" w:rsidR="001C7EEF" w:rsidRPr="00E47714" w:rsidRDefault="001C7EEF" w:rsidP="001C7EEF"/>
    <w:p w14:paraId="001D0B75" w14:textId="528AB183" w:rsidR="001C7EEF" w:rsidRDefault="001C7EEF" w:rsidP="001C7EEF">
      <w:pPr>
        <w:rPr>
          <w:rFonts w:eastAsiaTheme="majorEastAsia"/>
          <w:color w:val="000000" w:themeColor="text1"/>
        </w:rPr>
      </w:pPr>
      <w:r>
        <w:t>A</w:t>
      </w:r>
      <w:r w:rsidRPr="00E47714">
        <w:t xml:space="preserve"> snapshot of the population</w:t>
      </w:r>
      <w:r>
        <w:t xml:space="preserve"> of Aotearoa New Zealand shows that,</w:t>
      </w:r>
      <w:r w:rsidRPr="00E47714">
        <w:t xml:space="preserve"> </w:t>
      </w:r>
      <w:r>
        <w:t>o</w:t>
      </w:r>
      <w:r w:rsidRPr="00E47714">
        <w:t xml:space="preserve">n 31 December 2023, </w:t>
      </w:r>
      <w:r>
        <w:t>the country</w:t>
      </w:r>
      <w:r w:rsidRPr="00E47714">
        <w:t xml:space="preserve"> was home to 5,305,600</w:t>
      </w:r>
      <w:r>
        <w:t xml:space="preserve"> people</w:t>
      </w:r>
      <w:r w:rsidRPr="00E47714">
        <w:t xml:space="preserve">. This </w:t>
      </w:r>
      <w:r>
        <w:t>is</w:t>
      </w:r>
      <w:r w:rsidRPr="00E47714">
        <w:t xml:space="preserve"> </w:t>
      </w:r>
      <w:r w:rsidRPr="00E47714">
        <w:rPr>
          <w:color w:val="000000" w:themeColor="text1"/>
        </w:rPr>
        <w:t xml:space="preserve">a 2.8% increase from the year before, </w:t>
      </w:r>
      <w:r>
        <w:rPr>
          <w:color w:val="000000" w:themeColor="text1"/>
        </w:rPr>
        <w:t xml:space="preserve">representing </w:t>
      </w:r>
      <w:r w:rsidRPr="00E47714">
        <w:rPr>
          <w:color w:val="000000" w:themeColor="text1"/>
        </w:rPr>
        <w:t>an estimated 145,100</w:t>
      </w:r>
      <w:r w:rsidRPr="007D5C3D">
        <w:rPr>
          <w:color w:val="000000" w:themeColor="text1"/>
        </w:rPr>
        <w:t xml:space="preserve"> </w:t>
      </w:r>
      <w:r w:rsidRPr="00E47714">
        <w:rPr>
          <w:color w:val="000000" w:themeColor="text1"/>
        </w:rPr>
        <w:t xml:space="preserve">additional people. This population growth was </w:t>
      </w:r>
      <w:r w:rsidR="00CC2C11">
        <w:rPr>
          <w:color w:val="000000" w:themeColor="text1"/>
        </w:rPr>
        <w:t xml:space="preserve">primarily </w:t>
      </w:r>
      <w:r w:rsidRPr="00E47714">
        <w:rPr>
          <w:color w:val="000000" w:themeColor="text1"/>
        </w:rPr>
        <w:t xml:space="preserve">driven by </w:t>
      </w:r>
      <w:r w:rsidR="00366A3F">
        <w:rPr>
          <w:color w:val="000000" w:themeColor="text1"/>
        </w:rPr>
        <w:t xml:space="preserve">provisional </w:t>
      </w:r>
      <w:r w:rsidRPr="00E47714">
        <w:rPr>
          <w:color w:val="000000" w:themeColor="text1"/>
        </w:rPr>
        <w:t xml:space="preserve">net migration. </w:t>
      </w:r>
      <w:r w:rsidRPr="00E47714">
        <w:rPr>
          <w:rFonts w:eastAsiaTheme="majorEastAsia"/>
          <w:color w:val="000000" w:themeColor="text1"/>
        </w:rPr>
        <w:t>In 2023, the net migration gain was the highest ever recorded</w:t>
      </w:r>
      <w:r>
        <w:rPr>
          <w:rFonts w:eastAsiaTheme="majorEastAsia"/>
          <w:color w:val="000000" w:themeColor="text1"/>
        </w:rPr>
        <w:t xml:space="preserve"> in one year</w:t>
      </w:r>
      <w:r w:rsidRPr="00E47714">
        <w:rPr>
          <w:rFonts w:eastAsiaTheme="majorEastAsia"/>
          <w:color w:val="000000" w:themeColor="text1"/>
        </w:rPr>
        <w:t xml:space="preserve">. Conversely, the natural increase was the lowest in 80 years, </w:t>
      </w:r>
      <w:r>
        <w:rPr>
          <w:rFonts w:eastAsiaTheme="majorEastAsia"/>
          <w:color w:val="000000" w:themeColor="text1"/>
        </w:rPr>
        <w:t xml:space="preserve">with no lower increase recorded </w:t>
      </w:r>
      <w:r w:rsidRPr="00E47714">
        <w:rPr>
          <w:rFonts w:eastAsiaTheme="majorEastAsia"/>
          <w:color w:val="000000" w:themeColor="text1"/>
        </w:rPr>
        <w:t xml:space="preserve">since 1943.  </w:t>
      </w:r>
    </w:p>
    <w:p w14:paraId="754D4551" w14:textId="77777777" w:rsidR="001C7EEF" w:rsidRPr="00E47714" w:rsidRDefault="001C7EEF" w:rsidP="001C7EEF">
      <w:pPr>
        <w:rPr>
          <w:rFonts w:eastAsiaTheme="majorEastAsia"/>
          <w:color w:val="000000" w:themeColor="text1"/>
        </w:rPr>
      </w:pPr>
    </w:p>
    <w:p w14:paraId="30692F03" w14:textId="77777777" w:rsidR="001C7EEF" w:rsidRDefault="001C7EEF" w:rsidP="001C7EEF">
      <w:r w:rsidRPr="00E47714">
        <w:t>The Aotearoa New Zealand population is becoming more ethnically diverse</w:t>
      </w:r>
      <w:r>
        <w:t>:</w:t>
      </w:r>
      <w:r w:rsidRPr="00E47714">
        <w:t xml:space="preserve"> the 2018 Census counted over 160 different ethnicities. The </w:t>
      </w:r>
      <w:r>
        <w:t>five</w:t>
      </w:r>
      <w:r w:rsidRPr="00E47714">
        <w:t xml:space="preserve"> major ethnic groups</w:t>
      </w:r>
      <w:r>
        <w:t xml:space="preserve"> comprise</w:t>
      </w:r>
      <w:r w:rsidRPr="00E47714">
        <w:t>: Māori (17.4% of the population), Pacific peoples (8.8%), Middle Eastern/Latin American/African (MELAA) (1.9%)</w:t>
      </w:r>
      <w:r>
        <w:t>,</w:t>
      </w:r>
      <w:r w:rsidRPr="00E47714">
        <w:t xml:space="preserve"> Asian (17.9%) and European/other (68.9%). </w:t>
      </w:r>
    </w:p>
    <w:p w14:paraId="4E3D4E3F" w14:textId="77777777" w:rsidR="001C7EEF" w:rsidRPr="00E47714" w:rsidRDefault="001C7EEF" w:rsidP="001C7EEF"/>
    <w:p w14:paraId="20EF9DA8" w14:textId="77777777" w:rsidR="001C7EEF" w:rsidRDefault="001C7EEF" w:rsidP="001C7EEF">
      <w:r w:rsidRPr="00E47714">
        <w:t>In addition to</w:t>
      </w:r>
      <w:r>
        <w:t xml:space="preserve"> becoming</w:t>
      </w:r>
      <w:r w:rsidRPr="00E47714">
        <w:t xml:space="preserve"> increasing</w:t>
      </w:r>
      <w:r>
        <w:t>ly</w:t>
      </w:r>
      <w:r w:rsidRPr="00E47714">
        <w:t xml:space="preserve"> divers</w:t>
      </w:r>
      <w:r>
        <w:t>e</w:t>
      </w:r>
      <w:r w:rsidRPr="00E47714">
        <w:t>, the population is ageing. This demographic change increas</w:t>
      </w:r>
      <w:r>
        <w:t>es</w:t>
      </w:r>
      <w:r w:rsidRPr="00E47714">
        <w:t xml:space="preserve"> demand on health and disability services as older people typically require these services</w:t>
      </w:r>
      <w:r>
        <w:t xml:space="preserve"> more</w:t>
      </w:r>
      <w:r w:rsidRPr="00E47714">
        <w:t xml:space="preserve"> than younger people. Currently 16.5% of the population is </w:t>
      </w:r>
      <w:r>
        <w:t xml:space="preserve">aged </w:t>
      </w:r>
      <w:r w:rsidRPr="00E47714">
        <w:t xml:space="preserve">65 years and over, and this is projected to increase to 22.1% by 2043. The proportion of people </w:t>
      </w:r>
      <w:r>
        <w:t xml:space="preserve">aged </w:t>
      </w:r>
      <w:r w:rsidRPr="00E47714">
        <w:t xml:space="preserve">65 years and over </w:t>
      </w:r>
      <w:r>
        <w:t>differs by</w:t>
      </w:r>
      <w:r w:rsidRPr="00E47714">
        <w:t xml:space="preserve"> ethnic group</w:t>
      </w:r>
      <w:r>
        <w:t>. The</w:t>
      </w:r>
      <w:r w:rsidRPr="00AB0D69">
        <w:t xml:space="preserve"> </w:t>
      </w:r>
      <w:r w:rsidRPr="00E47714">
        <w:t>European/other population</w:t>
      </w:r>
      <w:r>
        <w:t xml:space="preserve"> is markedly different:</w:t>
      </w:r>
      <w:r w:rsidRPr="00E47714">
        <w:t xml:space="preserve"> almost 20.2% of</w:t>
      </w:r>
      <w:r>
        <w:t xml:space="preserve"> people in this group are aged 65 years and over, compared with</w:t>
      </w:r>
      <w:r w:rsidRPr="00E47714">
        <w:t xml:space="preserve"> 7.4% of Māori, 6.1% of Pacific peoples, 5.0% of MELAA and 8.8% of Asian </w:t>
      </w:r>
      <w:r>
        <w:t>people</w:t>
      </w:r>
      <w:r w:rsidRPr="00E47714">
        <w:t>.</w:t>
      </w:r>
    </w:p>
    <w:p w14:paraId="237FF68C" w14:textId="77777777" w:rsidR="001C7EEF" w:rsidRPr="00E47714" w:rsidRDefault="001C7EEF" w:rsidP="001C7EEF"/>
    <w:p w14:paraId="7F221B64" w14:textId="77777777" w:rsidR="001C7EEF" w:rsidRPr="00E47714" w:rsidRDefault="001C7EEF" w:rsidP="001C7EEF">
      <w:r w:rsidRPr="00E47714">
        <w:t xml:space="preserve">Where people live can have a profound impact on health and wellbeing, with socioeconomic and environmental factors playing significant roles. The Aotearoa New Zealand population is </w:t>
      </w:r>
      <w:r>
        <w:t>largely</w:t>
      </w:r>
      <w:r w:rsidRPr="00E47714">
        <w:t xml:space="preserve"> urban but </w:t>
      </w:r>
      <w:r>
        <w:t>includes</w:t>
      </w:r>
      <w:r w:rsidRPr="00E47714">
        <w:t xml:space="preserve"> a significant rural population. According to the 2018 Census</w:t>
      </w:r>
      <w:r>
        <w:t>,</w:t>
      </w:r>
      <w:r w:rsidRPr="00E47714">
        <w:t xml:space="preserve"> European/other is the largest ethnic group in rural areas (82%), followed by Māori (22%), Asian</w:t>
      </w:r>
      <w:r>
        <w:t xml:space="preserve"> people</w:t>
      </w:r>
      <w:r w:rsidRPr="00E47714">
        <w:t xml:space="preserve"> (4%) and Pacific peoples (3%). In both urban and rural areas, rates of socioeconomic deprivation vary considerably, </w:t>
      </w:r>
      <w:r>
        <w:t>but</w:t>
      </w:r>
      <w:r w:rsidRPr="00E47714">
        <w:t xml:space="preserve"> higher </w:t>
      </w:r>
      <w:r w:rsidRPr="00E47714">
        <w:lastRenderedPageBreak/>
        <w:t xml:space="preserve">rates of deprivation </w:t>
      </w:r>
      <w:r>
        <w:t xml:space="preserve">are </w:t>
      </w:r>
      <w:r w:rsidRPr="00E47714">
        <w:t>strongly associated with worse health. Māori and Pacific peoples</w:t>
      </w:r>
      <w:r>
        <w:t xml:space="preserve"> are</w:t>
      </w:r>
      <w:r w:rsidRPr="00E47714">
        <w:t xml:space="preserve"> much more likely to live in the most socioeconomically deprived</w:t>
      </w:r>
      <w:r w:rsidRPr="009F45DF">
        <w:t xml:space="preserve"> </w:t>
      </w:r>
      <w:r w:rsidRPr="00E47714">
        <w:t xml:space="preserve">areas </w:t>
      </w:r>
      <w:r>
        <w:t>(quintile 5):</w:t>
      </w:r>
      <w:r w:rsidRPr="00E47714">
        <w:t xml:space="preserve"> 43.0% of Māori and 55.8% of Pacific peoples liv</w:t>
      </w:r>
      <w:r>
        <w:t>e</w:t>
      </w:r>
      <w:r w:rsidRPr="00E47714">
        <w:t xml:space="preserve"> in quintile 5, compared </w:t>
      </w:r>
      <w:r>
        <w:t>with</w:t>
      </w:r>
      <w:r w:rsidRPr="00E47714">
        <w:t xml:space="preserve"> 17.5% of Asian </w:t>
      </w:r>
      <w:r>
        <w:t>people</w:t>
      </w:r>
      <w:r w:rsidRPr="00E47714">
        <w:t xml:space="preserve"> and 12.5% of European/other</w:t>
      </w:r>
      <w:r>
        <w:t xml:space="preserve"> people</w:t>
      </w:r>
      <w:r w:rsidRPr="00E47714">
        <w:t xml:space="preserve">. </w:t>
      </w:r>
    </w:p>
    <w:p w14:paraId="5A81D6EB" w14:textId="77777777" w:rsidR="001C7EEF" w:rsidRDefault="001C7EEF" w:rsidP="001C7EEF"/>
    <w:p w14:paraId="421EDE7F" w14:textId="2359224F" w:rsidR="001C7EEF" w:rsidRPr="00E47714" w:rsidRDefault="001C7EEF" w:rsidP="001C7EEF">
      <w:r w:rsidRPr="00E47714">
        <w:t xml:space="preserve">Māori, Pacific peoples and the disabled population experience inequity and poorer health outcomes compared </w:t>
      </w:r>
      <w:r>
        <w:t>with</w:t>
      </w:r>
      <w:r w:rsidRPr="00E47714">
        <w:t xml:space="preserve"> the general population</w:t>
      </w:r>
      <w:r w:rsidR="00F66A16">
        <w:t>.</w:t>
      </w:r>
      <w:r>
        <w:t xml:space="preserve"> E</w:t>
      </w:r>
      <w:r w:rsidRPr="00E47714">
        <w:t>xamples include lower life expectancy, higher rates of child poverty, lower self-rated health, higher rates of anxiety and depression, and higher rates of unmet need.</w:t>
      </w:r>
    </w:p>
    <w:p w14:paraId="354A81E8" w14:textId="77777777" w:rsidR="001C7EEF" w:rsidRPr="00E47714" w:rsidRDefault="001C7EEF" w:rsidP="001C7EEF">
      <w:pPr>
        <w:pStyle w:val="Heading3"/>
      </w:pPr>
      <w:r w:rsidRPr="00E47714">
        <w:t>Health measures</w:t>
      </w:r>
    </w:p>
    <w:p w14:paraId="06667DF9" w14:textId="77777777" w:rsidR="001C7EEF" w:rsidRDefault="001C7EEF" w:rsidP="001C7EEF">
      <w:r>
        <w:t>K</w:t>
      </w:r>
      <w:r w:rsidRPr="00E47714">
        <w:t>ey indicators of New Zealanders</w:t>
      </w:r>
      <w:r>
        <w:t>’</w:t>
      </w:r>
      <w:r w:rsidRPr="00E47714">
        <w:t xml:space="preserve"> health and wellbeing includ</w:t>
      </w:r>
      <w:r>
        <w:t>e</w:t>
      </w:r>
      <w:r w:rsidRPr="00E47714">
        <w:t xml:space="preserve"> self-rated health, life expectancy, mortality rates across the population and maternity measures.</w:t>
      </w:r>
    </w:p>
    <w:p w14:paraId="24FB6105" w14:textId="77777777" w:rsidR="001C7EEF" w:rsidRPr="00E47714" w:rsidRDefault="001C7EEF" w:rsidP="001C7EEF"/>
    <w:p w14:paraId="5AC5D30F" w14:textId="77777777" w:rsidR="001C7EEF" w:rsidRDefault="001C7EEF" w:rsidP="001C7EEF">
      <w:r w:rsidRPr="00E47714">
        <w:rPr>
          <w:rFonts w:eastAsiaTheme="majorEastAsia"/>
          <w:color w:val="000000" w:themeColor="text1"/>
        </w:rPr>
        <w:t xml:space="preserve">Most adults rate their health highly. However, </w:t>
      </w:r>
      <w:r w:rsidRPr="00E47714">
        <w:t>Māori (80.5%) and Pacific (81.8%)</w:t>
      </w:r>
      <w:r w:rsidRPr="00727943">
        <w:t xml:space="preserve"> </w:t>
      </w:r>
      <w:r w:rsidRPr="00E47714">
        <w:t>adults were less likely to report being in good health (defined as good, very good or excellent</w:t>
      </w:r>
      <w:r>
        <w:t xml:space="preserve"> health</w:t>
      </w:r>
      <w:r w:rsidRPr="00E47714">
        <w:t>) than Asian (90.5%) and European/other (87.9%)</w:t>
      </w:r>
      <w:r w:rsidRPr="00727943">
        <w:t xml:space="preserve"> </w:t>
      </w:r>
      <w:r w:rsidRPr="00E47714">
        <w:t>adults.</w:t>
      </w:r>
      <w:r>
        <w:t xml:space="preserve"> O</w:t>
      </w:r>
      <w:r w:rsidRPr="00E47714">
        <w:t xml:space="preserve">nly 59.4% of disabled adults reported having good health compared </w:t>
      </w:r>
      <w:r>
        <w:t>with</w:t>
      </w:r>
      <w:r w:rsidRPr="00E47714">
        <w:t xml:space="preserve"> 90.2% of non-disabled adults.</w:t>
      </w:r>
      <w:r w:rsidRPr="00E47714">
        <w:rPr>
          <w:rStyle w:val="FootnoteReference"/>
          <w:rFonts w:eastAsiaTheme="majorEastAsia" w:cs="Segoe UI"/>
          <w:color w:val="000000" w:themeColor="text1"/>
        </w:rPr>
        <w:footnoteReference w:id="2"/>
      </w:r>
    </w:p>
    <w:p w14:paraId="723EC2E8" w14:textId="77777777" w:rsidR="001C7EEF" w:rsidRPr="00E47714" w:rsidRDefault="001C7EEF" w:rsidP="001C7EEF"/>
    <w:p w14:paraId="6CC84407" w14:textId="77777777" w:rsidR="001C7EEF" w:rsidRDefault="001C7EEF" w:rsidP="001C7EEF">
      <w:r w:rsidRPr="00E47714">
        <w:t>Life expectancy continue</w:t>
      </w:r>
      <w:r>
        <w:t>s</w:t>
      </w:r>
      <w:r w:rsidRPr="00E47714">
        <w:t xml:space="preserve"> to increase in Aotearoa New Zealand</w:t>
      </w:r>
      <w:r>
        <w:t>.</w:t>
      </w:r>
      <w:r w:rsidRPr="00E47714">
        <w:t xml:space="preserve"> </w:t>
      </w:r>
      <w:r>
        <w:t>L</w:t>
      </w:r>
      <w:r w:rsidRPr="00E47714">
        <w:t xml:space="preserve">ife expectancy at birth </w:t>
      </w:r>
      <w:r>
        <w:t xml:space="preserve">is </w:t>
      </w:r>
      <w:r w:rsidRPr="00E47714">
        <w:t xml:space="preserve">estimated to be 82.2 years (80.3 years for </w:t>
      </w:r>
      <w:proofErr w:type="spellStart"/>
      <w:r w:rsidRPr="00E47714">
        <w:t>newborn</w:t>
      </w:r>
      <w:proofErr w:type="spellEnd"/>
      <w:r w:rsidRPr="00E47714">
        <w:t xml:space="preserve"> males and 83.7 years for </w:t>
      </w:r>
      <w:proofErr w:type="spellStart"/>
      <w:r w:rsidRPr="00E47714">
        <w:t>newborn</w:t>
      </w:r>
      <w:proofErr w:type="spellEnd"/>
      <w:r w:rsidRPr="00E47714">
        <w:t xml:space="preserve"> females). </w:t>
      </w:r>
      <w:r>
        <w:t>B</w:t>
      </w:r>
      <w:r w:rsidRPr="00E47714">
        <w:t xml:space="preserve">etween 2020 and 2021 global life expectancy fell by 1.6 years because of the </w:t>
      </w:r>
      <w:r>
        <w:t xml:space="preserve">COVID-19 </w:t>
      </w:r>
      <w:r w:rsidRPr="00E47714">
        <w:t xml:space="preserve">pandemic. </w:t>
      </w:r>
      <w:r>
        <w:t xml:space="preserve">In contrast, </w:t>
      </w:r>
      <w:r w:rsidRPr="00E47714">
        <w:t>Aotearoa New Zealand had one of the lowest age-adjusted excess mortality rates (</w:t>
      </w:r>
      <w:r w:rsidRPr="00E47714">
        <w:rPr>
          <w:shd w:val="clear" w:color="auto" w:fill="FFFFFF"/>
        </w:rPr>
        <w:t>the net difference between the number of deaths during the pandemic and the number of deaths that would be expected based on past trends)</w:t>
      </w:r>
      <w:r w:rsidRPr="00E47714">
        <w:t xml:space="preserve">, so maintained a small increase </w:t>
      </w:r>
      <w:r>
        <w:t xml:space="preserve">in </w:t>
      </w:r>
      <w:r w:rsidRPr="00E47714">
        <w:t>life expectancy during this period.</w:t>
      </w:r>
    </w:p>
    <w:p w14:paraId="59E6A339" w14:textId="77777777" w:rsidR="001C7EEF" w:rsidRPr="00E47714" w:rsidRDefault="001C7EEF" w:rsidP="001C7EEF"/>
    <w:p w14:paraId="0010A418" w14:textId="77777777" w:rsidR="001C7EEF" w:rsidRDefault="001C7EEF" w:rsidP="001C7EEF">
      <w:r w:rsidRPr="00E47714">
        <w:t xml:space="preserve">Life expectancy in </w:t>
      </w:r>
      <w:r w:rsidRPr="00E47714">
        <w:rPr>
          <w:color w:val="000000" w:themeColor="text1"/>
        </w:rPr>
        <w:t xml:space="preserve">Aotearoa </w:t>
      </w:r>
      <w:r w:rsidRPr="00E47714">
        <w:t xml:space="preserve">New Zealand is higher for females than males, but the difference is reducing over time. </w:t>
      </w:r>
    </w:p>
    <w:p w14:paraId="1973CCCA" w14:textId="77777777" w:rsidR="001C7EEF" w:rsidRPr="00E47714" w:rsidRDefault="001C7EEF" w:rsidP="001C7EEF"/>
    <w:p w14:paraId="0A843156" w14:textId="77777777" w:rsidR="001C7EEF" w:rsidRDefault="001C7EEF" w:rsidP="001C7EEF">
      <w:r w:rsidRPr="00E47714">
        <w:t xml:space="preserve">Life expectancy rates in </w:t>
      </w:r>
      <w:r w:rsidRPr="00E47714">
        <w:rPr>
          <w:color w:val="000000" w:themeColor="text1"/>
        </w:rPr>
        <w:t xml:space="preserve">Aotearoa </w:t>
      </w:r>
      <w:r w:rsidRPr="00E47714">
        <w:t xml:space="preserve">New Zealand differ </w:t>
      </w:r>
      <w:r>
        <w:t>among</w:t>
      </w:r>
      <w:r w:rsidRPr="00E47714">
        <w:t xml:space="preserve"> ethnic groups</w:t>
      </w:r>
      <w:r>
        <w:t xml:space="preserve"> and by gender</w:t>
      </w:r>
      <w:r w:rsidRPr="00E47714">
        <w:t>. Māori males have the lowest life expectancy at birth at 73.4 years, followed by Pacific males at 75.4 years. Asian females have the highest life expectancy at 87.9 years. Life expectancy also differs with deprivation</w:t>
      </w:r>
      <w:r>
        <w:t>:</w:t>
      </w:r>
      <w:r w:rsidRPr="00E47714">
        <w:t xml:space="preserve"> life expectancy </w:t>
      </w:r>
      <w:r>
        <w:t>for</w:t>
      </w:r>
      <w:r w:rsidRPr="00E47714">
        <w:t xml:space="preserve"> people living in the most deprived areas</w:t>
      </w:r>
      <w:r>
        <w:t xml:space="preserve"> is about 10 years lower than the life expectancy of</w:t>
      </w:r>
      <w:r w:rsidRPr="00E47714">
        <w:t xml:space="preserve"> those living in the least deprived</w:t>
      </w:r>
      <w:r>
        <w:t xml:space="preserve"> areas</w:t>
      </w:r>
      <w:r w:rsidRPr="00E47714">
        <w:t>.</w:t>
      </w:r>
    </w:p>
    <w:p w14:paraId="0C656A1C" w14:textId="77777777" w:rsidR="001C7EEF" w:rsidRDefault="001C7EEF" w:rsidP="001C7EEF"/>
    <w:p w14:paraId="29A4687E" w14:textId="77777777" w:rsidR="001C7EEF" w:rsidRDefault="001C7EEF" w:rsidP="001C7EEF">
      <w:r w:rsidRPr="00E47714">
        <w:t xml:space="preserve">Trends in mortality </w:t>
      </w:r>
      <w:r>
        <w:t>have a major impact on</w:t>
      </w:r>
      <w:r w:rsidRPr="00E47714">
        <w:t xml:space="preserve"> changes in life expectancy. In 2021 (the most recent mortality information)</w:t>
      </w:r>
      <w:r>
        <w:t>,</w:t>
      </w:r>
      <w:r w:rsidRPr="00E47714">
        <w:t xml:space="preserve"> the leading causes of death in </w:t>
      </w:r>
      <w:r w:rsidRPr="00E47714">
        <w:rPr>
          <w:color w:val="000000" w:themeColor="text1"/>
        </w:rPr>
        <w:t xml:space="preserve">Aotearoa </w:t>
      </w:r>
      <w:r w:rsidRPr="00E47714">
        <w:t>New Zealand for both Māori and non-Māori were cancers and isch</w:t>
      </w:r>
      <w:r>
        <w:t>a</w:t>
      </w:r>
      <w:r w:rsidRPr="00E47714">
        <w:t xml:space="preserve">emic heart disease. While the number of deaths has increased </w:t>
      </w:r>
      <w:r>
        <w:t>as the population</w:t>
      </w:r>
      <w:r w:rsidRPr="00E47714">
        <w:t xml:space="preserve"> grow</w:t>
      </w:r>
      <w:r>
        <w:t>s</w:t>
      </w:r>
      <w:r w:rsidRPr="00E47714">
        <w:t xml:space="preserve"> and age</w:t>
      </w:r>
      <w:r>
        <w:t>s</w:t>
      </w:r>
      <w:r w:rsidRPr="00E47714">
        <w:t>, the mortality rate per 100,000 people has reduced over time. Mortality rates continue to be higher for Māori than non-Māori, although this difference has also reduced over time.</w:t>
      </w:r>
    </w:p>
    <w:p w14:paraId="23497386" w14:textId="77777777" w:rsidR="001C7EEF" w:rsidRPr="00E47714" w:rsidRDefault="001C7EEF" w:rsidP="001C7EEF"/>
    <w:p w14:paraId="53E1A376" w14:textId="77777777" w:rsidR="001C7EEF" w:rsidRPr="00E47714" w:rsidRDefault="001C7EEF" w:rsidP="001C7EEF">
      <w:r w:rsidRPr="00E47714">
        <w:t xml:space="preserve">Higher infant death rates occurred in the areas of highest deprivation. The infant death rate in the highest deprivation areas was close to </w:t>
      </w:r>
      <w:r>
        <w:t>two</w:t>
      </w:r>
      <w:r w:rsidRPr="00E47714">
        <w:t xml:space="preserve"> times the rate in the least deprived areas. </w:t>
      </w:r>
    </w:p>
    <w:p w14:paraId="1248C029" w14:textId="77777777" w:rsidR="001C7EEF" w:rsidRPr="00E47714" w:rsidRDefault="001C7EEF" w:rsidP="001C7EEF">
      <w:pPr>
        <w:pStyle w:val="Heading3"/>
      </w:pPr>
      <w:r w:rsidRPr="00E47714">
        <w:lastRenderedPageBreak/>
        <w:t xml:space="preserve">Causes of health loss </w:t>
      </w:r>
    </w:p>
    <w:p w14:paraId="0C0093A7" w14:textId="77777777" w:rsidR="001C7EEF" w:rsidRDefault="001C7EEF" w:rsidP="001C7EEF">
      <w:r>
        <w:t>V</w:t>
      </w:r>
      <w:r w:rsidRPr="00E47714">
        <w:t>arious factors contribute to overall health loss</w:t>
      </w:r>
      <w:r>
        <w:t>, which</w:t>
      </w:r>
      <w:r w:rsidRPr="00E47714">
        <w:t xml:space="preserve"> includes both mortality (deaths) and morbidity (poor health). A notable </w:t>
      </w:r>
      <w:r>
        <w:t xml:space="preserve">part of </w:t>
      </w:r>
      <w:r w:rsidRPr="00E47714">
        <w:t xml:space="preserve">the </w:t>
      </w:r>
      <w:r>
        <w:t>G</w:t>
      </w:r>
      <w:r w:rsidRPr="00E47714">
        <w:t>overnment’s current approach</w:t>
      </w:r>
      <w:r>
        <w:t xml:space="preserve"> to reducing health loss</w:t>
      </w:r>
      <w:r w:rsidRPr="00E47714">
        <w:t xml:space="preserve"> is the 5+5 concept, which focuses on reducing </w:t>
      </w:r>
      <w:r>
        <w:t>five</w:t>
      </w:r>
      <w:r w:rsidRPr="00E47714">
        <w:t xml:space="preserve"> key risk factors (smoking, alcohol consumption, poor nutrition, physical inactivity, and adverse social and economic factors) to prevent </w:t>
      </w:r>
      <w:r>
        <w:t>five</w:t>
      </w:r>
      <w:r w:rsidRPr="00E47714">
        <w:t xml:space="preserve"> major diseases (cancer, diabetes, respiratory disease, cardiovascular disease</w:t>
      </w:r>
      <w:r>
        <w:t>,</w:t>
      </w:r>
      <w:r w:rsidRPr="00E47714">
        <w:t xml:space="preserve"> and poor mental health). Together, these conditions account for around 80% of deaths from non-communicable diseases in Aotearoa New Zealand and </w:t>
      </w:r>
      <w:r>
        <w:t xml:space="preserve">a </w:t>
      </w:r>
      <w:r w:rsidRPr="00E47714">
        <w:t xml:space="preserve">considerable </w:t>
      </w:r>
      <w:r>
        <w:t xml:space="preserve">amount of the </w:t>
      </w:r>
      <w:r w:rsidRPr="00E47714">
        <w:t xml:space="preserve">health loss </w:t>
      </w:r>
      <w:r>
        <w:t>that</w:t>
      </w:r>
      <w:r w:rsidRPr="00E47714">
        <w:t xml:space="preserve"> New Zealanders</w:t>
      </w:r>
      <w:r w:rsidRPr="00B87988">
        <w:t xml:space="preserve"> </w:t>
      </w:r>
      <w:r w:rsidRPr="00E47714">
        <w:t>experience.</w:t>
      </w:r>
    </w:p>
    <w:p w14:paraId="0D2D2E56" w14:textId="77777777" w:rsidR="001C7EEF" w:rsidRPr="00E47714" w:rsidRDefault="001C7EEF" w:rsidP="001C7EEF"/>
    <w:p w14:paraId="1957435B" w14:textId="77777777" w:rsidR="001C7EEF" w:rsidRDefault="001C7EEF" w:rsidP="001C7EEF">
      <w:r>
        <w:t xml:space="preserve">The Global Burden of Disease (GBD) Study </w:t>
      </w:r>
      <w:r w:rsidRPr="00E47714">
        <w:t xml:space="preserve">measures health loss in the form of </w:t>
      </w:r>
      <w:r>
        <w:t>d</w:t>
      </w:r>
      <w:r w:rsidRPr="00E47714">
        <w:t>isability-</w:t>
      </w:r>
      <w:r>
        <w:t>a</w:t>
      </w:r>
      <w:r w:rsidRPr="00E47714">
        <w:t xml:space="preserve">djusted </w:t>
      </w:r>
      <w:r>
        <w:t>l</w:t>
      </w:r>
      <w:r w:rsidRPr="00E47714">
        <w:t xml:space="preserve">ife </w:t>
      </w:r>
      <w:r>
        <w:t>y</w:t>
      </w:r>
      <w:r w:rsidRPr="00E47714">
        <w:t xml:space="preserve">ears (DALYs). One DALY represents the loss of one year of life lived in good health, </w:t>
      </w:r>
      <w:proofErr w:type="gramStart"/>
      <w:r w:rsidRPr="00E47714">
        <w:t>taking into account</w:t>
      </w:r>
      <w:proofErr w:type="gramEnd"/>
      <w:r w:rsidRPr="00E47714">
        <w:t xml:space="preserve"> both fatal and non-fatal components to assess overall population health.</w:t>
      </w:r>
    </w:p>
    <w:p w14:paraId="43BFB0AE" w14:textId="77777777" w:rsidR="001C7EEF" w:rsidRPr="00E47714" w:rsidRDefault="001C7EEF" w:rsidP="001C7EEF"/>
    <w:p w14:paraId="2BE9ED03" w14:textId="77777777" w:rsidR="001C7EEF" w:rsidRDefault="001C7EEF" w:rsidP="001C7EEF">
      <w:r w:rsidRPr="00E47714">
        <w:t xml:space="preserve">According to the </w:t>
      </w:r>
      <w:r>
        <w:t xml:space="preserve">2021 </w:t>
      </w:r>
      <w:r w:rsidRPr="00E47714">
        <w:t xml:space="preserve">GBD study, non-communicable diseases </w:t>
      </w:r>
      <w:r>
        <w:t>cause</w:t>
      </w:r>
      <w:r w:rsidRPr="00E47714">
        <w:t xml:space="preserve"> 85% of the health loss in </w:t>
      </w:r>
      <w:r w:rsidRPr="00E47714">
        <w:rPr>
          <w:color w:val="000000" w:themeColor="text1"/>
        </w:rPr>
        <w:t xml:space="preserve">Aotearoa </w:t>
      </w:r>
      <w:r w:rsidRPr="00E47714">
        <w:t>New Zealand</w:t>
      </w:r>
      <w:r>
        <w:t>.</w:t>
      </w:r>
      <w:r w:rsidRPr="00E47714">
        <w:t xml:space="preserve"> </w:t>
      </w:r>
      <w:r>
        <w:t>T</w:t>
      </w:r>
      <w:r w:rsidRPr="00E47714">
        <w:t xml:space="preserve">he </w:t>
      </w:r>
      <w:r>
        <w:t>five</w:t>
      </w:r>
      <w:r w:rsidRPr="00E47714">
        <w:t xml:space="preserve"> leading condition groups</w:t>
      </w:r>
      <w:r>
        <w:t xml:space="preserve"> contributing to this health loss are</w:t>
      </w:r>
      <w:r w:rsidRPr="00E47714">
        <w:t xml:space="preserve"> cancers</w:t>
      </w:r>
      <w:r w:rsidRPr="00BF4B94">
        <w:t xml:space="preserve"> </w:t>
      </w:r>
      <w:r>
        <w:t>(</w:t>
      </w:r>
      <w:r w:rsidRPr="00E47714">
        <w:t>neoplasms), cardiovascular diseases, musculoskeletal diseases, mental disorders</w:t>
      </w:r>
      <w:r>
        <w:t>,</w:t>
      </w:r>
      <w:r w:rsidRPr="00E47714">
        <w:t xml:space="preserve"> and neurological disorders. The remaining health loss </w:t>
      </w:r>
      <w:r>
        <w:t>occurs because of</w:t>
      </w:r>
      <w:r w:rsidRPr="00E47714">
        <w:t xml:space="preserve"> injuries (12%) and communicable, maternal, neonatal</w:t>
      </w:r>
      <w:r>
        <w:t>,</w:t>
      </w:r>
      <w:r w:rsidRPr="00E47714">
        <w:t xml:space="preserve"> and nutritional diseases (3%).</w:t>
      </w:r>
    </w:p>
    <w:p w14:paraId="483651D9" w14:textId="77777777" w:rsidR="001C7EEF" w:rsidRPr="00E47714" w:rsidRDefault="001C7EEF" w:rsidP="001C7EEF"/>
    <w:p w14:paraId="66EECFCA" w14:textId="77777777" w:rsidR="001C7EEF" w:rsidRDefault="001C7EEF" w:rsidP="001C7EEF">
      <w:pPr>
        <w:rPr>
          <w:rStyle w:val="ui-provider"/>
          <w:rFonts w:cs="Segoe UI"/>
        </w:rPr>
      </w:pPr>
      <w:r w:rsidRPr="00E47714">
        <w:rPr>
          <w:rStyle w:val="ui-provider"/>
          <w:rFonts w:eastAsiaTheme="majorEastAsia" w:cs="Segoe UI"/>
        </w:rPr>
        <w:t>Health loss in the population generally increas</w:t>
      </w:r>
      <w:r>
        <w:rPr>
          <w:rStyle w:val="ui-provider"/>
          <w:rFonts w:eastAsiaTheme="majorEastAsia" w:cs="Segoe UI"/>
        </w:rPr>
        <w:t>es</w:t>
      </w:r>
      <w:r w:rsidRPr="00E47714">
        <w:rPr>
          <w:rStyle w:val="ui-provider"/>
          <w:rFonts w:eastAsiaTheme="majorEastAsia" w:cs="Segoe UI"/>
        </w:rPr>
        <w:t xml:space="preserve"> with age. In 2021, children under the age of 15 years made up around 19% of the population but accounted for 5% of total DALYs. People aged 75</w:t>
      </w:r>
      <w:r>
        <w:rPr>
          <w:rStyle w:val="ui-provider"/>
          <w:rFonts w:eastAsiaTheme="majorEastAsia" w:cs="Segoe UI"/>
        </w:rPr>
        <w:t xml:space="preserve"> years</w:t>
      </w:r>
      <w:r w:rsidRPr="00E47714">
        <w:rPr>
          <w:rStyle w:val="ui-provider"/>
          <w:rFonts w:eastAsiaTheme="majorEastAsia" w:cs="Segoe UI"/>
        </w:rPr>
        <w:t xml:space="preserve"> and over were 7% of the population but accounted for 26% of DALYs.</w:t>
      </w:r>
    </w:p>
    <w:p w14:paraId="72A6700A" w14:textId="77777777" w:rsidR="001C7EEF" w:rsidRPr="00E47714" w:rsidRDefault="001C7EEF" w:rsidP="001C7EEF">
      <w:pPr>
        <w:rPr>
          <w:rStyle w:val="ui-provider"/>
          <w:rFonts w:eastAsiaTheme="majorEastAsia" w:cs="Segoe UI"/>
        </w:rPr>
      </w:pPr>
    </w:p>
    <w:p w14:paraId="762532E7" w14:textId="77777777" w:rsidR="001C7EEF" w:rsidRPr="00E47714" w:rsidRDefault="001C7EEF" w:rsidP="001C7EEF">
      <w:r w:rsidRPr="00E47714">
        <w:t xml:space="preserve">In addition to the </w:t>
      </w:r>
      <w:r>
        <w:t>five</w:t>
      </w:r>
      <w:r w:rsidRPr="00E47714">
        <w:t xml:space="preserve"> leading causes</w:t>
      </w:r>
      <w:r>
        <w:t xml:space="preserve"> of health loss</w:t>
      </w:r>
      <w:r w:rsidRPr="00E47714">
        <w:t xml:space="preserve"> identified </w:t>
      </w:r>
      <w:r>
        <w:t>in</w:t>
      </w:r>
      <w:r w:rsidRPr="00E47714">
        <w:t xml:space="preserve"> the GBD </w:t>
      </w:r>
      <w:r>
        <w:t>study</w:t>
      </w:r>
      <w:r w:rsidRPr="00E47714">
        <w:t>,</w:t>
      </w:r>
      <w:r>
        <w:t xml:space="preserve"> this report includes </w:t>
      </w:r>
      <w:r w:rsidRPr="00E47714">
        <w:t>respiratory diseases, diabetes and chronic kidney disease, oral health disorders, injury and infectious diseases</w:t>
      </w:r>
      <w:r>
        <w:t>,</w:t>
      </w:r>
      <w:r w:rsidRPr="00E47714">
        <w:t xml:space="preserve"> including COVID-19. </w:t>
      </w:r>
    </w:p>
    <w:p w14:paraId="0C1ED11D" w14:textId="77777777" w:rsidR="001C7EEF" w:rsidRPr="00E47714" w:rsidRDefault="001C7EEF" w:rsidP="001C7EEF">
      <w:pPr>
        <w:pStyle w:val="Heading3"/>
      </w:pPr>
      <w:r w:rsidRPr="00E47714">
        <w:t>Determinants of health and wellbeing</w:t>
      </w:r>
    </w:p>
    <w:p w14:paraId="15490F7E" w14:textId="77777777" w:rsidR="001C7EEF" w:rsidRDefault="001C7EEF" w:rsidP="001C7EEF">
      <w:r>
        <w:t>A</w:t>
      </w:r>
      <w:r w:rsidRPr="00E47714">
        <w:t xml:space="preserve"> wide range of factors influence</w:t>
      </w:r>
      <w:r>
        <w:t>s</w:t>
      </w:r>
      <w:r w:rsidRPr="00E47714">
        <w:t xml:space="preserve"> the overall health outcomes of individuals and populations. The</w:t>
      </w:r>
      <w:r>
        <w:t xml:space="preserve"> broad categories of these</w:t>
      </w:r>
      <w:r w:rsidRPr="00E47714">
        <w:t xml:space="preserve"> determinants are </w:t>
      </w:r>
      <w:r>
        <w:t xml:space="preserve">the </w:t>
      </w:r>
      <w:r w:rsidRPr="00E47714">
        <w:t>social and economic</w:t>
      </w:r>
      <w:r>
        <w:t xml:space="preserve"> environment</w:t>
      </w:r>
      <w:r w:rsidRPr="00E47714">
        <w:t>, physical environment, individual risk factors</w:t>
      </w:r>
      <w:r>
        <w:t>,</w:t>
      </w:r>
      <w:r w:rsidRPr="00E47714">
        <w:t xml:space="preserve"> and access to</w:t>
      </w:r>
      <w:r>
        <w:t xml:space="preserve"> and experience of</w:t>
      </w:r>
      <w:r w:rsidRPr="00E47714">
        <w:t xml:space="preserve"> health care. Each of these factors </w:t>
      </w:r>
      <w:r>
        <w:t>is</w:t>
      </w:r>
      <w:r w:rsidRPr="00E47714">
        <w:t xml:space="preserve"> interconnected </w:t>
      </w:r>
      <w:r>
        <w:t xml:space="preserve">with the others </w:t>
      </w:r>
      <w:r w:rsidRPr="00E47714">
        <w:t>and contribute</w:t>
      </w:r>
      <w:r>
        <w:t>s</w:t>
      </w:r>
      <w:r w:rsidRPr="00E47714">
        <w:t xml:space="preserve"> to health disparities and overall quality of life.</w:t>
      </w:r>
    </w:p>
    <w:p w14:paraId="2EE412F7" w14:textId="77777777" w:rsidR="001C7EEF" w:rsidRPr="00E47714" w:rsidRDefault="001C7EEF" w:rsidP="001C7EEF"/>
    <w:p w14:paraId="7EB85E6D" w14:textId="77777777" w:rsidR="001C7EEF" w:rsidRDefault="001C7EEF" w:rsidP="001C7EEF">
      <w:r>
        <w:t>In</w:t>
      </w:r>
      <w:r w:rsidRPr="00E47714">
        <w:t xml:space="preserve"> the social and economic </w:t>
      </w:r>
      <w:r>
        <w:t>environment</w:t>
      </w:r>
      <w:r w:rsidRPr="00E47714">
        <w:t>, racism is increasing</w:t>
      </w:r>
      <w:r>
        <w:t>ly</w:t>
      </w:r>
      <w:r w:rsidRPr="00E47714">
        <w:t xml:space="preserve"> acknowledged as an important determinant of health. Māori, Pacific and Asian adults are more likely to experience racial discrimination</w:t>
      </w:r>
      <w:r>
        <w:t>. T</w:t>
      </w:r>
      <w:r w:rsidRPr="00E47714">
        <w:t xml:space="preserve">he most common type of </w:t>
      </w:r>
      <w:r>
        <w:t xml:space="preserve">discrimination people experience is </w:t>
      </w:r>
      <w:r w:rsidRPr="00E47714">
        <w:t>verbal abuse, followed by unfair treatment by a health professional.</w:t>
      </w:r>
    </w:p>
    <w:p w14:paraId="020B6D7E" w14:textId="77777777" w:rsidR="001C7EEF" w:rsidRPr="00E47714" w:rsidRDefault="001C7EEF" w:rsidP="001C7EEF"/>
    <w:p w14:paraId="0B7431D9" w14:textId="4B172B18" w:rsidR="001C7EEF" w:rsidRDefault="001C7EEF" w:rsidP="001C7EEF">
      <w:r w:rsidRPr="00E47714">
        <w:t xml:space="preserve">Poverty is a major cause of poor health. In 2023, </w:t>
      </w:r>
      <w:r>
        <w:t>three</w:t>
      </w:r>
      <w:r w:rsidRPr="00E47714">
        <w:t xml:space="preserve"> out of the </w:t>
      </w:r>
      <w:r>
        <w:t>nine</w:t>
      </w:r>
      <w:r w:rsidRPr="00E47714">
        <w:t xml:space="preserve"> measures of child poverty increased</w:t>
      </w:r>
      <w:r>
        <w:t>. R</w:t>
      </w:r>
      <w:r w:rsidRPr="00E47714">
        <w:t>ates of children experiencing material hardship</w:t>
      </w:r>
      <w:r>
        <w:t xml:space="preserve">, for example, </w:t>
      </w:r>
      <w:r w:rsidRPr="00E47714">
        <w:t>increased to 12.5%, and</w:t>
      </w:r>
      <w:r>
        <w:t xml:space="preserve"> </w:t>
      </w:r>
      <w:r w:rsidRPr="00E47714">
        <w:t xml:space="preserve">rates of severe material hardship increased to 5.5% of all </w:t>
      </w:r>
      <w:r>
        <w:t xml:space="preserve">Aotearoa </w:t>
      </w:r>
      <w:r w:rsidRPr="00E47714">
        <w:t xml:space="preserve">New Zealand children. Rates </w:t>
      </w:r>
      <w:r>
        <w:t xml:space="preserve">of material hardship </w:t>
      </w:r>
      <w:r w:rsidRPr="00E47714">
        <w:t xml:space="preserve">were disproportionately </w:t>
      </w:r>
      <w:r w:rsidRPr="00E47714">
        <w:lastRenderedPageBreak/>
        <w:t>high for Māori (21.5%) and Pacific (28.9%)</w:t>
      </w:r>
      <w:r w:rsidRPr="0032173F">
        <w:t xml:space="preserve"> </w:t>
      </w:r>
      <w:r w:rsidRPr="00E47714">
        <w:t xml:space="preserve">children. </w:t>
      </w:r>
      <w:r>
        <w:t>Similarly</w:t>
      </w:r>
      <w:r w:rsidRPr="00E47714">
        <w:t>, 22.3%</w:t>
      </w:r>
      <w:r w:rsidRPr="005758E0">
        <w:t xml:space="preserve"> </w:t>
      </w:r>
      <w:r w:rsidRPr="00E47714">
        <w:t xml:space="preserve">disabled children experienced material hardship, compared </w:t>
      </w:r>
      <w:r>
        <w:t>with</w:t>
      </w:r>
      <w:r w:rsidRPr="00E47714">
        <w:t xml:space="preserve"> 11.1% of non-disabled children. </w:t>
      </w:r>
    </w:p>
    <w:p w14:paraId="52DD18C0" w14:textId="77777777" w:rsidR="00FC05FA" w:rsidRDefault="00FC05FA" w:rsidP="001C7EEF"/>
    <w:p w14:paraId="03A918B8" w14:textId="77777777" w:rsidR="001C7EEF" w:rsidRDefault="001C7EEF" w:rsidP="001C7EEF">
      <w:r w:rsidRPr="00E47714">
        <w:t xml:space="preserve">These disparate rates of material hardship </w:t>
      </w:r>
      <w:r>
        <w:t xml:space="preserve">among population groups </w:t>
      </w:r>
      <w:r w:rsidRPr="00E47714">
        <w:t xml:space="preserve">were mirrored in the rates of children experiencing household food insecurity.  </w:t>
      </w:r>
    </w:p>
    <w:p w14:paraId="09260EDF" w14:textId="77777777" w:rsidR="001C7EEF" w:rsidRPr="00E47714" w:rsidRDefault="001C7EEF" w:rsidP="001C7EEF"/>
    <w:p w14:paraId="141548E6" w14:textId="77777777" w:rsidR="001C7EEF" w:rsidRDefault="001C7EEF" w:rsidP="001C7EEF">
      <w:r w:rsidRPr="00E47714">
        <w:t>The physical environment is a key determinant of health</w:t>
      </w:r>
      <w:r>
        <w:t>:</w:t>
      </w:r>
      <w:r w:rsidRPr="00E47714">
        <w:t xml:space="preserve"> clean air, safe drinking water and adequate housing are fundamental to good health. Home ownership rates in </w:t>
      </w:r>
      <w:r w:rsidRPr="00E47714">
        <w:rPr>
          <w:color w:val="000000" w:themeColor="text1"/>
        </w:rPr>
        <w:t xml:space="preserve">Aotearoa </w:t>
      </w:r>
      <w:r w:rsidRPr="00E47714">
        <w:t xml:space="preserve">New Zealand are the lowest in almost 70 years, and the proportion of people spending more than 40% of their income on housing increased in 2023. </w:t>
      </w:r>
      <w:r>
        <w:t xml:space="preserve">Although </w:t>
      </w:r>
      <w:r w:rsidRPr="00E47714">
        <w:t>the cost of housing</w:t>
      </w:r>
      <w:r>
        <w:t xml:space="preserve"> rose</w:t>
      </w:r>
      <w:r w:rsidRPr="00E47714">
        <w:t>,</w:t>
      </w:r>
      <w:r>
        <w:t xml:space="preserve"> some measures indicate continuing concerns with quality:</w:t>
      </w:r>
      <w:r w:rsidRPr="00E47714">
        <w:t xml:space="preserve"> 25.7% of people reported having issues with dampness or mould, and 20.5% reported issues with heating.  </w:t>
      </w:r>
    </w:p>
    <w:p w14:paraId="0F9A61DC" w14:textId="77777777" w:rsidR="001C7EEF" w:rsidRPr="00E47714" w:rsidRDefault="001C7EEF" w:rsidP="001C7EEF"/>
    <w:p w14:paraId="30A8F600" w14:textId="77777777" w:rsidR="001C7EEF" w:rsidRDefault="001C7EEF" w:rsidP="001C7EEF">
      <w:pPr>
        <w:rPr>
          <w:shd w:val="clear" w:color="auto" w:fill="FFFFFF"/>
        </w:rPr>
      </w:pPr>
      <w:r w:rsidRPr="00E47714">
        <w:rPr>
          <w:shd w:val="clear" w:color="auto" w:fill="FFFFFF"/>
        </w:rPr>
        <w:t xml:space="preserve">The determinants of health include individual risk factors. Data from the GBD study </w:t>
      </w:r>
      <w:r>
        <w:rPr>
          <w:shd w:val="clear" w:color="auto" w:fill="FFFFFF"/>
        </w:rPr>
        <w:t>indicates</w:t>
      </w:r>
      <w:r w:rsidRPr="00E47714">
        <w:rPr>
          <w:shd w:val="clear" w:color="auto" w:fill="FFFFFF"/>
        </w:rPr>
        <w:t xml:space="preserve"> that over a third (35.4%) of all health loss is due to individual risk factors. The leading risk factors include high </w:t>
      </w:r>
      <w:r>
        <w:rPr>
          <w:shd w:val="clear" w:color="auto" w:fill="FFFFFF"/>
        </w:rPr>
        <w:t>b</w:t>
      </w:r>
      <w:r w:rsidRPr="00E47714">
        <w:rPr>
          <w:shd w:val="clear" w:color="auto" w:fill="FFFFFF"/>
        </w:rPr>
        <w:t xml:space="preserve">ody </w:t>
      </w:r>
      <w:r>
        <w:rPr>
          <w:shd w:val="clear" w:color="auto" w:fill="FFFFFF"/>
        </w:rPr>
        <w:t>m</w:t>
      </w:r>
      <w:r w:rsidRPr="00E47714">
        <w:rPr>
          <w:shd w:val="clear" w:color="auto" w:fill="FFFFFF"/>
        </w:rPr>
        <w:t xml:space="preserve">ass </w:t>
      </w:r>
      <w:r>
        <w:rPr>
          <w:shd w:val="clear" w:color="auto" w:fill="FFFFFF"/>
        </w:rPr>
        <w:t>i</w:t>
      </w:r>
      <w:r w:rsidRPr="00E47714">
        <w:rPr>
          <w:shd w:val="clear" w:color="auto" w:fill="FFFFFF"/>
        </w:rPr>
        <w:t>ndex (BMI), tobacco use, high fasting plasma glucose (high blood sugar), high blood pressure and dietary risks. Rates of physical activity, body size (obesity rates), and diet (consuming the recommended daily amount of fruit and vegetables) are provided in this report, along with information on tobacco, vaping and alcohol use.</w:t>
      </w:r>
    </w:p>
    <w:p w14:paraId="5CF21B41" w14:textId="77777777" w:rsidR="001C7EEF" w:rsidRPr="00E47714" w:rsidRDefault="001C7EEF" w:rsidP="001C7EEF">
      <w:pPr>
        <w:rPr>
          <w:shd w:val="clear" w:color="auto" w:fill="FFFFFF"/>
        </w:rPr>
      </w:pPr>
    </w:p>
    <w:p w14:paraId="4F0C661D" w14:textId="77777777" w:rsidR="001C7EEF" w:rsidRDefault="001C7EEF" w:rsidP="001C7EEF">
      <w:pPr>
        <w:rPr>
          <w:shd w:val="clear" w:color="auto" w:fill="FFFFFF"/>
        </w:rPr>
      </w:pPr>
      <w:r w:rsidRPr="00E47714">
        <w:rPr>
          <w:shd w:val="clear" w:color="auto" w:fill="FFFFFF"/>
        </w:rPr>
        <w:t>Fewer adults drank alcohol in the past year and the rate of hazardous drinking also decreased. Smoking rates in Aotearoa New Zealand continue to decrease for all adults, all ethnic groups and both disabled and non-disabled adults.</w:t>
      </w:r>
    </w:p>
    <w:p w14:paraId="29B6526F" w14:textId="77777777" w:rsidR="001C7EEF" w:rsidRPr="00E47714" w:rsidRDefault="001C7EEF" w:rsidP="001C7EEF">
      <w:pPr>
        <w:rPr>
          <w:shd w:val="clear" w:color="auto" w:fill="FFFFFF"/>
        </w:rPr>
      </w:pPr>
    </w:p>
    <w:p w14:paraId="52853561" w14:textId="77777777" w:rsidR="001C7EEF" w:rsidRDefault="001C7EEF" w:rsidP="001C7EEF">
      <w:r w:rsidRPr="00E47714">
        <w:t>Timely and equitable access to health</w:t>
      </w:r>
      <w:r>
        <w:t xml:space="preserve"> </w:t>
      </w:r>
      <w:r w:rsidRPr="00E47714">
        <w:t>care is essential for improving people’s health and reducing health disparities. This</w:t>
      </w:r>
      <w:r>
        <w:t xml:space="preserve"> level of access</w:t>
      </w:r>
      <w:r w:rsidRPr="00E47714">
        <w:t xml:space="preserve"> include</w:t>
      </w:r>
      <w:r>
        <w:t>s</w:t>
      </w:r>
      <w:r w:rsidRPr="00E47714">
        <w:t xml:space="preserve"> ensuring Māori and other population groups have access to services in proportion to their health needs.</w:t>
      </w:r>
    </w:p>
    <w:p w14:paraId="5B5DA7E6" w14:textId="77777777" w:rsidR="001C7EEF" w:rsidRPr="00E47714" w:rsidRDefault="001C7EEF" w:rsidP="001C7EEF"/>
    <w:p w14:paraId="32FEFE58" w14:textId="77777777" w:rsidR="001C7EEF" w:rsidRDefault="001C7EEF" w:rsidP="001C7EEF">
      <w:r w:rsidRPr="00E47714">
        <w:t>Primary and community health care services are the health services that New Zealanders mo</w:t>
      </w:r>
      <w:r>
        <w:t>st</w:t>
      </w:r>
      <w:r w:rsidRPr="00E47714">
        <w:t xml:space="preserve"> often interact with. </w:t>
      </w:r>
      <w:r>
        <w:t>One b</w:t>
      </w:r>
      <w:r w:rsidRPr="00E47714">
        <w:t>arrier to accessing primary health</w:t>
      </w:r>
      <w:r>
        <w:t xml:space="preserve"> </w:t>
      </w:r>
      <w:r w:rsidRPr="00E47714">
        <w:t xml:space="preserve">care </w:t>
      </w:r>
      <w:r>
        <w:t>is</w:t>
      </w:r>
      <w:r w:rsidRPr="00E47714">
        <w:t xml:space="preserve"> the time taken to get an appointment, </w:t>
      </w:r>
      <w:r>
        <w:t>which</w:t>
      </w:r>
      <w:r w:rsidRPr="00E47714">
        <w:t xml:space="preserve"> 21.2% of adults report. </w:t>
      </w:r>
      <w:r>
        <w:t>In addition,</w:t>
      </w:r>
      <w:r w:rsidRPr="0035232D">
        <w:t xml:space="preserve"> </w:t>
      </w:r>
      <w:r w:rsidRPr="00E47714">
        <w:t xml:space="preserve">12.9% of adults reported </w:t>
      </w:r>
      <w:r>
        <w:t xml:space="preserve">cost </w:t>
      </w:r>
      <w:r w:rsidRPr="00E47714">
        <w:t xml:space="preserve">as a barrier, and this was </w:t>
      </w:r>
      <w:r>
        <w:t>more common among</w:t>
      </w:r>
      <w:r w:rsidRPr="00E47714">
        <w:t xml:space="preserve"> women (15.1%) than men (10.5%). Childhood immunisation coverage rates have continued to decrease.</w:t>
      </w:r>
    </w:p>
    <w:p w14:paraId="7B703CFF" w14:textId="77777777" w:rsidR="001C7EEF" w:rsidRPr="00E47714" w:rsidRDefault="001C7EEF" w:rsidP="001C7EEF"/>
    <w:p w14:paraId="1BE10A56" w14:textId="77777777" w:rsidR="001C7EEF" w:rsidRDefault="001C7EEF" w:rsidP="001C7EEF">
      <w:r w:rsidRPr="00E47714">
        <w:t>According to the hospital inpatient experience survey, 90.6% of adults using inpatient hospital services reported</w:t>
      </w:r>
      <w:r w:rsidRPr="0035232D">
        <w:t xml:space="preserve"> </w:t>
      </w:r>
      <w:r w:rsidRPr="00E47714">
        <w:t>their health</w:t>
      </w:r>
      <w:r>
        <w:t xml:space="preserve"> </w:t>
      </w:r>
      <w:r w:rsidRPr="00E47714">
        <w:t>care team definitely treated</w:t>
      </w:r>
      <w:r>
        <w:t xml:space="preserve"> them</w:t>
      </w:r>
      <w:r w:rsidRPr="00E47714">
        <w:t xml:space="preserve"> with care and respect. On discharge, 72.5% of people reported that they had enough information to manage their condition after leaving hospital. In 2023, </w:t>
      </w:r>
      <w:r>
        <w:t>t</w:t>
      </w:r>
      <w:r w:rsidRPr="00E47714">
        <w:t>he number of visit</w:t>
      </w:r>
      <w:r>
        <w:t>s</w:t>
      </w:r>
      <w:r w:rsidRPr="00E47714">
        <w:t xml:space="preserve"> to emergency departments increased, and people waiting more than four months for specialist assessment and/or treatment also continued to increase. </w:t>
      </w:r>
    </w:p>
    <w:p w14:paraId="7547F4F5" w14:textId="2E0B7E7B" w:rsidR="001C7EEF" w:rsidRDefault="001C7EEF" w:rsidP="00EC4094">
      <w:pPr>
        <w:sectPr w:rsidR="001C7EEF" w:rsidSect="0078658E">
          <w:pgSz w:w="11907" w:h="16840" w:code="9"/>
          <w:pgMar w:top="1418" w:right="1701" w:bottom="1134" w:left="1843" w:header="284" w:footer="425" w:gutter="284"/>
          <w:pgNumType w:fmt="lowerRoman"/>
          <w:cols w:space="720"/>
        </w:sectPr>
      </w:pPr>
    </w:p>
    <w:p w14:paraId="648D4F84" w14:textId="2AC82B24" w:rsidR="00C86248" w:rsidRDefault="00C86248" w:rsidP="00EC4094">
      <w:pPr>
        <w:pStyle w:val="IntroHead"/>
      </w:pPr>
      <w:r>
        <w:lastRenderedPageBreak/>
        <w:t>Contents</w:t>
      </w:r>
      <w:bookmarkEnd w:id="2"/>
      <w:bookmarkEnd w:id="3"/>
      <w:r w:rsidR="00207454" w:rsidRPr="00207454">
        <w:t xml:space="preserve"> - </w:t>
      </w:r>
      <w:proofErr w:type="spellStart"/>
      <w:r w:rsidR="00207454" w:rsidRPr="00207454">
        <w:t>Ngā</w:t>
      </w:r>
      <w:proofErr w:type="spellEnd"/>
      <w:r w:rsidR="00207454" w:rsidRPr="00207454">
        <w:t xml:space="preserve"> kōrero</w:t>
      </w:r>
    </w:p>
    <w:p w14:paraId="202A8828" w14:textId="28A49836" w:rsidR="003A0DFF" w:rsidRDefault="003A0DFF">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72104650" w:history="1">
        <w:r w:rsidRPr="00EF0209">
          <w:rPr>
            <w:rStyle w:val="Hyperlink"/>
            <w:noProof/>
          </w:rPr>
          <w:t>Foreword</w:t>
        </w:r>
        <w:r>
          <w:rPr>
            <w:noProof/>
            <w:webHidden/>
          </w:rPr>
          <w:tab/>
        </w:r>
        <w:r>
          <w:rPr>
            <w:noProof/>
            <w:webHidden/>
          </w:rPr>
          <w:fldChar w:fldCharType="begin"/>
        </w:r>
        <w:r>
          <w:rPr>
            <w:noProof/>
            <w:webHidden/>
          </w:rPr>
          <w:instrText xml:space="preserve"> PAGEREF _Toc172104650 \h </w:instrText>
        </w:r>
        <w:r>
          <w:rPr>
            <w:noProof/>
            <w:webHidden/>
          </w:rPr>
        </w:r>
        <w:r>
          <w:rPr>
            <w:noProof/>
            <w:webHidden/>
          </w:rPr>
          <w:fldChar w:fldCharType="separate"/>
        </w:r>
        <w:r>
          <w:rPr>
            <w:noProof/>
            <w:webHidden/>
          </w:rPr>
          <w:t>iii</w:t>
        </w:r>
        <w:r>
          <w:rPr>
            <w:noProof/>
            <w:webHidden/>
          </w:rPr>
          <w:fldChar w:fldCharType="end"/>
        </w:r>
      </w:hyperlink>
    </w:p>
    <w:p w14:paraId="1AB63C40" w14:textId="317F10F5" w:rsidR="003A0DFF" w:rsidRDefault="003A0DFF">
      <w:pPr>
        <w:pStyle w:val="TOC1"/>
        <w:rPr>
          <w:rFonts w:asciiTheme="minorHAnsi" w:eastAsiaTheme="minorEastAsia" w:hAnsiTheme="minorHAnsi" w:cstheme="minorBidi"/>
          <w:noProof/>
          <w:sz w:val="22"/>
          <w:szCs w:val="22"/>
          <w:lang w:eastAsia="en-NZ"/>
        </w:rPr>
      </w:pPr>
      <w:hyperlink w:anchor="_Toc172104651" w:history="1">
        <w:r w:rsidRPr="00EF0209">
          <w:rPr>
            <w:rStyle w:val="Hyperlink"/>
            <w:noProof/>
          </w:rPr>
          <w:t>He wāhinga kōrero</w:t>
        </w:r>
        <w:r>
          <w:rPr>
            <w:noProof/>
            <w:webHidden/>
          </w:rPr>
          <w:tab/>
        </w:r>
        <w:r>
          <w:rPr>
            <w:noProof/>
            <w:webHidden/>
          </w:rPr>
          <w:fldChar w:fldCharType="begin"/>
        </w:r>
        <w:r>
          <w:rPr>
            <w:noProof/>
            <w:webHidden/>
          </w:rPr>
          <w:instrText xml:space="preserve"> PAGEREF _Toc172104651 \h </w:instrText>
        </w:r>
        <w:r>
          <w:rPr>
            <w:noProof/>
            <w:webHidden/>
          </w:rPr>
        </w:r>
        <w:r>
          <w:rPr>
            <w:noProof/>
            <w:webHidden/>
          </w:rPr>
          <w:fldChar w:fldCharType="separate"/>
        </w:r>
        <w:r>
          <w:rPr>
            <w:noProof/>
            <w:webHidden/>
          </w:rPr>
          <w:t>iv</w:t>
        </w:r>
        <w:r>
          <w:rPr>
            <w:noProof/>
            <w:webHidden/>
          </w:rPr>
          <w:fldChar w:fldCharType="end"/>
        </w:r>
      </w:hyperlink>
    </w:p>
    <w:p w14:paraId="5C32354C" w14:textId="170100BC" w:rsidR="003A0DFF" w:rsidRDefault="003A0DFF">
      <w:pPr>
        <w:pStyle w:val="TOC1"/>
        <w:rPr>
          <w:rFonts w:asciiTheme="minorHAnsi" w:eastAsiaTheme="minorEastAsia" w:hAnsiTheme="minorHAnsi" w:cstheme="minorBidi"/>
          <w:noProof/>
          <w:sz w:val="22"/>
          <w:szCs w:val="22"/>
          <w:lang w:eastAsia="en-NZ"/>
        </w:rPr>
      </w:pPr>
      <w:hyperlink w:anchor="_Toc172104652" w:history="1">
        <w:r w:rsidRPr="00EF0209">
          <w:rPr>
            <w:rStyle w:val="Hyperlink"/>
            <w:noProof/>
          </w:rPr>
          <w:t>Executive summary - He whakarāpopototanga</w:t>
        </w:r>
        <w:r>
          <w:rPr>
            <w:noProof/>
            <w:webHidden/>
          </w:rPr>
          <w:tab/>
        </w:r>
        <w:r>
          <w:rPr>
            <w:noProof/>
            <w:webHidden/>
          </w:rPr>
          <w:fldChar w:fldCharType="begin"/>
        </w:r>
        <w:r>
          <w:rPr>
            <w:noProof/>
            <w:webHidden/>
          </w:rPr>
          <w:instrText xml:space="preserve"> PAGEREF _Toc172104652 \h </w:instrText>
        </w:r>
        <w:r>
          <w:rPr>
            <w:noProof/>
            <w:webHidden/>
          </w:rPr>
        </w:r>
        <w:r>
          <w:rPr>
            <w:noProof/>
            <w:webHidden/>
          </w:rPr>
          <w:fldChar w:fldCharType="separate"/>
        </w:r>
        <w:r>
          <w:rPr>
            <w:noProof/>
            <w:webHidden/>
          </w:rPr>
          <w:t>vi</w:t>
        </w:r>
        <w:r>
          <w:rPr>
            <w:noProof/>
            <w:webHidden/>
          </w:rPr>
          <w:fldChar w:fldCharType="end"/>
        </w:r>
      </w:hyperlink>
    </w:p>
    <w:p w14:paraId="0D337A7B" w14:textId="5613BC76" w:rsidR="003A0DFF" w:rsidRDefault="003A0DFF">
      <w:pPr>
        <w:pStyle w:val="TOC1"/>
        <w:rPr>
          <w:rFonts w:asciiTheme="minorHAnsi" w:eastAsiaTheme="minorEastAsia" w:hAnsiTheme="minorHAnsi" w:cstheme="minorBidi"/>
          <w:noProof/>
          <w:sz w:val="22"/>
          <w:szCs w:val="22"/>
          <w:lang w:eastAsia="en-NZ"/>
        </w:rPr>
      </w:pPr>
      <w:hyperlink w:anchor="_Toc172104653" w:history="1">
        <w:r w:rsidRPr="00EF0209">
          <w:rPr>
            <w:rStyle w:val="Hyperlink"/>
            <w:rFonts w:eastAsia="Arial Unicode MS"/>
            <w:noProof/>
          </w:rPr>
          <w:t>Introduction - He kupu whakataki</w:t>
        </w:r>
        <w:r>
          <w:rPr>
            <w:noProof/>
            <w:webHidden/>
          </w:rPr>
          <w:tab/>
        </w:r>
        <w:r>
          <w:rPr>
            <w:noProof/>
            <w:webHidden/>
          </w:rPr>
          <w:fldChar w:fldCharType="begin"/>
        </w:r>
        <w:r>
          <w:rPr>
            <w:noProof/>
            <w:webHidden/>
          </w:rPr>
          <w:instrText xml:space="preserve"> PAGEREF _Toc172104653 \h </w:instrText>
        </w:r>
        <w:r>
          <w:rPr>
            <w:noProof/>
            <w:webHidden/>
          </w:rPr>
        </w:r>
        <w:r>
          <w:rPr>
            <w:noProof/>
            <w:webHidden/>
          </w:rPr>
          <w:fldChar w:fldCharType="separate"/>
        </w:r>
        <w:r>
          <w:rPr>
            <w:noProof/>
            <w:webHidden/>
          </w:rPr>
          <w:t>1</w:t>
        </w:r>
        <w:r>
          <w:rPr>
            <w:noProof/>
            <w:webHidden/>
          </w:rPr>
          <w:fldChar w:fldCharType="end"/>
        </w:r>
      </w:hyperlink>
    </w:p>
    <w:p w14:paraId="0AEE7A4F" w14:textId="37679E90" w:rsidR="003A0DFF" w:rsidRDefault="003A0DFF">
      <w:pPr>
        <w:pStyle w:val="TOC1"/>
        <w:rPr>
          <w:rFonts w:asciiTheme="minorHAnsi" w:eastAsiaTheme="minorEastAsia" w:hAnsiTheme="minorHAnsi" w:cstheme="minorBidi"/>
          <w:noProof/>
          <w:sz w:val="22"/>
          <w:szCs w:val="22"/>
          <w:lang w:eastAsia="en-NZ"/>
        </w:rPr>
      </w:pPr>
      <w:hyperlink w:anchor="_Toc172104654" w:history="1">
        <w:r w:rsidRPr="00EF0209">
          <w:rPr>
            <w:rStyle w:val="Hyperlink"/>
            <w:rFonts w:eastAsia="Arial Unicode MS"/>
            <w:noProof/>
          </w:rPr>
          <w:t>People of Aotearoa New Zealand - Ngā tāngata o Aotearoa</w:t>
        </w:r>
        <w:r>
          <w:rPr>
            <w:noProof/>
            <w:webHidden/>
          </w:rPr>
          <w:tab/>
        </w:r>
        <w:r>
          <w:rPr>
            <w:noProof/>
            <w:webHidden/>
          </w:rPr>
          <w:fldChar w:fldCharType="begin"/>
        </w:r>
        <w:r>
          <w:rPr>
            <w:noProof/>
            <w:webHidden/>
          </w:rPr>
          <w:instrText xml:space="preserve"> PAGEREF _Toc172104654 \h </w:instrText>
        </w:r>
        <w:r>
          <w:rPr>
            <w:noProof/>
            <w:webHidden/>
          </w:rPr>
        </w:r>
        <w:r>
          <w:rPr>
            <w:noProof/>
            <w:webHidden/>
          </w:rPr>
          <w:fldChar w:fldCharType="separate"/>
        </w:r>
        <w:r>
          <w:rPr>
            <w:noProof/>
            <w:webHidden/>
          </w:rPr>
          <w:t>2</w:t>
        </w:r>
        <w:r>
          <w:rPr>
            <w:noProof/>
            <w:webHidden/>
          </w:rPr>
          <w:fldChar w:fldCharType="end"/>
        </w:r>
      </w:hyperlink>
    </w:p>
    <w:p w14:paraId="79D6CFF5" w14:textId="5BC8BE54" w:rsidR="003A0DFF" w:rsidRDefault="003A0DFF">
      <w:pPr>
        <w:pStyle w:val="TOC2"/>
        <w:rPr>
          <w:rFonts w:asciiTheme="minorHAnsi" w:eastAsiaTheme="minorEastAsia" w:hAnsiTheme="minorHAnsi" w:cstheme="minorBidi"/>
          <w:noProof/>
          <w:szCs w:val="22"/>
          <w:lang w:eastAsia="en-NZ"/>
        </w:rPr>
      </w:pPr>
      <w:hyperlink w:anchor="_Toc172104655" w:history="1">
        <w:r w:rsidRPr="00EF0209">
          <w:rPr>
            <w:rStyle w:val="Hyperlink"/>
            <w:noProof/>
          </w:rPr>
          <w:t>Health strategy</w:t>
        </w:r>
        <w:r>
          <w:rPr>
            <w:noProof/>
            <w:webHidden/>
          </w:rPr>
          <w:tab/>
        </w:r>
        <w:r>
          <w:rPr>
            <w:noProof/>
            <w:webHidden/>
          </w:rPr>
          <w:fldChar w:fldCharType="begin"/>
        </w:r>
        <w:r>
          <w:rPr>
            <w:noProof/>
            <w:webHidden/>
          </w:rPr>
          <w:instrText xml:space="preserve"> PAGEREF _Toc172104655 \h </w:instrText>
        </w:r>
        <w:r>
          <w:rPr>
            <w:noProof/>
            <w:webHidden/>
          </w:rPr>
        </w:r>
        <w:r>
          <w:rPr>
            <w:noProof/>
            <w:webHidden/>
          </w:rPr>
          <w:fldChar w:fldCharType="separate"/>
        </w:r>
        <w:r>
          <w:rPr>
            <w:noProof/>
            <w:webHidden/>
          </w:rPr>
          <w:t>2</w:t>
        </w:r>
        <w:r>
          <w:rPr>
            <w:noProof/>
            <w:webHidden/>
          </w:rPr>
          <w:fldChar w:fldCharType="end"/>
        </w:r>
      </w:hyperlink>
    </w:p>
    <w:p w14:paraId="40F4F11A" w14:textId="01527167" w:rsidR="003A0DFF" w:rsidRDefault="003A0DFF">
      <w:pPr>
        <w:pStyle w:val="TOC2"/>
        <w:rPr>
          <w:rFonts w:asciiTheme="minorHAnsi" w:eastAsiaTheme="minorEastAsia" w:hAnsiTheme="minorHAnsi" w:cstheme="minorBidi"/>
          <w:noProof/>
          <w:szCs w:val="22"/>
          <w:lang w:eastAsia="en-NZ"/>
        </w:rPr>
      </w:pPr>
      <w:hyperlink w:anchor="_Toc172104656" w:history="1">
        <w:r w:rsidRPr="00EF0209">
          <w:rPr>
            <w:rStyle w:val="Hyperlink"/>
            <w:noProof/>
          </w:rPr>
          <w:t>Population</w:t>
        </w:r>
        <w:r>
          <w:rPr>
            <w:noProof/>
            <w:webHidden/>
          </w:rPr>
          <w:tab/>
        </w:r>
        <w:r>
          <w:rPr>
            <w:noProof/>
            <w:webHidden/>
          </w:rPr>
          <w:fldChar w:fldCharType="begin"/>
        </w:r>
        <w:r>
          <w:rPr>
            <w:noProof/>
            <w:webHidden/>
          </w:rPr>
          <w:instrText xml:space="preserve"> PAGEREF _Toc172104656 \h </w:instrText>
        </w:r>
        <w:r>
          <w:rPr>
            <w:noProof/>
            <w:webHidden/>
          </w:rPr>
        </w:r>
        <w:r>
          <w:rPr>
            <w:noProof/>
            <w:webHidden/>
          </w:rPr>
          <w:fldChar w:fldCharType="separate"/>
        </w:r>
        <w:r>
          <w:rPr>
            <w:noProof/>
            <w:webHidden/>
          </w:rPr>
          <w:t>2</w:t>
        </w:r>
        <w:r>
          <w:rPr>
            <w:noProof/>
            <w:webHidden/>
          </w:rPr>
          <w:fldChar w:fldCharType="end"/>
        </w:r>
      </w:hyperlink>
    </w:p>
    <w:p w14:paraId="0FD2391B" w14:textId="76E4B764" w:rsidR="003A0DFF" w:rsidRDefault="003A0DFF">
      <w:pPr>
        <w:pStyle w:val="TOC2"/>
        <w:rPr>
          <w:rFonts w:asciiTheme="minorHAnsi" w:eastAsiaTheme="minorEastAsia" w:hAnsiTheme="minorHAnsi" w:cstheme="minorBidi"/>
          <w:noProof/>
          <w:szCs w:val="22"/>
          <w:lang w:eastAsia="en-NZ"/>
        </w:rPr>
      </w:pPr>
      <w:hyperlink w:anchor="_Toc172104657" w:history="1">
        <w:r w:rsidRPr="00EF0209">
          <w:rPr>
            <w:rStyle w:val="Hyperlink"/>
            <w:noProof/>
          </w:rPr>
          <w:t>Demographics</w:t>
        </w:r>
        <w:r>
          <w:rPr>
            <w:noProof/>
            <w:webHidden/>
          </w:rPr>
          <w:tab/>
        </w:r>
        <w:r>
          <w:rPr>
            <w:noProof/>
            <w:webHidden/>
          </w:rPr>
          <w:fldChar w:fldCharType="begin"/>
        </w:r>
        <w:r>
          <w:rPr>
            <w:noProof/>
            <w:webHidden/>
          </w:rPr>
          <w:instrText xml:space="preserve"> PAGEREF _Toc172104657 \h </w:instrText>
        </w:r>
        <w:r>
          <w:rPr>
            <w:noProof/>
            <w:webHidden/>
          </w:rPr>
        </w:r>
        <w:r>
          <w:rPr>
            <w:noProof/>
            <w:webHidden/>
          </w:rPr>
          <w:fldChar w:fldCharType="separate"/>
        </w:r>
        <w:r>
          <w:rPr>
            <w:noProof/>
            <w:webHidden/>
          </w:rPr>
          <w:t>3</w:t>
        </w:r>
        <w:r>
          <w:rPr>
            <w:noProof/>
            <w:webHidden/>
          </w:rPr>
          <w:fldChar w:fldCharType="end"/>
        </w:r>
      </w:hyperlink>
    </w:p>
    <w:p w14:paraId="0EE57F4D" w14:textId="72E6C762" w:rsidR="003A0DFF" w:rsidRDefault="003A0DFF">
      <w:pPr>
        <w:pStyle w:val="TOC2"/>
        <w:rPr>
          <w:rFonts w:asciiTheme="minorHAnsi" w:eastAsiaTheme="minorEastAsia" w:hAnsiTheme="minorHAnsi" w:cstheme="minorBidi"/>
          <w:noProof/>
          <w:szCs w:val="22"/>
          <w:lang w:eastAsia="en-NZ"/>
        </w:rPr>
      </w:pPr>
      <w:hyperlink w:anchor="_Toc172104658" w:history="1">
        <w:r w:rsidRPr="00EF0209">
          <w:rPr>
            <w:rStyle w:val="Hyperlink"/>
            <w:noProof/>
          </w:rPr>
          <w:t>Disabled population</w:t>
        </w:r>
        <w:r>
          <w:rPr>
            <w:noProof/>
            <w:webHidden/>
          </w:rPr>
          <w:tab/>
        </w:r>
        <w:r>
          <w:rPr>
            <w:noProof/>
            <w:webHidden/>
          </w:rPr>
          <w:fldChar w:fldCharType="begin"/>
        </w:r>
        <w:r>
          <w:rPr>
            <w:noProof/>
            <w:webHidden/>
          </w:rPr>
          <w:instrText xml:space="preserve"> PAGEREF _Toc172104658 \h </w:instrText>
        </w:r>
        <w:r>
          <w:rPr>
            <w:noProof/>
            <w:webHidden/>
          </w:rPr>
        </w:r>
        <w:r>
          <w:rPr>
            <w:noProof/>
            <w:webHidden/>
          </w:rPr>
          <w:fldChar w:fldCharType="separate"/>
        </w:r>
        <w:r>
          <w:rPr>
            <w:noProof/>
            <w:webHidden/>
          </w:rPr>
          <w:t>9</w:t>
        </w:r>
        <w:r>
          <w:rPr>
            <w:noProof/>
            <w:webHidden/>
          </w:rPr>
          <w:fldChar w:fldCharType="end"/>
        </w:r>
      </w:hyperlink>
    </w:p>
    <w:p w14:paraId="1551732F" w14:textId="68FC2662" w:rsidR="003A0DFF" w:rsidRDefault="003A0DFF">
      <w:pPr>
        <w:pStyle w:val="TOC2"/>
        <w:rPr>
          <w:rFonts w:asciiTheme="minorHAnsi" w:eastAsiaTheme="minorEastAsia" w:hAnsiTheme="minorHAnsi" w:cstheme="minorBidi"/>
          <w:noProof/>
          <w:szCs w:val="22"/>
          <w:lang w:eastAsia="en-NZ"/>
        </w:rPr>
      </w:pPr>
      <w:hyperlink w:anchor="_Toc172104659" w:history="1">
        <w:r w:rsidRPr="00EF0209">
          <w:rPr>
            <w:rStyle w:val="Hyperlink"/>
            <w:noProof/>
          </w:rPr>
          <w:t>Equity</w:t>
        </w:r>
        <w:r>
          <w:rPr>
            <w:noProof/>
            <w:webHidden/>
          </w:rPr>
          <w:tab/>
        </w:r>
        <w:r>
          <w:rPr>
            <w:noProof/>
            <w:webHidden/>
          </w:rPr>
          <w:fldChar w:fldCharType="begin"/>
        </w:r>
        <w:r>
          <w:rPr>
            <w:noProof/>
            <w:webHidden/>
          </w:rPr>
          <w:instrText xml:space="preserve"> PAGEREF _Toc172104659 \h </w:instrText>
        </w:r>
        <w:r>
          <w:rPr>
            <w:noProof/>
            <w:webHidden/>
          </w:rPr>
        </w:r>
        <w:r>
          <w:rPr>
            <w:noProof/>
            <w:webHidden/>
          </w:rPr>
          <w:fldChar w:fldCharType="separate"/>
        </w:r>
        <w:r>
          <w:rPr>
            <w:noProof/>
            <w:webHidden/>
          </w:rPr>
          <w:t>9</w:t>
        </w:r>
        <w:r>
          <w:rPr>
            <w:noProof/>
            <w:webHidden/>
          </w:rPr>
          <w:fldChar w:fldCharType="end"/>
        </w:r>
      </w:hyperlink>
    </w:p>
    <w:p w14:paraId="70BC8D1D" w14:textId="4243B41D" w:rsidR="003A0DFF" w:rsidRDefault="003A0DFF">
      <w:pPr>
        <w:pStyle w:val="TOC1"/>
        <w:rPr>
          <w:rFonts w:asciiTheme="minorHAnsi" w:eastAsiaTheme="minorEastAsia" w:hAnsiTheme="minorHAnsi" w:cstheme="minorBidi"/>
          <w:noProof/>
          <w:sz w:val="22"/>
          <w:szCs w:val="22"/>
          <w:lang w:eastAsia="en-NZ"/>
        </w:rPr>
      </w:pPr>
      <w:hyperlink w:anchor="_Toc172104660" w:history="1">
        <w:r w:rsidRPr="00EF0209">
          <w:rPr>
            <w:rStyle w:val="Hyperlink"/>
            <w:noProof/>
          </w:rPr>
          <w:t>Health measures - Ngā inenga hauora</w:t>
        </w:r>
        <w:r>
          <w:rPr>
            <w:noProof/>
            <w:webHidden/>
          </w:rPr>
          <w:tab/>
        </w:r>
        <w:r>
          <w:rPr>
            <w:noProof/>
            <w:webHidden/>
          </w:rPr>
          <w:fldChar w:fldCharType="begin"/>
        </w:r>
        <w:r>
          <w:rPr>
            <w:noProof/>
            <w:webHidden/>
          </w:rPr>
          <w:instrText xml:space="preserve"> PAGEREF _Toc172104660 \h </w:instrText>
        </w:r>
        <w:r>
          <w:rPr>
            <w:noProof/>
            <w:webHidden/>
          </w:rPr>
        </w:r>
        <w:r>
          <w:rPr>
            <w:noProof/>
            <w:webHidden/>
          </w:rPr>
          <w:fldChar w:fldCharType="separate"/>
        </w:r>
        <w:r>
          <w:rPr>
            <w:noProof/>
            <w:webHidden/>
          </w:rPr>
          <w:t>11</w:t>
        </w:r>
        <w:r>
          <w:rPr>
            <w:noProof/>
            <w:webHidden/>
          </w:rPr>
          <w:fldChar w:fldCharType="end"/>
        </w:r>
      </w:hyperlink>
    </w:p>
    <w:p w14:paraId="0C7E96D6" w14:textId="3C8A0797" w:rsidR="003A0DFF" w:rsidRDefault="003A0DFF">
      <w:pPr>
        <w:pStyle w:val="TOC2"/>
        <w:rPr>
          <w:rFonts w:asciiTheme="minorHAnsi" w:eastAsiaTheme="minorEastAsia" w:hAnsiTheme="minorHAnsi" w:cstheme="minorBidi"/>
          <w:noProof/>
          <w:szCs w:val="22"/>
          <w:lang w:eastAsia="en-NZ"/>
        </w:rPr>
      </w:pPr>
      <w:hyperlink w:anchor="_Toc172104661" w:history="1">
        <w:r w:rsidRPr="00EF0209">
          <w:rPr>
            <w:rStyle w:val="Hyperlink"/>
            <w:noProof/>
          </w:rPr>
          <w:t>Self-rated health</w:t>
        </w:r>
        <w:r>
          <w:rPr>
            <w:noProof/>
            <w:webHidden/>
          </w:rPr>
          <w:tab/>
        </w:r>
        <w:r>
          <w:rPr>
            <w:noProof/>
            <w:webHidden/>
          </w:rPr>
          <w:fldChar w:fldCharType="begin"/>
        </w:r>
        <w:r>
          <w:rPr>
            <w:noProof/>
            <w:webHidden/>
          </w:rPr>
          <w:instrText xml:space="preserve"> PAGEREF _Toc172104661 \h </w:instrText>
        </w:r>
        <w:r>
          <w:rPr>
            <w:noProof/>
            <w:webHidden/>
          </w:rPr>
        </w:r>
        <w:r>
          <w:rPr>
            <w:noProof/>
            <w:webHidden/>
          </w:rPr>
          <w:fldChar w:fldCharType="separate"/>
        </w:r>
        <w:r>
          <w:rPr>
            <w:noProof/>
            <w:webHidden/>
          </w:rPr>
          <w:t>11</w:t>
        </w:r>
        <w:r>
          <w:rPr>
            <w:noProof/>
            <w:webHidden/>
          </w:rPr>
          <w:fldChar w:fldCharType="end"/>
        </w:r>
      </w:hyperlink>
    </w:p>
    <w:p w14:paraId="6F6D489C" w14:textId="28A6C94C" w:rsidR="003A0DFF" w:rsidRDefault="003A0DFF">
      <w:pPr>
        <w:pStyle w:val="TOC2"/>
        <w:rPr>
          <w:rFonts w:asciiTheme="minorHAnsi" w:eastAsiaTheme="minorEastAsia" w:hAnsiTheme="minorHAnsi" w:cstheme="minorBidi"/>
          <w:noProof/>
          <w:szCs w:val="22"/>
          <w:lang w:eastAsia="en-NZ"/>
        </w:rPr>
      </w:pPr>
      <w:hyperlink w:anchor="_Toc172104662" w:history="1">
        <w:r w:rsidRPr="00EF0209">
          <w:rPr>
            <w:rStyle w:val="Hyperlink"/>
            <w:noProof/>
          </w:rPr>
          <w:t>Life expectancy</w:t>
        </w:r>
        <w:r>
          <w:rPr>
            <w:noProof/>
            <w:webHidden/>
          </w:rPr>
          <w:tab/>
        </w:r>
        <w:r>
          <w:rPr>
            <w:noProof/>
            <w:webHidden/>
          </w:rPr>
          <w:fldChar w:fldCharType="begin"/>
        </w:r>
        <w:r>
          <w:rPr>
            <w:noProof/>
            <w:webHidden/>
          </w:rPr>
          <w:instrText xml:space="preserve"> PAGEREF _Toc172104662 \h </w:instrText>
        </w:r>
        <w:r>
          <w:rPr>
            <w:noProof/>
            <w:webHidden/>
          </w:rPr>
        </w:r>
        <w:r>
          <w:rPr>
            <w:noProof/>
            <w:webHidden/>
          </w:rPr>
          <w:fldChar w:fldCharType="separate"/>
        </w:r>
        <w:r>
          <w:rPr>
            <w:noProof/>
            <w:webHidden/>
          </w:rPr>
          <w:t>13</w:t>
        </w:r>
        <w:r>
          <w:rPr>
            <w:noProof/>
            <w:webHidden/>
          </w:rPr>
          <w:fldChar w:fldCharType="end"/>
        </w:r>
      </w:hyperlink>
    </w:p>
    <w:p w14:paraId="4E8783B4" w14:textId="4765D377" w:rsidR="003A0DFF" w:rsidRDefault="003A0DFF">
      <w:pPr>
        <w:pStyle w:val="TOC2"/>
        <w:rPr>
          <w:rFonts w:asciiTheme="minorHAnsi" w:eastAsiaTheme="minorEastAsia" w:hAnsiTheme="minorHAnsi" w:cstheme="minorBidi"/>
          <w:noProof/>
          <w:szCs w:val="22"/>
          <w:lang w:eastAsia="en-NZ"/>
        </w:rPr>
      </w:pPr>
      <w:hyperlink w:anchor="_Toc172104663" w:history="1">
        <w:r w:rsidRPr="00EF0209">
          <w:rPr>
            <w:rStyle w:val="Hyperlink"/>
            <w:noProof/>
          </w:rPr>
          <w:t>Mortality</w:t>
        </w:r>
        <w:r>
          <w:rPr>
            <w:noProof/>
            <w:webHidden/>
          </w:rPr>
          <w:tab/>
        </w:r>
        <w:r>
          <w:rPr>
            <w:noProof/>
            <w:webHidden/>
          </w:rPr>
          <w:fldChar w:fldCharType="begin"/>
        </w:r>
        <w:r>
          <w:rPr>
            <w:noProof/>
            <w:webHidden/>
          </w:rPr>
          <w:instrText xml:space="preserve"> PAGEREF _Toc172104663 \h </w:instrText>
        </w:r>
        <w:r>
          <w:rPr>
            <w:noProof/>
            <w:webHidden/>
          </w:rPr>
        </w:r>
        <w:r>
          <w:rPr>
            <w:noProof/>
            <w:webHidden/>
          </w:rPr>
          <w:fldChar w:fldCharType="separate"/>
        </w:r>
        <w:r>
          <w:rPr>
            <w:noProof/>
            <w:webHidden/>
          </w:rPr>
          <w:t>17</w:t>
        </w:r>
        <w:r>
          <w:rPr>
            <w:noProof/>
            <w:webHidden/>
          </w:rPr>
          <w:fldChar w:fldCharType="end"/>
        </w:r>
      </w:hyperlink>
    </w:p>
    <w:p w14:paraId="3FD4741F" w14:textId="21816E85" w:rsidR="003A0DFF" w:rsidRDefault="003A0DFF">
      <w:pPr>
        <w:pStyle w:val="TOC2"/>
        <w:rPr>
          <w:rFonts w:asciiTheme="minorHAnsi" w:eastAsiaTheme="minorEastAsia" w:hAnsiTheme="minorHAnsi" w:cstheme="minorBidi"/>
          <w:noProof/>
          <w:szCs w:val="22"/>
          <w:lang w:eastAsia="en-NZ"/>
        </w:rPr>
      </w:pPr>
      <w:hyperlink w:anchor="_Toc172104664" w:history="1">
        <w:r w:rsidRPr="00EF0209">
          <w:rPr>
            <w:rStyle w:val="Hyperlink"/>
            <w:noProof/>
          </w:rPr>
          <w:t>Maternity</w:t>
        </w:r>
        <w:r>
          <w:rPr>
            <w:noProof/>
            <w:webHidden/>
          </w:rPr>
          <w:tab/>
        </w:r>
        <w:r>
          <w:rPr>
            <w:noProof/>
            <w:webHidden/>
          </w:rPr>
          <w:fldChar w:fldCharType="begin"/>
        </w:r>
        <w:r>
          <w:rPr>
            <w:noProof/>
            <w:webHidden/>
          </w:rPr>
          <w:instrText xml:space="preserve"> PAGEREF _Toc172104664 \h </w:instrText>
        </w:r>
        <w:r>
          <w:rPr>
            <w:noProof/>
            <w:webHidden/>
          </w:rPr>
        </w:r>
        <w:r>
          <w:rPr>
            <w:noProof/>
            <w:webHidden/>
          </w:rPr>
          <w:fldChar w:fldCharType="separate"/>
        </w:r>
        <w:r>
          <w:rPr>
            <w:noProof/>
            <w:webHidden/>
          </w:rPr>
          <w:t>19</w:t>
        </w:r>
        <w:r>
          <w:rPr>
            <w:noProof/>
            <w:webHidden/>
          </w:rPr>
          <w:fldChar w:fldCharType="end"/>
        </w:r>
      </w:hyperlink>
    </w:p>
    <w:p w14:paraId="54779A09" w14:textId="4A321ECF" w:rsidR="003A0DFF" w:rsidRDefault="003A0DFF">
      <w:pPr>
        <w:pStyle w:val="TOC1"/>
        <w:rPr>
          <w:rFonts w:asciiTheme="minorHAnsi" w:eastAsiaTheme="minorEastAsia" w:hAnsiTheme="minorHAnsi" w:cstheme="minorBidi"/>
          <w:noProof/>
          <w:sz w:val="22"/>
          <w:szCs w:val="22"/>
          <w:lang w:eastAsia="en-NZ"/>
        </w:rPr>
      </w:pPr>
      <w:hyperlink w:anchor="_Toc172104665" w:history="1">
        <w:r w:rsidRPr="00EF0209">
          <w:rPr>
            <w:rStyle w:val="Hyperlink"/>
            <w:noProof/>
          </w:rPr>
          <w:t xml:space="preserve">Causes of health loss - </w:t>
        </w:r>
        <w:r w:rsidRPr="00EF0209">
          <w:rPr>
            <w:rStyle w:val="Hyperlink"/>
            <w:rFonts w:eastAsia="Arial Unicode MS"/>
            <w:noProof/>
          </w:rPr>
          <w:t>Ngā take mō te mate hauora</w:t>
        </w:r>
        <w:r>
          <w:rPr>
            <w:noProof/>
            <w:webHidden/>
          </w:rPr>
          <w:tab/>
        </w:r>
        <w:r>
          <w:rPr>
            <w:noProof/>
            <w:webHidden/>
          </w:rPr>
          <w:fldChar w:fldCharType="begin"/>
        </w:r>
        <w:r>
          <w:rPr>
            <w:noProof/>
            <w:webHidden/>
          </w:rPr>
          <w:instrText xml:space="preserve"> PAGEREF _Toc172104665 \h </w:instrText>
        </w:r>
        <w:r>
          <w:rPr>
            <w:noProof/>
            <w:webHidden/>
          </w:rPr>
        </w:r>
        <w:r>
          <w:rPr>
            <w:noProof/>
            <w:webHidden/>
          </w:rPr>
          <w:fldChar w:fldCharType="separate"/>
        </w:r>
        <w:r>
          <w:rPr>
            <w:noProof/>
            <w:webHidden/>
          </w:rPr>
          <w:t>23</w:t>
        </w:r>
        <w:r>
          <w:rPr>
            <w:noProof/>
            <w:webHidden/>
          </w:rPr>
          <w:fldChar w:fldCharType="end"/>
        </w:r>
      </w:hyperlink>
    </w:p>
    <w:p w14:paraId="0B5D1DC5" w14:textId="46BDFD69" w:rsidR="003A0DFF" w:rsidRDefault="003A0DFF">
      <w:pPr>
        <w:pStyle w:val="TOC2"/>
        <w:rPr>
          <w:rFonts w:asciiTheme="minorHAnsi" w:eastAsiaTheme="minorEastAsia" w:hAnsiTheme="minorHAnsi" w:cstheme="minorBidi"/>
          <w:noProof/>
          <w:szCs w:val="22"/>
          <w:lang w:eastAsia="en-NZ"/>
        </w:rPr>
      </w:pPr>
      <w:hyperlink w:anchor="_Toc172104666" w:history="1">
        <w:r w:rsidRPr="00EF0209">
          <w:rPr>
            <w:rStyle w:val="Hyperlink"/>
            <w:noProof/>
          </w:rPr>
          <w:t>Overview of health loss in Aotearoa New Zealand</w:t>
        </w:r>
        <w:r>
          <w:rPr>
            <w:noProof/>
            <w:webHidden/>
          </w:rPr>
          <w:tab/>
        </w:r>
        <w:r>
          <w:rPr>
            <w:noProof/>
            <w:webHidden/>
          </w:rPr>
          <w:fldChar w:fldCharType="begin"/>
        </w:r>
        <w:r>
          <w:rPr>
            <w:noProof/>
            <w:webHidden/>
          </w:rPr>
          <w:instrText xml:space="preserve"> PAGEREF _Toc172104666 \h </w:instrText>
        </w:r>
        <w:r>
          <w:rPr>
            <w:noProof/>
            <w:webHidden/>
          </w:rPr>
        </w:r>
        <w:r>
          <w:rPr>
            <w:noProof/>
            <w:webHidden/>
          </w:rPr>
          <w:fldChar w:fldCharType="separate"/>
        </w:r>
        <w:r>
          <w:rPr>
            <w:noProof/>
            <w:webHidden/>
          </w:rPr>
          <w:t>24</w:t>
        </w:r>
        <w:r>
          <w:rPr>
            <w:noProof/>
            <w:webHidden/>
          </w:rPr>
          <w:fldChar w:fldCharType="end"/>
        </w:r>
      </w:hyperlink>
    </w:p>
    <w:p w14:paraId="0E4BC185" w14:textId="1AF3678F" w:rsidR="003A0DFF" w:rsidRDefault="003A0DFF">
      <w:pPr>
        <w:pStyle w:val="TOC2"/>
        <w:rPr>
          <w:rFonts w:asciiTheme="minorHAnsi" w:eastAsiaTheme="minorEastAsia" w:hAnsiTheme="minorHAnsi" w:cstheme="minorBidi"/>
          <w:noProof/>
          <w:szCs w:val="22"/>
          <w:lang w:eastAsia="en-NZ"/>
        </w:rPr>
      </w:pPr>
      <w:hyperlink w:anchor="_Toc172104667" w:history="1">
        <w:r w:rsidRPr="00EF0209">
          <w:rPr>
            <w:rStyle w:val="Hyperlink"/>
            <w:noProof/>
          </w:rPr>
          <w:t>Cancers (neoplasms)</w:t>
        </w:r>
        <w:r>
          <w:rPr>
            <w:noProof/>
            <w:webHidden/>
          </w:rPr>
          <w:tab/>
        </w:r>
        <w:r>
          <w:rPr>
            <w:noProof/>
            <w:webHidden/>
          </w:rPr>
          <w:fldChar w:fldCharType="begin"/>
        </w:r>
        <w:r>
          <w:rPr>
            <w:noProof/>
            <w:webHidden/>
          </w:rPr>
          <w:instrText xml:space="preserve"> PAGEREF _Toc172104667 \h </w:instrText>
        </w:r>
        <w:r>
          <w:rPr>
            <w:noProof/>
            <w:webHidden/>
          </w:rPr>
        </w:r>
        <w:r>
          <w:rPr>
            <w:noProof/>
            <w:webHidden/>
          </w:rPr>
          <w:fldChar w:fldCharType="separate"/>
        </w:r>
        <w:r>
          <w:rPr>
            <w:noProof/>
            <w:webHidden/>
          </w:rPr>
          <w:t>28</w:t>
        </w:r>
        <w:r>
          <w:rPr>
            <w:noProof/>
            <w:webHidden/>
          </w:rPr>
          <w:fldChar w:fldCharType="end"/>
        </w:r>
      </w:hyperlink>
    </w:p>
    <w:p w14:paraId="0B4BD294" w14:textId="25213CFA" w:rsidR="003A0DFF" w:rsidRDefault="003A0DFF">
      <w:pPr>
        <w:pStyle w:val="TOC2"/>
        <w:rPr>
          <w:rFonts w:asciiTheme="minorHAnsi" w:eastAsiaTheme="minorEastAsia" w:hAnsiTheme="minorHAnsi" w:cstheme="minorBidi"/>
          <w:noProof/>
          <w:szCs w:val="22"/>
          <w:lang w:eastAsia="en-NZ"/>
        </w:rPr>
      </w:pPr>
      <w:hyperlink w:anchor="_Toc172104668" w:history="1">
        <w:r w:rsidRPr="00EF0209">
          <w:rPr>
            <w:rStyle w:val="Hyperlink"/>
            <w:noProof/>
          </w:rPr>
          <w:t>Cardiovascular and cerebrovascular diseases</w:t>
        </w:r>
        <w:r>
          <w:rPr>
            <w:noProof/>
            <w:webHidden/>
          </w:rPr>
          <w:tab/>
        </w:r>
        <w:r>
          <w:rPr>
            <w:noProof/>
            <w:webHidden/>
          </w:rPr>
          <w:fldChar w:fldCharType="begin"/>
        </w:r>
        <w:r>
          <w:rPr>
            <w:noProof/>
            <w:webHidden/>
          </w:rPr>
          <w:instrText xml:space="preserve"> PAGEREF _Toc172104668 \h </w:instrText>
        </w:r>
        <w:r>
          <w:rPr>
            <w:noProof/>
            <w:webHidden/>
          </w:rPr>
        </w:r>
        <w:r>
          <w:rPr>
            <w:noProof/>
            <w:webHidden/>
          </w:rPr>
          <w:fldChar w:fldCharType="separate"/>
        </w:r>
        <w:r>
          <w:rPr>
            <w:noProof/>
            <w:webHidden/>
          </w:rPr>
          <w:t>36</w:t>
        </w:r>
        <w:r>
          <w:rPr>
            <w:noProof/>
            <w:webHidden/>
          </w:rPr>
          <w:fldChar w:fldCharType="end"/>
        </w:r>
      </w:hyperlink>
    </w:p>
    <w:p w14:paraId="76DA2146" w14:textId="726CB913" w:rsidR="003A0DFF" w:rsidRDefault="003A0DFF">
      <w:pPr>
        <w:pStyle w:val="TOC2"/>
        <w:rPr>
          <w:rFonts w:asciiTheme="minorHAnsi" w:eastAsiaTheme="minorEastAsia" w:hAnsiTheme="minorHAnsi" w:cstheme="minorBidi"/>
          <w:noProof/>
          <w:szCs w:val="22"/>
          <w:lang w:eastAsia="en-NZ"/>
        </w:rPr>
      </w:pPr>
      <w:hyperlink w:anchor="_Toc172104669" w:history="1">
        <w:r w:rsidRPr="00EF0209">
          <w:rPr>
            <w:rStyle w:val="Hyperlink"/>
            <w:noProof/>
          </w:rPr>
          <w:t>Musculoskeletal</w:t>
        </w:r>
        <w:r w:rsidRPr="00EF0209">
          <w:rPr>
            <w:rStyle w:val="Hyperlink"/>
            <w:rFonts w:cs="Segoe UI"/>
            <w:noProof/>
          </w:rPr>
          <w:t xml:space="preserve"> </w:t>
        </w:r>
        <w:r w:rsidRPr="00EF0209">
          <w:rPr>
            <w:rStyle w:val="Hyperlink"/>
            <w:noProof/>
          </w:rPr>
          <w:t>conditions</w:t>
        </w:r>
        <w:r>
          <w:rPr>
            <w:noProof/>
            <w:webHidden/>
          </w:rPr>
          <w:tab/>
        </w:r>
        <w:r>
          <w:rPr>
            <w:noProof/>
            <w:webHidden/>
          </w:rPr>
          <w:fldChar w:fldCharType="begin"/>
        </w:r>
        <w:r>
          <w:rPr>
            <w:noProof/>
            <w:webHidden/>
          </w:rPr>
          <w:instrText xml:space="preserve"> PAGEREF _Toc172104669 \h </w:instrText>
        </w:r>
        <w:r>
          <w:rPr>
            <w:noProof/>
            <w:webHidden/>
          </w:rPr>
        </w:r>
        <w:r>
          <w:rPr>
            <w:noProof/>
            <w:webHidden/>
          </w:rPr>
          <w:fldChar w:fldCharType="separate"/>
        </w:r>
        <w:r>
          <w:rPr>
            <w:noProof/>
            <w:webHidden/>
          </w:rPr>
          <w:t>37</w:t>
        </w:r>
        <w:r>
          <w:rPr>
            <w:noProof/>
            <w:webHidden/>
          </w:rPr>
          <w:fldChar w:fldCharType="end"/>
        </w:r>
      </w:hyperlink>
    </w:p>
    <w:p w14:paraId="293B6C66" w14:textId="5E829A6D" w:rsidR="003A0DFF" w:rsidRDefault="003A0DFF">
      <w:pPr>
        <w:pStyle w:val="TOC2"/>
        <w:rPr>
          <w:rFonts w:asciiTheme="minorHAnsi" w:eastAsiaTheme="minorEastAsia" w:hAnsiTheme="minorHAnsi" w:cstheme="minorBidi"/>
          <w:noProof/>
          <w:szCs w:val="22"/>
          <w:lang w:eastAsia="en-NZ"/>
        </w:rPr>
      </w:pPr>
      <w:hyperlink w:anchor="_Toc172104670" w:history="1">
        <w:r w:rsidRPr="00EF0209">
          <w:rPr>
            <w:rStyle w:val="Hyperlink"/>
            <w:noProof/>
          </w:rPr>
          <w:t>Mental health</w:t>
        </w:r>
        <w:r>
          <w:rPr>
            <w:noProof/>
            <w:webHidden/>
          </w:rPr>
          <w:tab/>
        </w:r>
        <w:r>
          <w:rPr>
            <w:noProof/>
            <w:webHidden/>
          </w:rPr>
          <w:fldChar w:fldCharType="begin"/>
        </w:r>
        <w:r>
          <w:rPr>
            <w:noProof/>
            <w:webHidden/>
          </w:rPr>
          <w:instrText xml:space="preserve"> PAGEREF _Toc172104670 \h </w:instrText>
        </w:r>
        <w:r>
          <w:rPr>
            <w:noProof/>
            <w:webHidden/>
          </w:rPr>
        </w:r>
        <w:r>
          <w:rPr>
            <w:noProof/>
            <w:webHidden/>
          </w:rPr>
          <w:fldChar w:fldCharType="separate"/>
        </w:r>
        <w:r>
          <w:rPr>
            <w:noProof/>
            <w:webHidden/>
          </w:rPr>
          <w:t>38</w:t>
        </w:r>
        <w:r>
          <w:rPr>
            <w:noProof/>
            <w:webHidden/>
          </w:rPr>
          <w:fldChar w:fldCharType="end"/>
        </w:r>
      </w:hyperlink>
    </w:p>
    <w:p w14:paraId="67BA432B" w14:textId="61812EA1" w:rsidR="003A0DFF" w:rsidRDefault="003A0DFF">
      <w:pPr>
        <w:pStyle w:val="TOC2"/>
        <w:rPr>
          <w:rFonts w:asciiTheme="minorHAnsi" w:eastAsiaTheme="minorEastAsia" w:hAnsiTheme="minorHAnsi" w:cstheme="minorBidi"/>
          <w:noProof/>
          <w:szCs w:val="22"/>
          <w:lang w:eastAsia="en-NZ"/>
        </w:rPr>
      </w:pPr>
      <w:hyperlink w:anchor="_Toc172104671" w:history="1">
        <w:r w:rsidRPr="00EF0209">
          <w:rPr>
            <w:rStyle w:val="Hyperlink"/>
            <w:noProof/>
          </w:rPr>
          <w:t>Neurological conditions</w:t>
        </w:r>
        <w:r>
          <w:rPr>
            <w:noProof/>
            <w:webHidden/>
          </w:rPr>
          <w:tab/>
        </w:r>
        <w:r>
          <w:rPr>
            <w:noProof/>
            <w:webHidden/>
          </w:rPr>
          <w:fldChar w:fldCharType="begin"/>
        </w:r>
        <w:r>
          <w:rPr>
            <w:noProof/>
            <w:webHidden/>
          </w:rPr>
          <w:instrText xml:space="preserve"> PAGEREF _Toc172104671 \h </w:instrText>
        </w:r>
        <w:r>
          <w:rPr>
            <w:noProof/>
            <w:webHidden/>
          </w:rPr>
        </w:r>
        <w:r>
          <w:rPr>
            <w:noProof/>
            <w:webHidden/>
          </w:rPr>
          <w:fldChar w:fldCharType="separate"/>
        </w:r>
        <w:r>
          <w:rPr>
            <w:noProof/>
            <w:webHidden/>
          </w:rPr>
          <w:t>41</w:t>
        </w:r>
        <w:r>
          <w:rPr>
            <w:noProof/>
            <w:webHidden/>
          </w:rPr>
          <w:fldChar w:fldCharType="end"/>
        </w:r>
      </w:hyperlink>
    </w:p>
    <w:p w14:paraId="6FAFB8B6" w14:textId="62E791DB" w:rsidR="003A0DFF" w:rsidRDefault="003A0DFF">
      <w:pPr>
        <w:pStyle w:val="TOC2"/>
        <w:rPr>
          <w:rFonts w:asciiTheme="minorHAnsi" w:eastAsiaTheme="minorEastAsia" w:hAnsiTheme="minorHAnsi" w:cstheme="minorBidi"/>
          <w:noProof/>
          <w:szCs w:val="22"/>
          <w:lang w:eastAsia="en-NZ"/>
        </w:rPr>
      </w:pPr>
      <w:hyperlink w:anchor="_Toc172104672" w:history="1">
        <w:r w:rsidRPr="00EF0209">
          <w:rPr>
            <w:rStyle w:val="Hyperlink"/>
            <w:noProof/>
          </w:rPr>
          <w:t>Respiratory diseases</w:t>
        </w:r>
        <w:r>
          <w:rPr>
            <w:noProof/>
            <w:webHidden/>
          </w:rPr>
          <w:tab/>
        </w:r>
        <w:r>
          <w:rPr>
            <w:noProof/>
            <w:webHidden/>
          </w:rPr>
          <w:fldChar w:fldCharType="begin"/>
        </w:r>
        <w:r>
          <w:rPr>
            <w:noProof/>
            <w:webHidden/>
          </w:rPr>
          <w:instrText xml:space="preserve"> PAGEREF _Toc172104672 \h </w:instrText>
        </w:r>
        <w:r>
          <w:rPr>
            <w:noProof/>
            <w:webHidden/>
          </w:rPr>
        </w:r>
        <w:r>
          <w:rPr>
            <w:noProof/>
            <w:webHidden/>
          </w:rPr>
          <w:fldChar w:fldCharType="separate"/>
        </w:r>
        <w:r>
          <w:rPr>
            <w:noProof/>
            <w:webHidden/>
          </w:rPr>
          <w:t>41</w:t>
        </w:r>
        <w:r>
          <w:rPr>
            <w:noProof/>
            <w:webHidden/>
          </w:rPr>
          <w:fldChar w:fldCharType="end"/>
        </w:r>
      </w:hyperlink>
    </w:p>
    <w:p w14:paraId="434E1421" w14:textId="257F9901" w:rsidR="003A0DFF" w:rsidRDefault="003A0DFF">
      <w:pPr>
        <w:pStyle w:val="TOC2"/>
        <w:rPr>
          <w:rFonts w:asciiTheme="minorHAnsi" w:eastAsiaTheme="minorEastAsia" w:hAnsiTheme="minorHAnsi" w:cstheme="minorBidi"/>
          <w:noProof/>
          <w:szCs w:val="22"/>
          <w:lang w:eastAsia="en-NZ"/>
        </w:rPr>
      </w:pPr>
      <w:hyperlink w:anchor="_Toc172104673" w:history="1">
        <w:r w:rsidRPr="00EF0209">
          <w:rPr>
            <w:rStyle w:val="Hyperlink"/>
            <w:noProof/>
          </w:rPr>
          <w:t>Diabetes and chronic kidney disease</w:t>
        </w:r>
        <w:r>
          <w:rPr>
            <w:noProof/>
            <w:webHidden/>
          </w:rPr>
          <w:tab/>
        </w:r>
        <w:r>
          <w:rPr>
            <w:noProof/>
            <w:webHidden/>
          </w:rPr>
          <w:fldChar w:fldCharType="begin"/>
        </w:r>
        <w:r>
          <w:rPr>
            <w:noProof/>
            <w:webHidden/>
          </w:rPr>
          <w:instrText xml:space="preserve"> PAGEREF _Toc172104673 \h </w:instrText>
        </w:r>
        <w:r>
          <w:rPr>
            <w:noProof/>
            <w:webHidden/>
          </w:rPr>
        </w:r>
        <w:r>
          <w:rPr>
            <w:noProof/>
            <w:webHidden/>
          </w:rPr>
          <w:fldChar w:fldCharType="separate"/>
        </w:r>
        <w:r>
          <w:rPr>
            <w:noProof/>
            <w:webHidden/>
          </w:rPr>
          <w:t>42</w:t>
        </w:r>
        <w:r>
          <w:rPr>
            <w:noProof/>
            <w:webHidden/>
          </w:rPr>
          <w:fldChar w:fldCharType="end"/>
        </w:r>
      </w:hyperlink>
    </w:p>
    <w:p w14:paraId="25671320" w14:textId="16B74FCD" w:rsidR="003A0DFF" w:rsidRDefault="003A0DFF">
      <w:pPr>
        <w:pStyle w:val="TOC2"/>
        <w:rPr>
          <w:rFonts w:asciiTheme="minorHAnsi" w:eastAsiaTheme="minorEastAsia" w:hAnsiTheme="minorHAnsi" w:cstheme="minorBidi"/>
          <w:noProof/>
          <w:szCs w:val="22"/>
          <w:lang w:eastAsia="en-NZ"/>
        </w:rPr>
      </w:pPr>
      <w:hyperlink w:anchor="_Toc172104674" w:history="1">
        <w:r w:rsidRPr="00EF0209">
          <w:rPr>
            <w:rStyle w:val="Hyperlink"/>
            <w:noProof/>
          </w:rPr>
          <w:t>Oral health</w:t>
        </w:r>
        <w:r>
          <w:rPr>
            <w:noProof/>
            <w:webHidden/>
          </w:rPr>
          <w:tab/>
        </w:r>
        <w:r>
          <w:rPr>
            <w:noProof/>
            <w:webHidden/>
          </w:rPr>
          <w:fldChar w:fldCharType="begin"/>
        </w:r>
        <w:r>
          <w:rPr>
            <w:noProof/>
            <w:webHidden/>
          </w:rPr>
          <w:instrText xml:space="preserve"> PAGEREF _Toc172104674 \h </w:instrText>
        </w:r>
        <w:r>
          <w:rPr>
            <w:noProof/>
            <w:webHidden/>
          </w:rPr>
        </w:r>
        <w:r>
          <w:rPr>
            <w:noProof/>
            <w:webHidden/>
          </w:rPr>
          <w:fldChar w:fldCharType="separate"/>
        </w:r>
        <w:r>
          <w:rPr>
            <w:noProof/>
            <w:webHidden/>
          </w:rPr>
          <w:t>42</w:t>
        </w:r>
        <w:r>
          <w:rPr>
            <w:noProof/>
            <w:webHidden/>
          </w:rPr>
          <w:fldChar w:fldCharType="end"/>
        </w:r>
      </w:hyperlink>
    </w:p>
    <w:p w14:paraId="7E5583FE" w14:textId="566F612D" w:rsidR="003A0DFF" w:rsidRDefault="003A0DFF">
      <w:pPr>
        <w:pStyle w:val="TOC2"/>
        <w:rPr>
          <w:rFonts w:asciiTheme="minorHAnsi" w:eastAsiaTheme="minorEastAsia" w:hAnsiTheme="minorHAnsi" w:cstheme="minorBidi"/>
          <w:noProof/>
          <w:szCs w:val="22"/>
          <w:lang w:eastAsia="en-NZ"/>
        </w:rPr>
      </w:pPr>
      <w:hyperlink w:anchor="_Toc172104675" w:history="1">
        <w:r w:rsidRPr="00EF0209">
          <w:rPr>
            <w:rStyle w:val="Hyperlink"/>
            <w:noProof/>
          </w:rPr>
          <w:t>Injury</w:t>
        </w:r>
        <w:r>
          <w:rPr>
            <w:noProof/>
            <w:webHidden/>
          </w:rPr>
          <w:tab/>
        </w:r>
        <w:r>
          <w:rPr>
            <w:noProof/>
            <w:webHidden/>
          </w:rPr>
          <w:fldChar w:fldCharType="begin"/>
        </w:r>
        <w:r>
          <w:rPr>
            <w:noProof/>
            <w:webHidden/>
          </w:rPr>
          <w:instrText xml:space="preserve"> PAGEREF _Toc172104675 \h </w:instrText>
        </w:r>
        <w:r>
          <w:rPr>
            <w:noProof/>
            <w:webHidden/>
          </w:rPr>
        </w:r>
        <w:r>
          <w:rPr>
            <w:noProof/>
            <w:webHidden/>
          </w:rPr>
          <w:fldChar w:fldCharType="separate"/>
        </w:r>
        <w:r>
          <w:rPr>
            <w:noProof/>
            <w:webHidden/>
          </w:rPr>
          <w:t>47</w:t>
        </w:r>
        <w:r>
          <w:rPr>
            <w:noProof/>
            <w:webHidden/>
          </w:rPr>
          <w:fldChar w:fldCharType="end"/>
        </w:r>
      </w:hyperlink>
    </w:p>
    <w:p w14:paraId="31B5B184" w14:textId="20215507" w:rsidR="003A0DFF" w:rsidRDefault="003A0DFF">
      <w:pPr>
        <w:pStyle w:val="TOC2"/>
        <w:rPr>
          <w:rFonts w:asciiTheme="minorHAnsi" w:eastAsiaTheme="minorEastAsia" w:hAnsiTheme="minorHAnsi" w:cstheme="minorBidi"/>
          <w:noProof/>
          <w:szCs w:val="22"/>
          <w:lang w:eastAsia="en-NZ"/>
        </w:rPr>
      </w:pPr>
      <w:hyperlink w:anchor="_Toc172104676" w:history="1">
        <w:r w:rsidRPr="00EF0209">
          <w:rPr>
            <w:rStyle w:val="Hyperlink"/>
            <w:noProof/>
          </w:rPr>
          <w:t>Infectious (communicable) diseases</w:t>
        </w:r>
        <w:r>
          <w:rPr>
            <w:noProof/>
            <w:webHidden/>
          </w:rPr>
          <w:tab/>
        </w:r>
        <w:r>
          <w:rPr>
            <w:noProof/>
            <w:webHidden/>
          </w:rPr>
          <w:fldChar w:fldCharType="begin"/>
        </w:r>
        <w:r>
          <w:rPr>
            <w:noProof/>
            <w:webHidden/>
          </w:rPr>
          <w:instrText xml:space="preserve"> PAGEREF _Toc172104676 \h </w:instrText>
        </w:r>
        <w:r>
          <w:rPr>
            <w:noProof/>
            <w:webHidden/>
          </w:rPr>
        </w:r>
        <w:r>
          <w:rPr>
            <w:noProof/>
            <w:webHidden/>
          </w:rPr>
          <w:fldChar w:fldCharType="separate"/>
        </w:r>
        <w:r>
          <w:rPr>
            <w:noProof/>
            <w:webHidden/>
          </w:rPr>
          <w:t>48</w:t>
        </w:r>
        <w:r>
          <w:rPr>
            <w:noProof/>
            <w:webHidden/>
          </w:rPr>
          <w:fldChar w:fldCharType="end"/>
        </w:r>
      </w:hyperlink>
    </w:p>
    <w:p w14:paraId="2267F3BD" w14:textId="17D5C907" w:rsidR="003A0DFF" w:rsidRDefault="003A0DFF">
      <w:pPr>
        <w:pStyle w:val="TOC1"/>
        <w:rPr>
          <w:rFonts w:asciiTheme="minorHAnsi" w:eastAsiaTheme="minorEastAsia" w:hAnsiTheme="minorHAnsi" w:cstheme="minorBidi"/>
          <w:noProof/>
          <w:sz w:val="22"/>
          <w:szCs w:val="22"/>
          <w:lang w:eastAsia="en-NZ"/>
        </w:rPr>
      </w:pPr>
      <w:hyperlink w:anchor="_Toc172104677" w:history="1">
        <w:r w:rsidRPr="00EF0209">
          <w:rPr>
            <w:rStyle w:val="Hyperlink"/>
            <w:noProof/>
          </w:rPr>
          <w:t>Determinants of health and wellbeing - Ngā tūtohu o te hauora me te oranga o te tangata</w:t>
        </w:r>
        <w:r>
          <w:rPr>
            <w:noProof/>
            <w:webHidden/>
          </w:rPr>
          <w:tab/>
        </w:r>
        <w:r>
          <w:rPr>
            <w:noProof/>
            <w:webHidden/>
          </w:rPr>
          <w:fldChar w:fldCharType="begin"/>
        </w:r>
        <w:r>
          <w:rPr>
            <w:noProof/>
            <w:webHidden/>
          </w:rPr>
          <w:instrText xml:space="preserve"> PAGEREF _Toc172104677 \h </w:instrText>
        </w:r>
        <w:r>
          <w:rPr>
            <w:noProof/>
            <w:webHidden/>
          </w:rPr>
        </w:r>
        <w:r>
          <w:rPr>
            <w:noProof/>
            <w:webHidden/>
          </w:rPr>
          <w:fldChar w:fldCharType="separate"/>
        </w:r>
        <w:r>
          <w:rPr>
            <w:noProof/>
            <w:webHidden/>
          </w:rPr>
          <w:t>55</w:t>
        </w:r>
        <w:r>
          <w:rPr>
            <w:noProof/>
            <w:webHidden/>
          </w:rPr>
          <w:fldChar w:fldCharType="end"/>
        </w:r>
      </w:hyperlink>
    </w:p>
    <w:p w14:paraId="08FE6AE3" w14:textId="4E26A0EB" w:rsidR="003A0DFF" w:rsidRDefault="003A0DFF">
      <w:pPr>
        <w:pStyle w:val="TOC2"/>
        <w:rPr>
          <w:rFonts w:asciiTheme="minorHAnsi" w:eastAsiaTheme="minorEastAsia" w:hAnsiTheme="minorHAnsi" w:cstheme="minorBidi"/>
          <w:noProof/>
          <w:szCs w:val="22"/>
          <w:lang w:eastAsia="en-NZ"/>
        </w:rPr>
      </w:pPr>
      <w:hyperlink w:anchor="_Toc172104678" w:history="1">
        <w:r w:rsidRPr="00EF0209">
          <w:rPr>
            <w:rStyle w:val="Hyperlink"/>
            <w:noProof/>
          </w:rPr>
          <w:t>Social and economic environment</w:t>
        </w:r>
        <w:r>
          <w:rPr>
            <w:noProof/>
            <w:webHidden/>
          </w:rPr>
          <w:tab/>
        </w:r>
        <w:r>
          <w:rPr>
            <w:noProof/>
            <w:webHidden/>
          </w:rPr>
          <w:fldChar w:fldCharType="begin"/>
        </w:r>
        <w:r>
          <w:rPr>
            <w:noProof/>
            <w:webHidden/>
          </w:rPr>
          <w:instrText xml:space="preserve"> PAGEREF _Toc172104678 \h </w:instrText>
        </w:r>
        <w:r>
          <w:rPr>
            <w:noProof/>
            <w:webHidden/>
          </w:rPr>
        </w:r>
        <w:r>
          <w:rPr>
            <w:noProof/>
            <w:webHidden/>
          </w:rPr>
          <w:fldChar w:fldCharType="separate"/>
        </w:r>
        <w:r>
          <w:rPr>
            <w:noProof/>
            <w:webHidden/>
          </w:rPr>
          <w:t>55</w:t>
        </w:r>
        <w:r>
          <w:rPr>
            <w:noProof/>
            <w:webHidden/>
          </w:rPr>
          <w:fldChar w:fldCharType="end"/>
        </w:r>
      </w:hyperlink>
    </w:p>
    <w:p w14:paraId="2357360C" w14:textId="397C1530" w:rsidR="003A0DFF" w:rsidRDefault="003A0DFF">
      <w:pPr>
        <w:pStyle w:val="TOC2"/>
        <w:rPr>
          <w:rFonts w:asciiTheme="minorHAnsi" w:eastAsiaTheme="minorEastAsia" w:hAnsiTheme="minorHAnsi" w:cstheme="minorBidi"/>
          <w:noProof/>
          <w:szCs w:val="22"/>
          <w:lang w:eastAsia="en-NZ"/>
        </w:rPr>
      </w:pPr>
      <w:hyperlink w:anchor="_Toc172104679" w:history="1">
        <w:r w:rsidRPr="00EF0209">
          <w:rPr>
            <w:rStyle w:val="Hyperlink"/>
            <w:noProof/>
          </w:rPr>
          <w:t>Physical environment</w:t>
        </w:r>
        <w:r>
          <w:rPr>
            <w:noProof/>
            <w:webHidden/>
          </w:rPr>
          <w:tab/>
        </w:r>
        <w:r>
          <w:rPr>
            <w:noProof/>
            <w:webHidden/>
          </w:rPr>
          <w:fldChar w:fldCharType="begin"/>
        </w:r>
        <w:r>
          <w:rPr>
            <w:noProof/>
            <w:webHidden/>
          </w:rPr>
          <w:instrText xml:space="preserve"> PAGEREF _Toc172104679 \h </w:instrText>
        </w:r>
        <w:r>
          <w:rPr>
            <w:noProof/>
            <w:webHidden/>
          </w:rPr>
        </w:r>
        <w:r>
          <w:rPr>
            <w:noProof/>
            <w:webHidden/>
          </w:rPr>
          <w:fldChar w:fldCharType="separate"/>
        </w:r>
        <w:r>
          <w:rPr>
            <w:noProof/>
            <w:webHidden/>
          </w:rPr>
          <w:t>58</w:t>
        </w:r>
        <w:r>
          <w:rPr>
            <w:noProof/>
            <w:webHidden/>
          </w:rPr>
          <w:fldChar w:fldCharType="end"/>
        </w:r>
      </w:hyperlink>
    </w:p>
    <w:p w14:paraId="63C12AF2" w14:textId="1C3AB11D" w:rsidR="003A0DFF" w:rsidRDefault="003A0DFF">
      <w:pPr>
        <w:pStyle w:val="TOC2"/>
        <w:rPr>
          <w:rFonts w:asciiTheme="minorHAnsi" w:eastAsiaTheme="minorEastAsia" w:hAnsiTheme="minorHAnsi" w:cstheme="minorBidi"/>
          <w:noProof/>
          <w:szCs w:val="22"/>
          <w:lang w:eastAsia="en-NZ"/>
        </w:rPr>
      </w:pPr>
      <w:hyperlink w:anchor="_Toc172104680" w:history="1">
        <w:r w:rsidRPr="00EF0209">
          <w:rPr>
            <w:rStyle w:val="Hyperlink"/>
            <w:noProof/>
          </w:rPr>
          <w:t>Individual risk factors</w:t>
        </w:r>
        <w:r>
          <w:rPr>
            <w:noProof/>
            <w:webHidden/>
          </w:rPr>
          <w:tab/>
        </w:r>
        <w:r>
          <w:rPr>
            <w:noProof/>
            <w:webHidden/>
          </w:rPr>
          <w:fldChar w:fldCharType="begin"/>
        </w:r>
        <w:r>
          <w:rPr>
            <w:noProof/>
            <w:webHidden/>
          </w:rPr>
          <w:instrText xml:space="preserve"> PAGEREF _Toc172104680 \h </w:instrText>
        </w:r>
        <w:r>
          <w:rPr>
            <w:noProof/>
            <w:webHidden/>
          </w:rPr>
        </w:r>
        <w:r>
          <w:rPr>
            <w:noProof/>
            <w:webHidden/>
          </w:rPr>
          <w:fldChar w:fldCharType="separate"/>
        </w:r>
        <w:r>
          <w:rPr>
            <w:noProof/>
            <w:webHidden/>
          </w:rPr>
          <w:t>63</w:t>
        </w:r>
        <w:r>
          <w:rPr>
            <w:noProof/>
            <w:webHidden/>
          </w:rPr>
          <w:fldChar w:fldCharType="end"/>
        </w:r>
      </w:hyperlink>
    </w:p>
    <w:p w14:paraId="049975C9" w14:textId="63F40D9B" w:rsidR="003A0DFF" w:rsidRDefault="003A0DFF">
      <w:pPr>
        <w:pStyle w:val="TOC2"/>
        <w:rPr>
          <w:rFonts w:asciiTheme="minorHAnsi" w:eastAsiaTheme="minorEastAsia" w:hAnsiTheme="minorHAnsi" w:cstheme="minorBidi"/>
          <w:noProof/>
          <w:szCs w:val="22"/>
          <w:lang w:eastAsia="en-NZ"/>
        </w:rPr>
      </w:pPr>
      <w:hyperlink w:anchor="_Toc172104681" w:history="1">
        <w:r w:rsidRPr="00EF0209">
          <w:rPr>
            <w:rStyle w:val="Hyperlink"/>
            <w:noProof/>
          </w:rPr>
          <w:t>Health care</w:t>
        </w:r>
        <w:r>
          <w:rPr>
            <w:noProof/>
            <w:webHidden/>
          </w:rPr>
          <w:tab/>
        </w:r>
        <w:r>
          <w:rPr>
            <w:noProof/>
            <w:webHidden/>
          </w:rPr>
          <w:fldChar w:fldCharType="begin"/>
        </w:r>
        <w:r>
          <w:rPr>
            <w:noProof/>
            <w:webHidden/>
          </w:rPr>
          <w:instrText xml:space="preserve"> PAGEREF _Toc172104681 \h </w:instrText>
        </w:r>
        <w:r>
          <w:rPr>
            <w:noProof/>
            <w:webHidden/>
          </w:rPr>
        </w:r>
        <w:r>
          <w:rPr>
            <w:noProof/>
            <w:webHidden/>
          </w:rPr>
          <w:fldChar w:fldCharType="separate"/>
        </w:r>
        <w:r>
          <w:rPr>
            <w:noProof/>
            <w:webHidden/>
          </w:rPr>
          <w:t>68</w:t>
        </w:r>
        <w:r>
          <w:rPr>
            <w:noProof/>
            <w:webHidden/>
          </w:rPr>
          <w:fldChar w:fldCharType="end"/>
        </w:r>
      </w:hyperlink>
    </w:p>
    <w:p w14:paraId="0E485AC4" w14:textId="27B2908D" w:rsidR="003A0DFF" w:rsidRDefault="003A0DFF">
      <w:pPr>
        <w:pStyle w:val="TOC1"/>
        <w:rPr>
          <w:rFonts w:asciiTheme="minorHAnsi" w:eastAsiaTheme="minorEastAsia" w:hAnsiTheme="minorHAnsi" w:cstheme="minorBidi"/>
          <w:noProof/>
          <w:sz w:val="22"/>
          <w:szCs w:val="22"/>
          <w:lang w:eastAsia="en-NZ"/>
        </w:rPr>
      </w:pPr>
      <w:hyperlink w:anchor="_Toc172104682" w:history="1">
        <w:r w:rsidRPr="00EF0209">
          <w:rPr>
            <w:rStyle w:val="Hyperlink"/>
            <w:noProof/>
          </w:rPr>
          <w:t xml:space="preserve">Technical notes - </w:t>
        </w:r>
        <w:r w:rsidRPr="00EF0209">
          <w:rPr>
            <w:rStyle w:val="Hyperlink"/>
            <w:rFonts w:eastAsia="Arial Unicode MS"/>
            <w:noProof/>
          </w:rPr>
          <w:t>Ngā puna raraunga</w:t>
        </w:r>
        <w:r>
          <w:rPr>
            <w:noProof/>
            <w:webHidden/>
          </w:rPr>
          <w:tab/>
        </w:r>
        <w:r>
          <w:rPr>
            <w:noProof/>
            <w:webHidden/>
          </w:rPr>
          <w:fldChar w:fldCharType="begin"/>
        </w:r>
        <w:r>
          <w:rPr>
            <w:noProof/>
            <w:webHidden/>
          </w:rPr>
          <w:instrText xml:space="preserve"> PAGEREF _Toc172104682 \h </w:instrText>
        </w:r>
        <w:r>
          <w:rPr>
            <w:noProof/>
            <w:webHidden/>
          </w:rPr>
        </w:r>
        <w:r>
          <w:rPr>
            <w:noProof/>
            <w:webHidden/>
          </w:rPr>
          <w:fldChar w:fldCharType="separate"/>
        </w:r>
        <w:r>
          <w:rPr>
            <w:noProof/>
            <w:webHidden/>
          </w:rPr>
          <w:t>79</w:t>
        </w:r>
        <w:r>
          <w:rPr>
            <w:noProof/>
            <w:webHidden/>
          </w:rPr>
          <w:fldChar w:fldCharType="end"/>
        </w:r>
      </w:hyperlink>
    </w:p>
    <w:p w14:paraId="08CED445" w14:textId="3CA04585" w:rsidR="003A0DFF" w:rsidRDefault="003A0DFF">
      <w:pPr>
        <w:pStyle w:val="TOC1"/>
        <w:rPr>
          <w:rFonts w:asciiTheme="minorHAnsi" w:eastAsiaTheme="minorEastAsia" w:hAnsiTheme="minorHAnsi" w:cstheme="minorBidi"/>
          <w:noProof/>
          <w:sz w:val="22"/>
          <w:szCs w:val="22"/>
          <w:lang w:eastAsia="en-NZ"/>
        </w:rPr>
      </w:pPr>
      <w:hyperlink w:anchor="_Toc172104683" w:history="1">
        <w:r w:rsidRPr="00EF0209">
          <w:rPr>
            <w:rStyle w:val="Hyperlink"/>
            <w:noProof/>
          </w:rPr>
          <w:t>References - Ngā tohutoro</w:t>
        </w:r>
        <w:r>
          <w:rPr>
            <w:noProof/>
            <w:webHidden/>
          </w:rPr>
          <w:tab/>
        </w:r>
        <w:r>
          <w:rPr>
            <w:noProof/>
            <w:webHidden/>
          </w:rPr>
          <w:fldChar w:fldCharType="begin"/>
        </w:r>
        <w:r>
          <w:rPr>
            <w:noProof/>
            <w:webHidden/>
          </w:rPr>
          <w:instrText xml:space="preserve"> PAGEREF _Toc172104683 \h </w:instrText>
        </w:r>
        <w:r>
          <w:rPr>
            <w:noProof/>
            <w:webHidden/>
          </w:rPr>
        </w:r>
        <w:r>
          <w:rPr>
            <w:noProof/>
            <w:webHidden/>
          </w:rPr>
          <w:fldChar w:fldCharType="separate"/>
        </w:r>
        <w:r>
          <w:rPr>
            <w:noProof/>
            <w:webHidden/>
          </w:rPr>
          <w:t>82</w:t>
        </w:r>
        <w:r>
          <w:rPr>
            <w:noProof/>
            <w:webHidden/>
          </w:rPr>
          <w:fldChar w:fldCharType="end"/>
        </w:r>
      </w:hyperlink>
    </w:p>
    <w:p w14:paraId="133A9219" w14:textId="01B1FDFD" w:rsidR="00C86248" w:rsidRDefault="003A0DFF">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2661FDD3" w14:textId="23086C2D" w:rsidR="003A0DFF" w:rsidRDefault="003A0DFF">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172104684" w:history="1">
        <w:r w:rsidRPr="009F7782">
          <w:rPr>
            <w:rStyle w:val="Hyperlink"/>
            <w:noProof/>
          </w:rPr>
          <w:t xml:space="preserve">Figure 1: International net migration to Aotearoa New Zealand, rolling year end, </w:t>
        </w:r>
        <w:r w:rsidRPr="009F7782">
          <w:rPr>
            <w:rStyle w:val="Hyperlink"/>
            <w:rFonts w:eastAsiaTheme="majorEastAsia"/>
            <w:noProof/>
          </w:rPr>
          <w:t>June 2013 – December 2023</w:t>
        </w:r>
        <w:r>
          <w:rPr>
            <w:noProof/>
            <w:webHidden/>
          </w:rPr>
          <w:tab/>
        </w:r>
        <w:r>
          <w:rPr>
            <w:noProof/>
            <w:webHidden/>
          </w:rPr>
          <w:fldChar w:fldCharType="begin"/>
        </w:r>
        <w:r>
          <w:rPr>
            <w:noProof/>
            <w:webHidden/>
          </w:rPr>
          <w:instrText xml:space="preserve"> PAGEREF _Toc172104684 \h </w:instrText>
        </w:r>
        <w:r>
          <w:rPr>
            <w:noProof/>
            <w:webHidden/>
          </w:rPr>
        </w:r>
        <w:r>
          <w:rPr>
            <w:noProof/>
            <w:webHidden/>
          </w:rPr>
          <w:fldChar w:fldCharType="separate"/>
        </w:r>
        <w:r>
          <w:rPr>
            <w:noProof/>
            <w:webHidden/>
          </w:rPr>
          <w:t>3</w:t>
        </w:r>
        <w:r>
          <w:rPr>
            <w:noProof/>
            <w:webHidden/>
          </w:rPr>
          <w:fldChar w:fldCharType="end"/>
        </w:r>
      </w:hyperlink>
    </w:p>
    <w:p w14:paraId="18535894" w14:textId="419057C6" w:rsidR="003A0DFF" w:rsidRDefault="003A0DFF">
      <w:pPr>
        <w:pStyle w:val="TOC3"/>
        <w:rPr>
          <w:rFonts w:asciiTheme="minorHAnsi" w:eastAsiaTheme="minorEastAsia" w:hAnsiTheme="minorHAnsi" w:cstheme="minorBidi"/>
          <w:noProof/>
          <w:sz w:val="22"/>
          <w:szCs w:val="22"/>
          <w:lang w:eastAsia="en-NZ"/>
        </w:rPr>
      </w:pPr>
      <w:hyperlink w:anchor="_Toc172104685" w:history="1">
        <w:r w:rsidRPr="009F7782">
          <w:rPr>
            <w:rStyle w:val="Hyperlink"/>
            <w:noProof/>
          </w:rPr>
          <w:t>Figure 2: Changes in age distribution of Aotearoa New Zealand population, 2003, 2023 and 2043</w:t>
        </w:r>
        <w:r>
          <w:rPr>
            <w:noProof/>
            <w:webHidden/>
          </w:rPr>
          <w:tab/>
        </w:r>
        <w:r>
          <w:rPr>
            <w:noProof/>
            <w:webHidden/>
          </w:rPr>
          <w:fldChar w:fldCharType="begin"/>
        </w:r>
        <w:r>
          <w:rPr>
            <w:noProof/>
            <w:webHidden/>
          </w:rPr>
          <w:instrText xml:space="preserve"> PAGEREF _Toc172104685 \h </w:instrText>
        </w:r>
        <w:r>
          <w:rPr>
            <w:noProof/>
            <w:webHidden/>
          </w:rPr>
        </w:r>
        <w:r>
          <w:rPr>
            <w:noProof/>
            <w:webHidden/>
          </w:rPr>
          <w:fldChar w:fldCharType="separate"/>
        </w:r>
        <w:r>
          <w:rPr>
            <w:noProof/>
            <w:webHidden/>
          </w:rPr>
          <w:t>5</w:t>
        </w:r>
        <w:r>
          <w:rPr>
            <w:noProof/>
            <w:webHidden/>
          </w:rPr>
          <w:fldChar w:fldCharType="end"/>
        </w:r>
      </w:hyperlink>
    </w:p>
    <w:p w14:paraId="5079DFD6" w14:textId="74F6F197" w:rsidR="003A0DFF" w:rsidRDefault="003A0DFF">
      <w:pPr>
        <w:pStyle w:val="TOC3"/>
        <w:rPr>
          <w:rFonts w:asciiTheme="minorHAnsi" w:eastAsiaTheme="minorEastAsia" w:hAnsiTheme="minorHAnsi" w:cstheme="minorBidi"/>
          <w:noProof/>
          <w:sz w:val="22"/>
          <w:szCs w:val="22"/>
          <w:lang w:eastAsia="en-NZ"/>
        </w:rPr>
      </w:pPr>
      <w:hyperlink w:anchor="_Toc172104686" w:history="1">
        <w:r w:rsidRPr="009F7782">
          <w:rPr>
            <w:rStyle w:val="Hyperlink"/>
            <w:noProof/>
          </w:rPr>
          <w:t>Figure 3: Age structure of the Aotearoa New Zealand population, 2023, by ethnic group (total response)</w:t>
        </w:r>
        <w:r>
          <w:rPr>
            <w:noProof/>
            <w:webHidden/>
          </w:rPr>
          <w:tab/>
        </w:r>
        <w:r>
          <w:rPr>
            <w:noProof/>
            <w:webHidden/>
          </w:rPr>
          <w:fldChar w:fldCharType="begin"/>
        </w:r>
        <w:r>
          <w:rPr>
            <w:noProof/>
            <w:webHidden/>
          </w:rPr>
          <w:instrText xml:space="preserve"> PAGEREF _Toc172104686 \h </w:instrText>
        </w:r>
        <w:r>
          <w:rPr>
            <w:noProof/>
            <w:webHidden/>
          </w:rPr>
        </w:r>
        <w:r>
          <w:rPr>
            <w:noProof/>
            <w:webHidden/>
          </w:rPr>
          <w:fldChar w:fldCharType="separate"/>
        </w:r>
        <w:r>
          <w:rPr>
            <w:noProof/>
            <w:webHidden/>
          </w:rPr>
          <w:t>6</w:t>
        </w:r>
        <w:r>
          <w:rPr>
            <w:noProof/>
            <w:webHidden/>
          </w:rPr>
          <w:fldChar w:fldCharType="end"/>
        </w:r>
      </w:hyperlink>
    </w:p>
    <w:p w14:paraId="6E8CE5D0" w14:textId="7F4F71B3" w:rsidR="003A0DFF" w:rsidRDefault="003A0DFF">
      <w:pPr>
        <w:pStyle w:val="TOC3"/>
        <w:rPr>
          <w:rFonts w:asciiTheme="minorHAnsi" w:eastAsiaTheme="minorEastAsia" w:hAnsiTheme="minorHAnsi" w:cstheme="minorBidi"/>
          <w:noProof/>
          <w:sz w:val="22"/>
          <w:szCs w:val="22"/>
          <w:lang w:eastAsia="en-NZ"/>
        </w:rPr>
      </w:pPr>
      <w:hyperlink w:anchor="_Toc172104687" w:history="1">
        <w:r w:rsidRPr="009F7782">
          <w:rPr>
            <w:rStyle w:val="Hyperlink"/>
            <w:noProof/>
          </w:rPr>
          <w:t>Figure 4: Travel time to radiation centres for patients attending radiation treatment in Aotearoa New Zealand, 2018–2021</w:t>
        </w:r>
        <w:r>
          <w:rPr>
            <w:noProof/>
            <w:webHidden/>
          </w:rPr>
          <w:tab/>
        </w:r>
        <w:r>
          <w:rPr>
            <w:noProof/>
            <w:webHidden/>
          </w:rPr>
          <w:fldChar w:fldCharType="begin"/>
        </w:r>
        <w:r>
          <w:rPr>
            <w:noProof/>
            <w:webHidden/>
          </w:rPr>
          <w:instrText xml:space="preserve"> PAGEREF _Toc172104687 \h </w:instrText>
        </w:r>
        <w:r>
          <w:rPr>
            <w:noProof/>
            <w:webHidden/>
          </w:rPr>
        </w:r>
        <w:r>
          <w:rPr>
            <w:noProof/>
            <w:webHidden/>
          </w:rPr>
          <w:fldChar w:fldCharType="separate"/>
        </w:r>
        <w:r>
          <w:rPr>
            <w:noProof/>
            <w:webHidden/>
          </w:rPr>
          <w:t>7</w:t>
        </w:r>
        <w:r>
          <w:rPr>
            <w:noProof/>
            <w:webHidden/>
          </w:rPr>
          <w:fldChar w:fldCharType="end"/>
        </w:r>
      </w:hyperlink>
    </w:p>
    <w:p w14:paraId="2E594AEF" w14:textId="5F43A5FA" w:rsidR="003A0DFF" w:rsidRDefault="003A0DFF">
      <w:pPr>
        <w:pStyle w:val="TOC3"/>
        <w:rPr>
          <w:rFonts w:asciiTheme="minorHAnsi" w:eastAsiaTheme="minorEastAsia" w:hAnsiTheme="minorHAnsi" w:cstheme="minorBidi"/>
          <w:noProof/>
          <w:sz w:val="22"/>
          <w:szCs w:val="22"/>
          <w:lang w:eastAsia="en-NZ"/>
        </w:rPr>
      </w:pPr>
      <w:hyperlink w:anchor="_Toc172104688" w:history="1">
        <w:r w:rsidRPr="009F7782">
          <w:rPr>
            <w:rStyle w:val="Hyperlink"/>
            <w:noProof/>
          </w:rPr>
          <w:t>Figure 5: Aotearoa New Zealand estimated resident population, by prioritised ethnic group and deprivation quintile, 2023</w:t>
        </w:r>
        <w:r>
          <w:rPr>
            <w:noProof/>
            <w:webHidden/>
          </w:rPr>
          <w:tab/>
        </w:r>
        <w:r>
          <w:rPr>
            <w:noProof/>
            <w:webHidden/>
          </w:rPr>
          <w:fldChar w:fldCharType="begin"/>
        </w:r>
        <w:r>
          <w:rPr>
            <w:noProof/>
            <w:webHidden/>
          </w:rPr>
          <w:instrText xml:space="preserve"> PAGEREF _Toc172104688 \h </w:instrText>
        </w:r>
        <w:r>
          <w:rPr>
            <w:noProof/>
            <w:webHidden/>
          </w:rPr>
        </w:r>
        <w:r>
          <w:rPr>
            <w:noProof/>
            <w:webHidden/>
          </w:rPr>
          <w:fldChar w:fldCharType="separate"/>
        </w:r>
        <w:r>
          <w:rPr>
            <w:noProof/>
            <w:webHidden/>
          </w:rPr>
          <w:t>8</w:t>
        </w:r>
        <w:r>
          <w:rPr>
            <w:noProof/>
            <w:webHidden/>
          </w:rPr>
          <w:fldChar w:fldCharType="end"/>
        </w:r>
      </w:hyperlink>
    </w:p>
    <w:p w14:paraId="329C7BBB" w14:textId="71360E12" w:rsidR="003A0DFF" w:rsidRDefault="003A0DFF">
      <w:pPr>
        <w:pStyle w:val="TOC3"/>
        <w:rPr>
          <w:rFonts w:asciiTheme="minorHAnsi" w:eastAsiaTheme="minorEastAsia" w:hAnsiTheme="minorHAnsi" w:cstheme="minorBidi"/>
          <w:noProof/>
          <w:sz w:val="22"/>
          <w:szCs w:val="22"/>
          <w:lang w:eastAsia="en-NZ"/>
        </w:rPr>
      </w:pPr>
      <w:hyperlink w:anchor="_Toc172104689" w:history="1">
        <w:r w:rsidRPr="009F7782">
          <w:rPr>
            <w:rStyle w:val="Hyperlink"/>
            <w:noProof/>
          </w:rPr>
          <w:t>Figure 6: Self-rated good health, by ethnic group (total response), 2014/15–2022/23</w:t>
        </w:r>
        <w:r>
          <w:rPr>
            <w:noProof/>
            <w:webHidden/>
          </w:rPr>
          <w:tab/>
        </w:r>
        <w:r>
          <w:rPr>
            <w:noProof/>
            <w:webHidden/>
          </w:rPr>
          <w:fldChar w:fldCharType="begin"/>
        </w:r>
        <w:r>
          <w:rPr>
            <w:noProof/>
            <w:webHidden/>
          </w:rPr>
          <w:instrText xml:space="preserve"> PAGEREF _Toc172104689 \h </w:instrText>
        </w:r>
        <w:r>
          <w:rPr>
            <w:noProof/>
            <w:webHidden/>
          </w:rPr>
        </w:r>
        <w:r>
          <w:rPr>
            <w:noProof/>
            <w:webHidden/>
          </w:rPr>
          <w:fldChar w:fldCharType="separate"/>
        </w:r>
        <w:r>
          <w:rPr>
            <w:noProof/>
            <w:webHidden/>
          </w:rPr>
          <w:t>12</w:t>
        </w:r>
        <w:r>
          <w:rPr>
            <w:noProof/>
            <w:webHidden/>
          </w:rPr>
          <w:fldChar w:fldCharType="end"/>
        </w:r>
      </w:hyperlink>
    </w:p>
    <w:p w14:paraId="384384A8" w14:textId="769FAB7D" w:rsidR="003A0DFF" w:rsidRDefault="003A0DFF">
      <w:pPr>
        <w:pStyle w:val="TOC3"/>
        <w:rPr>
          <w:rFonts w:asciiTheme="minorHAnsi" w:eastAsiaTheme="minorEastAsia" w:hAnsiTheme="minorHAnsi" w:cstheme="minorBidi"/>
          <w:noProof/>
          <w:sz w:val="22"/>
          <w:szCs w:val="22"/>
          <w:lang w:eastAsia="en-NZ"/>
        </w:rPr>
      </w:pPr>
      <w:hyperlink w:anchor="_Toc172104690" w:history="1">
        <w:r w:rsidRPr="009F7782">
          <w:rPr>
            <w:rStyle w:val="Hyperlink"/>
            <w:noProof/>
          </w:rPr>
          <w:t>Figure 7: Self-rated good health, by deprivation quintile, 2013/14–2022/23</w:t>
        </w:r>
        <w:r>
          <w:rPr>
            <w:noProof/>
            <w:webHidden/>
          </w:rPr>
          <w:tab/>
        </w:r>
        <w:r>
          <w:rPr>
            <w:noProof/>
            <w:webHidden/>
          </w:rPr>
          <w:fldChar w:fldCharType="begin"/>
        </w:r>
        <w:r>
          <w:rPr>
            <w:noProof/>
            <w:webHidden/>
          </w:rPr>
          <w:instrText xml:space="preserve"> PAGEREF _Toc172104690 \h </w:instrText>
        </w:r>
        <w:r>
          <w:rPr>
            <w:noProof/>
            <w:webHidden/>
          </w:rPr>
        </w:r>
        <w:r>
          <w:rPr>
            <w:noProof/>
            <w:webHidden/>
          </w:rPr>
          <w:fldChar w:fldCharType="separate"/>
        </w:r>
        <w:r>
          <w:rPr>
            <w:noProof/>
            <w:webHidden/>
          </w:rPr>
          <w:t>12</w:t>
        </w:r>
        <w:r>
          <w:rPr>
            <w:noProof/>
            <w:webHidden/>
          </w:rPr>
          <w:fldChar w:fldCharType="end"/>
        </w:r>
      </w:hyperlink>
    </w:p>
    <w:p w14:paraId="11450510" w14:textId="1A1DFB04" w:rsidR="003A0DFF" w:rsidRDefault="003A0DFF">
      <w:pPr>
        <w:pStyle w:val="TOC3"/>
        <w:rPr>
          <w:rFonts w:asciiTheme="minorHAnsi" w:eastAsiaTheme="minorEastAsia" w:hAnsiTheme="minorHAnsi" w:cstheme="minorBidi"/>
          <w:noProof/>
          <w:sz w:val="22"/>
          <w:szCs w:val="22"/>
          <w:lang w:eastAsia="en-NZ"/>
        </w:rPr>
      </w:pPr>
      <w:hyperlink w:anchor="_Toc172104691" w:history="1">
        <w:r w:rsidRPr="009F7782">
          <w:rPr>
            <w:rStyle w:val="Hyperlink"/>
            <w:noProof/>
          </w:rPr>
          <w:t xml:space="preserve">Figure 8: Impact of COVID-19 on life expectancy at birth, comparing </w:t>
        </w:r>
        <w:r w:rsidRPr="009F7782">
          <w:rPr>
            <w:rStyle w:val="Hyperlink"/>
            <w:rFonts w:cs="Segoe UI"/>
            <w:noProof/>
          </w:rPr>
          <w:t xml:space="preserve">Aotearoa </w:t>
        </w:r>
        <w:r w:rsidRPr="009F7782">
          <w:rPr>
            <w:rStyle w:val="Hyperlink"/>
            <w:noProof/>
          </w:rPr>
          <w:t>New Zealand with international data, 1990–2021</w:t>
        </w:r>
        <w:r>
          <w:rPr>
            <w:noProof/>
            <w:webHidden/>
          </w:rPr>
          <w:tab/>
        </w:r>
        <w:r>
          <w:rPr>
            <w:noProof/>
            <w:webHidden/>
          </w:rPr>
          <w:fldChar w:fldCharType="begin"/>
        </w:r>
        <w:r>
          <w:rPr>
            <w:noProof/>
            <w:webHidden/>
          </w:rPr>
          <w:instrText xml:space="preserve"> PAGEREF _Toc172104691 \h </w:instrText>
        </w:r>
        <w:r>
          <w:rPr>
            <w:noProof/>
            <w:webHidden/>
          </w:rPr>
        </w:r>
        <w:r>
          <w:rPr>
            <w:noProof/>
            <w:webHidden/>
          </w:rPr>
          <w:fldChar w:fldCharType="separate"/>
        </w:r>
        <w:r>
          <w:rPr>
            <w:noProof/>
            <w:webHidden/>
          </w:rPr>
          <w:t>14</w:t>
        </w:r>
        <w:r>
          <w:rPr>
            <w:noProof/>
            <w:webHidden/>
          </w:rPr>
          <w:fldChar w:fldCharType="end"/>
        </w:r>
      </w:hyperlink>
    </w:p>
    <w:p w14:paraId="1FDFFD19" w14:textId="57627BB8" w:rsidR="003A0DFF" w:rsidRDefault="003A0DFF">
      <w:pPr>
        <w:pStyle w:val="TOC3"/>
        <w:rPr>
          <w:rFonts w:asciiTheme="minorHAnsi" w:eastAsiaTheme="minorEastAsia" w:hAnsiTheme="minorHAnsi" w:cstheme="minorBidi"/>
          <w:noProof/>
          <w:sz w:val="22"/>
          <w:szCs w:val="22"/>
          <w:lang w:eastAsia="en-NZ"/>
        </w:rPr>
      </w:pPr>
      <w:hyperlink w:anchor="_Toc172104692" w:history="1">
        <w:r w:rsidRPr="009F7782">
          <w:rPr>
            <w:rStyle w:val="Hyperlink"/>
            <w:noProof/>
          </w:rPr>
          <w:t>Figure 9: Life expectancy for males and females by region, 2017–2019</w:t>
        </w:r>
        <w:r>
          <w:rPr>
            <w:noProof/>
            <w:webHidden/>
          </w:rPr>
          <w:tab/>
        </w:r>
        <w:r>
          <w:rPr>
            <w:noProof/>
            <w:webHidden/>
          </w:rPr>
          <w:fldChar w:fldCharType="begin"/>
        </w:r>
        <w:r>
          <w:rPr>
            <w:noProof/>
            <w:webHidden/>
          </w:rPr>
          <w:instrText xml:space="preserve"> PAGEREF _Toc172104692 \h </w:instrText>
        </w:r>
        <w:r>
          <w:rPr>
            <w:noProof/>
            <w:webHidden/>
          </w:rPr>
        </w:r>
        <w:r>
          <w:rPr>
            <w:noProof/>
            <w:webHidden/>
          </w:rPr>
          <w:fldChar w:fldCharType="separate"/>
        </w:r>
        <w:r>
          <w:rPr>
            <w:noProof/>
            <w:webHidden/>
          </w:rPr>
          <w:t>15</w:t>
        </w:r>
        <w:r>
          <w:rPr>
            <w:noProof/>
            <w:webHidden/>
          </w:rPr>
          <w:fldChar w:fldCharType="end"/>
        </w:r>
      </w:hyperlink>
    </w:p>
    <w:p w14:paraId="6EFD6A17" w14:textId="1D6F662A" w:rsidR="003A0DFF" w:rsidRDefault="003A0DFF">
      <w:pPr>
        <w:pStyle w:val="TOC3"/>
        <w:rPr>
          <w:rFonts w:asciiTheme="minorHAnsi" w:eastAsiaTheme="minorEastAsia" w:hAnsiTheme="minorHAnsi" w:cstheme="minorBidi"/>
          <w:noProof/>
          <w:sz w:val="22"/>
          <w:szCs w:val="22"/>
          <w:lang w:eastAsia="en-NZ"/>
        </w:rPr>
      </w:pPr>
      <w:hyperlink w:anchor="_Toc172104693" w:history="1">
        <w:r w:rsidRPr="009F7782">
          <w:rPr>
            <w:rStyle w:val="Hyperlink"/>
            <w:noProof/>
          </w:rPr>
          <w:t>Figure 10: Aotearoa New Zealand life expectancy at birth, by ethnic group (total response) and gender, 2017–2019</w:t>
        </w:r>
        <w:r>
          <w:rPr>
            <w:noProof/>
            <w:webHidden/>
          </w:rPr>
          <w:tab/>
        </w:r>
        <w:r>
          <w:rPr>
            <w:noProof/>
            <w:webHidden/>
          </w:rPr>
          <w:fldChar w:fldCharType="begin"/>
        </w:r>
        <w:r>
          <w:rPr>
            <w:noProof/>
            <w:webHidden/>
          </w:rPr>
          <w:instrText xml:space="preserve"> PAGEREF _Toc172104693 \h </w:instrText>
        </w:r>
        <w:r>
          <w:rPr>
            <w:noProof/>
            <w:webHidden/>
          </w:rPr>
        </w:r>
        <w:r>
          <w:rPr>
            <w:noProof/>
            <w:webHidden/>
          </w:rPr>
          <w:fldChar w:fldCharType="separate"/>
        </w:r>
        <w:r>
          <w:rPr>
            <w:noProof/>
            <w:webHidden/>
          </w:rPr>
          <w:t>16</w:t>
        </w:r>
        <w:r>
          <w:rPr>
            <w:noProof/>
            <w:webHidden/>
          </w:rPr>
          <w:fldChar w:fldCharType="end"/>
        </w:r>
      </w:hyperlink>
    </w:p>
    <w:p w14:paraId="0ADBF589" w14:textId="129DEC41" w:rsidR="003A0DFF" w:rsidRDefault="003A0DFF">
      <w:pPr>
        <w:pStyle w:val="TOC3"/>
        <w:rPr>
          <w:rFonts w:asciiTheme="minorHAnsi" w:eastAsiaTheme="minorEastAsia" w:hAnsiTheme="minorHAnsi" w:cstheme="minorBidi"/>
          <w:noProof/>
          <w:sz w:val="22"/>
          <w:szCs w:val="22"/>
          <w:lang w:eastAsia="en-NZ"/>
        </w:rPr>
      </w:pPr>
      <w:hyperlink w:anchor="_Toc172104694" w:history="1">
        <w:r w:rsidRPr="009F7782">
          <w:rPr>
            <w:rStyle w:val="Hyperlink"/>
            <w:noProof/>
          </w:rPr>
          <w:t xml:space="preserve">Figure 11: </w:t>
        </w:r>
        <w:r w:rsidRPr="009F7782">
          <w:rPr>
            <w:rStyle w:val="Hyperlink"/>
            <w:rFonts w:cs="Segoe UI"/>
            <w:noProof/>
          </w:rPr>
          <w:t xml:space="preserve">Aotearoa </w:t>
        </w:r>
        <w:r w:rsidRPr="009F7782">
          <w:rPr>
            <w:rStyle w:val="Hyperlink"/>
            <w:noProof/>
          </w:rPr>
          <w:t>New Zealand life expectancy at birth, by deprivation decile and gender, 2017–2019</w:t>
        </w:r>
        <w:r>
          <w:rPr>
            <w:noProof/>
            <w:webHidden/>
          </w:rPr>
          <w:tab/>
        </w:r>
        <w:r>
          <w:rPr>
            <w:noProof/>
            <w:webHidden/>
          </w:rPr>
          <w:fldChar w:fldCharType="begin"/>
        </w:r>
        <w:r>
          <w:rPr>
            <w:noProof/>
            <w:webHidden/>
          </w:rPr>
          <w:instrText xml:space="preserve"> PAGEREF _Toc172104694 \h </w:instrText>
        </w:r>
        <w:r>
          <w:rPr>
            <w:noProof/>
            <w:webHidden/>
          </w:rPr>
        </w:r>
        <w:r>
          <w:rPr>
            <w:noProof/>
            <w:webHidden/>
          </w:rPr>
          <w:fldChar w:fldCharType="separate"/>
        </w:r>
        <w:r>
          <w:rPr>
            <w:noProof/>
            <w:webHidden/>
          </w:rPr>
          <w:t>16</w:t>
        </w:r>
        <w:r>
          <w:rPr>
            <w:noProof/>
            <w:webHidden/>
          </w:rPr>
          <w:fldChar w:fldCharType="end"/>
        </w:r>
      </w:hyperlink>
    </w:p>
    <w:p w14:paraId="336741F1" w14:textId="4051B4B8" w:rsidR="003A0DFF" w:rsidRDefault="003A0DFF">
      <w:pPr>
        <w:pStyle w:val="TOC3"/>
        <w:rPr>
          <w:rFonts w:asciiTheme="minorHAnsi" w:eastAsiaTheme="minorEastAsia" w:hAnsiTheme="minorHAnsi" w:cstheme="minorBidi"/>
          <w:noProof/>
          <w:sz w:val="22"/>
          <w:szCs w:val="22"/>
          <w:lang w:eastAsia="en-NZ"/>
        </w:rPr>
      </w:pPr>
      <w:hyperlink w:anchor="_Toc172104695" w:history="1">
        <w:r w:rsidRPr="009F7782">
          <w:rPr>
            <w:rStyle w:val="Hyperlink"/>
            <w:noProof/>
          </w:rPr>
          <w:t>Figure 12: Mortality rate by main causes, Māori and non-Māori, 1996–2021</w:t>
        </w:r>
        <w:r>
          <w:rPr>
            <w:noProof/>
            <w:webHidden/>
          </w:rPr>
          <w:tab/>
        </w:r>
        <w:r>
          <w:rPr>
            <w:noProof/>
            <w:webHidden/>
          </w:rPr>
          <w:fldChar w:fldCharType="begin"/>
        </w:r>
        <w:r>
          <w:rPr>
            <w:noProof/>
            <w:webHidden/>
          </w:rPr>
          <w:instrText xml:space="preserve"> PAGEREF _Toc172104695 \h </w:instrText>
        </w:r>
        <w:r>
          <w:rPr>
            <w:noProof/>
            <w:webHidden/>
          </w:rPr>
        </w:r>
        <w:r>
          <w:rPr>
            <w:noProof/>
            <w:webHidden/>
          </w:rPr>
          <w:fldChar w:fldCharType="separate"/>
        </w:r>
        <w:r>
          <w:rPr>
            <w:noProof/>
            <w:webHidden/>
          </w:rPr>
          <w:t>18</w:t>
        </w:r>
        <w:r>
          <w:rPr>
            <w:noProof/>
            <w:webHidden/>
          </w:rPr>
          <w:fldChar w:fldCharType="end"/>
        </w:r>
      </w:hyperlink>
    </w:p>
    <w:p w14:paraId="1B5984BB" w14:textId="21EB9123" w:rsidR="003A0DFF" w:rsidRDefault="003A0DFF">
      <w:pPr>
        <w:pStyle w:val="TOC3"/>
        <w:rPr>
          <w:rFonts w:asciiTheme="minorHAnsi" w:eastAsiaTheme="minorEastAsia" w:hAnsiTheme="minorHAnsi" w:cstheme="minorBidi"/>
          <w:noProof/>
          <w:sz w:val="22"/>
          <w:szCs w:val="22"/>
          <w:lang w:eastAsia="en-NZ"/>
        </w:rPr>
      </w:pPr>
      <w:hyperlink w:anchor="_Toc172104696" w:history="1">
        <w:r w:rsidRPr="009F7782">
          <w:rPr>
            <w:rStyle w:val="Hyperlink"/>
            <w:noProof/>
          </w:rPr>
          <w:t>Figure 13: Percentage of births by type and age of person giving birth, 2007–2021</w:t>
        </w:r>
        <w:r>
          <w:rPr>
            <w:noProof/>
            <w:webHidden/>
          </w:rPr>
          <w:tab/>
        </w:r>
        <w:r>
          <w:rPr>
            <w:noProof/>
            <w:webHidden/>
          </w:rPr>
          <w:fldChar w:fldCharType="begin"/>
        </w:r>
        <w:r>
          <w:rPr>
            <w:noProof/>
            <w:webHidden/>
          </w:rPr>
          <w:instrText xml:space="preserve"> PAGEREF _Toc172104696 \h </w:instrText>
        </w:r>
        <w:r>
          <w:rPr>
            <w:noProof/>
            <w:webHidden/>
          </w:rPr>
        </w:r>
        <w:r>
          <w:rPr>
            <w:noProof/>
            <w:webHidden/>
          </w:rPr>
          <w:fldChar w:fldCharType="separate"/>
        </w:r>
        <w:r>
          <w:rPr>
            <w:noProof/>
            <w:webHidden/>
          </w:rPr>
          <w:t>20</w:t>
        </w:r>
        <w:r>
          <w:rPr>
            <w:noProof/>
            <w:webHidden/>
          </w:rPr>
          <w:fldChar w:fldCharType="end"/>
        </w:r>
      </w:hyperlink>
    </w:p>
    <w:p w14:paraId="5445CD07" w14:textId="5EFB399B" w:rsidR="003A0DFF" w:rsidRDefault="003A0DFF">
      <w:pPr>
        <w:pStyle w:val="TOC3"/>
        <w:rPr>
          <w:rFonts w:asciiTheme="minorHAnsi" w:eastAsiaTheme="minorEastAsia" w:hAnsiTheme="minorHAnsi" w:cstheme="minorBidi"/>
          <w:noProof/>
          <w:sz w:val="22"/>
          <w:szCs w:val="22"/>
          <w:lang w:eastAsia="en-NZ"/>
        </w:rPr>
      </w:pPr>
      <w:hyperlink w:anchor="_Toc172104697" w:history="1">
        <w:r w:rsidRPr="009F7782">
          <w:rPr>
            <w:rStyle w:val="Hyperlink"/>
            <w:noProof/>
          </w:rPr>
          <w:t xml:space="preserve">Figure 14: Number of births, by age of person giving birth, </w:t>
        </w:r>
        <w:r w:rsidRPr="009F7782">
          <w:rPr>
            <w:rStyle w:val="Hyperlink"/>
            <w:rFonts w:cs="Segoe UI"/>
            <w:noProof/>
          </w:rPr>
          <w:t xml:space="preserve">Aotearoa </w:t>
        </w:r>
        <w:r w:rsidRPr="009F7782">
          <w:rPr>
            <w:rStyle w:val="Hyperlink"/>
            <w:noProof/>
          </w:rPr>
          <w:t>New Zealand, 2007–2021</w:t>
        </w:r>
        <w:r>
          <w:rPr>
            <w:noProof/>
            <w:webHidden/>
          </w:rPr>
          <w:tab/>
        </w:r>
        <w:r>
          <w:rPr>
            <w:noProof/>
            <w:webHidden/>
          </w:rPr>
          <w:fldChar w:fldCharType="begin"/>
        </w:r>
        <w:r>
          <w:rPr>
            <w:noProof/>
            <w:webHidden/>
          </w:rPr>
          <w:instrText xml:space="preserve"> PAGEREF _Toc172104697 \h </w:instrText>
        </w:r>
        <w:r>
          <w:rPr>
            <w:noProof/>
            <w:webHidden/>
          </w:rPr>
        </w:r>
        <w:r>
          <w:rPr>
            <w:noProof/>
            <w:webHidden/>
          </w:rPr>
          <w:fldChar w:fldCharType="separate"/>
        </w:r>
        <w:r>
          <w:rPr>
            <w:noProof/>
            <w:webHidden/>
          </w:rPr>
          <w:t>21</w:t>
        </w:r>
        <w:r>
          <w:rPr>
            <w:noProof/>
            <w:webHidden/>
          </w:rPr>
          <w:fldChar w:fldCharType="end"/>
        </w:r>
      </w:hyperlink>
    </w:p>
    <w:p w14:paraId="14D7703E" w14:textId="209B67EC" w:rsidR="003A0DFF" w:rsidRDefault="003A0DFF">
      <w:pPr>
        <w:pStyle w:val="TOC3"/>
        <w:rPr>
          <w:rFonts w:asciiTheme="minorHAnsi" w:eastAsiaTheme="minorEastAsia" w:hAnsiTheme="minorHAnsi" w:cstheme="minorBidi"/>
          <w:noProof/>
          <w:sz w:val="22"/>
          <w:szCs w:val="22"/>
          <w:lang w:eastAsia="en-NZ"/>
        </w:rPr>
      </w:pPr>
      <w:hyperlink w:anchor="_Toc172104698" w:history="1">
        <w:r w:rsidRPr="009F7782">
          <w:rPr>
            <w:rStyle w:val="Hyperlink"/>
            <w:noProof/>
          </w:rPr>
          <w:t>Figure 15: Breastfeeding status at two weeks of age, by baby’s ethnic group (prioritised ethnicity), 2021</w:t>
        </w:r>
        <w:r>
          <w:rPr>
            <w:noProof/>
            <w:webHidden/>
          </w:rPr>
          <w:tab/>
        </w:r>
        <w:r>
          <w:rPr>
            <w:noProof/>
            <w:webHidden/>
          </w:rPr>
          <w:fldChar w:fldCharType="begin"/>
        </w:r>
        <w:r>
          <w:rPr>
            <w:noProof/>
            <w:webHidden/>
          </w:rPr>
          <w:instrText xml:space="preserve"> PAGEREF _Toc172104698 \h </w:instrText>
        </w:r>
        <w:r>
          <w:rPr>
            <w:noProof/>
            <w:webHidden/>
          </w:rPr>
        </w:r>
        <w:r>
          <w:rPr>
            <w:noProof/>
            <w:webHidden/>
          </w:rPr>
          <w:fldChar w:fldCharType="separate"/>
        </w:r>
        <w:r>
          <w:rPr>
            <w:noProof/>
            <w:webHidden/>
          </w:rPr>
          <w:t>22</w:t>
        </w:r>
        <w:r>
          <w:rPr>
            <w:noProof/>
            <w:webHidden/>
          </w:rPr>
          <w:fldChar w:fldCharType="end"/>
        </w:r>
      </w:hyperlink>
    </w:p>
    <w:p w14:paraId="27F9C72D" w14:textId="06886341" w:rsidR="003A0DFF" w:rsidRDefault="003A0DFF">
      <w:pPr>
        <w:pStyle w:val="TOC3"/>
        <w:rPr>
          <w:rFonts w:asciiTheme="minorHAnsi" w:eastAsiaTheme="minorEastAsia" w:hAnsiTheme="minorHAnsi" w:cstheme="minorBidi"/>
          <w:noProof/>
          <w:sz w:val="22"/>
          <w:szCs w:val="22"/>
          <w:lang w:eastAsia="en-NZ"/>
        </w:rPr>
      </w:pPr>
      <w:hyperlink w:anchor="_Toc172104699" w:history="1">
        <w:r w:rsidRPr="009F7782">
          <w:rPr>
            <w:rStyle w:val="Hyperlink"/>
            <w:noProof/>
          </w:rPr>
          <w:t xml:space="preserve">Figure 16: </w:t>
        </w:r>
        <w:r w:rsidRPr="009F7782">
          <w:rPr>
            <w:rStyle w:val="Hyperlink"/>
            <w:rFonts w:eastAsiaTheme="majorEastAsia"/>
            <w:noProof/>
          </w:rPr>
          <w:t>Proportion of disability-adjusted life years (DALYs) lost by high-level cause (GBD levels 1 and 2), Aotearoa New Zealand, 2021</w:t>
        </w:r>
        <w:r>
          <w:rPr>
            <w:noProof/>
            <w:webHidden/>
          </w:rPr>
          <w:tab/>
        </w:r>
        <w:r>
          <w:rPr>
            <w:noProof/>
            <w:webHidden/>
          </w:rPr>
          <w:fldChar w:fldCharType="begin"/>
        </w:r>
        <w:r>
          <w:rPr>
            <w:noProof/>
            <w:webHidden/>
          </w:rPr>
          <w:instrText xml:space="preserve"> PAGEREF _Toc172104699 \h </w:instrText>
        </w:r>
        <w:r>
          <w:rPr>
            <w:noProof/>
            <w:webHidden/>
          </w:rPr>
        </w:r>
        <w:r>
          <w:rPr>
            <w:noProof/>
            <w:webHidden/>
          </w:rPr>
          <w:fldChar w:fldCharType="separate"/>
        </w:r>
        <w:r>
          <w:rPr>
            <w:noProof/>
            <w:webHidden/>
          </w:rPr>
          <w:t>25</w:t>
        </w:r>
        <w:r>
          <w:rPr>
            <w:noProof/>
            <w:webHidden/>
          </w:rPr>
          <w:fldChar w:fldCharType="end"/>
        </w:r>
      </w:hyperlink>
    </w:p>
    <w:p w14:paraId="345ADC38" w14:textId="0322CEBC" w:rsidR="003A0DFF" w:rsidRDefault="003A0DFF">
      <w:pPr>
        <w:pStyle w:val="TOC3"/>
        <w:rPr>
          <w:rFonts w:asciiTheme="minorHAnsi" w:eastAsiaTheme="minorEastAsia" w:hAnsiTheme="minorHAnsi" w:cstheme="minorBidi"/>
          <w:noProof/>
          <w:sz w:val="22"/>
          <w:szCs w:val="22"/>
          <w:lang w:eastAsia="en-NZ"/>
        </w:rPr>
      </w:pPr>
      <w:hyperlink w:anchor="_Toc172104700" w:history="1">
        <w:r w:rsidRPr="009F7782">
          <w:rPr>
            <w:rStyle w:val="Hyperlink"/>
            <w:noProof/>
          </w:rPr>
          <w:t>Figure 17: Top 10 leading causes of DALYs, years of life lost (YLLs) and years lived with disability (YLDs) (ranked), GBD level 3, Aotearoa New Zealand, 2021</w:t>
        </w:r>
        <w:r>
          <w:rPr>
            <w:noProof/>
            <w:webHidden/>
          </w:rPr>
          <w:tab/>
        </w:r>
        <w:r>
          <w:rPr>
            <w:noProof/>
            <w:webHidden/>
          </w:rPr>
          <w:fldChar w:fldCharType="begin"/>
        </w:r>
        <w:r>
          <w:rPr>
            <w:noProof/>
            <w:webHidden/>
          </w:rPr>
          <w:instrText xml:space="preserve"> PAGEREF _Toc172104700 \h </w:instrText>
        </w:r>
        <w:r>
          <w:rPr>
            <w:noProof/>
            <w:webHidden/>
          </w:rPr>
        </w:r>
        <w:r>
          <w:rPr>
            <w:noProof/>
            <w:webHidden/>
          </w:rPr>
          <w:fldChar w:fldCharType="separate"/>
        </w:r>
        <w:r>
          <w:rPr>
            <w:noProof/>
            <w:webHidden/>
          </w:rPr>
          <w:t>26</w:t>
        </w:r>
        <w:r>
          <w:rPr>
            <w:noProof/>
            <w:webHidden/>
          </w:rPr>
          <w:fldChar w:fldCharType="end"/>
        </w:r>
      </w:hyperlink>
    </w:p>
    <w:p w14:paraId="1CBF2624" w14:textId="1FF82D46" w:rsidR="003A0DFF" w:rsidRDefault="003A0DFF">
      <w:pPr>
        <w:pStyle w:val="TOC3"/>
        <w:rPr>
          <w:rFonts w:asciiTheme="minorHAnsi" w:eastAsiaTheme="minorEastAsia" w:hAnsiTheme="minorHAnsi" w:cstheme="minorBidi"/>
          <w:noProof/>
          <w:sz w:val="22"/>
          <w:szCs w:val="22"/>
          <w:lang w:eastAsia="en-NZ"/>
        </w:rPr>
      </w:pPr>
      <w:hyperlink w:anchor="_Toc172104701" w:history="1">
        <w:r w:rsidRPr="009F7782">
          <w:rPr>
            <w:rStyle w:val="Hyperlink"/>
            <w:noProof/>
          </w:rPr>
          <w:t>Figure 18: Share of total disability-adjusted life years (DALYs) (2021) compared with share of the 2021 estimated Aotearoa New Zealand resident population (2018-base), by age group</w:t>
        </w:r>
        <w:r>
          <w:rPr>
            <w:noProof/>
            <w:webHidden/>
          </w:rPr>
          <w:tab/>
        </w:r>
        <w:r>
          <w:rPr>
            <w:noProof/>
            <w:webHidden/>
          </w:rPr>
          <w:fldChar w:fldCharType="begin"/>
        </w:r>
        <w:r>
          <w:rPr>
            <w:noProof/>
            <w:webHidden/>
          </w:rPr>
          <w:instrText xml:space="preserve"> PAGEREF _Toc172104701 \h </w:instrText>
        </w:r>
        <w:r>
          <w:rPr>
            <w:noProof/>
            <w:webHidden/>
          </w:rPr>
        </w:r>
        <w:r>
          <w:rPr>
            <w:noProof/>
            <w:webHidden/>
          </w:rPr>
          <w:fldChar w:fldCharType="separate"/>
        </w:r>
        <w:r>
          <w:rPr>
            <w:noProof/>
            <w:webHidden/>
          </w:rPr>
          <w:t>28</w:t>
        </w:r>
        <w:r>
          <w:rPr>
            <w:noProof/>
            <w:webHidden/>
          </w:rPr>
          <w:fldChar w:fldCharType="end"/>
        </w:r>
      </w:hyperlink>
    </w:p>
    <w:p w14:paraId="6C26E5BA" w14:textId="2D74B0EA" w:rsidR="003A0DFF" w:rsidRDefault="003A0DFF">
      <w:pPr>
        <w:pStyle w:val="TOC3"/>
        <w:rPr>
          <w:rFonts w:asciiTheme="minorHAnsi" w:eastAsiaTheme="minorEastAsia" w:hAnsiTheme="minorHAnsi" w:cstheme="minorBidi"/>
          <w:noProof/>
          <w:sz w:val="22"/>
          <w:szCs w:val="22"/>
          <w:lang w:eastAsia="en-NZ"/>
        </w:rPr>
      </w:pPr>
      <w:hyperlink w:anchor="_Toc172104702" w:history="1">
        <w:r w:rsidRPr="009F7782">
          <w:rPr>
            <w:rStyle w:val="Hyperlink"/>
            <w:noProof/>
          </w:rPr>
          <w:t>Figure 19: Age-standardised rate of new cancer registrations, by ethnic group (prioritised ethnicity), 2012–2021</w:t>
        </w:r>
        <w:r>
          <w:rPr>
            <w:noProof/>
            <w:webHidden/>
          </w:rPr>
          <w:tab/>
        </w:r>
        <w:r>
          <w:rPr>
            <w:noProof/>
            <w:webHidden/>
          </w:rPr>
          <w:fldChar w:fldCharType="begin"/>
        </w:r>
        <w:r>
          <w:rPr>
            <w:noProof/>
            <w:webHidden/>
          </w:rPr>
          <w:instrText xml:space="preserve"> PAGEREF _Toc172104702 \h </w:instrText>
        </w:r>
        <w:r>
          <w:rPr>
            <w:noProof/>
            <w:webHidden/>
          </w:rPr>
        </w:r>
        <w:r>
          <w:rPr>
            <w:noProof/>
            <w:webHidden/>
          </w:rPr>
          <w:fldChar w:fldCharType="separate"/>
        </w:r>
        <w:r>
          <w:rPr>
            <w:noProof/>
            <w:webHidden/>
          </w:rPr>
          <w:t>29</w:t>
        </w:r>
        <w:r>
          <w:rPr>
            <w:noProof/>
            <w:webHidden/>
          </w:rPr>
          <w:fldChar w:fldCharType="end"/>
        </w:r>
      </w:hyperlink>
    </w:p>
    <w:p w14:paraId="2B4808AF" w14:textId="674BD1A8" w:rsidR="003A0DFF" w:rsidRDefault="003A0DFF">
      <w:pPr>
        <w:pStyle w:val="TOC3"/>
        <w:rPr>
          <w:rFonts w:asciiTheme="minorHAnsi" w:eastAsiaTheme="minorEastAsia" w:hAnsiTheme="minorHAnsi" w:cstheme="minorBidi"/>
          <w:noProof/>
          <w:sz w:val="22"/>
          <w:szCs w:val="22"/>
          <w:lang w:eastAsia="en-NZ"/>
        </w:rPr>
      </w:pPr>
      <w:hyperlink w:anchor="_Toc172104703" w:history="1">
        <w:r w:rsidRPr="009F7782">
          <w:rPr>
            <w:rStyle w:val="Hyperlink"/>
            <w:noProof/>
          </w:rPr>
          <w:t>Figure 20: Changes in the net five-year survival for the eight most diagnosed cancers, 1998-99 to 2020-21</w:t>
        </w:r>
        <w:r>
          <w:rPr>
            <w:noProof/>
            <w:webHidden/>
          </w:rPr>
          <w:tab/>
        </w:r>
        <w:r>
          <w:rPr>
            <w:noProof/>
            <w:webHidden/>
          </w:rPr>
          <w:fldChar w:fldCharType="begin"/>
        </w:r>
        <w:r>
          <w:rPr>
            <w:noProof/>
            <w:webHidden/>
          </w:rPr>
          <w:instrText xml:space="preserve"> PAGEREF _Toc172104703 \h </w:instrText>
        </w:r>
        <w:r>
          <w:rPr>
            <w:noProof/>
            <w:webHidden/>
          </w:rPr>
        </w:r>
        <w:r>
          <w:rPr>
            <w:noProof/>
            <w:webHidden/>
          </w:rPr>
          <w:fldChar w:fldCharType="separate"/>
        </w:r>
        <w:r>
          <w:rPr>
            <w:noProof/>
            <w:webHidden/>
          </w:rPr>
          <w:t>30</w:t>
        </w:r>
        <w:r>
          <w:rPr>
            <w:noProof/>
            <w:webHidden/>
          </w:rPr>
          <w:fldChar w:fldCharType="end"/>
        </w:r>
      </w:hyperlink>
    </w:p>
    <w:p w14:paraId="0581DBA6" w14:textId="64BD2D65" w:rsidR="003A0DFF" w:rsidRDefault="003A0DFF">
      <w:pPr>
        <w:pStyle w:val="TOC3"/>
        <w:rPr>
          <w:rFonts w:asciiTheme="minorHAnsi" w:eastAsiaTheme="minorEastAsia" w:hAnsiTheme="minorHAnsi" w:cstheme="minorBidi"/>
          <w:noProof/>
          <w:sz w:val="22"/>
          <w:szCs w:val="22"/>
          <w:lang w:eastAsia="en-NZ"/>
        </w:rPr>
      </w:pPr>
      <w:hyperlink w:anchor="_Toc172104704" w:history="1">
        <w:r w:rsidRPr="009F7782">
          <w:rPr>
            <w:rStyle w:val="Hyperlink"/>
            <w:noProof/>
          </w:rPr>
          <w:t>Figure 21: Rate of all cancer deaths by age group (years), 2021</w:t>
        </w:r>
        <w:r>
          <w:rPr>
            <w:noProof/>
            <w:webHidden/>
          </w:rPr>
          <w:tab/>
        </w:r>
        <w:r>
          <w:rPr>
            <w:noProof/>
            <w:webHidden/>
          </w:rPr>
          <w:fldChar w:fldCharType="begin"/>
        </w:r>
        <w:r>
          <w:rPr>
            <w:noProof/>
            <w:webHidden/>
          </w:rPr>
          <w:instrText xml:space="preserve"> PAGEREF _Toc172104704 \h </w:instrText>
        </w:r>
        <w:r>
          <w:rPr>
            <w:noProof/>
            <w:webHidden/>
          </w:rPr>
        </w:r>
        <w:r>
          <w:rPr>
            <w:noProof/>
            <w:webHidden/>
          </w:rPr>
          <w:fldChar w:fldCharType="separate"/>
        </w:r>
        <w:r>
          <w:rPr>
            <w:noProof/>
            <w:webHidden/>
          </w:rPr>
          <w:t>31</w:t>
        </w:r>
        <w:r>
          <w:rPr>
            <w:noProof/>
            <w:webHidden/>
          </w:rPr>
          <w:fldChar w:fldCharType="end"/>
        </w:r>
      </w:hyperlink>
    </w:p>
    <w:p w14:paraId="61D41A03" w14:textId="357700B8" w:rsidR="003A0DFF" w:rsidRDefault="003A0DFF">
      <w:pPr>
        <w:pStyle w:val="TOC3"/>
        <w:rPr>
          <w:rFonts w:asciiTheme="minorHAnsi" w:eastAsiaTheme="minorEastAsia" w:hAnsiTheme="minorHAnsi" w:cstheme="minorBidi"/>
          <w:noProof/>
          <w:sz w:val="22"/>
          <w:szCs w:val="22"/>
          <w:lang w:eastAsia="en-NZ"/>
        </w:rPr>
      </w:pPr>
      <w:hyperlink w:anchor="_Toc172104705" w:history="1">
        <w:r w:rsidRPr="009F7782">
          <w:rPr>
            <w:rStyle w:val="Hyperlink"/>
            <w:noProof/>
          </w:rPr>
          <w:t xml:space="preserve">Figure 22: </w:t>
        </w:r>
        <w:r w:rsidRPr="009F7782">
          <w:rPr>
            <w:rStyle w:val="Hyperlink"/>
            <w:rFonts w:eastAsia="Segoe UI"/>
            <w:noProof/>
          </w:rPr>
          <w:t xml:space="preserve">Two-year breast screening coverage rates for women aged 45–69 years, by ethnic group (prioritised ethnicity), </w:t>
        </w:r>
        <w:r w:rsidRPr="009F7782">
          <w:rPr>
            <w:rStyle w:val="Hyperlink"/>
            <w:noProof/>
          </w:rPr>
          <w:t>2010–2023</w:t>
        </w:r>
        <w:r>
          <w:rPr>
            <w:noProof/>
            <w:webHidden/>
          </w:rPr>
          <w:tab/>
        </w:r>
        <w:r>
          <w:rPr>
            <w:noProof/>
            <w:webHidden/>
          </w:rPr>
          <w:fldChar w:fldCharType="begin"/>
        </w:r>
        <w:r>
          <w:rPr>
            <w:noProof/>
            <w:webHidden/>
          </w:rPr>
          <w:instrText xml:space="preserve"> PAGEREF _Toc172104705 \h </w:instrText>
        </w:r>
        <w:r>
          <w:rPr>
            <w:noProof/>
            <w:webHidden/>
          </w:rPr>
        </w:r>
        <w:r>
          <w:rPr>
            <w:noProof/>
            <w:webHidden/>
          </w:rPr>
          <w:fldChar w:fldCharType="separate"/>
        </w:r>
        <w:r>
          <w:rPr>
            <w:noProof/>
            <w:webHidden/>
          </w:rPr>
          <w:t>32</w:t>
        </w:r>
        <w:r>
          <w:rPr>
            <w:noProof/>
            <w:webHidden/>
          </w:rPr>
          <w:fldChar w:fldCharType="end"/>
        </w:r>
      </w:hyperlink>
    </w:p>
    <w:p w14:paraId="20F6D376" w14:textId="38D9D66F" w:rsidR="003A0DFF" w:rsidRDefault="003A0DFF">
      <w:pPr>
        <w:pStyle w:val="TOC3"/>
        <w:rPr>
          <w:rFonts w:asciiTheme="minorHAnsi" w:eastAsiaTheme="minorEastAsia" w:hAnsiTheme="minorHAnsi" w:cstheme="minorBidi"/>
          <w:noProof/>
          <w:sz w:val="22"/>
          <w:szCs w:val="22"/>
          <w:lang w:eastAsia="en-NZ"/>
        </w:rPr>
      </w:pPr>
      <w:hyperlink w:anchor="_Toc172104706" w:history="1">
        <w:r w:rsidRPr="009F7782">
          <w:rPr>
            <w:rStyle w:val="Hyperlink"/>
            <w:noProof/>
          </w:rPr>
          <w:t>Figure 23: Cervical screening coverage, up to date, by ethnic group (prioritised ethnicity), 2009–2023</w:t>
        </w:r>
        <w:r>
          <w:rPr>
            <w:noProof/>
            <w:webHidden/>
          </w:rPr>
          <w:tab/>
        </w:r>
        <w:r>
          <w:rPr>
            <w:noProof/>
            <w:webHidden/>
          </w:rPr>
          <w:fldChar w:fldCharType="begin"/>
        </w:r>
        <w:r>
          <w:rPr>
            <w:noProof/>
            <w:webHidden/>
          </w:rPr>
          <w:instrText xml:space="preserve"> PAGEREF _Toc172104706 \h </w:instrText>
        </w:r>
        <w:r>
          <w:rPr>
            <w:noProof/>
            <w:webHidden/>
          </w:rPr>
        </w:r>
        <w:r>
          <w:rPr>
            <w:noProof/>
            <w:webHidden/>
          </w:rPr>
          <w:fldChar w:fldCharType="separate"/>
        </w:r>
        <w:r>
          <w:rPr>
            <w:noProof/>
            <w:webHidden/>
          </w:rPr>
          <w:t>34</w:t>
        </w:r>
        <w:r>
          <w:rPr>
            <w:noProof/>
            <w:webHidden/>
          </w:rPr>
          <w:fldChar w:fldCharType="end"/>
        </w:r>
      </w:hyperlink>
    </w:p>
    <w:p w14:paraId="381B1EB3" w14:textId="428CE295" w:rsidR="003A0DFF" w:rsidRDefault="003A0DFF">
      <w:pPr>
        <w:pStyle w:val="TOC3"/>
        <w:rPr>
          <w:rFonts w:asciiTheme="minorHAnsi" w:eastAsiaTheme="minorEastAsia" w:hAnsiTheme="minorHAnsi" w:cstheme="minorBidi"/>
          <w:noProof/>
          <w:sz w:val="22"/>
          <w:szCs w:val="22"/>
          <w:lang w:eastAsia="en-NZ"/>
        </w:rPr>
      </w:pPr>
      <w:hyperlink w:anchor="_Toc172104707" w:history="1">
        <w:r w:rsidRPr="009F7782">
          <w:rPr>
            <w:rStyle w:val="Hyperlink"/>
            <w:noProof/>
          </w:rPr>
          <w:t>Figure 24: Difference (%) in breast and cervical cancer screening coverage from March 2020 (beginning of COVID-19 public health restrictions), by ethnic group (prioritised ethnicity), 2012–2024</w:t>
        </w:r>
        <w:r>
          <w:rPr>
            <w:noProof/>
            <w:webHidden/>
          </w:rPr>
          <w:tab/>
        </w:r>
        <w:r>
          <w:rPr>
            <w:noProof/>
            <w:webHidden/>
          </w:rPr>
          <w:fldChar w:fldCharType="begin"/>
        </w:r>
        <w:r>
          <w:rPr>
            <w:noProof/>
            <w:webHidden/>
          </w:rPr>
          <w:instrText xml:space="preserve"> PAGEREF _Toc172104707 \h </w:instrText>
        </w:r>
        <w:r>
          <w:rPr>
            <w:noProof/>
            <w:webHidden/>
          </w:rPr>
        </w:r>
        <w:r>
          <w:rPr>
            <w:noProof/>
            <w:webHidden/>
          </w:rPr>
          <w:fldChar w:fldCharType="separate"/>
        </w:r>
        <w:r>
          <w:rPr>
            <w:noProof/>
            <w:webHidden/>
          </w:rPr>
          <w:t>35</w:t>
        </w:r>
        <w:r>
          <w:rPr>
            <w:noProof/>
            <w:webHidden/>
          </w:rPr>
          <w:fldChar w:fldCharType="end"/>
        </w:r>
      </w:hyperlink>
    </w:p>
    <w:p w14:paraId="037581C9" w14:textId="548C1D3A" w:rsidR="003A0DFF" w:rsidRDefault="003A0DFF">
      <w:pPr>
        <w:pStyle w:val="TOC3"/>
        <w:rPr>
          <w:rFonts w:asciiTheme="minorHAnsi" w:eastAsiaTheme="minorEastAsia" w:hAnsiTheme="minorHAnsi" w:cstheme="minorBidi"/>
          <w:noProof/>
          <w:sz w:val="22"/>
          <w:szCs w:val="22"/>
          <w:lang w:eastAsia="en-NZ"/>
        </w:rPr>
      </w:pPr>
      <w:hyperlink w:anchor="_Toc172104708" w:history="1">
        <w:r w:rsidRPr="009F7782">
          <w:rPr>
            <w:rStyle w:val="Hyperlink"/>
            <w:noProof/>
          </w:rPr>
          <w:t>Figure 25: Bowel screening coverage by ethnic group (prioritised ethnicity), 2019 – 2023</w:t>
        </w:r>
        <w:r>
          <w:rPr>
            <w:noProof/>
            <w:webHidden/>
          </w:rPr>
          <w:tab/>
        </w:r>
        <w:r>
          <w:rPr>
            <w:noProof/>
            <w:webHidden/>
          </w:rPr>
          <w:fldChar w:fldCharType="begin"/>
        </w:r>
        <w:r>
          <w:rPr>
            <w:noProof/>
            <w:webHidden/>
          </w:rPr>
          <w:instrText xml:space="preserve"> PAGEREF _Toc172104708 \h </w:instrText>
        </w:r>
        <w:r>
          <w:rPr>
            <w:noProof/>
            <w:webHidden/>
          </w:rPr>
        </w:r>
        <w:r>
          <w:rPr>
            <w:noProof/>
            <w:webHidden/>
          </w:rPr>
          <w:fldChar w:fldCharType="separate"/>
        </w:r>
        <w:r>
          <w:rPr>
            <w:noProof/>
            <w:webHidden/>
          </w:rPr>
          <w:t>36</w:t>
        </w:r>
        <w:r>
          <w:rPr>
            <w:noProof/>
            <w:webHidden/>
          </w:rPr>
          <w:fldChar w:fldCharType="end"/>
        </w:r>
      </w:hyperlink>
    </w:p>
    <w:p w14:paraId="4E00BDCE" w14:textId="074E57E5" w:rsidR="003A0DFF" w:rsidRDefault="003A0DFF">
      <w:pPr>
        <w:pStyle w:val="TOC3"/>
        <w:rPr>
          <w:rFonts w:asciiTheme="minorHAnsi" w:eastAsiaTheme="minorEastAsia" w:hAnsiTheme="minorHAnsi" w:cstheme="minorBidi"/>
          <w:noProof/>
          <w:sz w:val="22"/>
          <w:szCs w:val="22"/>
          <w:lang w:eastAsia="en-NZ"/>
        </w:rPr>
      </w:pPr>
      <w:hyperlink w:anchor="_Toc172104709" w:history="1">
        <w:r w:rsidRPr="009F7782">
          <w:rPr>
            <w:rStyle w:val="Hyperlink"/>
            <w:noProof/>
          </w:rPr>
          <w:t>Figure 26: Percentage of children caries-free at age five years, by ethnic group (prioritised ethnicity), 2010–2022</w:t>
        </w:r>
        <w:r>
          <w:rPr>
            <w:noProof/>
            <w:webHidden/>
          </w:rPr>
          <w:tab/>
        </w:r>
        <w:r>
          <w:rPr>
            <w:noProof/>
            <w:webHidden/>
          </w:rPr>
          <w:fldChar w:fldCharType="begin"/>
        </w:r>
        <w:r>
          <w:rPr>
            <w:noProof/>
            <w:webHidden/>
          </w:rPr>
          <w:instrText xml:space="preserve"> PAGEREF _Toc172104709 \h </w:instrText>
        </w:r>
        <w:r>
          <w:rPr>
            <w:noProof/>
            <w:webHidden/>
          </w:rPr>
        </w:r>
        <w:r>
          <w:rPr>
            <w:noProof/>
            <w:webHidden/>
          </w:rPr>
          <w:fldChar w:fldCharType="separate"/>
        </w:r>
        <w:r>
          <w:rPr>
            <w:noProof/>
            <w:webHidden/>
          </w:rPr>
          <w:t>44</w:t>
        </w:r>
        <w:r>
          <w:rPr>
            <w:noProof/>
            <w:webHidden/>
          </w:rPr>
          <w:fldChar w:fldCharType="end"/>
        </w:r>
      </w:hyperlink>
    </w:p>
    <w:p w14:paraId="0D7E741C" w14:textId="2056887E" w:rsidR="003A0DFF" w:rsidRDefault="003A0DFF">
      <w:pPr>
        <w:pStyle w:val="TOC3"/>
        <w:rPr>
          <w:rFonts w:asciiTheme="minorHAnsi" w:eastAsiaTheme="minorEastAsia" w:hAnsiTheme="minorHAnsi" w:cstheme="minorBidi"/>
          <w:noProof/>
          <w:sz w:val="22"/>
          <w:szCs w:val="22"/>
          <w:lang w:eastAsia="en-NZ"/>
        </w:rPr>
      </w:pPr>
      <w:hyperlink w:anchor="_Toc172104710" w:history="1">
        <w:r w:rsidRPr="009F7782">
          <w:rPr>
            <w:rStyle w:val="Hyperlink"/>
            <w:noProof/>
          </w:rPr>
          <w:t>Figure 27: Mean number of decayed, missing, and filled teeth (DMFT) per child at year 8, by ethnic group (prioritised ethnicity), 2010–2022</w:t>
        </w:r>
        <w:r>
          <w:rPr>
            <w:noProof/>
            <w:webHidden/>
          </w:rPr>
          <w:tab/>
        </w:r>
        <w:r>
          <w:rPr>
            <w:noProof/>
            <w:webHidden/>
          </w:rPr>
          <w:fldChar w:fldCharType="begin"/>
        </w:r>
        <w:r>
          <w:rPr>
            <w:noProof/>
            <w:webHidden/>
          </w:rPr>
          <w:instrText xml:space="preserve"> PAGEREF _Toc172104710 \h </w:instrText>
        </w:r>
        <w:r>
          <w:rPr>
            <w:noProof/>
            <w:webHidden/>
          </w:rPr>
        </w:r>
        <w:r>
          <w:rPr>
            <w:noProof/>
            <w:webHidden/>
          </w:rPr>
          <w:fldChar w:fldCharType="separate"/>
        </w:r>
        <w:r>
          <w:rPr>
            <w:noProof/>
            <w:webHidden/>
          </w:rPr>
          <w:t>45</w:t>
        </w:r>
        <w:r>
          <w:rPr>
            <w:noProof/>
            <w:webHidden/>
          </w:rPr>
          <w:fldChar w:fldCharType="end"/>
        </w:r>
      </w:hyperlink>
    </w:p>
    <w:p w14:paraId="47391BB5" w14:textId="3DD03DB1" w:rsidR="003A0DFF" w:rsidRDefault="003A0DFF">
      <w:pPr>
        <w:pStyle w:val="TOC3"/>
        <w:rPr>
          <w:rFonts w:asciiTheme="minorHAnsi" w:eastAsiaTheme="minorEastAsia" w:hAnsiTheme="minorHAnsi" w:cstheme="minorBidi"/>
          <w:noProof/>
          <w:sz w:val="22"/>
          <w:szCs w:val="22"/>
          <w:lang w:eastAsia="en-NZ"/>
        </w:rPr>
      </w:pPr>
      <w:hyperlink w:anchor="_Toc172104711" w:history="1">
        <w:r w:rsidRPr="009F7782">
          <w:rPr>
            <w:rStyle w:val="Hyperlink"/>
            <w:noProof/>
          </w:rPr>
          <w:t>Figure 28: Percentage of children who visited a dental health care worker, by ethnic group (total response ethnicity), three-year rolling average, 2013/14–2022/23</w:t>
        </w:r>
        <w:r>
          <w:rPr>
            <w:noProof/>
            <w:webHidden/>
          </w:rPr>
          <w:tab/>
        </w:r>
        <w:r>
          <w:rPr>
            <w:noProof/>
            <w:webHidden/>
          </w:rPr>
          <w:fldChar w:fldCharType="begin"/>
        </w:r>
        <w:r>
          <w:rPr>
            <w:noProof/>
            <w:webHidden/>
          </w:rPr>
          <w:instrText xml:space="preserve"> PAGEREF _Toc172104711 \h </w:instrText>
        </w:r>
        <w:r>
          <w:rPr>
            <w:noProof/>
            <w:webHidden/>
          </w:rPr>
        </w:r>
        <w:r>
          <w:rPr>
            <w:noProof/>
            <w:webHidden/>
          </w:rPr>
          <w:fldChar w:fldCharType="separate"/>
        </w:r>
        <w:r>
          <w:rPr>
            <w:noProof/>
            <w:webHidden/>
          </w:rPr>
          <w:t>46</w:t>
        </w:r>
        <w:r>
          <w:rPr>
            <w:noProof/>
            <w:webHidden/>
          </w:rPr>
          <w:fldChar w:fldCharType="end"/>
        </w:r>
      </w:hyperlink>
    </w:p>
    <w:p w14:paraId="74E8B7CE" w14:textId="5061E8FB" w:rsidR="003A0DFF" w:rsidRDefault="003A0DFF">
      <w:pPr>
        <w:pStyle w:val="TOC3"/>
        <w:rPr>
          <w:rFonts w:asciiTheme="minorHAnsi" w:eastAsiaTheme="minorEastAsia" w:hAnsiTheme="minorHAnsi" w:cstheme="minorBidi"/>
          <w:noProof/>
          <w:sz w:val="22"/>
          <w:szCs w:val="22"/>
          <w:lang w:eastAsia="en-NZ"/>
        </w:rPr>
      </w:pPr>
      <w:hyperlink w:anchor="_Toc172104712" w:history="1">
        <w:r w:rsidRPr="009F7782">
          <w:rPr>
            <w:rStyle w:val="Hyperlink"/>
            <w:noProof/>
          </w:rPr>
          <w:t>Figure 29: Number of reported adverse events (severity assessment code 1 or 2), before and after baseline shift to a higher number of reported events, 2018–2023</w:t>
        </w:r>
        <w:r>
          <w:rPr>
            <w:noProof/>
            <w:webHidden/>
          </w:rPr>
          <w:tab/>
        </w:r>
        <w:r>
          <w:rPr>
            <w:noProof/>
            <w:webHidden/>
          </w:rPr>
          <w:fldChar w:fldCharType="begin"/>
        </w:r>
        <w:r>
          <w:rPr>
            <w:noProof/>
            <w:webHidden/>
          </w:rPr>
          <w:instrText xml:space="preserve"> PAGEREF _Toc172104712 \h </w:instrText>
        </w:r>
        <w:r>
          <w:rPr>
            <w:noProof/>
            <w:webHidden/>
          </w:rPr>
        </w:r>
        <w:r>
          <w:rPr>
            <w:noProof/>
            <w:webHidden/>
          </w:rPr>
          <w:fldChar w:fldCharType="separate"/>
        </w:r>
        <w:r>
          <w:rPr>
            <w:noProof/>
            <w:webHidden/>
          </w:rPr>
          <w:t>48</w:t>
        </w:r>
        <w:r>
          <w:rPr>
            <w:noProof/>
            <w:webHidden/>
          </w:rPr>
          <w:fldChar w:fldCharType="end"/>
        </w:r>
      </w:hyperlink>
    </w:p>
    <w:p w14:paraId="1EE05DDD" w14:textId="5C48D730" w:rsidR="003A0DFF" w:rsidRDefault="003A0DFF">
      <w:pPr>
        <w:pStyle w:val="TOC3"/>
        <w:rPr>
          <w:rFonts w:asciiTheme="minorHAnsi" w:eastAsiaTheme="minorEastAsia" w:hAnsiTheme="minorHAnsi" w:cstheme="minorBidi"/>
          <w:noProof/>
          <w:sz w:val="22"/>
          <w:szCs w:val="22"/>
          <w:lang w:eastAsia="en-NZ"/>
        </w:rPr>
      </w:pPr>
      <w:hyperlink w:anchor="_Toc172104713" w:history="1">
        <w:r w:rsidRPr="009F7782">
          <w:rPr>
            <w:rStyle w:val="Hyperlink"/>
            <w:noProof/>
          </w:rPr>
          <w:t>Figure 30: Weekly count of hospital admissions for COVID-19, 2020–2023</w:t>
        </w:r>
        <w:r>
          <w:rPr>
            <w:noProof/>
            <w:webHidden/>
          </w:rPr>
          <w:tab/>
        </w:r>
        <w:r>
          <w:rPr>
            <w:noProof/>
            <w:webHidden/>
          </w:rPr>
          <w:fldChar w:fldCharType="begin"/>
        </w:r>
        <w:r>
          <w:rPr>
            <w:noProof/>
            <w:webHidden/>
          </w:rPr>
          <w:instrText xml:space="preserve"> PAGEREF _Toc172104713 \h </w:instrText>
        </w:r>
        <w:r>
          <w:rPr>
            <w:noProof/>
            <w:webHidden/>
          </w:rPr>
        </w:r>
        <w:r>
          <w:rPr>
            <w:noProof/>
            <w:webHidden/>
          </w:rPr>
          <w:fldChar w:fldCharType="separate"/>
        </w:r>
        <w:r>
          <w:rPr>
            <w:noProof/>
            <w:webHidden/>
          </w:rPr>
          <w:t>49</w:t>
        </w:r>
        <w:r>
          <w:rPr>
            <w:noProof/>
            <w:webHidden/>
          </w:rPr>
          <w:fldChar w:fldCharType="end"/>
        </w:r>
      </w:hyperlink>
    </w:p>
    <w:p w14:paraId="207D9CDC" w14:textId="05E0DBCA" w:rsidR="003A0DFF" w:rsidRDefault="003A0DFF">
      <w:pPr>
        <w:pStyle w:val="TOC3"/>
        <w:rPr>
          <w:rFonts w:asciiTheme="minorHAnsi" w:eastAsiaTheme="minorEastAsia" w:hAnsiTheme="minorHAnsi" w:cstheme="minorBidi"/>
          <w:noProof/>
          <w:sz w:val="22"/>
          <w:szCs w:val="22"/>
          <w:lang w:eastAsia="en-NZ"/>
        </w:rPr>
      </w:pPr>
      <w:hyperlink w:anchor="_Toc172104714" w:history="1">
        <w:r w:rsidRPr="009F7782">
          <w:rPr>
            <w:rStyle w:val="Hyperlink"/>
            <w:noProof/>
          </w:rPr>
          <w:t>Figure 31: Weekly count of COVID-19 deaths, 2020–2023</w:t>
        </w:r>
        <w:r>
          <w:rPr>
            <w:noProof/>
            <w:webHidden/>
          </w:rPr>
          <w:tab/>
        </w:r>
        <w:r>
          <w:rPr>
            <w:noProof/>
            <w:webHidden/>
          </w:rPr>
          <w:fldChar w:fldCharType="begin"/>
        </w:r>
        <w:r>
          <w:rPr>
            <w:noProof/>
            <w:webHidden/>
          </w:rPr>
          <w:instrText xml:space="preserve"> PAGEREF _Toc172104714 \h </w:instrText>
        </w:r>
        <w:r>
          <w:rPr>
            <w:noProof/>
            <w:webHidden/>
          </w:rPr>
        </w:r>
        <w:r>
          <w:rPr>
            <w:noProof/>
            <w:webHidden/>
          </w:rPr>
          <w:fldChar w:fldCharType="separate"/>
        </w:r>
        <w:r>
          <w:rPr>
            <w:noProof/>
            <w:webHidden/>
          </w:rPr>
          <w:t>50</w:t>
        </w:r>
        <w:r>
          <w:rPr>
            <w:noProof/>
            <w:webHidden/>
          </w:rPr>
          <w:fldChar w:fldCharType="end"/>
        </w:r>
      </w:hyperlink>
    </w:p>
    <w:p w14:paraId="0DF778E5" w14:textId="5D3E8536" w:rsidR="003A0DFF" w:rsidRDefault="003A0DFF">
      <w:pPr>
        <w:pStyle w:val="TOC3"/>
        <w:rPr>
          <w:rFonts w:asciiTheme="minorHAnsi" w:eastAsiaTheme="minorEastAsia" w:hAnsiTheme="minorHAnsi" w:cstheme="minorBidi"/>
          <w:noProof/>
          <w:sz w:val="22"/>
          <w:szCs w:val="22"/>
          <w:lang w:eastAsia="en-NZ"/>
        </w:rPr>
      </w:pPr>
      <w:hyperlink w:anchor="_Toc172104715" w:history="1">
        <w:r w:rsidRPr="009F7782">
          <w:rPr>
            <w:rStyle w:val="Hyperlink"/>
            <w:noProof/>
          </w:rPr>
          <w:t>Figure 32: First admissions to hospital for rheumatic fever, rate per 100,000 population, by ethnic group (prioritised ethnicity), 2006/07–2022/23</w:t>
        </w:r>
        <w:r>
          <w:rPr>
            <w:noProof/>
            <w:webHidden/>
          </w:rPr>
          <w:tab/>
        </w:r>
        <w:r>
          <w:rPr>
            <w:noProof/>
            <w:webHidden/>
          </w:rPr>
          <w:fldChar w:fldCharType="begin"/>
        </w:r>
        <w:r>
          <w:rPr>
            <w:noProof/>
            <w:webHidden/>
          </w:rPr>
          <w:instrText xml:space="preserve"> PAGEREF _Toc172104715 \h </w:instrText>
        </w:r>
        <w:r>
          <w:rPr>
            <w:noProof/>
            <w:webHidden/>
          </w:rPr>
        </w:r>
        <w:r>
          <w:rPr>
            <w:noProof/>
            <w:webHidden/>
          </w:rPr>
          <w:fldChar w:fldCharType="separate"/>
        </w:r>
        <w:r>
          <w:rPr>
            <w:noProof/>
            <w:webHidden/>
          </w:rPr>
          <w:t>51</w:t>
        </w:r>
        <w:r>
          <w:rPr>
            <w:noProof/>
            <w:webHidden/>
          </w:rPr>
          <w:fldChar w:fldCharType="end"/>
        </w:r>
      </w:hyperlink>
    </w:p>
    <w:p w14:paraId="69E59BEA" w14:textId="3193F1C1" w:rsidR="003A0DFF" w:rsidRDefault="003A0DFF">
      <w:pPr>
        <w:pStyle w:val="TOC3"/>
        <w:rPr>
          <w:rFonts w:asciiTheme="minorHAnsi" w:eastAsiaTheme="minorEastAsia" w:hAnsiTheme="minorHAnsi" w:cstheme="minorBidi"/>
          <w:noProof/>
          <w:sz w:val="22"/>
          <w:szCs w:val="22"/>
          <w:lang w:eastAsia="en-NZ"/>
        </w:rPr>
      </w:pPr>
      <w:hyperlink w:anchor="_Toc172104716" w:history="1">
        <w:r w:rsidRPr="009F7782">
          <w:rPr>
            <w:rStyle w:val="Hyperlink"/>
            <w:noProof/>
          </w:rPr>
          <w:t>Figure 33: Percentage of children living in household experiencing material hardship, by ethnic group (total response), 2019–2023</w:t>
        </w:r>
        <w:r>
          <w:rPr>
            <w:noProof/>
            <w:webHidden/>
          </w:rPr>
          <w:tab/>
        </w:r>
        <w:r>
          <w:rPr>
            <w:noProof/>
            <w:webHidden/>
          </w:rPr>
          <w:fldChar w:fldCharType="begin"/>
        </w:r>
        <w:r>
          <w:rPr>
            <w:noProof/>
            <w:webHidden/>
          </w:rPr>
          <w:instrText xml:space="preserve"> PAGEREF _Toc172104716 \h </w:instrText>
        </w:r>
        <w:r>
          <w:rPr>
            <w:noProof/>
            <w:webHidden/>
          </w:rPr>
        </w:r>
        <w:r>
          <w:rPr>
            <w:noProof/>
            <w:webHidden/>
          </w:rPr>
          <w:fldChar w:fldCharType="separate"/>
        </w:r>
        <w:r>
          <w:rPr>
            <w:noProof/>
            <w:webHidden/>
          </w:rPr>
          <w:t>57</w:t>
        </w:r>
        <w:r>
          <w:rPr>
            <w:noProof/>
            <w:webHidden/>
          </w:rPr>
          <w:fldChar w:fldCharType="end"/>
        </w:r>
      </w:hyperlink>
    </w:p>
    <w:p w14:paraId="289B5F17" w14:textId="3D26C365" w:rsidR="003A0DFF" w:rsidRDefault="003A0DFF">
      <w:pPr>
        <w:pStyle w:val="TOC3"/>
        <w:rPr>
          <w:rFonts w:asciiTheme="minorHAnsi" w:eastAsiaTheme="minorEastAsia" w:hAnsiTheme="minorHAnsi" w:cstheme="minorBidi"/>
          <w:noProof/>
          <w:sz w:val="22"/>
          <w:szCs w:val="22"/>
          <w:lang w:eastAsia="en-NZ"/>
        </w:rPr>
      </w:pPr>
      <w:hyperlink w:anchor="_Toc172104717" w:history="1">
        <w:r w:rsidRPr="009F7782">
          <w:rPr>
            <w:rStyle w:val="Hyperlink"/>
            <w:noProof/>
          </w:rPr>
          <w:t>Figure 34: Age-standardised rate of housing-related hospitalisations, by gender and ethnic group (prioritised ethnicity), 2014–2023</w:t>
        </w:r>
        <w:r>
          <w:rPr>
            <w:noProof/>
            <w:webHidden/>
          </w:rPr>
          <w:tab/>
        </w:r>
        <w:r>
          <w:rPr>
            <w:noProof/>
            <w:webHidden/>
          </w:rPr>
          <w:fldChar w:fldCharType="begin"/>
        </w:r>
        <w:r>
          <w:rPr>
            <w:noProof/>
            <w:webHidden/>
          </w:rPr>
          <w:instrText xml:space="preserve"> PAGEREF _Toc172104717 \h </w:instrText>
        </w:r>
        <w:r>
          <w:rPr>
            <w:noProof/>
            <w:webHidden/>
          </w:rPr>
        </w:r>
        <w:r>
          <w:rPr>
            <w:noProof/>
            <w:webHidden/>
          </w:rPr>
          <w:fldChar w:fldCharType="separate"/>
        </w:r>
        <w:r>
          <w:rPr>
            <w:noProof/>
            <w:webHidden/>
          </w:rPr>
          <w:t>60</w:t>
        </w:r>
        <w:r>
          <w:rPr>
            <w:noProof/>
            <w:webHidden/>
          </w:rPr>
          <w:fldChar w:fldCharType="end"/>
        </w:r>
      </w:hyperlink>
    </w:p>
    <w:p w14:paraId="6B9BAB3A" w14:textId="6775FA5F" w:rsidR="003A0DFF" w:rsidRDefault="003A0DFF">
      <w:pPr>
        <w:pStyle w:val="TOC3"/>
        <w:rPr>
          <w:rFonts w:asciiTheme="minorHAnsi" w:eastAsiaTheme="minorEastAsia" w:hAnsiTheme="minorHAnsi" w:cstheme="minorBidi"/>
          <w:noProof/>
          <w:sz w:val="22"/>
          <w:szCs w:val="22"/>
          <w:lang w:eastAsia="en-NZ"/>
        </w:rPr>
      </w:pPr>
      <w:hyperlink w:anchor="_Toc172104718" w:history="1">
        <w:r w:rsidRPr="009F7782">
          <w:rPr>
            <w:rStyle w:val="Hyperlink"/>
            <w:noProof/>
          </w:rPr>
          <w:t>Figure 35: Proportion of report population receiving drinking-water that complied with all Drinking-water Standards for New Zealand, 2011/12–2020/21</w:t>
        </w:r>
        <w:r>
          <w:rPr>
            <w:noProof/>
            <w:webHidden/>
          </w:rPr>
          <w:tab/>
        </w:r>
        <w:r>
          <w:rPr>
            <w:noProof/>
            <w:webHidden/>
          </w:rPr>
          <w:fldChar w:fldCharType="begin"/>
        </w:r>
        <w:r>
          <w:rPr>
            <w:noProof/>
            <w:webHidden/>
          </w:rPr>
          <w:instrText xml:space="preserve"> PAGEREF _Toc172104718 \h </w:instrText>
        </w:r>
        <w:r>
          <w:rPr>
            <w:noProof/>
            <w:webHidden/>
          </w:rPr>
        </w:r>
        <w:r>
          <w:rPr>
            <w:noProof/>
            <w:webHidden/>
          </w:rPr>
          <w:fldChar w:fldCharType="separate"/>
        </w:r>
        <w:r>
          <w:rPr>
            <w:noProof/>
            <w:webHidden/>
          </w:rPr>
          <w:t>62</w:t>
        </w:r>
        <w:r>
          <w:rPr>
            <w:noProof/>
            <w:webHidden/>
          </w:rPr>
          <w:fldChar w:fldCharType="end"/>
        </w:r>
      </w:hyperlink>
    </w:p>
    <w:p w14:paraId="4E04C0E9" w14:textId="58CCC717" w:rsidR="003A0DFF" w:rsidRDefault="003A0DFF">
      <w:pPr>
        <w:pStyle w:val="TOC3"/>
        <w:rPr>
          <w:rFonts w:asciiTheme="minorHAnsi" w:eastAsiaTheme="minorEastAsia" w:hAnsiTheme="minorHAnsi" w:cstheme="minorBidi"/>
          <w:noProof/>
          <w:sz w:val="22"/>
          <w:szCs w:val="22"/>
          <w:lang w:eastAsia="en-NZ"/>
        </w:rPr>
      </w:pPr>
      <w:hyperlink w:anchor="_Toc172104719" w:history="1">
        <w:r w:rsidRPr="009F7782">
          <w:rPr>
            <w:rStyle w:val="Hyperlink"/>
            <w:noProof/>
          </w:rPr>
          <w:t>Figure 36: Insurance-related costs ($ million) of severe weather events, 1993–2022</w:t>
        </w:r>
        <w:r>
          <w:rPr>
            <w:noProof/>
            <w:webHidden/>
          </w:rPr>
          <w:tab/>
        </w:r>
        <w:r>
          <w:rPr>
            <w:noProof/>
            <w:webHidden/>
          </w:rPr>
          <w:fldChar w:fldCharType="begin"/>
        </w:r>
        <w:r>
          <w:rPr>
            <w:noProof/>
            <w:webHidden/>
          </w:rPr>
          <w:instrText xml:space="preserve"> PAGEREF _Toc172104719 \h </w:instrText>
        </w:r>
        <w:r>
          <w:rPr>
            <w:noProof/>
            <w:webHidden/>
          </w:rPr>
        </w:r>
        <w:r>
          <w:rPr>
            <w:noProof/>
            <w:webHidden/>
          </w:rPr>
          <w:fldChar w:fldCharType="separate"/>
        </w:r>
        <w:r>
          <w:rPr>
            <w:noProof/>
            <w:webHidden/>
          </w:rPr>
          <w:t>63</w:t>
        </w:r>
        <w:r>
          <w:rPr>
            <w:noProof/>
            <w:webHidden/>
          </w:rPr>
          <w:fldChar w:fldCharType="end"/>
        </w:r>
      </w:hyperlink>
    </w:p>
    <w:p w14:paraId="276999C4" w14:textId="1F5E07D5" w:rsidR="003A0DFF" w:rsidRDefault="003A0DFF">
      <w:pPr>
        <w:pStyle w:val="TOC3"/>
        <w:rPr>
          <w:rFonts w:asciiTheme="minorHAnsi" w:eastAsiaTheme="minorEastAsia" w:hAnsiTheme="minorHAnsi" w:cstheme="minorBidi"/>
          <w:noProof/>
          <w:sz w:val="22"/>
          <w:szCs w:val="22"/>
          <w:lang w:eastAsia="en-NZ"/>
        </w:rPr>
      </w:pPr>
      <w:hyperlink w:anchor="_Toc172104720" w:history="1">
        <w:r w:rsidRPr="009F7782">
          <w:rPr>
            <w:rStyle w:val="Hyperlink"/>
            <w:noProof/>
          </w:rPr>
          <w:t>Figure 37: Proportion of disability-adjusted life years (DALYs) from leading risk factors, Aotearoa New Zealand, 2021</w:t>
        </w:r>
        <w:r>
          <w:rPr>
            <w:noProof/>
            <w:webHidden/>
          </w:rPr>
          <w:tab/>
        </w:r>
        <w:r>
          <w:rPr>
            <w:noProof/>
            <w:webHidden/>
          </w:rPr>
          <w:fldChar w:fldCharType="begin"/>
        </w:r>
        <w:r>
          <w:rPr>
            <w:noProof/>
            <w:webHidden/>
          </w:rPr>
          <w:instrText xml:space="preserve"> PAGEREF _Toc172104720 \h </w:instrText>
        </w:r>
        <w:r>
          <w:rPr>
            <w:noProof/>
            <w:webHidden/>
          </w:rPr>
        </w:r>
        <w:r>
          <w:rPr>
            <w:noProof/>
            <w:webHidden/>
          </w:rPr>
          <w:fldChar w:fldCharType="separate"/>
        </w:r>
        <w:r>
          <w:rPr>
            <w:noProof/>
            <w:webHidden/>
          </w:rPr>
          <w:t>64</w:t>
        </w:r>
        <w:r>
          <w:rPr>
            <w:noProof/>
            <w:webHidden/>
          </w:rPr>
          <w:fldChar w:fldCharType="end"/>
        </w:r>
      </w:hyperlink>
    </w:p>
    <w:p w14:paraId="193CB5FE" w14:textId="1B20B14C" w:rsidR="003A0DFF" w:rsidRDefault="003A0DFF">
      <w:pPr>
        <w:pStyle w:val="TOC3"/>
        <w:rPr>
          <w:rFonts w:asciiTheme="minorHAnsi" w:eastAsiaTheme="minorEastAsia" w:hAnsiTheme="minorHAnsi" w:cstheme="minorBidi"/>
          <w:noProof/>
          <w:sz w:val="22"/>
          <w:szCs w:val="22"/>
          <w:lang w:eastAsia="en-NZ"/>
        </w:rPr>
      </w:pPr>
      <w:hyperlink w:anchor="_Toc172104721" w:history="1">
        <w:r w:rsidRPr="009F7782">
          <w:rPr>
            <w:rStyle w:val="Hyperlink"/>
            <w:noProof/>
          </w:rPr>
          <w:t>Figure 38: Percentage of children immunised at milestone ages, by ethnic group (prioritised ethnicity), for the three months ending December 2023</w:t>
        </w:r>
        <w:r>
          <w:rPr>
            <w:noProof/>
            <w:webHidden/>
          </w:rPr>
          <w:tab/>
        </w:r>
        <w:r>
          <w:rPr>
            <w:noProof/>
            <w:webHidden/>
          </w:rPr>
          <w:fldChar w:fldCharType="begin"/>
        </w:r>
        <w:r>
          <w:rPr>
            <w:noProof/>
            <w:webHidden/>
          </w:rPr>
          <w:instrText xml:space="preserve"> PAGEREF _Toc172104721 \h </w:instrText>
        </w:r>
        <w:r>
          <w:rPr>
            <w:noProof/>
            <w:webHidden/>
          </w:rPr>
        </w:r>
        <w:r>
          <w:rPr>
            <w:noProof/>
            <w:webHidden/>
          </w:rPr>
          <w:fldChar w:fldCharType="separate"/>
        </w:r>
        <w:r>
          <w:rPr>
            <w:noProof/>
            <w:webHidden/>
          </w:rPr>
          <w:t>71</w:t>
        </w:r>
        <w:r>
          <w:rPr>
            <w:noProof/>
            <w:webHidden/>
          </w:rPr>
          <w:fldChar w:fldCharType="end"/>
        </w:r>
      </w:hyperlink>
    </w:p>
    <w:p w14:paraId="491E972E" w14:textId="02A8ECE5" w:rsidR="003A0DFF" w:rsidRDefault="003A0DFF">
      <w:pPr>
        <w:pStyle w:val="TOC3"/>
        <w:rPr>
          <w:rFonts w:asciiTheme="minorHAnsi" w:eastAsiaTheme="minorEastAsia" w:hAnsiTheme="minorHAnsi" w:cstheme="minorBidi"/>
          <w:noProof/>
          <w:sz w:val="22"/>
          <w:szCs w:val="22"/>
          <w:lang w:eastAsia="en-NZ"/>
        </w:rPr>
      </w:pPr>
      <w:hyperlink w:anchor="_Toc172104722" w:history="1">
        <w:r w:rsidRPr="009F7782">
          <w:rPr>
            <w:rStyle w:val="Hyperlink"/>
            <w:noProof/>
          </w:rPr>
          <w:t>Figure 39: Childhood immunisation coverage at milestone ages, by ethnic group (prioritised ethnicity), 2014–2023</w:t>
        </w:r>
        <w:r>
          <w:rPr>
            <w:noProof/>
            <w:webHidden/>
          </w:rPr>
          <w:tab/>
        </w:r>
        <w:r>
          <w:rPr>
            <w:noProof/>
            <w:webHidden/>
          </w:rPr>
          <w:fldChar w:fldCharType="begin"/>
        </w:r>
        <w:r>
          <w:rPr>
            <w:noProof/>
            <w:webHidden/>
          </w:rPr>
          <w:instrText xml:space="preserve"> PAGEREF _Toc172104722 \h </w:instrText>
        </w:r>
        <w:r>
          <w:rPr>
            <w:noProof/>
            <w:webHidden/>
          </w:rPr>
        </w:r>
        <w:r>
          <w:rPr>
            <w:noProof/>
            <w:webHidden/>
          </w:rPr>
          <w:fldChar w:fldCharType="separate"/>
        </w:r>
        <w:r>
          <w:rPr>
            <w:noProof/>
            <w:webHidden/>
          </w:rPr>
          <w:t>72</w:t>
        </w:r>
        <w:r>
          <w:rPr>
            <w:noProof/>
            <w:webHidden/>
          </w:rPr>
          <w:fldChar w:fldCharType="end"/>
        </w:r>
      </w:hyperlink>
    </w:p>
    <w:p w14:paraId="359AAB9C" w14:textId="69D93BC3" w:rsidR="003A0DFF" w:rsidRDefault="003A0DFF">
      <w:pPr>
        <w:pStyle w:val="TOC3"/>
        <w:rPr>
          <w:rFonts w:asciiTheme="minorHAnsi" w:eastAsiaTheme="minorEastAsia" w:hAnsiTheme="minorHAnsi" w:cstheme="minorBidi"/>
          <w:noProof/>
          <w:sz w:val="22"/>
          <w:szCs w:val="22"/>
          <w:lang w:eastAsia="en-NZ"/>
        </w:rPr>
      </w:pPr>
      <w:hyperlink w:anchor="_Toc172104723" w:history="1">
        <w:r w:rsidRPr="009F7782">
          <w:rPr>
            <w:rStyle w:val="Hyperlink"/>
            <w:noProof/>
          </w:rPr>
          <w:t>Figure 40: Rate of ambulatory sensitive hospitalisations (ASH), by age group and ethnic group (prioritised ethnicity), 2019</w:t>
        </w:r>
        <w:r w:rsidRPr="009F7782">
          <w:rPr>
            <w:rStyle w:val="Hyperlink"/>
            <w:rFonts w:ascii="Calibri" w:hAnsi="Calibri" w:cs="Calibri"/>
            <w:noProof/>
            <w:bdr w:val="none" w:sz="0" w:space="0" w:color="auto" w:frame="1"/>
          </w:rPr>
          <w:t>–</w:t>
        </w:r>
        <w:r w:rsidRPr="009F7782">
          <w:rPr>
            <w:rStyle w:val="Hyperlink"/>
            <w:noProof/>
          </w:rPr>
          <w:t>2023</w:t>
        </w:r>
        <w:r>
          <w:rPr>
            <w:noProof/>
            <w:webHidden/>
          </w:rPr>
          <w:tab/>
        </w:r>
        <w:r>
          <w:rPr>
            <w:noProof/>
            <w:webHidden/>
          </w:rPr>
          <w:fldChar w:fldCharType="begin"/>
        </w:r>
        <w:r>
          <w:rPr>
            <w:noProof/>
            <w:webHidden/>
          </w:rPr>
          <w:instrText xml:space="preserve"> PAGEREF _Toc172104723 \h </w:instrText>
        </w:r>
        <w:r>
          <w:rPr>
            <w:noProof/>
            <w:webHidden/>
          </w:rPr>
        </w:r>
        <w:r>
          <w:rPr>
            <w:noProof/>
            <w:webHidden/>
          </w:rPr>
          <w:fldChar w:fldCharType="separate"/>
        </w:r>
        <w:r>
          <w:rPr>
            <w:noProof/>
            <w:webHidden/>
          </w:rPr>
          <w:t>76</w:t>
        </w:r>
        <w:r>
          <w:rPr>
            <w:noProof/>
            <w:webHidden/>
          </w:rPr>
          <w:fldChar w:fldCharType="end"/>
        </w:r>
      </w:hyperlink>
    </w:p>
    <w:p w14:paraId="09B648BB" w14:textId="6FB7CFCE" w:rsidR="003A0DFF" w:rsidRDefault="003A0DFF">
      <w:pPr>
        <w:pStyle w:val="TOC3"/>
        <w:rPr>
          <w:rFonts w:asciiTheme="minorHAnsi" w:eastAsiaTheme="minorEastAsia" w:hAnsiTheme="minorHAnsi" w:cstheme="minorBidi"/>
          <w:noProof/>
          <w:sz w:val="22"/>
          <w:szCs w:val="22"/>
          <w:lang w:eastAsia="en-NZ"/>
        </w:rPr>
      </w:pPr>
      <w:hyperlink w:anchor="_Toc172104724" w:history="1">
        <w:r w:rsidRPr="009F7782">
          <w:rPr>
            <w:rStyle w:val="Hyperlink"/>
            <w:noProof/>
          </w:rPr>
          <w:t>Figure 41: Proportion of people who waited longer than four months for assessment, or planned treatment, January 2020 – January 2024</w:t>
        </w:r>
        <w:r>
          <w:rPr>
            <w:noProof/>
            <w:webHidden/>
          </w:rPr>
          <w:tab/>
        </w:r>
        <w:r>
          <w:rPr>
            <w:noProof/>
            <w:webHidden/>
          </w:rPr>
          <w:fldChar w:fldCharType="begin"/>
        </w:r>
        <w:r>
          <w:rPr>
            <w:noProof/>
            <w:webHidden/>
          </w:rPr>
          <w:instrText xml:space="preserve"> PAGEREF _Toc172104724 \h </w:instrText>
        </w:r>
        <w:r>
          <w:rPr>
            <w:noProof/>
            <w:webHidden/>
          </w:rPr>
        </w:r>
        <w:r>
          <w:rPr>
            <w:noProof/>
            <w:webHidden/>
          </w:rPr>
          <w:fldChar w:fldCharType="separate"/>
        </w:r>
        <w:r>
          <w:rPr>
            <w:noProof/>
            <w:webHidden/>
          </w:rPr>
          <w:t>78</w:t>
        </w:r>
        <w:r>
          <w:rPr>
            <w:noProof/>
            <w:webHidden/>
          </w:rPr>
          <w:fldChar w:fldCharType="end"/>
        </w:r>
      </w:hyperlink>
    </w:p>
    <w:p w14:paraId="05CC63FD" w14:textId="3110E53B" w:rsidR="003A5FEA" w:rsidRDefault="003A0DFF" w:rsidP="003A5FEA">
      <w:r>
        <w:fldChar w:fldCharType="end"/>
      </w:r>
    </w:p>
    <w:p w14:paraId="0D248541" w14:textId="77777777" w:rsidR="002B76A7" w:rsidRDefault="002B76A7" w:rsidP="002B76A7">
      <w:pPr>
        <w:pStyle w:val="TOC1"/>
        <w:keepNext/>
      </w:pPr>
      <w:r>
        <w:t>List of Tables</w:t>
      </w:r>
    </w:p>
    <w:p w14:paraId="06C8469B" w14:textId="244F3FB9" w:rsidR="00C66B73" w:rsidRDefault="002B76A7">
      <w:pPr>
        <w:pStyle w:val="TOC3"/>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C66B73">
        <w:rPr>
          <w:noProof/>
        </w:rPr>
        <w:t>Table 1: Examples of inequity for Māori, Pacific peoples, and disabled people, compared with the total Aotearoa New Zealand population</w:t>
      </w:r>
      <w:r w:rsidR="00C66B73">
        <w:rPr>
          <w:noProof/>
        </w:rPr>
        <w:tab/>
      </w:r>
      <w:r w:rsidR="00C66B73">
        <w:rPr>
          <w:noProof/>
        </w:rPr>
        <w:fldChar w:fldCharType="begin"/>
      </w:r>
      <w:r w:rsidR="00C66B73">
        <w:rPr>
          <w:noProof/>
        </w:rPr>
        <w:instrText xml:space="preserve"> PAGEREF _Toc172010448 \h </w:instrText>
      </w:r>
      <w:r w:rsidR="00C66B73">
        <w:rPr>
          <w:noProof/>
        </w:rPr>
      </w:r>
      <w:r w:rsidR="00C66B73">
        <w:rPr>
          <w:noProof/>
        </w:rPr>
        <w:fldChar w:fldCharType="separate"/>
      </w:r>
      <w:r w:rsidR="009A6F87">
        <w:rPr>
          <w:noProof/>
        </w:rPr>
        <w:t>10</w:t>
      </w:r>
      <w:r w:rsidR="00C66B73">
        <w:rPr>
          <w:noProof/>
        </w:rPr>
        <w:fldChar w:fldCharType="end"/>
      </w:r>
    </w:p>
    <w:p w14:paraId="4C49630D" w14:textId="03289E3C" w:rsidR="00C66B73" w:rsidRDefault="00C66B73">
      <w:pPr>
        <w:pStyle w:val="TOC3"/>
        <w:rPr>
          <w:rFonts w:asciiTheme="minorHAnsi" w:eastAsiaTheme="minorEastAsia" w:hAnsiTheme="minorHAnsi" w:cstheme="minorBidi"/>
          <w:noProof/>
          <w:sz w:val="22"/>
          <w:szCs w:val="22"/>
          <w:lang w:val="en-AU" w:eastAsia="en-AU"/>
        </w:rPr>
      </w:pPr>
      <w:r>
        <w:rPr>
          <w:noProof/>
        </w:rPr>
        <w:t>Table 2: Top 10 leading causes of disability-adjusted life years (DALYs) (ranked) by age band, GBD level 3, Aotearoa New Zealand, 2021</w:t>
      </w:r>
      <w:r>
        <w:rPr>
          <w:noProof/>
        </w:rPr>
        <w:tab/>
      </w:r>
      <w:r>
        <w:rPr>
          <w:noProof/>
        </w:rPr>
        <w:fldChar w:fldCharType="begin"/>
      </w:r>
      <w:r>
        <w:rPr>
          <w:noProof/>
        </w:rPr>
        <w:instrText xml:space="preserve"> PAGEREF _Toc172010449 \h </w:instrText>
      </w:r>
      <w:r>
        <w:rPr>
          <w:noProof/>
        </w:rPr>
      </w:r>
      <w:r>
        <w:rPr>
          <w:noProof/>
        </w:rPr>
        <w:fldChar w:fldCharType="separate"/>
      </w:r>
      <w:r w:rsidR="009A6F87">
        <w:rPr>
          <w:noProof/>
        </w:rPr>
        <w:t>27</w:t>
      </w:r>
      <w:r>
        <w:rPr>
          <w:noProof/>
        </w:rPr>
        <w:fldChar w:fldCharType="end"/>
      </w:r>
    </w:p>
    <w:p w14:paraId="3669D326" w14:textId="02B79665" w:rsidR="00C66B73" w:rsidRDefault="00C66B73">
      <w:pPr>
        <w:pStyle w:val="TOC3"/>
        <w:rPr>
          <w:rFonts w:asciiTheme="minorHAnsi" w:eastAsiaTheme="minorEastAsia" w:hAnsiTheme="minorHAnsi" w:cstheme="minorBidi"/>
          <w:noProof/>
          <w:sz w:val="22"/>
          <w:szCs w:val="22"/>
          <w:lang w:val="en-AU" w:eastAsia="en-AU"/>
        </w:rPr>
      </w:pPr>
      <w:r>
        <w:rPr>
          <w:noProof/>
        </w:rPr>
        <w:t>Table 3: ACC injury, number of new claims registered, total claims paid ($ million), 2022/23</w:t>
      </w:r>
      <w:r>
        <w:rPr>
          <w:noProof/>
        </w:rPr>
        <w:tab/>
      </w:r>
      <w:r>
        <w:rPr>
          <w:noProof/>
        </w:rPr>
        <w:fldChar w:fldCharType="begin"/>
      </w:r>
      <w:r>
        <w:rPr>
          <w:noProof/>
        </w:rPr>
        <w:instrText xml:space="preserve"> PAGEREF _Toc172010450 \h </w:instrText>
      </w:r>
      <w:r>
        <w:rPr>
          <w:noProof/>
        </w:rPr>
      </w:r>
      <w:r>
        <w:rPr>
          <w:noProof/>
        </w:rPr>
        <w:fldChar w:fldCharType="separate"/>
      </w:r>
      <w:r w:rsidR="009A6F87">
        <w:rPr>
          <w:noProof/>
        </w:rPr>
        <w:t>47</w:t>
      </w:r>
      <w:r>
        <w:rPr>
          <w:noProof/>
        </w:rPr>
        <w:fldChar w:fldCharType="end"/>
      </w:r>
    </w:p>
    <w:p w14:paraId="14D62216" w14:textId="2AA61501" w:rsidR="00C66B73" w:rsidRDefault="00C66B73">
      <w:pPr>
        <w:pStyle w:val="TOC3"/>
        <w:rPr>
          <w:rFonts w:asciiTheme="minorHAnsi" w:eastAsiaTheme="minorEastAsia" w:hAnsiTheme="minorHAnsi" w:cstheme="minorBidi"/>
          <w:noProof/>
          <w:sz w:val="22"/>
          <w:szCs w:val="22"/>
          <w:lang w:val="en-AU" w:eastAsia="en-AU"/>
        </w:rPr>
      </w:pPr>
      <w:r>
        <w:rPr>
          <w:noProof/>
        </w:rPr>
        <w:t>Table 4: Proportion of adults consuming recommended daily amount of fruit and vegetables, by population group, (total response ethnicity), 2022/23</w:t>
      </w:r>
      <w:r>
        <w:rPr>
          <w:noProof/>
        </w:rPr>
        <w:tab/>
      </w:r>
      <w:r>
        <w:rPr>
          <w:noProof/>
        </w:rPr>
        <w:fldChar w:fldCharType="begin"/>
      </w:r>
      <w:r>
        <w:rPr>
          <w:noProof/>
        </w:rPr>
        <w:instrText xml:space="preserve"> PAGEREF _Toc172010451 \h </w:instrText>
      </w:r>
      <w:r>
        <w:rPr>
          <w:noProof/>
        </w:rPr>
      </w:r>
      <w:r>
        <w:rPr>
          <w:noProof/>
        </w:rPr>
        <w:fldChar w:fldCharType="separate"/>
      </w:r>
      <w:r w:rsidR="009A6F87">
        <w:rPr>
          <w:noProof/>
        </w:rPr>
        <w:t>66</w:t>
      </w:r>
      <w:r>
        <w:rPr>
          <w:noProof/>
        </w:rPr>
        <w:fldChar w:fldCharType="end"/>
      </w:r>
    </w:p>
    <w:p w14:paraId="75E67231" w14:textId="218FBB3F" w:rsidR="00C66B73" w:rsidRDefault="00C66B73">
      <w:pPr>
        <w:pStyle w:val="TOC3"/>
        <w:rPr>
          <w:rFonts w:asciiTheme="minorHAnsi" w:eastAsiaTheme="minorEastAsia" w:hAnsiTheme="minorHAnsi" w:cstheme="minorBidi"/>
          <w:noProof/>
          <w:sz w:val="22"/>
          <w:szCs w:val="22"/>
          <w:lang w:val="en-AU" w:eastAsia="en-AU"/>
        </w:rPr>
      </w:pPr>
      <w:r>
        <w:rPr>
          <w:noProof/>
        </w:rPr>
        <w:t>Table 5: Proportion of adults reporting unmet need for primary health care (in the past 12 months) and reason for that unmet need, by population group (total response ethnicity), three-year pooled period ending 2022/23</w:t>
      </w:r>
      <w:r>
        <w:rPr>
          <w:noProof/>
        </w:rPr>
        <w:tab/>
      </w:r>
      <w:r>
        <w:rPr>
          <w:noProof/>
        </w:rPr>
        <w:fldChar w:fldCharType="begin"/>
      </w:r>
      <w:r>
        <w:rPr>
          <w:noProof/>
        </w:rPr>
        <w:instrText xml:space="preserve"> PAGEREF _Toc172010452 \h </w:instrText>
      </w:r>
      <w:r>
        <w:rPr>
          <w:noProof/>
        </w:rPr>
      </w:r>
      <w:r>
        <w:rPr>
          <w:noProof/>
        </w:rPr>
        <w:fldChar w:fldCharType="separate"/>
      </w:r>
      <w:r w:rsidR="009A6F87">
        <w:rPr>
          <w:noProof/>
        </w:rPr>
        <w:t>69</w:t>
      </w:r>
      <w:r>
        <w:rPr>
          <w:noProof/>
        </w:rPr>
        <w:fldChar w:fldCharType="end"/>
      </w:r>
    </w:p>
    <w:p w14:paraId="24B7B797" w14:textId="399CEEFB" w:rsidR="00C66B73" w:rsidRDefault="00C66B73">
      <w:pPr>
        <w:pStyle w:val="TOC3"/>
        <w:rPr>
          <w:rFonts w:asciiTheme="minorHAnsi" w:eastAsiaTheme="minorEastAsia" w:hAnsiTheme="minorHAnsi" w:cstheme="minorBidi"/>
          <w:noProof/>
          <w:sz w:val="22"/>
          <w:szCs w:val="22"/>
          <w:lang w:val="en-AU" w:eastAsia="en-AU"/>
        </w:rPr>
      </w:pPr>
      <w:r>
        <w:rPr>
          <w:noProof/>
        </w:rPr>
        <w:t>Table 6: COVID-19 vaccination status, by ethnic group (prioritised ethnicity), 2023</w:t>
      </w:r>
      <w:r>
        <w:rPr>
          <w:noProof/>
        </w:rPr>
        <w:tab/>
      </w:r>
      <w:r>
        <w:rPr>
          <w:noProof/>
        </w:rPr>
        <w:fldChar w:fldCharType="begin"/>
      </w:r>
      <w:r>
        <w:rPr>
          <w:noProof/>
        </w:rPr>
        <w:instrText xml:space="preserve"> PAGEREF _Toc172010453 \h </w:instrText>
      </w:r>
      <w:r>
        <w:rPr>
          <w:noProof/>
        </w:rPr>
      </w:r>
      <w:r>
        <w:rPr>
          <w:noProof/>
        </w:rPr>
        <w:fldChar w:fldCharType="separate"/>
      </w:r>
      <w:r w:rsidR="009A6F87">
        <w:rPr>
          <w:noProof/>
        </w:rPr>
        <w:t>73</w:t>
      </w:r>
      <w:r>
        <w:rPr>
          <w:noProof/>
        </w:rPr>
        <w:fldChar w:fldCharType="end"/>
      </w:r>
    </w:p>
    <w:p w14:paraId="370AE403" w14:textId="22F9FC5D" w:rsidR="00C66B73" w:rsidRDefault="00C66B73">
      <w:pPr>
        <w:pStyle w:val="TOC3"/>
        <w:rPr>
          <w:rFonts w:asciiTheme="minorHAnsi" w:eastAsiaTheme="minorEastAsia" w:hAnsiTheme="minorHAnsi" w:cstheme="minorBidi"/>
          <w:noProof/>
          <w:sz w:val="22"/>
          <w:szCs w:val="22"/>
          <w:lang w:val="en-AU" w:eastAsia="en-AU"/>
        </w:rPr>
      </w:pPr>
      <w:r>
        <w:rPr>
          <w:noProof/>
        </w:rPr>
        <w:t>Table 7: COVID-19 vaccination status, by age group, 2023</w:t>
      </w:r>
      <w:r>
        <w:rPr>
          <w:noProof/>
        </w:rPr>
        <w:tab/>
      </w:r>
      <w:r>
        <w:rPr>
          <w:noProof/>
        </w:rPr>
        <w:fldChar w:fldCharType="begin"/>
      </w:r>
      <w:r>
        <w:rPr>
          <w:noProof/>
        </w:rPr>
        <w:instrText xml:space="preserve"> PAGEREF _Toc172010454 \h </w:instrText>
      </w:r>
      <w:r>
        <w:rPr>
          <w:noProof/>
        </w:rPr>
      </w:r>
      <w:r>
        <w:rPr>
          <w:noProof/>
        </w:rPr>
        <w:fldChar w:fldCharType="separate"/>
      </w:r>
      <w:r w:rsidR="009A6F87">
        <w:rPr>
          <w:noProof/>
        </w:rPr>
        <w:t>73</w:t>
      </w:r>
      <w:r>
        <w:rPr>
          <w:noProof/>
        </w:rPr>
        <w:fldChar w:fldCharType="end"/>
      </w:r>
    </w:p>
    <w:p w14:paraId="4A6797B1" w14:textId="37DA1DDC" w:rsidR="002B76A7" w:rsidRDefault="002B76A7" w:rsidP="003A5FEA">
      <w:r>
        <w:fldChar w:fldCharType="end"/>
      </w:r>
    </w:p>
    <w:p w14:paraId="5DDB57FC" w14:textId="77777777" w:rsidR="001D3E4E" w:rsidRDefault="001D3E4E" w:rsidP="003A5FEA"/>
    <w:p w14:paraId="42CB3D8F" w14:textId="77777777" w:rsidR="001D3E4E" w:rsidRDefault="001D3E4E" w:rsidP="003A5FEA">
      <w:pPr>
        <w:sectPr w:rsidR="001D3E4E" w:rsidSect="0078658E">
          <w:footerReference w:type="even" r:id="rId29"/>
          <w:pgSz w:w="11907" w:h="16840" w:code="9"/>
          <w:pgMar w:top="1418" w:right="1701" w:bottom="1134" w:left="1843" w:header="284" w:footer="425" w:gutter="284"/>
          <w:pgNumType w:fmt="lowerRoman"/>
          <w:cols w:space="720"/>
        </w:sectPr>
      </w:pPr>
    </w:p>
    <w:p w14:paraId="454D3F31" w14:textId="77777777" w:rsidR="00EC4094" w:rsidRDefault="001C7EEF" w:rsidP="001C7EEF">
      <w:pPr>
        <w:pStyle w:val="Heading1"/>
        <w:rPr>
          <w:rFonts w:eastAsia="Arial Unicode MS"/>
        </w:rPr>
      </w:pPr>
      <w:bookmarkStart w:id="9" w:name="_Toc171944513"/>
      <w:bookmarkStart w:id="10" w:name="_Toc172104653"/>
      <w:r w:rsidRPr="001C7EEF">
        <w:rPr>
          <w:rFonts w:eastAsia="Arial Unicode MS"/>
        </w:rPr>
        <w:lastRenderedPageBreak/>
        <w:t xml:space="preserve">Introduction - He </w:t>
      </w:r>
      <w:proofErr w:type="spellStart"/>
      <w:r w:rsidRPr="001C7EEF">
        <w:rPr>
          <w:rFonts w:eastAsia="Arial Unicode MS"/>
        </w:rPr>
        <w:t>kupu</w:t>
      </w:r>
      <w:proofErr w:type="spellEnd"/>
      <w:r w:rsidRPr="001C7EEF">
        <w:rPr>
          <w:rFonts w:eastAsia="Arial Unicode MS"/>
        </w:rPr>
        <w:t xml:space="preserve"> </w:t>
      </w:r>
      <w:proofErr w:type="spellStart"/>
      <w:r w:rsidRPr="001C7EEF">
        <w:rPr>
          <w:rFonts w:eastAsia="Arial Unicode MS"/>
        </w:rPr>
        <w:t>whakataki</w:t>
      </w:r>
      <w:bookmarkEnd w:id="9"/>
      <w:bookmarkEnd w:id="10"/>
      <w:proofErr w:type="spellEnd"/>
    </w:p>
    <w:p w14:paraId="1366FA5D" w14:textId="492DEB07" w:rsidR="001C7EEF" w:rsidRDefault="001C7EEF" w:rsidP="001C7EEF">
      <w:pPr>
        <w:ind w:right="-285"/>
      </w:pPr>
      <w:r w:rsidRPr="00E47714">
        <w:t xml:space="preserve">The Health and Independence Report is an annual publication </w:t>
      </w:r>
      <w:r>
        <w:t>that</w:t>
      </w:r>
      <w:r w:rsidRPr="00E47714">
        <w:t xml:space="preserve"> the Ministry of Health </w:t>
      </w:r>
      <w:r>
        <w:t xml:space="preserve">– </w:t>
      </w:r>
      <w:r w:rsidRPr="00E47714">
        <w:t>Manatū Hauora prepare</w:t>
      </w:r>
      <w:r>
        <w:t>s</w:t>
      </w:r>
      <w:r w:rsidRPr="00E47714">
        <w:t xml:space="preserve"> on behalf of the Director-General of Health in line with section 3</w:t>
      </w:r>
      <w:r>
        <w:t>C</w:t>
      </w:r>
      <w:r w:rsidRPr="00E47714">
        <w:t xml:space="preserve"> of the Health Act 1956. This</w:t>
      </w:r>
      <w:r>
        <w:t xml:space="preserve"> latest</w:t>
      </w:r>
      <w:r w:rsidRPr="00E47714">
        <w:t xml:space="preserve"> comprehensive </w:t>
      </w:r>
      <w:r>
        <w:t>report</w:t>
      </w:r>
      <w:r w:rsidRPr="00E47714">
        <w:t xml:space="preserve"> provides an overview of the health status of New Zealanders for the 2023 calendar year.</w:t>
      </w:r>
    </w:p>
    <w:p w14:paraId="019E581E" w14:textId="77777777" w:rsidR="001C7EEF" w:rsidRPr="00E47714" w:rsidRDefault="001C7EEF" w:rsidP="001C7EEF">
      <w:pPr>
        <w:ind w:right="-285"/>
      </w:pPr>
    </w:p>
    <w:p w14:paraId="709F8871" w14:textId="32A731F1" w:rsidR="001C7EEF" w:rsidRDefault="001C7EEF" w:rsidP="001C7EEF">
      <w:pPr>
        <w:ind w:right="-285"/>
      </w:pPr>
      <w:r w:rsidRPr="00E47714">
        <w:t>Th</w:t>
      </w:r>
      <w:r>
        <w:t>e</w:t>
      </w:r>
      <w:r w:rsidRPr="00E47714">
        <w:t xml:space="preserve"> overview </w:t>
      </w:r>
      <w:r>
        <w:t>covers</w:t>
      </w:r>
      <w:r w:rsidRPr="00E47714">
        <w:t xml:space="preserve"> various </w:t>
      </w:r>
      <w:r>
        <w:t xml:space="preserve">measures related to the </w:t>
      </w:r>
      <w:r w:rsidRPr="00E47714">
        <w:t>health</w:t>
      </w:r>
      <w:r>
        <w:t xml:space="preserve"> of</w:t>
      </w:r>
      <w:r w:rsidRPr="00E47714">
        <w:t xml:space="preserve"> New Zealanders, ranging from mortality rates and disease prevalence to health service </w:t>
      </w:r>
      <w:r>
        <w:t>use</w:t>
      </w:r>
      <w:r w:rsidRPr="00E47714">
        <w:t xml:space="preserve"> and health inequities. It also </w:t>
      </w:r>
      <w:r>
        <w:t>reports on</w:t>
      </w:r>
      <w:r w:rsidRPr="00E47714">
        <w:t xml:space="preserve"> the wider determinants of health, recognising the profound influence of factors such as poverty, housing, income</w:t>
      </w:r>
      <w:r>
        <w:t>,</w:t>
      </w:r>
      <w:r w:rsidRPr="00E47714">
        <w:t xml:space="preserve"> and employment on </w:t>
      </w:r>
      <w:r>
        <w:t xml:space="preserve">the </w:t>
      </w:r>
      <w:r w:rsidRPr="00E47714">
        <w:t>health outcomes</w:t>
      </w:r>
      <w:r w:rsidRPr="00467B03">
        <w:t xml:space="preserve"> </w:t>
      </w:r>
      <w:r>
        <w:t xml:space="preserve">of </w:t>
      </w:r>
      <w:r w:rsidRPr="00E47714">
        <w:t>individual</w:t>
      </w:r>
      <w:r>
        <w:t>s</w:t>
      </w:r>
      <w:r w:rsidRPr="00E47714">
        <w:t xml:space="preserve"> and communit</w:t>
      </w:r>
      <w:r>
        <w:t>ies</w:t>
      </w:r>
      <w:r w:rsidRPr="00E47714">
        <w:t>.</w:t>
      </w:r>
    </w:p>
    <w:p w14:paraId="5333C97C" w14:textId="77777777" w:rsidR="001C7EEF" w:rsidRPr="00E47714" w:rsidRDefault="001C7EEF" w:rsidP="001C7EEF">
      <w:pPr>
        <w:ind w:right="-285"/>
      </w:pPr>
    </w:p>
    <w:p w14:paraId="33423BE8" w14:textId="04C584B6" w:rsidR="001C7EEF" w:rsidRDefault="001C7EEF" w:rsidP="001C7EEF">
      <w:pPr>
        <w:ind w:right="-285"/>
      </w:pPr>
      <w:r w:rsidRPr="00E47714">
        <w:t>The data presented in this report is the latest available</w:t>
      </w:r>
      <w:r>
        <w:t>. It</w:t>
      </w:r>
      <w:r w:rsidRPr="00E47714">
        <w:t xml:space="preserve"> includes breakdowns by ethnic group, age group, gender, disability status and socioeconomic deprivation. This report also provides information from the 2021 Global Burden of Disease study</w:t>
      </w:r>
      <w:r>
        <w:t xml:space="preserve"> to</w:t>
      </w:r>
      <w:r w:rsidRPr="00E47714">
        <w:t xml:space="preserve"> support evidence-based decision</w:t>
      </w:r>
      <w:r>
        <w:t>-</w:t>
      </w:r>
      <w:r w:rsidRPr="00E47714">
        <w:t>making</w:t>
      </w:r>
      <w:r>
        <w:t>. In this way, it</w:t>
      </w:r>
      <w:r w:rsidRPr="00E47714">
        <w:t xml:space="preserve"> serves as a valuable resource for policy</w:t>
      </w:r>
      <w:r>
        <w:t xml:space="preserve"> </w:t>
      </w:r>
      <w:r w:rsidRPr="00E47714">
        <w:t>makers, health</w:t>
      </w:r>
      <w:r>
        <w:t xml:space="preserve"> </w:t>
      </w:r>
      <w:r w:rsidRPr="00E47714">
        <w:t>care professionals and all stakeholders working to advance the health and wellbeing of New Zealanders.</w:t>
      </w:r>
    </w:p>
    <w:p w14:paraId="2880F011" w14:textId="77777777" w:rsidR="001C7EEF" w:rsidRPr="00E47714" w:rsidRDefault="001C7EEF" w:rsidP="001C7EEF"/>
    <w:p w14:paraId="0F00F9A4" w14:textId="77777777" w:rsidR="001C7EEF" w:rsidRPr="00E47714" w:rsidRDefault="001C7EEF" w:rsidP="001C7EEF">
      <w:r w:rsidRPr="00E47714">
        <w:t xml:space="preserve">The report </w:t>
      </w:r>
      <w:r>
        <w:t>has</w:t>
      </w:r>
      <w:r w:rsidRPr="00E47714">
        <w:t xml:space="preserve"> four </w:t>
      </w:r>
      <w:r>
        <w:t>main</w:t>
      </w:r>
      <w:r w:rsidRPr="00E47714">
        <w:t xml:space="preserve"> sections</w:t>
      </w:r>
      <w:r>
        <w:t>.</w:t>
      </w:r>
    </w:p>
    <w:p w14:paraId="3375D18F" w14:textId="42AFFB37" w:rsidR="001C7EEF" w:rsidRPr="001C7EEF" w:rsidRDefault="001C7EEF" w:rsidP="00183828">
      <w:pPr>
        <w:pStyle w:val="ListParagraph"/>
        <w:numPr>
          <w:ilvl w:val="0"/>
          <w:numId w:val="6"/>
        </w:numPr>
        <w:spacing w:before="90" w:after="0" w:line="240" w:lineRule="auto"/>
        <w:ind w:left="426" w:right="-426" w:hanging="426"/>
        <w:contextualSpacing w:val="0"/>
        <w:rPr>
          <w:rFonts w:cs="Segoe UI"/>
          <w:sz w:val="21"/>
          <w:szCs w:val="21"/>
        </w:rPr>
      </w:pPr>
      <w:r w:rsidRPr="001C7EEF">
        <w:rPr>
          <w:rFonts w:cs="Segoe UI"/>
          <w:sz w:val="21"/>
          <w:szCs w:val="21"/>
        </w:rPr>
        <w:t xml:space="preserve">‘People of Aotearoa New Zealand </w:t>
      </w:r>
      <w:r w:rsidR="00D876EE">
        <w:rPr>
          <w:rFonts w:cs="Segoe UI"/>
          <w:sz w:val="21"/>
          <w:szCs w:val="21"/>
        </w:rPr>
        <w:t>-</w:t>
      </w:r>
      <w:r w:rsidRPr="001C7EEF">
        <w:rPr>
          <w:rFonts w:cs="Segoe UI"/>
          <w:sz w:val="21"/>
          <w:szCs w:val="21"/>
        </w:rPr>
        <w:t xml:space="preserve"> </w:t>
      </w:r>
      <w:proofErr w:type="spellStart"/>
      <w:r w:rsidRPr="001C7EEF">
        <w:rPr>
          <w:rFonts w:cs="Segoe UI"/>
          <w:sz w:val="21"/>
          <w:szCs w:val="21"/>
        </w:rPr>
        <w:t>Ngā</w:t>
      </w:r>
      <w:proofErr w:type="spellEnd"/>
      <w:r w:rsidRPr="001C7EEF">
        <w:rPr>
          <w:rFonts w:cs="Segoe UI"/>
          <w:sz w:val="21"/>
          <w:szCs w:val="21"/>
        </w:rPr>
        <w:t xml:space="preserve"> tāngata o Aotearoa’ outlines health strategies. It describes demographic features of New Zealanders such as population estimates, ethnic and age breakdowns, population distribution, disability status, and inequity.</w:t>
      </w:r>
    </w:p>
    <w:p w14:paraId="49F531A4" w14:textId="22B1C155" w:rsidR="001C7EEF" w:rsidRPr="001C7EEF" w:rsidRDefault="001C7EEF" w:rsidP="00183828">
      <w:pPr>
        <w:pStyle w:val="ListParagraph"/>
        <w:numPr>
          <w:ilvl w:val="0"/>
          <w:numId w:val="6"/>
        </w:numPr>
        <w:spacing w:before="90" w:after="0" w:line="240" w:lineRule="auto"/>
        <w:ind w:left="426" w:right="-426" w:hanging="426"/>
        <w:contextualSpacing w:val="0"/>
        <w:rPr>
          <w:rFonts w:cs="Segoe UI"/>
          <w:sz w:val="21"/>
          <w:szCs w:val="21"/>
        </w:rPr>
      </w:pPr>
      <w:r w:rsidRPr="001C7EEF">
        <w:rPr>
          <w:rFonts w:cs="Segoe UI"/>
          <w:sz w:val="21"/>
          <w:szCs w:val="21"/>
        </w:rPr>
        <w:t xml:space="preserve">‘Health measures </w:t>
      </w:r>
      <w:r w:rsidR="00D876EE">
        <w:rPr>
          <w:rFonts w:cs="Segoe UI"/>
          <w:sz w:val="21"/>
          <w:szCs w:val="21"/>
        </w:rPr>
        <w:t>-</w:t>
      </w:r>
      <w:r w:rsidRPr="001C7EEF">
        <w:rPr>
          <w:rFonts w:cs="Segoe UI"/>
          <w:sz w:val="21"/>
          <w:szCs w:val="21"/>
        </w:rPr>
        <w:t xml:space="preserve"> </w:t>
      </w:r>
      <w:proofErr w:type="spellStart"/>
      <w:r w:rsidRPr="001C7EEF">
        <w:rPr>
          <w:rFonts w:cs="Segoe UI"/>
          <w:sz w:val="21"/>
          <w:szCs w:val="21"/>
        </w:rPr>
        <w:t>Ngā</w:t>
      </w:r>
      <w:proofErr w:type="spellEnd"/>
      <w:r w:rsidRPr="001C7EEF">
        <w:rPr>
          <w:rFonts w:cs="Segoe UI"/>
          <w:sz w:val="21"/>
          <w:szCs w:val="21"/>
        </w:rPr>
        <w:t xml:space="preserve"> </w:t>
      </w:r>
      <w:proofErr w:type="spellStart"/>
      <w:r w:rsidRPr="001C7EEF">
        <w:rPr>
          <w:rFonts w:cs="Segoe UI"/>
          <w:sz w:val="21"/>
          <w:szCs w:val="21"/>
        </w:rPr>
        <w:t>inenga</w:t>
      </w:r>
      <w:proofErr w:type="spellEnd"/>
      <w:r w:rsidRPr="001C7EEF">
        <w:rPr>
          <w:rFonts w:cs="Segoe UI"/>
          <w:sz w:val="21"/>
          <w:szCs w:val="21"/>
        </w:rPr>
        <w:t xml:space="preserve"> </w:t>
      </w:r>
      <w:proofErr w:type="spellStart"/>
      <w:r w:rsidRPr="001C7EEF">
        <w:rPr>
          <w:rFonts w:cs="Segoe UI"/>
          <w:sz w:val="21"/>
          <w:szCs w:val="21"/>
        </w:rPr>
        <w:t>hauora</w:t>
      </w:r>
      <w:proofErr w:type="spellEnd"/>
      <w:r w:rsidRPr="001C7EEF">
        <w:rPr>
          <w:rFonts w:cs="Segoe UI"/>
          <w:sz w:val="21"/>
          <w:szCs w:val="21"/>
        </w:rPr>
        <w:t xml:space="preserve">’ covers the burden of disease, self-rated health, life expectancy, mortality across the population and maternity health measures.  </w:t>
      </w:r>
    </w:p>
    <w:p w14:paraId="5E7E407C" w14:textId="6A42B8BD" w:rsidR="001C7EEF" w:rsidRPr="001C7EEF" w:rsidRDefault="001C7EEF" w:rsidP="00183828">
      <w:pPr>
        <w:pStyle w:val="ListParagraph"/>
        <w:numPr>
          <w:ilvl w:val="0"/>
          <w:numId w:val="6"/>
        </w:numPr>
        <w:spacing w:before="90" w:after="0" w:line="240" w:lineRule="auto"/>
        <w:ind w:left="426" w:right="-426" w:hanging="426"/>
        <w:contextualSpacing w:val="0"/>
        <w:rPr>
          <w:rFonts w:cs="Segoe UI"/>
          <w:sz w:val="21"/>
          <w:szCs w:val="21"/>
        </w:rPr>
      </w:pPr>
      <w:r w:rsidRPr="001C7EEF">
        <w:rPr>
          <w:rFonts w:cs="Segoe UI"/>
          <w:sz w:val="21"/>
          <w:szCs w:val="21"/>
        </w:rPr>
        <w:t xml:space="preserve">‘Causes of health loss </w:t>
      </w:r>
      <w:r w:rsidR="00D876EE">
        <w:rPr>
          <w:rStyle w:val="ui-provider"/>
          <w:sz w:val="21"/>
          <w:szCs w:val="21"/>
        </w:rPr>
        <w:t>-</w:t>
      </w:r>
      <w:r w:rsidRPr="001C7EEF">
        <w:rPr>
          <w:rStyle w:val="ui-provider"/>
          <w:sz w:val="21"/>
          <w:szCs w:val="21"/>
        </w:rPr>
        <w:t xml:space="preserve"> </w:t>
      </w:r>
      <w:proofErr w:type="spellStart"/>
      <w:r w:rsidRPr="001C7EEF">
        <w:rPr>
          <w:rStyle w:val="ui-provider"/>
          <w:sz w:val="21"/>
          <w:szCs w:val="21"/>
        </w:rPr>
        <w:t>Ngā</w:t>
      </w:r>
      <w:proofErr w:type="spellEnd"/>
      <w:r w:rsidRPr="001C7EEF">
        <w:rPr>
          <w:rStyle w:val="ui-provider"/>
          <w:sz w:val="21"/>
          <w:szCs w:val="21"/>
        </w:rPr>
        <w:t xml:space="preserve"> take </w:t>
      </w:r>
      <w:proofErr w:type="spellStart"/>
      <w:r w:rsidRPr="001C7EEF">
        <w:rPr>
          <w:rStyle w:val="ui-provider"/>
          <w:sz w:val="21"/>
          <w:szCs w:val="21"/>
        </w:rPr>
        <w:t>mo</w:t>
      </w:r>
      <w:proofErr w:type="spellEnd"/>
      <w:r w:rsidRPr="001C7EEF">
        <w:rPr>
          <w:rStyle w:val="ui-provider"/>
          <w:sz w:val="21"/>
          <w:szCs w:val="21"/>
        </w:rPr>
        <w:t xml:space="preserve"> </w:t>
      </w:r>
      <w:proofErr w:type="spellStart"/>
      <w:r w:rsidRPr="001C7EEF">
        <w:rPr>
          <w:rStyle w:val="ui-provider"/>
          <w:sz w:val="21"/>
          <w:szCs w:val="21"/>
        </w:rPr>
        <w:t>te</w:t>
      </w:r>
      <w:proofErr w:type="spellEnd"/>
      <w:r w:rsidRPr="001C7EEF">
        <w:rPr>
          <w:rStyle w:val="ui-provider"/>
          <w:sz w:val="21"/>
          <w:szCs w:val="21"/>
        </w:rPr>
        <w:t xml:space="preserve"> mate </w:t>
      </w:r>
      <w:proofErr w:type="spellStart"/>
      <w:r w:rsidR="002F1054">
        <w:rPr>
          <w:rStyle w:val="ui-provider"/>
          <w:sz w:val="21"/>
          <w:szCs w:val="21"/>
        </w:rPr>
        <w:t>h</w:t>
      </w:r>
      <w:r w:rsidRPr="001C7EEF">
        <w:rPr>
          <w:rStyle w:val="ui-provider"/>
          <w:sz w:val="21"/>
          <w:szCs w:val="21"/>
        </w:rPr>
        <w:t>auora</w:t>
      </w:r>
      <w:proofErr w:type="spellEnd"/>
      <w:r w:rsidRPr="001C7EEF">
        <w:rPr>
          <w:rFonts w:cs="Segoe UI"/>
          <w:sz w:val="21"/>
          <w:szCs w:val="21"/>
        </w:rPr>
        <w:t>’ covers the major causes of health loss and introduces the 5+5 concept. This concept focuses on reducing the five major non-communicable diseases (cancer, diabetes, respiratory disease, cardiovascular disease, and poor mental health) by addressing five modifiable risk factors (smoking, alcohol consumption, poor nutrition, physical inactivity, and adverse social and economic factors). This section reports data on cancers, cardiovascular and cerebrovascular diseases, musculoskeletal conditions, mental health, neurological conditions, respiratory diseases, diabetes and chronic kidney disease, oral health, and injury. It also covers infectious diseases – namely COVID-19, rheumatic fever, measles, meningococcal disease, and sexually transmitted infections – as well as antimicrobial resistance.</w:t>
      </w:r>
    </w:p>
    <w:p w14:paraId="2C7CC212" w14:textId="5770CA3F" w:rsidR="001C7EEF" w:rsidRPr="001C7EEF" w:rsidRDefault="001C7EEF" w:rsidP="00183828">
      <w:pPr>
        <w:pStyle w:val="ListParagraph"/>
        <w:numPr>
          <w:ilvl w:val="0"/>
          <w:numId w:val="6"/>
        </w:numPr>
        <w:spacing w:before="90" w:after="0" w:line="240" w:lineRule="auto"/>
        <w:ind w:left="426" w:right="-426" w:hanging="426"/>
        <w:contextualSpacing w:val="0"/>
        <w:rPr>
          <w:rFonts w:cs="Segoe UI"/>
          <w:sz w:val="21"/>
          <w:szCs w:val="21"/>
        </w:rPr>
      </w:pPr>
      <w:r w:rsidRPr="001C7EEF">
        <w:rPr>
          <w:rFonts w:cs="Segoe UI"/>
          <w:sz w:val="21"/>
          <w:szCs w:val="21"/>
        </w:rPr>
        <w:t xml:space="preserve">‘Determinants of health and wellbeing </w:t>
      </w:r>
      <w:r w:rsidR="00D876EE">
        <w:rPr>
          <w:rFonts w:cs="Segoe UI"/>
          <w:sz w:val="21"/>
          <w:szCs w:val="21"/>
        </w:rPr>
        <w:t>-</w:t>
      </w:r>
      <w:r w:rsidRPr="001C7EEF">
        <w:rPr>
          <w:rFonts w:cs="Segoe UI"/>
          <w:sz w:val="21"/>
          <w:szCs w:val="21"/>
        </w:rPr>
        <w:t xml:space="preserve"> </w:t>
      </w:r>
      <w:proofErr w:type="spellStart"/>
      <w:r w:rsidRPr="001C7EEF">
        <w:rPr>
          <w:rFonts w:cs="Segoe UI"/>
          <w:sz w:val="21"/>
          <w:szCs w:val="21"/>
        </w:rPr>
        <w:t>Ngā</w:t>
      </w:r>
      <w:proofErr w:type="spellEnd"/>
      <w:r w:rsidRPr="001C7EEF">
        <w:rPr>
          <w:rFonts w:cs="Segoe UI"/>
          <w:sz w:val="21"/>
          <w:szCs w:val="21"/>
        </w:rPr>
        <w:t xml:space="preserve"> </w:t>
      </w:r>
      <w:proofErr w:type="spellStart"/>
      <w:r w:rsidRPr="001C7EEF">
        <w:rPr>
          <w:rFonts w:cs="Segoe UI"/>
          <w:sz w:val="21"/>
          <w:szCs w:val="21"/>
        </w:rPr>
        <w:t>tūtohu</w:t>
      </w:r>
      <w:proofErr w:type="spellEnd"/>
      <w:r w:rsidRPr="001C7EEF">
        <w:rPr>
          <w:rFonts w:cs="Segoe UI"/>
          <w:sz w:val="21"/>
          <w:szCs w:val="21"/>
        </w:rPr>
        <w:t xml:space="preserve"> o </w:t>
      </w:r>
      <w:proofErr w:type="spellStart"/>
      <w:r w:rsidRPr="001C7EEF">
        <w:rPr>
          <w:rFonts w:cs="Segoe UI"/>
          <w:sz w:val="21"/>
          <w:szCs w:val="21"/>
        </w:rPr>
        <w:t>te</w:t>
      </w:r>
      <w:proofErr w:type="spellEnd"/>
      <w:r w:rsidRPr="001C7EEF">
        <w:rPr>
          <w:rFonts w:cs="Segoe UI"/>
          <w:sz w:val="21"/>
          <w:szCs w:val="21"/>
        </w:rPr>
        <w:t xml:space="preserve"> </w:t>
      </w:r>
      <w:proofErr w:type="spellStart"/>
      <w:r w:rsidRPr="001C7EEF">
        <w:rPr>
          <w:rFonts w:cs="Segoe UI"/>
          <w:sz w:val="21"/>
          <w:szCs w:val="21"/>
        </w:rPr>
        <w:t>hauora</w:t>
      </w:r>
      <w:proofErr w:type="spellEnd"/>
      <w:r w:rsidRPr="001C7EEF">
        <w:rPr>
          <w:rFonts w:cs="Segoe UI"/>
          <w:sz w:val="21"/>
          <w:szCs w:val="21"/>
        </w:rPr>
        <w:t xml:space="preserve"> me </w:t>
      </w:r>
      <w:proofErr w:type="spellStart"/>
      <w:r w:rsidRPr="001C7EEF">
        <w:rPr>
          <w:rFonts w:cs="Segoe UI"/>
          <w:sz w:val="21"/>
          <w:szCs w:val="21"/>
        </w:rPr>
        <w:t>te</w:t>
      </w:r>
      <w:proofErr w:type="spellEnd"/>
      <w:r w:rsidRPr="001C7EEF">
        <w:rPr>
          <w:rFonts w:cs="Segoe UI"/>
          <w:sz w:val="21"/>
          <w:szCs w:val="21"/>
        </w:rPr>
        <w:t xml:space="preserve"> </w:t>
      </w:r>
      <w:proofErr w:type="spellStart"/>
      <w:r w:rsidRPr="001C7EEF">
        <w:rPr>
          <w:rFonts w:cs="Segoe UI"/>
          <w:sz w:val="21"/>
          <w:szCs w:val="21"/>
        </w:rPr>
        <w:t>oranga</w:t>
      </w:r>
      <w:proofErr w:type="spellEnd"/>
      <w:r w:rsidRPr="001C7EEF">
        <w:rPr>
          <w:rFonts w:cs="Segoe UI"/>
          <w:sz w:val="21"/>
          <w:szCs w:val="21"/>
        </w:rPr>
        <w:t xml:space="preserve"> o </w:t>
      </w:r>
      <w:proofErr w:type="spellStart"/>
      <w:r w:rsidRPr="001C7EEF">
        <w:rPr>
          <w:rFonts w:cs="Segoe UI"/>
          <w:sz w:val="21"/>
          <w:szCs w:val="21"/>
        </w:rPr>
        <w:t>te</w:t>
      </w:r>
      <w:proofErr w:type="spellEnd"/>
      <w:r w:rsidRPr="001C7EEF">
        <w:rPr>
          <w:rFonts w:cs="Segoe UI"/>
          <w:sz w:val="21"/>
          <w:szCs w:val="21"/>
        </w:rPr>
        <w:t xml:space="preserve"> </w:t>
      </w:r>
      <w:proofErr w:type="spellStart"/>
      <w:r w:rsidRPr="001C7EEF">
        <w:rPr>
          <w:rFonts w:cs="Segoe UI"/>
          <w:sz w:val="21"/>
          <w:szCs w:val="21"/>
        </w:rPr>
        <w:t>tangata</w:t>
      </w:r>
      <w:proofErr w:type="spellEnd"/>
      <w:r w:rsidRPr="001C7EEF">
        <w:rPr>
          <w:rFonts w:cs="Segoe UI"/>
          <w:sz w:val="21"/>
          <w:szCs w:val="21"/>
        </w:rPr>
        <w:t>’ describes the wider factors that combine to affect the health of individuals: the social and economic environment, the physical environment and individual risk factors. This section also reports on health care measures of access, barriers to primary and community health care, immunisation rates and use of hospital services (emergency and unplanned care, ambulatory sensitive hospitalisations. and planned care services).</w:t>
      </w:r>
    </w:p>
    <w:p w14:paraId="1E8D74D8" w14:textId="77777777" w:rsidR="001C7EEF" w:rsidRDefault="001C7EEF" w:rsidP="001C7EEF">
      <w:pPr>
        <w:rPr>
          <w:rFonts w:eastAsia="Arial Unicode MS"/>
        </w:rPr>
        <w:sectPr w:rsidR="001C7EEF" w:rsidSect="003309CA">
          <w:headerReference w:type="default" r:id="rId30"/>
          <w:footerReference w:type="even" r:id="rId31"/>
          <w:footerReference w:type="default" r:id="rId32"/>
          <w:pgSz w:w="11907" w:h="16834" w:code="9"/>
          <w:pgMar w:top="1418" w:right="1701" w:bottom="1134" w:left="1843" w:header="284" w:footer="425" w:gutter="284"/>
          <w:pgNumType w:start="1"/>
          <w:cols w:space="720"/>
        </w:sectPr>
      </w:pPr>
    </w:p>
    <w:p w14:paraId="701D0700" w14:textId="77777777" w:rsidR="001C7EEF" w:rsidRDefault="001C7EEF" w:rsidP="001C7EEF">
      <w:pPr>
        <w:pStyle w:val="Heading1"/>
        <w:rPr>
          <w:rFonts w:eastAsia="Arial Unicode MS"/>
        </w:rPr>
      </w:pPr>
      <w:bookmarkStart w:id="11" w:name="_Toc171944514"/>
      <w:bookmarkStart w:id="12" w:name="_Toc172104654"/>
      <w:r w:rsidRPr="001C7EEF">
        <w:rPr>
          <w:rFonts w:eastAsia="Arial Unicode MS"/>
        </w:rPr>
        <w:lastRenderedPageBreak/>
        <w:t xml:space="preserve">People of Aotearoa New Zealand - </w:t>
      </w:r>
      <w:proofErr w:type="spellStart"/>
      <w:r w:rsidRPr="001C7EEF">
        <w:rPr>
          <w:rFonts w:eastAsia="Arial Unicode MS"/>
        </w:rPr>
        <w:t>Ngā</w:t>
      </w:r>
      <w:proofErr w:type="spellEnd"/>
      <w:r w:rsidRPr="001C7EEF">
        <w:rPr>
          <w:rFonts w:eastAsia="Arial Unicode MS"/>
        </w:rPr>
        <w:t xml:space="preserve"> tāngata o Aotearoa</w:t>
      </w:r>
      <w:bookmarkEnd w:id="11"/>
      <w:bookmarkEnd w:id="12"/>
    </w:p>
    <w:p w14:paraId="14F55E44" w14:textId="7D7831ED" w:rsidR="001C7EEF" w:rsidRDefault="001C7EEF" w:rsidP="001C7EEF">
      <w:r w:rsidRPr="00E47714">
        <w:t>This section introduces health strategies that build on the 2022 health system reforms</w:t>
      </w:r>
      <w:r>
        <w:t>. It also</w:t>
      </w:r>
      <w:r w:rsidRPr="00E47714">
        <w:t xml:space="preserve"> describes demographic details of the Aotearoa New Zealand population</w:t>
      </w:r>
      <w:r>
        <w:t xml:space="preserve"> such as</w:t>
      </w:r>
      <w:r w:rsidRPr="00E47714">
        <w:t xml:space="preserve"> total population, birth and migration rates, and other key metrics </w:t>
      </w:r>
      <w:r>
        <w:t>of the population</w:t>
      </w:r>
      <w:r w:rsidRPr="00E47714">
        <w:t>. With more than 5.3 million people</w:t>
      </w:r>
      <w:r>
        <w:t xml:space="preserve"> in Aotearoa</w:t>
      </w:r>
      <w:r w:rsidRPr="00E47714">
        <w:t xml:space="preserve"> New Zealand</w:t>
      </w:r>
      <w:r>
        <w:t>, the</w:t>
      </w:r>
      <w:r w:rsidRPr="00E47714">
        <w:t xml:space="preserve"> resident population is divers</w:t>
      </w:r>
      <w:r>
        <w:t>e</w:t>
      </w:r>
      <w:r w:rsidRPr="00E47714">
        <w:t xml:space="preserve"> in terms of ethnicity, age</w:t>
      </w:r>
      <w:r>
        <w:t>,</w:t>
      </w:r>
      <w:r w:rsidRPr="00E47714">
        <w:t xml:space="preserve"> and</w:t>
      </w:r>
      <w:r>
        <w:t xml:space="preserve"> where people live</w:t>
      </w:r>
      <w:r w:rsidRPr="00E47714">
        <w:t>.</w:t>
      </w:r>
    </w:p>
    <w:p w14:paraId="0720417E" w14:textId="77777777" w:rsidR="001C7EEF" w:rsidRDefault="001C7EEF" w:rsidP="001C7EEF"/>
    <w:p w14:paraId="242E10ED" w14:textId="77777777" w:rsidR="001C7EEF" w:rsidRPr="00E47714" w:rsidRDefault="001C7EEF" w:rsidP="001C7EEF">
      <w:r w:rsidRPr="00E47714">
        <w:rPr>
          <w:color w:val="000000" w:themeColor="text1"/>
        </w:rPr>
        <w:t xml:space="preserve">Aotearoa </w:t>
      </w:r>
      <w:r w:rsidRPr="00E47714">
        <w:t>New Zealand, like many other countries, faces inequity within its population</w:t>
      </w:r>
      <w:r>
        <w:t>. These include</w:t>
      </w:r>
      <w:r w:rsidRPr="00E47714">
        <w:t xml:space="preserve"> disparities </w:t>
      </w:r>
      <w:r>
        <w:t>in</w:t>
      </w:r>
      <w:r w:rsidRPr="00E47714">
        <w:t xml:space="preserve"> income, health</w:t>
      </w:r>
      <w:r>
        <w:t xml:space="preserve"> </w:t>
      </w:r>
      <w:r w:rsidRPr="00E47714">
        <w:t xml:space="preserve">care access and health outcomes, housing, wellbeing and social outcomes. </w:t>
      </w:r>
      <w:r>
        <w:t xml:space="preserve">This section reports how </w:t>
      </w:r>
      <w:r w:rsidRPr="00E47714">
        <w:t xml:space="preserve">Māori, Pacific peoples and the disabled population experience disproportionately high rates of socioeconomic deprivation and poorer health outcomes compared </w:t>
      </w:r>
      <w:r>
        <w:t>with</w:t>
      </w:r>
      <w:r w:rsidRPr="00E47714">
        <w:t xml:space="preserve"> the general population.</w:t>
      </w:r>
      <w:r>
        <w:t xml:space="preserve"> </w:t>
      </w:r>
    </w:p>
    <w:p w14:paraId="164C0CBF" w14:textId="77777777" w:rsidR="001C7EEF" w:rsidRPr="00E47714" w:rsidRDefault="001C7EEF" w:rsidP="001C7EEF">
      <w:pPr>
        <w:pStyle w:val="Heading2"/>
      </w:pPr>
      <w:bookmarkStart w:id="13" w:name="_Toc171603255"/>
      <w:bookmarkStart w:id="14" w:name="_Toc171944515"/>
      <w:bookmarkStart w:id="15" w:name="_Toc172104655"/>
      <w:r w:rsidRPr="00E47714">
        <w:t>Health strategy</w:t>
      </w:r>
      <w:bookmarkEnd w:id="13"/>
      <w:bookmarkEnd w:id="14"/>
      <w:bookmarkEnd w:id="15"/>
      <w:r w:rsidRPr="00E47714">
        <w:t xml:space="preserve"> </w:t>
      </w:r>
    </w:p>
    <w:p w14:paraId="7E91BB26" w14:textId="7B7D43EE" w:rsidR="001C7EEF" w:rsidRDefault="001C7EEF" w:rsidP="001C7EEF">
      <w:r w:rsidRPr="00E47714">
        <w:t xml:space="preserve">As part of the New Zealand health system reforms, the </w:t>
      </w:r>
      <w:proofErr w:type="spellStart"/>
      <w:r w:rsidRPr="00E47714">
        <w:t>Pae</w:t>
      </w:r>
      <w:proofErr w:type="spellEnd"/>
      <w:r w:rsidRPr="00E47714">
        <w:t xml:space="preserve"> Ora (Healthy Futures) Act was </w:t>
      </w:r>
      <w:r>
        <w:t>enacted</w:t>
      </w:r>
      <w:r w:rsidRPr="00E47714">
        <w:t xml:space="preserve"> in 2022. The purpose of the Act is to protect, promote and improve the health of all New Zealanders, and to achieve equity by reducing health disparities among population groups, in particular for Māori. </w:t>
      </w:r>
    </w:p>
    <w:p w14:paraId="0FA3F467" w14:textId="77777777" w:rsidR="001C7EEF" w:rsidRPr="00E47714" w:rsidRDefault="001C7EEF" w:rsidP="001C7EEF"/>
    <w:p w14:paraId="37C590C0" w14:textId="77777777" w:rsidR="001C7EEF" w:rsidRPr="00E47714" w:rsidRDefault="001C7EEF" w:rsidP="001C7EEF">
      <w:r w:rsidRPr="00E47714">
        <w:t xml:space="preserve">To deliver </w:t>
      </w:r>
      <w:proofErr w:type="spellStart"/>
      <w:r>
        <w:t>p</w:t>
      </w:r>
      <w:r w:rsidRPr="00E47714">
        <w:t>ae</w:t>
      </w:r>
      <w:proofErr w:type="spellEnd"/>
      <w:r w:rsidRPr="00E47714">
        <w:t xml:space="preserve"> </w:t>
      </w:r>
      <w:proofErr w:type="spellStart"/>
      <w:r>
        <w:t>o</w:t>
      </w:r>
      <w:r w:rsidRPr="00E47714">
        <w:t>ra</w:t>
      </w:r>
      <w:proofErr w:type="spellEnd"/>
      <w:r w:rsidRPr="00E47714">
        <w:t xml:space="preserve"> (healthy futures), the Ministry of Health published </w:t>
      </w:r>
      <w:r>
        <w:t>six</w:t>
      </w:r>
      <w:r w:rsidRPr="00E47714">
        <w:t xml:space="preserve"> strategies in 2023 to set the direction for a system that is equitable, accessible, cohesive</w:t>
      </w:r>
      <w:r>
        <w:t>,</w:t>
      </w:r>
      <w:r w:rsidRPr="00E47714">
        <w:t xml:space="preserve"> and people</w:t>
      </w:r>
      <w:r>
        <w:t xml:space="preserve"> centred</w:t>
      </w:r>
      <w:r w:rsidRPr="00E47714">
        <w:t xml:space="preserve">. The strategies include an overarching </w:t>
      </w:r>
      <w:hyperlink r:id="rId33" w:history="1">
        <w:r w:rsidRPr="00E47714">
          <w:rPr>
            <w:rStyle w:val="Hyperlink"/>
            <w:rFonts w:cs="Segoe UI"/>
          </w:rPr>
          <w:t>New Zealand Health Strategy</w:t>
        </w:r>
      </w:hyperlink>
      <w:r>
        <w:t xml:space="preserve"> </w:t>
      </w:r>
      <w:r>
        <w:fldChar w:fldCharType="begin"/>
      </w:r>
      <w:r>
        <w:instrText xml:space="preserve"> ADDIN EN.CITE &lt;EndNote&gt;&lt;Cite&gt;&lt;Author&gt;Minister of Health&lt;/Author&gt;&lt;Year&gt;2023&lt;/Year&gt;&lt;RecNum&gt;408&lt;/RecNum&gt;&lt;DisplayText&gt;(Minister of Health 2023a)&lt;/DisplayText&gt;&lt;record&gt;&lt;rec-number&gt;408&lt;/rec-number&gt;&lt;foreign-keys&gt;&lt;key app="EN" db-id="aaepvppzs5wtfse95vsp2wahsrtvva2vvdet" timestamp="1716350175"&gt;408&lt;/key&gt;&lt;/foreign-keys&gt;&lt;ref-type name="Government Document"&gt;46&lt;/ref-type&gt;&lt;contributors&gt;&lt;authors&gt;&lt;author&gt;Minister of Health,&lt;/author&gt;&lt;/authors&gt;&lt;/contributors&gt;&lt;titles&gt;&lt;title&gt;New Zealand Health Strategy 2023&lt;/title&gt;&lt;/titles&gt;&lt;dates&gt;&lt;year&gt;2023&lt;/year&gt;&lt;/dates&gt;&lt;pub-location&gt;Wellington: Ministry of Health&lt;/pub-location&gt;&lt;urls&gt;&lt;/urls&gt;&lt;/record&gt;&lt;/Cite&gt;&lt;/EndNote&gt;</w:instrText>
      </w:r>
      <w:r>
        <w:fldChar w:fldCharType="separate"/>
      </w:r>
      <w:r>
        <w:rPr>
          <w:noProof/>
        </w:rPr>
        <w:t>(Minister of Health 2023a)</w:t>
      </w:r>
      <w:r>
        <w:fldChar w:fldCharType="end"/>
      </w:r>
      <w:r w:rsidRPr="00E47714">
        <w:t xml:space="preserve">, and specific strategies </w:t>
      </w:r>
      <w:r>
        <w:t>focusing on the health of</w:t>
      </w:r>
      <w:r w:rsidRPr="00E47714">
        <w:t xml:space="preserve"> </w:t>
      </w:r>
      <w:hyperlink r:id="rId34" w:history="1">
        <w:r w:rsidRPr="00E47714">
          <w:rPr>
            <w:rStyle w:val="Hyperlink"/>
            <w:rFonts w:cs="Segoe UI"/>
          </w:rPr>
          <w:t>Māori</w:t>
        </w:r>
      </w:hyperlink>
      <w:r w:rsidRPr="00E47714">
        <w:t xml:space="preserve">, </w:t>
      </w:r>
      <w:hyperlink r:id="rId35" w:history="1">
        <w:r w:rsidRPr="00E47714">
          <w:rPr>
            <w:rStyle w:val="Hyperlink"/>
            <w:rFonts w:cs="Segoe UI"/>
          </w:rPr>
          <w:t>Pacific</w:t>
        </w:r>
      </w:hyperlink>
      <w:r>
        <w:rPr>
          <w:rStyle w:val="Hyperlink"/>
          <w:rFonts w:cs="Segoe UI"/>
        </w:rPr>
        <w:t xml:space="preserve"> peoples</w:t>
      </w:r>
      <w:r w:rsidRPr="00E47714">
        <w:t xml:space="preserve">, </w:t>
      </w:r>
      <w:hyperlink r:id="rId36" w:history="1">
        <w:r>
          <w:rPr>
            <w:rStyle w:val="Hyperlink"/>
            <w:rFonts w:cs="Segoe UI"/>
          </w:rPr>
          <w:t>d</w:t>
        </w:r>
        <w:r w:rsidRPr="00E47714">
          <w:rPr>
            <w:rStyle w:val="Hyperlink"/>
            <w:rFonts w:cs="Segoe UI"/>
          </w:rPr>
          <w:t>isabled</w:t>
        </w:r>
      </w:hyperlink>
      <w:r>
        <w:rPr>
          <w:rStyle w:val="Hyperlink"/>
          <w:rFonts w:cs="Segoe UI"/>
        </w:rPr>
        <w:t xml:space="preserve"> people</w:t>
      </w:r>
      <w:r w:rsidRPr="00E47714">
        <w:t xml:space="preserve">, </w:t>
      </w:r>
      <w:hyperlink r:id="rId37" w:history="1">
        <w:r>
          <w:rPr>
            <w:rStyle w:val="Hyperlink"/>
            <w:rFonts w:cs="Segoe UI"/>
          </w:rPr>
          <w:t>rural communities</w:t>
        </w:r>
      </w:hyperlink>
      <w:r w:rsidRPr="00E47714">
        <w:t xml:space="preserve"> and </w:t>
      </w:r>
      <w:hyperlink r:id="rId38" w:history="1">
        <w:r>
          <w:rPr>
            <w:rStyle w:val="Hyperlink"/>
            <w:rFonts w:cs="Segoe UI"/>
          </w:rPr>
          <w:t>w</w:t>
        </w:r>
        <w:r w:rsidRPr="00E47714">
          <w:rPr>
            <w:rStyle w:val="Hyperlink"/>
            <w:rFonts w:cs="Segoe UI"/>
          </w:rPr>
          <w:t>omen</w:t>
        </w:r>
      </w:hyperlink>
      <w:r w:rsidRPr="00E47714">
        <w:t xml:space="preserve"> (</w:t>
      </w:r>
      <w:r>
        <w:t xml:space="preserve">for an overview, see </w:t>
      </w:r>
      <w:r>
        <w:fldChar w:fldCharType="begin"/>
      </w:r>
      <w:r>
        <w:instrText xml:space="preserve"> ADDIN EN.CITE &lt;EndNote&gt;&lt;Cite AuthorYear="1"&gt;&lt;Author&gt;Ministry of Health&lt;/Author&gt;&lt;Year&gt;2023&lt;/Year&gt;&lt;RecNum&gt;401&lt;/RecNum&gt;&lt;DisplayText&gt;Ministry of Health (2023i)&lt;/DisplayText&gt;&lt;record&gt;&lt;rec-number&gt;401&lt;/rec-number&gt;&lt;foreign-keys&gt;&lt;key app="EN" db-id="aaepvppzs5wtfse95vsp2wahsrtvva2vvdet" timestamp="1716343107"&gt;401&lt;/key&gt;&lt;/foreign-keys&gt;&lt;ref-type name="Web Page"&gt;12&lt;/ref-type&gt;&lt;contributors&gt;&lt;authors&gt;&lt;author&gt;Ministry of Health,&lt;/author&gt;&lt;/authors&gt;&lt;/contributors&gt;&lt;titles&gt;&lt;title&gt;Setting the direction for our new health system&lt;/title&gt;&lt;/titles&gt;&lt;number&gt;12 May 2024&lt;/number&gt;&lt;dates&gt;&lt;year&gt;2023&lt;/year&gt;&lt;/dates&gt;&lt;urls&gt;&lt;related-urls&gt;&lt;url&gt;health.govt.nz/new-zealand-health-system/setting-direction-our-new-health-system&lt;/url&gt;&lt;/related-urls&gt;&lt;/urls&gt;&lt;/record&gt;&lt;/Cite&gt;&lt;/EndNote&gt;</w:instrText>
      </w:r>
      <w:r>
        <w:fldChar w:fldCharType="separate"/>
      </w:r>
      <w:r>
        <w:rPr>
          <w:noProof/>
        </w:rPr>
        <w:t>Ministry of Health (2023i)</w:t>
      </w:r>
      <w:r>
        <w:fldChar w:fldCharType="end"/>
      </w:r>
      <w:r w:rsidRPr="00E47714">
        <w:t>). T</w:t>
      </w:r>
      <w:r>
        <w:t>ogether t</w:t>
      </w:r>
      <w:r w:rsidRPr="00E47714">
        <w:t xml:space="preserve">hese strategies provide a long-term vision </w:t>
      </w:r>
      <w:r>
        <w:t xml:space="preserve">of an Aotearoa New Zealand </w:t>
      </w:r>
      <w:r w:rsidRPr="00E47714">
        <w:t>where all people can achieve their best possible health.</w:t>
      </w:r>
    </w:p>
    <w:p w14:paraId="314ED79D" w14:textId="77777777" w:rsidR="001C7EEF" w:rsidRPr="00E47714" w:rsidRDefault="001C7EEF" w:rsidP="001C7EEF">
      <w:pPr>
        <w:pStyle w:val="Heading2"/>
      </w:pPr>
      <w:bookmarkStart w:id="16" w:name="_Toc171603256"/>
      <w:bookmarkStart w:id="17" w:name="_Toc171944516"/>
      <w:bookmarkStart w:id="18" w:name="_Toc172104656"/>
      <w:r w:rsidRPr="00E47714">
        <w:t>Population</w:t>
      </w:r>
      <w:bookmarkEnd w:id="16"/>
      <w:bookmarkEnd w:id="17"/>
      <w:bookmarkEnd w:id="18"/>
    </w:p>
    <w:p w14:paraId="38B26EEA" w14:textId="64F00F4A" w:rsidR="001C7EEF" w:rsidRDefault="001C7EEF" w:rsidP="001C7EEF">
      <w:r w:rsidRPr="00E47714">
        <w:t>On 31 December 2023, the total projected population of Aotearoa New Zealand was 5,305,600</w:t>
      </w:r>
      <w:r>
        <w:t xml:space="preserve"> people</w:t>
      </w:r>
      <w:r w:rsidRPr="00E47714">
        <w:t xml:space="preserve">. This compares </w:t>
      </w:r>
      <w:r>
        <w:t>with</w:t>
      </w:r>
      <w:r w:rsidRPr="00E47714">
        <w:t xml:space="preserve"> 5,160,500 the year before</w:t>
      </w:r>
      <w:r>
        <w:t xml:space="preserve"> and represents</w:t>
      </w:r>
      <w:r w:rsidRPr="00E47714">
        <w:t xml:space="preserve"> an increase of 145,100 people (2.8%)</w:t>
      </w:r>
      <w:r w:rsidR="00B9293E">
        <w:t xml:space="preserve"> </w:t>
      </w:r>
      <w:r w:rsidR="00D01E1A">
        <w:t>(</w:t>
      </w:r>
      <w:r w:rsidR="00D01E1A">
        <w:fldChar w:fldCharType="begin"/>
      </w:r>
      <w:r w:rsidR="00D01E1A">
        <w:instrText xml:space="preserve"> ADDIN EN.CITE &lt;EndNote&gt;&lt;Cite AuthorYear="1"&gt;&lt;Author&gt;Stats NZ &lt;/Author&gt;&lt;Year&gt;2024&lt;/Year&gt;&lt;RecNum&gt;521&lt;/RecNum&gt;&lt;DisplayText&gt;Stats NZ (2024e)&lt;/DisplayText&gt;&lt;record&gt;&lt;rec-number&gt;521&lt;/rec-number&gt;&lt;foreign-keys&gt;&lt;key app="EN" db-id="aaepvppzs5wtfse95vsp2wahsrtvva2vvdet" timestamp="1717467921"&gt;521&lt;/key&gt;&lt;/foreign-keys&gt;&lt;ref-type name="Web Page"&gt;12&lt;/ref-type&gt;&lt;contributors&gt;&lt;authors&gt;&lt;author&gt;Stats NZ ,&lt;/author&gt;&lt;/authors&gt;&lt;/contributors&gt;&lt;titles&gt;&lt;title&gt;Estimated Resident Population by Age and Sex (1991+) (Annual-Dec)&lt;/title&gt;&lt;/titles&gt;&lt;number&gt;9 May 2024&lt;/number&gt;&lt;dates&gt;&lt;year&gt;2024&lt;/year&gt;&lt;/dates&gt;&lt;urls&gt;&lt;related-urls&gt;&lt;url&gt;infoshare.stats.govt.nz/Default.aspx&lt;/url&gt;&lt;/related-urls&gt;&lt;/urls&gt;&lt;/record&gt;&lt;/Cite&gt;&lt;/EndNote&gt;</w:instrText>
      </w:r>
      <w:r w:rsidR="00D01E1A">
        <w:fldChar w:fldCharType="separate"/>
      </w:r>
      <w:r w:rsidR="00D01E1A">
        <w:rPr>
          <w:noProof/>
        </w:rPr>
        <w:t>Stats NZ 2024e)</w:t>
      </w:r>
      <w:r w:rsidR="00D01E1A">
        <w:fldChar w:fldCharType="end"/>
      </w:r>
      <w:r w:rsidRPr="00E47714">
        <w:t>.</w:t>
      </w:r>
    </w:p>
    <w:p w14:paraId="0400E673" w14:textId="77777777" w:rsidR="001C7EEF" w:rsidRPr="00E47714" w:rsidRDefault="001C7EEF" w:rsidP="001C7EEF"/>
    <w:p w14:paraId="3055C86C" w14:textId="319573D0" w:rsidR="001C7EEF" w:rsidRDefault="001C7EEF" w:rsidP="001C7EEF">
      <w:r w:rsidRPr="00E47714">
        <w:t>Two factors contributed to this increase</w:t>
      </w:r>
      <w:r>
        <w:t>.</w:t>
      </w:r>
    </w:p>
    <w:p w14:paraId="4D88C894" w14:textId="77777777" w:rsidR="001C7EEF" w:rsidRDefault="001C7EEF" w:rsidP="001C7EEF"/>
    <w:p w14:paraId="65F6A0AA" w14:textId="464778DA" w:rsidR="001C7EEF" w:rsidRPr="00E47714" w:rsidRDefault="001C7EEF" w:rsidP="001C7EEF">
      <w:r>
        <w:t xml:space="preserve">First, the population </w:t>
      </w:r>
      <w:r w:rsidRPr="00E47714">
        <w:t>increase</w:t>
      </w:r>
      <w:r>
        <w:t>d naturally</w:t>
      </w:r>
      <w:r w:rsidRPr="00E47714">
        <w:t xml:space="preserve"> </w:t>
      </w:r>
      <w:r>
        <w:t>by an estimated</w:t>
      </w:r>
      <w:r w:rsidRPr="00E47714">
        <w:t xml:space="preserve"> 19,071</w:t>
      </w:r>
      <w:r>
        <w:t xml:space="preserve"> people; this total comes from</w:t>
      </w:r>
      <w:r w:rsidRPr="00E47714">
        <w:t xml:space="preserve"> 56,955 live births </w:t>
      </w:r>
      <w:r>
        <w:t>minus</w:t>
      </w:r>
      <w:r w:rsidRPr="00E47714">
        <w:t xml:space="preserve"> 37,884 deaths</w:t>
      </w:r>
      <w:r w:rsidR="00D01E1A">
        <w:t xml:space="preserve"> </w:t>
      </w:r>
      <w:r w:rsidR="00D01E1A">
        <w:fldChar w:fldCharType="begin"/>
      </w:r>
      <w:r w:rsidR="00D01E1A">
        <w:instrText xml:space="preserve"> ADDIN EN.CITE &lt;EndNote&gt;&lt;Cite&gt;&lt;Author&gt;Stats NZ &lt;/Author&gt;&lt;Year&gt;2024&lt;/Year&gt;&lt;RecNum&gt;402&lt;/RecNum&gt;&lt;DisplayText&gt;(Stats NZ 2024a)&lt;/DisplayText&gt;&lt;record&gt;&lt;rec-number&gt;402&lt;/rec-number&gt;&lt;foreign-keys&gt;&lt;key app="EN" db-id="aaepvppzs5wtfse95vsp2wahsrtvva2vvdet" timestamp="1716345098"&gt;402&lt;/key&gt;&lt;/foreign-keys&gt;&lt;ref-type name="Web Page"&gt;12&lt;/ref-type&gt;&lt;contributors&gt;&lt;authors&gt;&lt;author&gt;Stats NZ ,&lt;/author&gt;&lt;/authors&gt;&lt;/contributors&gt;&lt;titles&gt;&lt;title&gt;Births and deaths: Year ended December 2023 (including abridged period life table)&lt;/title&gt;&lt;/titles&gt;&lt;number&gt;22 May 2024&lt;/number&gt;&lt;dates&gt;&lt;year&gt;2024&lt;/year&gt;&lt;/dates&gt;&lt;urls&gt;&lt;related-urls&gt;&lt;url&gt;stats.govt.nz/information-releases/births-and-deaths-year-ended-december-2023-including-abridged-period-life-table&lt;/url&gt;&lt;/related-urls&gt;&lt;/urls&gt;&lt;/record&gt;&lt;/Cite&gt;&lt;/EndNote&gt;</w:instrText>
      </w:r>
      <w:r w:rsidR="00D01E1A">
        <w:fldChar w:fldCharType="separate"/>
      </w:r>
      <w:r w:rsidR="00D01E1A">
        <w:rPr>
          <w:noProof/>
        </w:rPr>
        <w:t>(Stats NZ 2024a)</w:t>
      </w:r>
      <w:r w:rsidR="00D01E1A">
        <w:fldChar w:fldCharType="end"/>
      </w:r>
      <w:r w:rsidRPr="00E47714">
        <w:t xml:space="preserve">. This was the </w:t>
      </w:r>
      <w:r w:rsidRPr="00E47714">
        <w:lastRenderedPageBreak/>
        <w:t xml:space="preserve">lowest natural increase since 1943 (during World War Two) when there were 17,562 more births than deaths </w:t>
      </w:r>
      <w:r>
        <w:fldChar w:fldCharType="begin"/>
      </w:r>
      <w:r>
        <w:instrText xml:space="preserve"> ADDIN EN.CITE &lt;EndNote&gt;&lt;Cite&gt;&lt;Author&gt;Stats NZ &lt;/Author&gt;&lt;Year&gt;2024&lt;/Year&gt;&lt;RecNum&gt;403&lt;/RecNum&gt;&lt;DisplayText&gt;(Stats NZ 2024i)&lt;/DisplayText&gt;&lt;record&gt;&lt;rec-number&gt;403&lt;/rec-number&gt;&lt;foreign-keys&gt;&lt;key app="EN" db-id="aaepvppzs5wtfse95vsp2wahsrtvva2vvdet" timestamp="1716345304"&gt;403&lt;/key&gt;&lt;/foreign-keys&gt;&lt;ref-type name="Web Page"&gt;12&lt;/ref-type&gt;&lt;contributors&gt;&lt;authors&gt;&lt;author&gt;Stats NZ ,&lt;/author&gt;&lt;/authors&gt;&lt;/contributors&gt;&lt;titles&gt;&lt;title&gt;Lowest natural increase in 80 years&lt;/title&gt;&lt;/titles&gt;&lt;number&gt;22 May 2024&lt;/number&gt;&lt;dates&gt;&lt;year&gt;2024&lt;/year&gt;&lt;/dates&gt;&lt;urls&gt;&lt;related-urls&gt;&lt;url&gt;stats.govt.nz/news/lowest-natural-increase-in-80-years&lt;/url&gt;&lt;/related-urls&gt;&lt;/urls&gt;&lt;/record&gt;&lt;/Cite&gt;&lt;/EndNote&gt;</w:instrText>
      </w:r>
      <w:r>
        <w:fldChar w:fldCharType="separate"/>
      </w:r>
      <w:r>
        <w:rPr>
          <w:noProof/>
        </w:rPr>
        <w:t>(Stats NZ 2024i)</w:t>
      </w:r>
      <w:r>
        <w:fldChar w:fldCharType="end"/>
      </w:r>
      <w:r w:rsidRPr="00E47714">
        <w:t>.</w:t>
      </w:r>
    </w:p>
    <w:p w14:paraId="417E73E6" w14:textId="77777777" w:rsidR="001C7EEF" w:rsidRPr="00E47714" w:rsidRDefault="001C7EEF" w:rsidP="001C7EEF">
      <w:pPr>
        <w:pStyle w:val="Bullet"/>
      </w:pPr>
      <w:r w:rsidRPr="00E47714">
        <w:t xml:space="preserve">For the year ended December 2023, there were 1,932 fewer births and 690 fewer deaths compared with the year ended December 2022. </w:t>
      </w:r>
    </w:p>
    <w:p w14:paraId="2B3105BD" w14:textId="1383C3B0" w:rsidR="001C7EEF" w:rsidRDefault="001C7EEF" w:rsidP="001C7EEF">
      <w:pPr>
        <w:pStyle w:val="Bullet"/>
      </w:pPr>
      <w:r w:rsidRPr="00E47714">
        <w:t>The number of births in 2023 was the lowest in 20 years. The total fertility rate</w:t>
      </w:r>
      <w:r w:rsidRPr="00E47714">
        <w:rPr>
          <w:rStyle w:val="FootnoteReference"/>
          <w:rFonts w:cs="Segoe UI"/>
        </w:rPr>
        <w:footnoteReference w:id="3"/>
      </w:r>
      <w:r w:rsidRPr="00E47714">
        <w:t xml:space="preserve"> was 1.56, </w:t>
      </w:r>
      <w:r>
        <w:t>which</w:t>
      </w:r>
      <w:r w:rsidRPr="00E47714">
        <w:t xml:space="preserve"> is the lowest rate ever recorded, down from 1.66 for the year ended December 2022 </w:t>
      </w:r>
      <w:r>
        <w:fldChar w:fldCharType="begin"/>
      </w:r>
      <w:r>
        <w:instrText xml:space="preserve"> ADDIN EN.CITE &lt;EndNote&gt;&lt;Cite&gt;&lt;Author&gt;Stats NZ &lt;/Author&gt;&lt;Year&gt;2024&lt;/Year&gt;&lt;RecNum&gt;402&lt;/RecNum&gt;&lt;DisplayText&gt;(Stats NZ 2024a)&lt;/DisplayText&gt;&lt;record&gt;&lt;rec-number&gt;402&lt;/rec-number&gt;&lt;foreign-keys&gt;&lt;key app="EN" db-id="aaepvppzs5wtfse95vsp2wahsrtvva2vvdet" timestamp="1716345098"&gt;402&lt;/key&gt;&lt;/foreign-keys&gt;&lt;ref-type name="Web Page"&gt;12&lt;/ref-type&gt;&lt;contributors&gt;&lt;authors&gt;&lt;author&gt;Stats NZ ,&lt;/author&gt;&lt;/authors&gt;&lt;/contributors&gt;&lt;titles&gt;&lt;title&gt;Births and deaths: Year ended December 2023 (including abridged period life table)&lt;/title&gt;&lt;/titles&gt;&lt;number&gt;22 May 2024&lt;/number&gt;&lt;dates&gt;&lt;year&gt;2024&lt;/year&gt;&lt;/dates&gt;&lt;urls&gt;&lt;related-urls&gt;&lt;url&gt;stats.govt.nz/information-releases/births-and-deaths-year-ended-december-2023-including-abridged-period-life-table&lt;/url&gt;&lt;/related-urls&gt;&lt;/urls&gt;&lt;/record&gt;&lt;/Cite&gt;&lt;/EndNote&gt;</w:instrText>
      </w:r>
      <w:r>
        <w:fldChar w:fldCharType="separate"/>
      </w:r>
      <w:r>
        <w:rPr>
          <w:noProof/>
        </w:rPr>
        <w:t>(Stats NZ 2024a)</w:t>
      </w:r>
      <w:r>
        <w:fldChar w:fldCharType="end"/>
      </w:r>
      <w:r w:rsidRPr="00E47714">
        <w:t>.</w:t>
      </w:r>
    </w:p>
    <w:p w14:paraId="40F6FC52" w14:textId="77777777" w:rsidR="001C7EEF" w:rsidRPr="00E47714" w:rsidRDefault="001C7EEF" w:rsidP="001C7EEF"/>
    <w:p w14:paraId="12B5EC92" w14:textId="4B6EDCEE" w:rsidR="001C7EEF" w:rsidRPr="00E47714" w:rsidRDefault="001C7EEF" w:rsidP="001C7EEF">
      <w:pPr>
        <w:rPr>
          <w:color w:val="0B0C0C"/>
          <w:lang w:eastAsia="en-NZ"/>
        </w:rPr>
      </w:pPr>
      <w:r>
        <w:rPr>
          <w:rFonts w:cs="Segoe UI"/>
        </w:rPr>
        <w:t>Second, t</w:t>
      </w:r>
      <w:r w:rsidRPr="00E47714">
        <w:t>he</w:t>
      </w:r>
      <w:r>
        <w:t xml:space="preserve"> population grew through an</w:t>
      </w:r>
      <w:r w:rsidRPr="00190256">
        <w:t xml:space="preserve"> </w:t>
      </w:r>
      <w:r w:rsidRPr="00E47714">
        <w:t>increase</w:t>
      </w:r>
      <w:r>
        <w:t xml:space="preserve"> in</w:t>
      </w:r>
      <w:r w:rsidRPr="00E47714">
        <w:t xml:space="preserve"> international migration (migrant arrivals minus migrant departures) </w:t>
      </w:r>
      <w:r>
        <w:fldChar w:fldCharType="begin"/>
      </w:r>
      <w:r>
        <w:instrText xml:space="preserve"> ADDIN EN.CITE &lt;EndNote&gt;&lt;Cite&gt;&lt;Author&gt;Stats NZ &lt;/Author&gt;&lt;Year&gt;2024&lt;/Year&gt;&lt;RecNum&gt;518&lt;/RecNum&gt;&lt;DisplayText&gt;(Stats NZ 2024j)&lt;/DisplayText&gt;&lt;record&gt;&lt;rec-number&gt;518&lt;/rec-number&gt;&lt;foreign-keys&gt;&lt;key app="EN" db-id="aaepvppzs5wtfse95vsp2wahsrtvva2vvdet" timestamp="1717453520"&gt;518&lt;/key&gt;&lt;/foreign-keys&gt;&lt;ref-type name="Web Page"&gt;12&lt;/ref-type&gt;&lt;contributors&gt;&lt;authors&gt;&lt;author&gt;Stats NZ ,&lt;/author&gt;&lt;/authors&gt;&lt;/contributors&gt;&lt;titles&gt;&lt;title&gt;Migration&lt;/title&gt;&lt;/titles&gt;&lt;number&gt;7 March 2024&lt;/number&gt;&lt;dates&gt;&lt;year&gt;2024&lt;/year&gt;&lt;/dates&gt;&lt;urls&gt;&lt;related-urls&gt;&lt;url&gt;stats.govt.nz/topics/migration&lt;/url&gt;&lt;/related-urls&gt;&lt;/urls&gt;&lt;/record&gt;&lt;/Cite&gt;&lt;/EndNote&gt;</w:instrText>
      </w:r>
      <w:r>
        <w:fldChar w:fldCharType="separate"/>
      </w:r>
      <w:r>
        <w:rPr>
          <w:noProof/>
        </w:rPr>
        <w:t>(Stats NZ 2024j)</w:t>
      </w:r>
      <w:r>
        <w:fldChar w:fldCharType="end"/>
      </w:r>
      <w:r w:rsidRPr="00E47714">
        <w:t xml:space="preserve">. International migration statistics count and describe movements of people into and out of </w:t>
      </w:r>
      <w:r w:rsidRPr="00E47714">
        <w:rPr>
          <w:color w:val="000000" w:themeColor="text1"/>
        </w:rPr>
        <w:t xml:space="preserve">Aotearoa </w:t>
      </w:r>
      <w:r w:rsidRPr="00E47714">
        <w:t xml:space="preserve">New Zealand. </w:t>
      </w:r>
      <w:r w:rsidRPr="00E47714">
        <w:rPr>
          <w:color w:val="0B0C0C"/>
          <w:lang w:eastAsia="en-NZ"/>
        </w:rPr>
        <w:t>Provisional estimates for the 2023 year</w:t>
      </w:r>
      <w:r>
        <w:rPr>
          <w:rStyle w:val="FootnoteReference"/>
          <w:lang w:eastAsia="en-NZ"/>
        </w:rPr>
        <w:footnoteReference w:id="4"/>
      </w:r>
      <w:r w:rsidRPr="00E47714">
        <w:rPr>
          <w:color w:val="0B0C0C"/>
          <w:lang w:eastAsia="en-NZ"/>
        </w:rPr>
        <w:t xml:space="preserve"> </w:t>
      </w:r>
      <w:r>
        <w:rPr>
          <w:color w:val="0B0C0C"/>
          <w:lang w:eastAsia="en-NZ"/>
        </w:rPr>
        <w:fldChar w:fldCharType="begin"/>
      </w:r>
      <w:r>
        <w:rPr>
          <w:color w:val="0B0C0C"/>
          <w:lang w:eastAsia="en-NZ"/>
        </w:rPr>
        <w:instrText xml:space="preserve"> ADDIN EN.CITE &lt;EndNote&gt;&lt;Cite&gt;&lt;Author&gt;Stats NZ &lt;/Author&gt;&lt;Year&gt;2024&lt;/Year&gt;&lt;RecNum&gt;518&lt;/RecNum&gt;&lt;DisplayText&gt;(Stats NZ 2024j)&lt;/DisplayText&gt;&lt;record&gt;&lt;rec-number&gt;518&lt;/rec-number&gt;&lt;foreign-keys&gt;&lt;key app="EN" db-id="aaepvppzs5wtfse95vsp2wahsrtvva2vvdet" timestamp="1717453520"&gt;518&lt;/key&gt;&lt;/foreign-keys&gt;&lt;ref-type name="Web Page"&gt;12&lt;/ref-type&gt;&lt;contributors&gt;&lt;authors&gt;&lt;author&gt;Stats NZ ,&lt;/author&gt;&lt;/authors&gt;&lt;/contributors&gt;&lt;titles&gt;&lt;title&gt;Migration&lt;/title&gt;&lt;/titles&gt;&lt;number&gt;7 March 2024&lt;/number&gt;&lt;dates&gt;&lt;year&gt;2024&lt;/year&gt;&lt;/dates&gt;&lt;urls&gt;&lt;related-urls&gt;&lt;url&gt;stats.govt.nz/topics/migration&lt;/url&gt;&lt;/related-urls&gt;&lt;/urls&gt;&lt;/record&gt;&lt;/Cite&gt;&lt;/EndNote&gt;</w:instrText>
      </w:r>
      <w:r>
        <w:rPr>
          <w:color w:val="0B0C0C"/>
          <w:lang w:eastAsia="en-NZ"/>
        </w:rPr>
        <w:fldChar w:fldCharType="separate"/>
      </w:r>
      <w:r>
        <w:rPr>
          <w:noProof/>
          <w:color w:val="0B0C0C"/>
          <w:lang w:eastAsia="en-NZ"/>
        </w:rPr>
        <w:t>(Stats NZ 2024j)</w:t>
      </w:r>
      <w:r>
        <w:rPr>
          <w:color w:val="0B0C0C"/>
          <w:lang w:eastAsia="en-NZ"/>
        </w:rPr>
        <w:fldChar w:fldCharType="end"/>
      </w:r>
      <w:r w:rsidRPr="00E47714">
        <w:rPr>
          <w:color w:val="0B0C0C"/>
          <w:lang w:eastAsia="en-NZ"/>
        </w:rPr>
        <w:t xml:space="preserve"> </w:t>
      </w:r>
      <w:r>
        <w:rPr>
          <w:color w:val="0B0C0C"/>
          <w:lang w:eastAsia="en-NZ"/>
        </w:rPr>
        <w:t>are</w:t>
      </w:r>
      <w:r w:rsidRPr="00E47714">
        <w:rPr>
          <w:color w:val="0B0C0C"/>
          <w:lang w:eastAsia="en-NZ"/>
        </w:rPr>
        <w:t>:</w:t>
      </w:r>
    </w:p>
    <w:p w14:paraId="68414666" w14:textId="77777777" w:rsidR="001C7EEF" w:rsidRPr="00E47714" w:rsidRDefault="001C7EEF" w:rsidP="001C7EEF">
      <w:pPr>
        <w:pStyle w:val="Bullet"/>
        <w:rPr>
          <w:lang w:eastAsia="en-NZ"/>
        </w:rPr>
      </w:pPr>
      <w:r w:rsidRPr="00E47714">
        <w:rPr>
          <w:lang w:eastAsia="en-NZ"/>
        </w:rPr>
        <w:t>migrant arrivals: 2</w:t>
      </w:r>
      <w:r>
        <w:rPr>
          <w:lang w:eastAsia="en-NZ"/>
        </w:rPr>
        <w:t>40,123</w:t>
      </w:r>
      <w:r w:rsidRPr="00E47714">
        <w:rPr>
          <w:lang w:eastAsia="en-NZ"/>
        </w:rPr>
        <w:t>, up 1</w:t>
      </w:r>
      <w:r>
        <w:rPr>
          <w:lang w:eastAsia="en-NZ"/>
        </w:rPr>
        <w:t>01.0</w:t>
      </w:r>
      <w:r w:rsidRPr="00E47714">
        <w:rPr>
          <w:lang w:eastAsia="en-NZ"/>
        </w:rPr>
        <w:t>% from the previous year</w:t>
      </w:r>
    </w:p>
    <w:p w14:paraId="2B369B16" w14:textId="77777777" w:rsidR="001C7EEF" w:rsidRPr="00E47714" w:rsidRDefault="001C7EEF" w:rsidP="001C7EEF">
      <w:pPr>
        <w:pStyle w:val="Bullet"/>
        <w:rPr>
          <w:lang w:eastAsia="en-NZ"/>
        </w:rPr>
      </w:pPr>
      <w:r w:rsidRPr="00E47714">
        <w:rPr>
          <w:lang w:eastAsia="en-NZ"/>
        </w:rPr>
        <w:t>migrant departures: 1</w:t>
      </w:r>
      <w:r>
        <w:rPr>
          <w:lang w:eastAsia="en-NZ"/>
        </w:rPr>
        <w:t>09,141</w:t>
      </w:r>
      <w:r w:rsidRPr="00E47714">
        <w:rPr>
          <w:lang w:eastAsia="en-NZ"/>
        </w:rPr>
        <w:t xml:space="preserve">, up </w:t>
      </w:r>
      <w:r>
        <w:rPr>
          <w:lang w:eastAsia="en-NZ"/>
        </w:rPr>
        <w:t>15.4</w:t>
      </w:r>
      <w:r w:rsidRPr="00E47714">
        <w:rPr>
          <w:lang w:eastAsia="en-NZ"/>
        </w:rPr>
        <w:t>% from the previous year</w:t>
      </w:r>
    </w:p>
    <w:p w14:paraId="68E86146" w14:textId="77777777" w:rsidR="001C7EEF" w:rsidRPr="00E47714" w:rsidRDefault="001C7EEF" w:rsidP="001C7EEF">
      <w:pPr>
        <w:pStyle w:val="Bullet"/>
        <w:rPr>
          <w:lang w:eastAsia="en-NZ"/>
        </w:rPr>
      </w:pPr>
      <w:r w:rsidRPr="00E47714">
        <w:rPr>
          <w:lang w:eastAsia="en-NZ"/>
        </w:rPr>
        <w:t>annual net migration: gain of 1</w:t>
      </w:r>
      <w:r>
        <w:rPr>
          <w:lang w:eastAsia="en-NZ"/>
        </w:rPr>
        <w:t>30,981</w:t>
      </w:r>
      <w:r w:rsidRPr="00E47714">
        <w:rPr>
          <w:lang w:eastAsia="en-NZ"/>
        </w:rPr>
        <w:t>, compared with a net gain of 24,</w:t>
      </w:r>
      <w:r>
        <w:rPr>
          <w:lang w:eastAsia="en-NZ"/>
        </w:rPr>
        <w:t>900</w:t>
      </w:r>
      <w:r w:rsidRPr="00E47714">
        <w:rPr>
          <w:lang w:eastAsia="en-NZ"/>
        </w:rPr>
        <w:t xml:space="preserve"> for the year ended December 2022 (following a net loss of 14,950 in 2021). The 2023 year was provisionally the highest net gain on record for </w:t>
      </w:r>
      <w:r>
        <w:rPr>
          <w:lang w:eastAsia="en-NZ"/>
        </w:rPr>
        <w:t>one year</w:t>
      </w:r>
      <w:r w:rsidRPr="00E47714">
        <w:rPr>
          <w:lang w:eastAsia="en-NZ"/>
        </w:rPr>
        <w:t>.</w:t>
      </w:r>
    </w:p>
    <w:p w14:paraId="0D95B7F9" w14:textId="77777777" w:rsidR="001C7EEF" w:rsidRDefault="001C7EEF" w:rsidP="001C7EEF">
      <w:pPr>
        <w:rPr>
          <w:lang w:eastAsia="en-NZ"/>
        </w:rPr>
      </w:pPr>
    </w:p>
    <w:p w14:paraId="35E8A2CE" w14:textId="372F8BC4" w:rsidR="001C7EEF" w:rsidRPr="00E47714" w:rsidRDefault="001C7EEF" w:rsidP="001C7EEF">
      <w:pPr>
        <w:rPr>
          <w:lang w:eastAsia="en-NZ"/>
        </w:rPr>
      </w:pPr>
      <w:r w:rsidRPr="00E47714">
        <w:rPr>
          <w:lang w:eastAsia="en-NZ"/>
        </w:rPr>
        <w:fldChar w:fldCharType="begin"/>
      </w:r>
      <w:r w:rsidRPr="00E47714">
        <w:rPr>
          <w:lang w:eastAsia="en-NZ"/>
        </w:rPr>
        <w:instrText xml:space="preserve"> REF _Ref165273452 \h  \* MERGEFORMAT </w:instrText>
      </w:r>
      <w:r w:rsidRPr="00E47714">
        <w:rPr>
          <w:lang w:eastAsia="en-NZ"/>
        </w:rPr>
      </w:r>
      <w:r w:rsidRPr="00E47714">
        <w:rPr>
          <w:lang w:eastAsia="en-NZ"/>
        </w:rPr>
        <w:fldChar w:fldCharType="separate"/>
      </w:r>
      <w:r w:rsidR="009A6F87" w:rsidRPr="00E47714">
        <w:t xml:space="preserve">Figure </w:t>
      </w:r>
      <w:r w:rsidR="009A6F87">
        <w:t>1</w:t>
      </w:r>
      <w:r w:rsidRPr="00E47714">
        <w:rPr>
          <w:lang w:eastAsia="en-NZ"/>
        </w:rPr>
        <w:fldChar w:fldCharType="end"/>
      </w:r>
      <w:r w:rsidRPr="00E47714">
        <w:rPr>
          <w:lang w:eastAsia="en-NZ"/>
        </w:rPr>
        <w:t xml:space="preserve"> shows international net migration between June 2013 and December 2023. This is the balance </w:t>
      </w:r>
      <w:r>
        <w:rPr>
          <w:lang w:eastAsia="en-NZ"/>
        </w:rPr>
        <w:t>of</w:t>
      </w:r>
      <w:r w:rsidRPr="00E47714">
        <w:rPr>
          <w:lang w:eastAsia="en-NZ"/>
        </w:rPr>
        <w:t xml:space="preserve"> individuals arriving in </w:t>
      </w:r>
      <w:r w:rsidRPr="00E47714">
        <w:rPr>
          <w:color w:val="000000" w:themeColor="text1"/>
        </w:rPr>
        <w:t xml:space="preserve">Aotearoa </w:t>
      </w:r>
      <w:r w:rsidRPr="00E47714">
        <w:rPr>
          <w:lang w:eastAsia="en-NZ"/>
        </w:rPr>
        <w:t xml:space="preserve">New Zealand minus those departing. </w:t>
      </w:r>
    </w:p>
    <w:p w14:paraId="38BA93A6" w14:textId="22B968D5" w:rsidR="001C7EEF" w:rsidRDefault="001C7EEF" w:rsidP="001C7EEF">
      <w:pPr>
        <w:pStyle w:val="Figure"/>
        <w:rPr>
          <w:rStyle w:val="ui-provider"/>
        </w:rPr>
      </w:pPr>
      <w:bookmarkStart w:id="19" w:name="_Ref165273452"/>
      <w:bookmarkStart w:id="20" w:name="_Toc171330648"/>
      <w:bookmarkStart w:id="21" w:name="_Toc172104684"/>
      <w:r w:rsidRPr="00E47714">
        <w:t xml:space="preserve">Figure </w:t>
      </w:r>
      <w:fldSimple w:instr=" SEQ Figure \* ARABIC ">
        <w:r w:rsidR="009A6F87">
          <w:rPr>
            <w:noProof/>
          </w:rPr>
          <w:t>1</w:t>
        </w:r>
      </w:fldSimple>
      <w:bookmarkEnd w:id="19"/>
      <w:r w:rsidRPr="00E47714">
        <w:t xml:space="preserve">: International net migration to Aotearoa New Zealand, rolling year end, </w:t>
      </w:r>
      <w:r w:rsidRPr="00E47714">
        <w:rPr>
          <w:rStyle w:val="ui-provider"/>
          <w:rFonts w:eastAsiaTheme="majorEastAsia"/>
        </w:rPr>
        <w:t xml:space="preserve">June 2013 </w:t>
      </w:r>
      <w:r>
        <w:rPr>
          <w:rStyle w:val="ui-provider"/>
          <w:rFonts w:eastAsiaTheme="majorEastAsia"/>
        </w:rPr>
        <w:t>–</w:t>
      </w:r>
      <w:r w:rsidRPr="00E47714">
        <w:rPr>
          <w:rStyle w:val="ui-provider"/>
          <w:rFonts w:eastAsiaTheme="majorEastAsia"/>
        </w:rPr>
        <w:t xml:space="preserve"> December 2023</w:t>
      </w:r>
      <w:bookmarkEnd w:id="20"/>
      <w:bookmarkEnd w:id="21"/>
    </w:p>
    <w:p w14:paraId="68BF26D6" w14:textId="4C7B7E7C" w:rsidR="001C7EEF" w:rsidRDefault="001C7EEF" w:rsidP="001C7EEF">
      <w:r>
        <w:rPr>
          <w:noProof/>
        </w:rPr>
        <w:drawing>
          <wp:inline distT="0" distB="0" distL="0" distR="0" wp14:anchorId="40F277DC" wp14:editId="13BE7287">
            <wp:extent cx="5105400" cy="2384406"/>
            <wp:effectExtent l="0" t="0" r="0" b="0"/>
            <wp:docPr id="6" name="Picture 6" descr="This chart shows net migration counts over the past year from the end of June 2013 to the end of December 2023. In June 2013, the estimated net migration over the past year was 809 people. Net migration increased up to a peak of 91,860 people yearly in March 2020 then decreasing and reaching a low of -20,093 in February 2022. Following this net migration increased rapidly, reaching a peak of 137,736 people yearly in Octo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chart shows net migration counts over the past year from the end of June 2013 to the end of December 2023. In June 2013, the estimated net migration over the past year was 809 people. Net migration increased up to a peak of 91,860 people yearly in March 2020 then decreasing and reaching a low of -20,093 in February 2022. Following this net migration increased rapidly, reaching a peak of 137,736 people yearly in October 20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1339" cy="2391850"/>
                    </a:xfrm>
                    <a:prstGeom prst="rect">
                      <a:avLst/>
                    </a:prstGeom>
                    <a:noFill/>
                  </pic:spPr>
                </pic:pic>
              </a:graphicData>
            </a:graphic>
          </wp:inline>
        </w:drawing>
      </w:r>
    </w:p>
    <w:p w14:paraId="0841D04A" w14:textId="77777777" w:rsidR="001C7EEF" w:rsidRPr="00E47714" w:rsidRDefault="001C7EEF" w:rsidP="001C7EEF">
      <w:pPr>
        <w:pStyle w:val="Source"/>
      </w:pPr>
      <w:r w:rsidRPr="00E47714">
        <w:rPr>
          <w:b/>
        </w:rPr>
        <w:t>Source:</w:t>
      </w:r>
      <w:r w:rsidRPr="00E47714">
        <w:t xml:space="preserve"> </w:t>
      </w:r>
      <w:r>
        <w:fldChar w:fldCharType="begin"/>
      </w:r>
      <w:r>
        <w:instrText xml:space="preserve"> ADDIN EN.CITE &lt;EndNote&gt;&lt;Cite AuthorYear="1"&gt;&lt;Author&gt;Stats NZ &lt;/Author&gt;&lt;Year&gt;2024&lt;/Year&gt;&lt;RecNum&gt;518&lt;/RecNum&gt;&lt;DisplayText&gt;Stats NZ (2024j)&lt;/DisplayText&gt;&lt;record&gt;&lt;rec-number&gt;518&lt;/rec-number&gt;&lt;foreign-keys&gt;&lt;key app="EN" db-id="aaepvppzs5wtfse95vsp2wahsrtvva2vvdet" timestamp="1717453520"&gt;518&lt;/key&gt;&lt;/foreign-keys&gt;&lt;ref-type name="Web Page"&gt;12&lt;/ref-type&gt;&lt;contributors&gt;&lt;authors&gt;&lt;author&gt;Stats NZ ,&lt;/author&gt;&lt;/authors&gt;&lt;/contributors&gt;&lt;titles&gt;&lt;title&gt;Migration&lt;/title&gt;&lt;/titles&gt;&lt;number&gt;7 March 2024&lt;/number&gt;&lt;dates&gt;&lt;year&gt;2024&lt;/year&gt;&lt;/dates&gt;&lt;urls&gt;&lt;related-urls&gt;&lt;url&gt;stats.govt.nz/topics/migration&lt;/url&gt;&lt;/related-urls&gt;&lt;/urls&gt;&lt;/record&gt;&lt;/Cite&gt;&lt;/EndNote&gt;</w:instrText>
      </w:r>
      <w:r>
        <w:fldChar w:fldCharType="separate"/>
      </w:r>
      <w:r>
        <w:rPr>
          <w:noProof/>
        </w:rPr>
        <w:t>Stats NZ (2024j)</w:t>
      </w:r>
      <w:r>
        <w:fldChar w:fldCharType="end"/>
      </w:r>
    </w:p>
    <w:p w14:paraId="5FE0539D" w14:textId="77777777" w:rsidR="001C7EEF" w:rsidRPr="00E47714" w:rsidRDefault="001C7EEF" w:rsidP="001C7EEF">
      <w:pPr>
        <w:pStyle w:val="Heading2"/>
      </w:pPr>
      <w:bookmarkStart w:id="22" w:name="_Toc171603257"/>
      <w:bookmarkStart w:id="23" w:name="_Toc171944517"/>
      <w:bookmarkStart w:id="24" w:name="_Toc172104657"/>
      <w:r w:rsidRPr="00E47714">
        <w:t>Demographics</w:t>
      </w:r>
      <w:bookmarkEnd w:id="22"/>
      <w:bookmarkEnd w:id="23"/>
      <w:bookmarkEnd w:id="24"/>
    </w:p>
    <w:p w14:paraId="3BF498BC" w14:textId="77777777" w:rsidR="001C7EEF" w:rsidRPr="00E47714" w:rsidRDefault="001C7EEF" w:rsidP="001C7EEF">
      <w:r w:rsidRPr="00E47714">
        <w:t xml:space="preserve">To provide an understanding of the demographic landscape in 2023, this section </w:t>
      </w:r>
      <w:r>
        <w:t>examines</w:t>
      </w:r>
      <w:r w:rsidRPr="00E47714">
        <w:t xml:space="preserve"> various demographic </w:t>
      </w:r>
      <w:r>
        <w:t>characteristics</w:t>
      </w:r>
      <w:r w:rsidRPr="00E47714">
        <w:t xml:space="preserve"> of the </w:t>
      </w:r>
      <w:r w:rsidRPr="00E47714">
        <w:rPr>
          <w:color w:val="000000" w:themeColor="text1"/>
        </w:rPr>
        <w:t xml:space="preserve">Aotearoa </w:t>
      </w:r>
      <w:r w:rsidRPr="00E47714">
        <w:t xml:space="preserve">New Zealand </w:t>
      </w:r>
      <w:r w:rsidRPr="00E47714">
        <w:lastRenderedPageBreak/>
        <w:t>population</w:t>
      </w:r>
      <w:r>
        <w:t>. In particular, it looks at</w:t>
      </w:r>
      <w:r w:rsidRPr="00E47714">
        <w:t xml:space="preserve"> ethnic group</w:t>
      </w:r>
      <w:r>
        <w:t>s</w:t>
      </w:r>
      <w:r w:rsidRPr="00E47714">
        <w:t>, age profile, geographic distribution and</w:t>
      </w:r>
      <w:r>
        <w:t xml:space="preserve"> level of</w:t>
      </w:r>
      <w:r w:rsidRPr="00E47714">
        <w:t xml:space="preserve"> socioeconomic deprivation. </w:t>
      </w:r>
    </w:p>
    <w:p w14:paraId="319430F3" w14:textId="77777777" w:rsidR="001C7EEF" w:rsidRPr="001C7EEF" w:rsidRDefault="001C7EEF" w:rsidP="001C7EEF">
      <w:pPr>
        <w:pStyle w:val="Heading3"/>
      </w:pPr>
      <w:r w:rsidRPr="001C7EEF">
        <w:t>Ethnic groups</w:t>
      </w:r>
    </w:p>
    <w:p w14:paraId="1D26AD27" w14:textId="6353DA7D" w:rsidR="001C7EEF" w:rsidRDefault="001C7EEF" w:rsidP="001C7EEF">
      <w:r w:rsidRPr="00E47714">
        <w:rPr>
          <w:color w:val="000000" w:themeColor="text1"/>
        </w:rPr>
        <w:t xml:space="preserve">Aotearoa </w:t>
      </w:r>
      <w:r w:rsidRPr="00E47714">
        <w:t>New Zealand’s population is made up of many different ethnic groups: the 2018 Census counted over 160 ethnic groups at th</w:t>
      </w:r>
      <w:r>
        <w:t>at</w:t>
      </w:r>
      <w:r w:rsidRPr="00E47714">
        <w:t xml:space="preserve"> time</w:t>
      </w:r>
      <w:r>
        <w:t xml:space="preserve"> </w:t>
      </w:r>
      <w:r>
        <w:fldChar w:fldCharType="begin"/>
      </w:r>
      <w:r>
        <w:instrText xml:space="preserve"> ADDIN EN.CITE &lt;EndNote&gt;&lt;Cite&gt;&lt;Author&gt;Stats NZ &lt;/Author&gt;&lt;Year&gt;2020&lt;/Year&gt;&lt;RecNum&gt;405&lt;/RecNum&gt;&lt;DisplayText&gt;(Stats NZ 2020b)&lt;/DisplayText&gt;&lt;record&gt;&lt;rec-number&gt;405&lt;/rec-number&gt;&lt;foreign-keys&gt;&lt;key app="EN" db-id="aaepvppzs5wtfse95vsp2wahsrtvva2vvdet" timestamp="1716345966"&gt;405&lt;/key&gt;&lt;/foreign-keys&gt;&lt;ref-type name="Web Page"&gt;12&lt;/ref-type&gt;&lt;contributors&gt;&lt;authors&gt;&lt;author&gt;Stats NZ ,&lt;/author&gt;&lt;/authors&gt;&lt;/contributors&gt;&lt;titles&gt;&lt;title&gt;Ethnic group summaries reveal New Zealand’s multicultural make-up&lt;/title&gt;&lt;/titles&gt;&lt;number&gt;22 May 2024&lt;/number&gt;&lt;dates&gt;&lt;year&gt;2020&lt;/year&gt;&lt;/dates&gt;&lt;urls&gt;&lt;related-urls&gt;&lt;url&gt;stats.govt.nz/news/ethnic-group-summaries-reveal-new-zealands-multicultural-make-up&lt;/url&gt;&lt;/related-urls&gt;&lt;/urls&gt;&lt;/record&gt;&lt;/Cite&gt;&lt;/EndNote&gt;</w:instrText>
      </w:r>
      <w:r>
        <w:fldChar w:fldCharType="separate"/>
      </w:r>
      <w:r>
        <w:rPr>
          <w:noProof/>
        </w:rPr>
        <w:t>(Stats NZ 2020b)</w:t>
      </w:r>
      <w:r>
        <w:fldChar w:fldCharType="end"/>
      </w:r>
      <w:r w:rsidRPr="00E47714">
        <w:t xml:space="preserve">. In 2023, the projected population </w:t>
      </w:r>
      <w:r>
        <w:t xml:space="preserve">using total response ethnicity </w:t>
      </w:r>
      <w:r w:rsidRPr="00E47714">
        <w:t>was: Māori 17.4% of the total population, Pacific peoples 8.8%, Middle Eastern/Latin American/African (MELAA) 1.9%, Asian 17.9% and European</w:t>
      </w:r>
      <w:r>
        <w:t>/o</w:t>
      </w:r>
      <w:r w:rsidRPr="00E47714">
        <w:t xml:space="preserve">ther 68.9% </w:t>
      </w:r>
      <w:r>
        <w:fldChar w:fldCharType="begin"/>
      </w:r>
      <w:r>
        <w:instrText xml:space="preserve"> ADDIN EN.CITE &lt;EndNote&gt;&lt;Cite&gt;&lt;Author&gt;Stats NZ &lt;/Author&gt;&lt;Year&gt;2024&lt;/Year&gt;&lt;RecNum&gt;529&lt;/RecNum&gt;&lt;DisplayText&gt;(Stats NZ 2024k)&lt;/DisplayText&gt;&lt;record&gt;&lt;rec-number&gt;529&lt;/rec-number&gt;&lt;foreign-keys&gt;&lt;key app="EN" db-id="aaepvppzs5wtfse95vsp2wahsrtvva2vvdet" timestamp="1717550905"&gt;529&lt;/key&gt;&lt;/foreign-keys&gt;&lt;ref-type name="Web Page"&gt;12&lt;/ref-type&gt;&lt;contributors&gt;&lt;authors&gt;&lt;author&gt;Stats NZ ,&lt;/author&gt;&lt;/authors&gt;&lt;/contributors&gt;&lt;titles&gt;&lt;title&gt;National ethnic population projections, by age and sex, 2018(base)–2043&lt;/title&gt;&lt;/titles&gt;&lt;number&gt;5 June 2024&lt;/number&gt;&lt;dates&gt;&lt;year&gt;2024&lt;/year&gt;&lt;/dates&gt;&lt;urls&gt;&lt;related-urls&gt;&lt;url&gt;nzdotstat.stats.govt.nz/wbos/Index.aspx&lt;/url&gt;&lt;/related-urls&gt;&lt;/urls&gt;&lt;/record&gt;&lt;/Cite&gt;&lt;/EndNote&gt;</w:instrText>
      </w:r>
      <w:r>
        <w:fldChar w:fldCharType="separate"/>
      </w:r>
      <w:r>
        <w:rPr>
          <w:noProof/>
        </w:rPr>
        <w:t>(Stats NZ 2024k)</w:t>
      </w:r>
      <w:r>
        <w:fldChar w:fldCharType="end"/>
      </w:r>
      <w:r w:rsidRPr="00E47714">
        <w:t>.</w:t>
      </w:r>
    </w:p>
    <w:p w14:paraId="22F1E2C0" w14:textId="77777777" w:rsidR="001C7EEF" w:rsidRPr="00E47714" w:rsidRDefault="001C7EEF" w:rsidP="001C7EEF"/>
    <w:p w14:paraId="6FCD6098" w14:textId="77777777" w:rsidR="001C7EEF" w:rsidRPr="00E47714" w:rsidRDefault="001C7EEF" w:rsidP="001C7EEF">
      <w:r w:rsidRPr="00E47714">
        <w:t xml:space="preserve">Ethnic comparisons </w:t>
      </w:r>
      <w:r>
        <w:t>can</w:t>
      </w:r>
      <w:r w:rsidRPr="00E47714">
        <w:t xml:space="preserve"> be based on either prioritised ethnicity or total response ethnicity. With prioritised ethnicity, ethnic groups are mutually exclusive. That is, a person can appear in only one ethnic group</w:t>
      </w:r>
      <w:r>
        <w:t>. If they identify with more than one group</w:t>
      </w:r>
      <w:r w:rsidRPr="00E47714">
        <w:t xml:space="preserve">, </w:t>
      </w:r>
      <w:r>
        <w:t>the group chosen for analysis</w:t>
      </w:r>
      <w:r w:rsidRPr="00E47714">
        <w:t xml:space="preserve"> is generally prioritised in the following order: Māori, Pacific peoples, Asian, other. Total response ethnicity classifies a person into all ethnic groups they identify with. This means that a person can appear in more than one ethnic group</w:t>
      </w:r>
      <w:r>
        <w:t xml:space="preserve"> and t</w:t>
      </w:r>
      <w:r w:rsidRPr="004E00CD">
        <w:t>he sum of ethnic groups will then add to more than 100%.</w:t>
      </w:r>
      <w:r>
        <w:t xml:space="preserve"> </w:t>
      </w:r>
      <w:r w:rsidRPr="00E47714">
        <w:t xml:space="preserve">When comparing ethnic groups and age groups, using total response ethnicity is recommended as </w:t>
      </w:r>
      <w:r>
        <w:t xml:space="preserve">people in younger age groups are more likely to identify with </w:t>
      </w:r>
      <w:r w:rsidRPr="00E47714">
        <w:t xml:space="preserve">multiple ethnicities and ethnic prioritisation </w:t>
      </w:r>
      <w:r>
        <w:t>may</w:t>
      </w:r>
      <w:r w:rsidRPr="00E47714">
        <w:t xml:space="preserve"> misrepresent the age structure of those ethnic groups. </w:t>
      </w:r>
      <w:r>
        <w:t>When we report on ethnicity in this report, we state t</w:t>
      </w:r>
      <w:r w:rsidRPr="00E47714">
        <w:t>he ethnic comparison method used</w:t>
      </w:r>
      <w:r>
        <w:t xml:space="preserve"> in each case</w:t>
      </w:r>
      <w:r w:rsidRPr="00E47714">
        <w:t>.</w:t>
      </w:r>
    </w:p>
    <w:p w14:paraId="34FFA699" w14:textId="77777777" w:rsidR="001C7EEF" w:rsidRPr="00E47714" w:rsidRDefault="001C7EEF" w:rsidP="001C7EEF">
      <w:pPr>
        <w:pStyle w:val="Heading3"/>
      </w:pPr>
      <w:r w:rsidRPr="00E47714">
        <w:t>Age profile</w:t>
      </w:r>
    </w:p>
    <w:p w14:paraId="4EA70D54" w14:textId="20577975" w:rsidR="001C7EEF" w:rsidRDefault="001C7EEF" w:rsidP="001C7EEF">
      <w:r w:rsidRPr="00E47714">
        <w:t xml:space="preserve">The population of </w:t>
      </w:r>
      <w:r w:rsidRPr="00E47714">
        <w:rPr>
          <w:color w:val="000000" w:themeColor="text1"/>
        </w:rPr>
        <w:t xml:space="preserve">Aotearoa </w:t>
      </w:r>
      <w:r w:rsidRPr="00E47714">
        <w:t>New Zealand and the world is ageing. This is a result of the continued decline in fertility rates and increased life expectancy. According to the World Health Organization</w:t>
      </w:r>
      <w:r>
        <w:t xml:space="preserve"> (WHO)</w:t>
      </w:r>
      <w:r w:rsidRPr="00E47714">
        <w:t>, all count</w:t>
      </w:r>
      <w:r>
        <w:t>r</w:t>
      </w:r>
      <w:r w:rsidRPr="00E47714">
        <w:t xml:space="preserve">ies face major challenges </w:t>
      </w:r>
      <w:r>
        <w:t>in</w:t>
      </w:r>
      <w:r w:rsidRPr="00E47714">
        <w:t xml:space="preserve"> </w:t>
      </w:r>
      <w:r>
        <w:t>preparing</w:t>
      </w:r>
      <w:r w:rsidRPr="00E47714">
        <w:t xml:space="preserve"> health and social systems for this demographic shift</w:t>
      </w:r>
      <w:r>
        <w:t xml:space="preserve"> </w:t>
      </w:r>
      <w:r>
        <w:fldChar w:fldCharType="begin"/>
      </w:r>
      <w:r>
        <w:instrText xml:space="preserve"> ADDIN EN.CITE &lt;EndNote&gt;&lt;Cite&gt;&lt;Author&gt;WHO&lt;/Author&gt;&lt;Year&gt;2022&lt;/Year&gt;&lt;RecNum&gt;406&lt;/RecNum&gt;&lt;DisplayText&gt;(WHO 2022a)&lt;/DisplayText&gt;&lt;record&gt;&lt;rec-number&gt;406&lt;/rec-number&gt;&lt;foreign-keys&gt;&lt;key app="EN" db-id="aaepvppzs5wtfse95vsp2wahsrtvva2vvdet" timestamp="1716348236"&gt;406&lt;/key&gt;&lt;/foreign-keys&gt;&lt;ref-type name="Web Page"&gt;12&lt;/ref-type&gt;&lt;contributors&gt;&lt;authors&gt;&lt;author&gt;WHO&lt;/author&gt;&lt;/authors&gt;&lt;/contributors&gt;&lt;titles&gt;&lt;title&gt;Ageing and health&lt;/title&gt;&lt;/titles&gt;&lt;number&gt;22 May 2024&lt;/number&gt;&lt;dates&gt;&lt;year&gt;2022&lt;/year&gt;&lt;/dates&gt;&lt;urls&gt;&lt;related-urls&gt;&lt;url&gt;who.int/news-room/fact-sheets/detail/ageing-and-health&lt;/url&gt;&lt;/related-urls&gt;&lt;/urls&gt;&lt;/record&gt;&lt;/Cite&gt;&lt;/EndNote&gt;</w:instrText>
      </w:r>
      <w:r>
        <w:fldChar w:fldCharType="separate"/>
      </w:r>
      <w:r>
        <w:rPr>
          <w:noProof/>
        </w:rPr>
        <w:t>(WHO 2022a)</w:t>
      </w:r>
      <w:r>
        <w:fldChar w:fldCharType="end"/>
      </w:r>
      <w:r w:rsidRPr="00E47714">
        <w:t xml:space="preserve">. </w:t>
      </w:r>
    </w:p>
    <w:p w14:paraId="56DB5206" w14:textId="77777777" w:rsidR="001C7EEF" w:rsidRDefault="001C7EEF" w:rsidP="001C7EEF"/>
    <w:p w14:paraId="79B72FDF" w14:textId="655443D6" w:rsidR="001C7EEF" w:rsidRDefault="001C7EEF" w:rsidP="001C7EEF">
      <w:r w:rsidRPr="00E47714">
        <w:t xml:space="preserve">In </w:t>
      </w:r>
      <w:r w:rsidRPr="00E47714">
        <w:rPr>
          <w:color w:val="000000" w:themeColor="text1"/>
        </w:rPr>
        <w:t xml:space="preserve">Aotearoa </w:t>
      </w:r>
      <w:r w:rsidRPr="00E47714">
        <w:t>New Zealand, the number of people aged 65 years or older is likely to reach 1</w:t>
      </w:r>
      <w:r>
        <w:t> </w:t>
      </w:r>
      <w:r w:rsidRPr="00E47714">
        <w:t xml:space="preserve">million by 2028 </w:t>
      </w:r>
      <w:r>
        <w:fldChar w:fldCharType="begin"/>
      </w:r>
      <w:r>
        <w:instrText xml:space="preserve"> ADDIN EN.CITE &lt;EndNote&gt;&lt;Cite&gt;&lt;Author&gt;Stats NZ &lt;/Author&gt;&lt;Year&gt;2022&lt;/Year&gt;&lt;RecNum&gt;407&lt;/RecNum&gt;&lt;DisplayText&gt;(Stats NZ 2022a)&lt;/DisplayText&gt;&lt;record&gt;&lt;rec-number&gt;407&lt;/rec-number&gt;&lt;foreign-keys&gt;&lt;key app="EN" db-id="aaepvppzs5wtfse95vsp2wahsrtvva2vvdet" timestamp="1716348419"&gt;407&lt;/key&gt;&lt;/foreign-keys&gt;&lt;ref-type name="Web Page"&gt;12&lt;/ref-type&gt;&lt;contributors&gt;&lt;authors&gt;&lt;author&gt;Stats NZ ,&lt;/author&gt;&lt;/authors&gt;&lt;/contributors&gt;&lt;titles&gt;&lt;title&gt;One million people aged 65+ by 2028&lt;/title&gt;&lt;/titles&gt;&lt;number&gt;22 May 2024&lt;/number&gt;&lt;dates&gt;&lt;year&gt;2022&lt;/year&gt;&lt;/dates&gt;&lt;urls&gt;&lt;related-urls&gt;&lt;url&gt;stats.govt.nz/news/one-million-people-aged-65-by-2028&lt;/url&gt;&lt;/related-urls&gt;&lt;/urls&gt;&lt;/record&gt;&lt;/Cite&gt;&lt;/EndNote&gt;</w:instrText>
      </w:r>
      <w:r>
        <w:fldChar w:fldCharType="separate"/>
      </w:r>
      <w:r>
        <w:rPr>
          <w:noProof/>
        </w:rPr>
        <w:t>(Stats NZ 2022a)</w:t>
      </w:r>
      <w:r>
        <w:fldChar w:fldCharType="end"/>
      </w:r>
      <w:r w:rsidRPr="00E47714">
        <w:t>. An ageing population tends to put more demand on a health system, as older people commonly require more health services than younger people. There is also a risk of higher overall rates of disability in the future as the population ages. This is because for both males and females, disability rates rise steadily with age</w:t>
      </w:r>
      <w:r>
        <w:t xml:space="preserve"> </w:t>
      </w:r>
      <w:r>
        <w:fldChar w:fldCharType="begin"/>
      </w:r>
      <w:r>
        <w:instrText xml:space="preserve"> ADDIN EN.CITE &lt;EndNote&gt;&lt;Cite&gt;&lt;Author&gt;Minister of Health&lt;/Author&gt;&lt;Year&gt;2023&lt;/Year&gt;&lt;RecNum&gt;408&lt;/RecNum&gt;&lt;DisplayText&gt;(Minister of Health 2023a)&lt;/DisplayText&gt;&lt;record&gt;&lt;rec-number&gt;408&lt;/rec-number&gt;&lt;foreign-keys&gt;&lt;key app="EN" db-id="aaepvppzs5wtfse95vsp2wahsrtvva2vvdet" timestamp="1716350175"&gt;408&lt;/key&gt;&lt;/foreign-keys&gt;&lt;ref-type name="Government Document"&gt;46&lt;/ref-type&gt;&lt;contributors&gt;&lt;authors&gt;&lt;author&gt;Minister of Health,&lt;/author&gt;&lt;/authors&gt;&lt;/contributors&gt;&lt;titles&gt;&lt;title&gt;New Zealand Health Strategy 2023&lt;/title&gt;&lt;/titles&gt;&lt;dates&gt;&lt;year&gt;2023&lt;/year&gt;&lt;/dates&gt;&lt;pub-location&gt;Wellington: Ministry of Health&lt;/pub-location&gt;&lt;urls&gt;&lt;/urls&gt;&lt;/record&gt;&lt;/Cite&gt;&lt;/EndNote&gt;</w:instrText>
      </w:r>
      <w:r>
        <w:fldChar w:fldCharType="separate"/>
      </w:r>
      <w:r>
        <w:rPr>
          <w:noProof/>
        </w:rPr>
        <w:t>(Minister of Health 2023a)</w:t>
      </w:r>
      <w:r>
        <w:fldChar w:fldCharType="end"/>
      </w:r>
      <w:r w:rsidRPr="00E47714">
        <w:t>.</w:t>
      </w:r>
    </w:p>
    <w:p w14:paraId="6CBB59F5" w14:textId="6A76F773" w:rsidR="00C66B73" w:rsidRDefault="00C66B73" w:rsidP="001C7EEF"/>
    <w:p w14:paraId="50FD0FB5" w14:textId="0CC2B3EB" w:rsidR="001C7EEF" w:rsidRDefault="00C66B73" w:rsidP="001C7EEF">
      <w:r>
        <w:fldChar w:fldCharType="begin"/>
      </w:r>
      <w:r>
        <w:instrText xml:space="preserve"> REF _Ref172010338 \h </w:instrText>
      </w:r>
      <w:r>
        <w:fldChar w:fldCharType="separate"/>
      </w:r>
      <w:r w:rsidR="009A6F87" w:rsidRPr="00E47714">
        <w:t xml:space="preserve">Figure </w:t>
      </w:r>
      <w:r w:rsidR="009A6F87">
        <w:rPr>
          <w:noProof/>
        </w:rPr>
        <w:t>2</w:t>
      </w:r>
      <w:r>
        <w:fldChar w:fldCharType="end"/>
      </w:r>
      <w:r>
        <w:t xml:space="preserve"> </w:t>
      </w:r>
      <w:r w:rsidR="001C7EEF" w:rsidRPr="00E47714">
        <w:t xml:space="preserve">shows how the proportion of the </w:t>
      </w:r>
      <w:r w:rsidR="001C7EEF" w:rsidRPr="00E47714">
        <w:rPr>
          <w:color w:val="000000" w:themeColor="text1"/>
        </w:rPr>
        <w:t xml:space="preserve">Aotearoa </w:t>
      </w:r>
      <w:r w:rsidR="001C7EEF" w:rsidRPr="00E47714">
        <w:t xml:space="preserve">New Zealand population aged 65 years and over is </w:t>
      </w:r>
      <w:r w:rsidR="001C7EEF">
        <w:t>growing</w:t>
      </w:r>
      <w:r w:rsidR="001C7EEF" w:rsidRPr="00E47714">
        <w:t xml:space="preserve"> over time. In 2003, 11.8% of New Zealanders were aged 65 years and over. In 2023, </w:t>
      </w:r>
      <w:r w:rsidR="001C7EEF">
        <w:t>the older age groups</w:t>
      </w:r>
      <w:r w:rsidR="001C7EEF" w:rsidRPr="00E47714">
        <w:t xml:space="preserve"> had risen to 16.5% </w:t>
      </w:r>
      <w:r w:rsidR="001C7EEF">
        <w:t>of the population</w:t>
      </w:r>
      <w:r w:rsidR="001C7EEF" w:rsidRPr="00E47714">
        <w:t xml:space="preserve">. By 2043, it is projected that 22.1% of people living in </w:t>
      </w:r>
      <w:r w:rsidR="001C7EEF" w:rsidRPr="00E47714">
        <w:rPr>
          <w:color w:val="000000" w:themeColor="text1"/>
        </w:rPr>
        <w:t xml:space="preserve">Aotearoa </w:t>
      </w:r>
      <w:r w:rsidR="001C7EEF" w:rsidRPr="00E47714">
        <w:t xml:space="preserve">New Zealand will be aged 65 years and over </w:t>
      </w:r>
      <w:r w:rsidR="001C7EEF">
        <w:fldChar w:fldCharType="begin"/>
      </w:r>
      <w:r w:rsidR="001C7EEF">
        <w:instrText xml:space="preserve"> ADDIN EN.CITE &lt;EndNote&gt;&lt;Cite&gt;&lt;Author&gt;Health NZ&lt;/Author&gt;&lt;Year&gt;2024&lt;/Year&gt;&lt;RecNum&gt;409&lt;/RecNum&gt;&lt;DisplayText&gt;(Health NZ 2024m)&lt;/DisplayText&gt;&lt;record&gt;&lt;rec-number&gt;409&lt;/rec-number&gt;&lt;foreign-keys&gt;&lt;key app="EN" db-id="aaepvppzs5wtfse95vsp2wahsrtvva2vvdet" timestamp="1716414715"&gt;409&lt;/key&gt;&lt;/foreign-keys&gt;&lt;ref-type name="Web Page"&gt;12&lt;/ref-type&gt;&lt;contributors&gt;&lt;authors&gt;&lt;author&gt;Health NZ,&lt;/author&gt;&lt;/authors&gt;&lt;/contributors&gt;&lt;titles&gt;&lt;title&gt;Populations web tool&lt;/title&gt;&lt;/titles&gt;&lt;number&gt;23 May 2024&lt;/number&gt;&lt;dates&gt;&lt;year&gt;2024&lt;/year&gt;&lt;/dates&gt;&lt;urls&gt;&lt;related-urls&gt;&lt;url&gt;tewhatuora.shinyapps.io/populations-web-tool&lt;/url&gt;&lt;/related-urls&gt;&lt;/urls&gt;&lt;/record&gt;&lt;/Cite&gt;&lt;/EndNote&gt;</w:instrText>
      </w:r>
      <w:r w:rsidR="001C7EEF">
        <w:fldChar w:fldCharType="separate"/>
      </w:r>
      <w:r w:rsidR="001C7EEF">
        <w:rPr>
          <w:noProof/>
        </w:rPr>
        <w:t>(Health NZ 2024m)</w:t>
      </w:r>
      <w:r w:rsidR="001C7EEF">
        <w:fldChar w:fldCharType="end"/>
      </w:r>
      <w:r w:rsidR="001C7EEF" w:rsidRPr="00E47714">
        <w:t xml:space="preserve">. </w:t>
      </w:r>
    </w:p>
    <w:p w14:paraId="166199EC" w14:textId="395AB665" w:rsidR="001C7EEF" w:rsidRDefault="001C7EEF" w:rsidP="001C7EEF"/>
    <w:p w14:paraId="4D53F0CA" w14:textId="77777777" w:rsidR="001C7EEF" w:rsidRDefault="001C7EEF" w:rsidP="001C7EEF">
      <w:pPr>
        <w:pStyle w:val="Caption"/>
        <w:sectPr w:rsidR="001C7EEF" w:rsidSect="001C7EEF">
          <w:pgSz w:w="11907" w:h="16834" w:code="9"/>
          <w:pgMar w:top="1418" w:right="1701" w:bottom="1134" w:left="1843" w:header="284" w:footer="425" w:gutter="284"/>
          <w:cols w:space="720"/>
        </w:sectPr>
      </w:pPr>
      <w:bookmarkStart w:id="25" w:name="_Ref166049917"/>
      <w:bookmarkStart w:id="26" w:name="_Toc171330649"/>
    </w:p>
    <w:p w14:paraId="17507CDB" w14:textId="355B5874" w:rsidR="001C7EEF" w:rsidRPr="00E47714" w:rsidRDefault="001C7EEF" w:rsidP="001C7EEF">
      <w:pPr>
        <w:pStyle w:val="Figure"/>
      </w:pPr>
      <w:bookmarkStart w:id="27" w:name="_Ref172010338"/>
      <w:bookmarkStart w:id="28" w:name="_Toc172104685"/>
      <w:r w:rsidRPr="00E47714">
        <w:lastRenderedPageBreak/>
        <w:t xml:space="preserve">Figure </w:t>
      </w:r>
      <w:fldSimple w:instr=" SEQ Figure \* ARABIC ">
        <w:r w:rsidR="009A6F87">
          <w:rPr>
            <w:noProof/>
          </w:rPr>
          <w:t>2</w:t>
        </w:r>
      </w:fldSimple>
      <w:bookmarkEnd w:id="25"/>
      <w:bookmarkEnd w:id="27"/>
      <w:r w:rsidRPr="00E47714">
        <w:t>: Changes in age distribution of Aotearoa New Zealand population, 2003, 2023 and 2043</w:t>
      </w:r>
      <w:bookmarkEnd w:id="26"/>
      <w:bookmarkEnd w:id="28"/>
    </w:p>
    <w:p w14:paraId="05D298D5" w14:textId="77777777" w:rsidR="001C7EEF" w:rsidRPr="00E47714" w:rsidRDefault="001C7EEF" w:rsidP="005B127B">
      <w:pPr>
        <w:pStyle w:val="NormalWeb"/>
        <w:spacing w:before="0" w:beforeAutospacing="0" w:after="0" w:afterAutospacing="0"/>
      </w:pPr>
      <w:r>
        <w:rPr>
          <w:noProof/>
        </w:rPr>
        <w:drawing>
          <wp:inline distT="0" distB="0" distL="0" distR="0" wp14:anchorId="2E2FEE8F" wp14:editId="3D66E775">
            <wp:extent cx="5105400" cy="5105400"/>
            <wp:effectExtent l="0" t="0" r="0" b="0"/>
            <wp:docPr id="5" name="Picture 5" descr="A chart of 3 population pyramid overlaid on each other showing snapshots of the population age distribution at 2003, 2023, and 2043.  The charts show the total population and population of older age groups grew from 2003 to 2023 and is projected to grow yet further by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art of 3 population pyramid overlaid on each other showing snapshots of the population age distribution at 2003, 2023, and 2043.  The charts show the total population and population of older age groups grew from 2003 to 2023 and is projected to grow yet further by 20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5400" cy="5105400"/>
                    </a:xfrm>
                    <a:prstGeom prst="rect">
                      <a:avLst/>
                    </a:prstGeom>
                    <a:noFill/>
                    <a:ln>
                      <a:noFill/>
                    </a:ln>
                  </pic:spPr>
                </pic:pic>
              </a:graphicData>
            </a:graphic>
          </wp:inline>
        </w:drawing>
      </w:r>
    </w:p>
    <w:p w14:paraId="7B3DCA7D" w14:textId="77777777" w:rsidR="001C7EEF" w:rsidRPr="00E47714" w:rsidRDefault="001C7EEF" w:rsidP="001C7EEF">
      <w:pPr>
        <w:pStyle w:val="Source"/>
        <w:rPr>
          <w:b/>
        </w:rPr>
      </w:pPr>
      <w:r w:rsidRPr="00E47714">
        <w:rPr>
          <w:b/>
          <w:bCs/>
        </w:rPr>
        <w:t xml:space="preserve">Source: </w:t>
      </w:r>
      <w:r>
        <w:fldChar w:fldCharType="begin"/>
      </w:r>
      <w:r>
        <w:instrText xml:space="preserve"> ADDIN EN.CITE &lt;EndNote&gt;&lt;Cite AuthorYear="1"&gt;&lt;Author&gt;Health NZ&lt;/Author&gt;&lt;Year&gt;2024&lt;/Year&gt;&lt;RecNum&gt;409&lt;/RecNum&gt;&lt;DisplayText&gt;Health NZ (2024m)&lt;/DisplayText&gt;&lt;record&gt;&lt;rec-number&gt;409&lt;/rec-number&gt;&lt;foreign-keys&gt;&lt;key app="EN" db-id="aaepvppzs5wtfse95vsp2wahsrtvva2vvdet" timestamp="1716414715"&gt;409&lt;/key&gt;&lt;/foreign-keys&gt;&lt;ref-type name="Web Page"&gt;12&lt;/ref-type&gt;&lt;contributors&gt;&lt;authors&gt;&lt;author&gt;Health NZ,&lt;/author&gt;&lt;/authors&gt;&lt;/contributors&gt;&lt;titles&gt;&lt;title&gt;Populations web tool&lt;/title&gt;&lt;/titles&gt;&lt;number&gt;23 May 2024&lt;/number&gt;&lt;dates&gt;&lt;year&gt;2024&lt;/year&gt;&lt;/dates&gt;&lt;urls&gt;&lt;related-urls&gt;&lt;url&gt;tewhatuora.shinyapps.io/populations-web-tool&lt;/url&gt;&lt;/related-urls&gt;&lt;/urls&gt;&lt;/record&gt;&lt;/Cite&gt;&lt;/EndNote&gt;</w:instrText>
      </w:r>
      <w:r>
        <w:fldChar w:fldCharType="separate"/>
      </w:r>
      <w:r>
        <w:rPr>
          <w:noProof/>
        </w:rPr>
        <w:t>Health NZ (2024m)</w:t>
      </w:r>
      <w:r>
        <w:fldChar w:fldCharType="end"/>
      </w:r>
    </w:p>
    <w:p w14:paraId="7D5F6DA6" w14:textId="77777777" w:rsidR="001C7EEF" w:rsidRDefault="001C7EEF" w:rsidP="001C7EEF"/>
    <w:p w14:paraId="0C8E1693" w14:textId="2D52E8BC" w:rsidR="001C7EEF" w:rsidRPr="00E47714" w:rsidRDefault="001C7EEF" w:rsidP="001C7EEF">
      <w:pPr>
        <w:rPr>
          <w:rFonts w:cs="Segoe UI"/>
        </w:rPr>
      </w:pPr>
      <w:r w:rsidRPr="00E47714">
        <w:fldChar w:fldCharType="begin"/>
      </w:r>
      <w:r w:rsidRPr="00E47714">
        <w:instrText xml:space="preserve"> REF _Ref166050079 \h  \* MERGEFORMAT </w:instrText>
      </w:r>
      <w:r w:rsidRPr="00E47714">
        <w:fldChar w:fldCharType="separate"/>
      </w:r>
      <w:r w:rsidR="009A6F87" w:rsidRPr="00E47714">
        <w:t xml:space="preserve">Figure </w:t>
      </w:r>
      <w:r w:rsidR="009A6F87">
        <w:t>3</w:t>
      </w:r>
      <w:r w:rsidRPr="00E47714">
        <w:fldChar w:fldCharType="end"/>
      </w:r>
      <w:r w:rsidRPr="00E47714">
        <w:t xml:space="preserve"> shows the age structure of the</w:t>
      </w:r>
      <w:r>
        <w:t xml:space="preserve"> </w:t>
      </w:r>
      <w:r w:rsidRPr="00E47714">
        <w:t>estimated resident population</w:t>
      </w:r>
      <w:r w:rsidRPr="00CB71C8">
        <w:t xml:space="preserve"> </w:t>
      </w:r>
      <w:r>
        <w:t>in Aotearoa</w:t>
      </w:r>
      <w:r w:rsidRPr="00E47714">
        <w:t xml:space="preserve"> New Zealand for each ethnic group (total response ethnicity). </w:t>
      </w:r>
      <w:r>
        <w:t>Among</w:t>
      </w:r>
      <w:r w:rsidRPr="00E47714">
        <w:t xml:space="preserve"> the European</w:t>
      </w:r>
      <w:r>
        <w:t>/o</w:t>
      </w:r>
      <w:r w:rsidRPr="00E47714">
        <w:t xml:space="preserve">ther </w:t>
      </w:r>
      <w:r>
        <w:t>group</w:t>
      </w:r>
      <w:r w:rsidRPr="00E47714">
        <w:t>, 20.2% of people (724,500 individuals) are aged 65 years and over</w:t>
      </w:r>
      <w:r>
        <w:t>.</w:t>
      </w:r>
      <w:r w:rsidRPr="00E47714">
        <w:t xml:space="preserve"> </w:t>
      </w:r>
      <w:r>
        <w:t xml:space="preserve">In contrast, the </w:t>
      </w:r>
      <w:r w:rsidRPr="00E47714">
        <w:t>proportion</w:t>
      </w:r>
      <w:r>
        <w:t xml:space="preserve"> of older people</w:t>
      </w:r>
      <w:r w:rsidRPr="00E47714">
        <w:t xml:space="preserve"> </w:t>
      </w:r>
      <w:r>
        <w:t>is lower among other ethnic groups:</w:t>
      </w:r>
      <w:r w:rsidRPr="00E47714">
        <w:t xml:space="preserve"> 7.4% (66,800) Māori, 6.1% (28,600) Pacific peoples, 5.0% (4,700) MELAA and 8.8% (75,800) Asian people</w:t>
      </w:r>
      <w:r>
        <w:t xml:space="preserve"> are aged 65 years and over</w:t>
      </w:r>
      <w:r w:rsidRPr="00E47714">
        <w:t xml:space="preserve"> </w:t>
      </w:r>
      <w:r>
        <w:fldChar w:fldCharType="begin"/>
      </w:r>
      <w:r>
        <w:instrText xml:space="preserve"> ADDIN EN.CITE &lt;EndNote&gt;&lt;Cite&gt;&lt;Author&gt;Stats NZ &lt;/Author&gt;&lt;Year&gt;2024&lt;/Year&gt;&lt;RecNum&gt;529&lt;/RecNum&gt;&lt;DisplayText&gt;(Stats NZ 2024k)&lt;/DisplayText&gt;&lt;record&gt;&lt;rec-number&gt;529&lt;/rec-number&gt;&lt;foreign-keys&gt;&lt;key app="EN" db-id="aaepvppzs5wtfse95vsp2wahsrtvva2vvdet" timestamp="1717550905"&gt;529&lt;/key&gt;&lt;/foreign-keys&gt;&lt;ref-type name="Web Page"&gt;12&lt;/ref-type&gt;&lt;contributors&gt;&lt;authors&gt;&lt;author&gt;Stats NZ ,&lt;/author&gt;&lt;/authors&gt;&lt;/contributors&gt;&lt;titles&gt;&lt;title&gt;National ethnic population projections, by age and sex, 2018(base)–2043&lt;/title&gt;&lt;/titles&gt;&lt;number&gt;5 June 2024&lt;/number&gt;&lt;dates&gt;&lt;year&gt;2024&lt;/year&gt;&lt;/dates&gt;&lt;urls&gt;&lt;related-urls&gt;&lt;url&gt;nzdotstat.stats.govt.nz/wbos/Index.aspx&lt;/url&gt;&lt;/related-urls&gt;&lt;/urls&gt;&lt;/record&gt;&lt;/Cite&gt;&lt;/EndNote&gt;</w:instrText>
      </w:r>
      <w:r>
        <w:fldChar w:fldCharType="separate"/>
      </w:r>
      <w:r>
        <w:rPr>
          <w:noProof/>
        </w:rPr>
        <w:t>(Stats NZ 2024k)</w:t>
      </w:r>
      <w:r>
        <w:fldChar w:fldCharType="end"/>
      </w:r>
      <w:r w:rsidRPr="00E47714">
        <w:t>.</w:t>
      </w:r>
    </w:p>
    <w:p w14:paraId="4204ADF0" w14:textId="050373EB" w:rsidR="001C7EEF" w:rsidRPr="00E47714" w:rsidRDefault="001C7EEF" w:rsidP="00183828">
      <w:pPr>
        <w:pStyle w:val="Figure"/>
      </w:pPr>
      <w:bookmarkStart w:id="29" w:name="_Ref166050079"/>
      <w:bookmarkStart w:id="30" w:name="_Toc171330650"/>
      <w:bookmarkStart w:id="31" w:name="_Toc172104686"/>
      <w:r w:rsidRPr="00E47714">
        <w:lastRenderedPageBreak/>
        <w:t xml:space="preserve">Figure </w:t>
      </w:r>
      <w:fldSimple w:instr=" SEQ Figure \* ARABIC ">
        <w:r w:rsidR="009A6F87">
          <w:rPr>
            <w:noProof/>
          </w:rPr>
          <w:t>3</w:t>
        </w:r>
      </w:fldSimple>
      <w:bookmarkEnd w:id="29"/>
      <w:r w:rsidRPr="00E47714">
        <w:t>: Age structure of the Aotearoa New Zealand population, 2023, by ethnic group (total response)</w:t>
      </w:r>
      <w:bookmarkEnd w:id="30"/>
      <w:bookmarkEnd w:id="31"/>
    </w:p>
    <w:p w14:paraId="4891B44B" w14:textId="77777777" w:rsidR="001C7EEF" w:rsidRPr="00E47714" w:rsidRDefault="001C7EEF" w:rsidP="00183828">
      <w:pPr>
        <w:pStyle w:val="NormalWeb"/>
        <w:spacing w:before="0" w:beforeAutospacing="0" w:after="0" w:afterAutospacing="0"/>
      </w:pPr>
      <w:r w:rsidRPr="00E47714">
        <w:rPr>
          <w:noProof/>
        </w:rPr>
        <w:drawing>
          <wp:inline distT="0" distB="0" distL="0" distR="0" wp14:anchorId="429E014B" wp14:editId="178E2D60">
            <wp:extent cx="5105400" cy="2653579"/>
            <wp:effectExtent l="0" t="0" r="0" b="0"/>
            <wp:docPr id="1823296324" name="Picture 1823296324" descr="A series of 4 bar charts showing the age structure of the population in 5-year age bands for 2023, split into 4 ethnic groups: Māori, Pacific peoples, Asian, and European/other. For the Māori and Pacific peoples charts, the population size is highest in the 10–14 year age band. It then generally  decreases with age. For the Asian chart there is a peak around the 30–34 year age band. For the European/other chart, the population size is much more consistent across ages until the 60–64 year age band. Beyond the 60–64 year age band, the population size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4" name="Picture 1823296324" descr="A series of 4 bar charts showing the age structure of the population in 5-year age bands for 2023, split into 4 ethnic groups: Māori, Pacific peoples, Asian, and European/other. For the Māori and Pacific peoples charts, the population size is highest in the 10–14 year age band. It then generally  decreases with age. For the Asian chart there is a peak around the 30–34 year age band. For the European/other chart, the population size is much more consistent across ages until the 60–64 year age band. Beyond the 60–64 year age band, the population size decreases."/>
                    <pic:cNvPicPr>
                      <a:picLocks noChangeAspect="1" noChangeArrowheads="1"/>
                    </pic:cNvPicPr>
                  </pic:nvPicPr>
                  <pic:blipFill>
                    <a:blip r:embed="rId41"/>
                    <a:stretch>
                      <a:fillRect/>
                    </a:stretch>
                  </pic:blipFill>
                  <pic:spPr bwMode="auto">
                    <a:xfrm>
                      <a:off x="0" y="0"/>
                      <a:ext cx="5112713" cy="2657380"/>
                    </a:xfrm>
                    <a:prstGeom prst="rect">
                      <a:avLst/>
                    </a:prstGeom>
                    <a:noFill/>
                    <a:ln>
                      <a:noFill/>
                    </a:ln>
                  </pic:spPr>
                </pic:pic>
              </a:graphicData>
            </a:graphic>
          </wp:inline>
        </w:drawing>
      </w:r>
    </w:p>
    <w:p w14:paraId="18BE6E80" w14:textId="77777777" w:rsidR="001C7EEF" w:rsidRPr="00E47714" w:rsidRDefault="001C7EEF" w:rsidP="001C7EEF">
      <w:pPr>
        <w:pStyle w:val="Source"/>
        <w:rPr>
          <w:b/>
          <w:bCs/>
        </w:rPr>
      </w:pPr>
      <w:r w:rsidRPr="00E47714">
        <w:rPr>
          <w:b/>
          <w:bCs/>
        </w:rPr>
        <w:t>Source</w:t>
      </w:r>
      <w:r>
        <w:rPr>
          <w:b/>
          <w:bCs/>
        </w:rPr>
        <w:t>:</w:t>
      </w:r>
      <w:r w:rsidRPr="00E47714">
        <w:t xml:space="preserve"> </w:t>
      </w:r>
      <w:r>
        <w:fldChar w:fldCharType="begin"/>
      </w:r>
      <w:r>
        <w:instrText xml:space="preserve"> ADDIN EN.CITE &lt;EndNote&gt;&lt;Cite AuthorYear="1"&gt;&lt;Author&gt;Stats NZ &lt;/Author&gt;&lt;Year&gt;2024&lt;/Year&gt;&lt;RecNum&gt;529&lt;/RecNum&gt;&lt;DisplayText&gt;Stats NZ (2024k)&lt;/DisplayText&gt;&lt;record&gt;&lt;rec-number&gt;529&lt;/rec-number&gt;&lt;foreign-keys&gt;&lt;key app="EN" db-id="aaepvppzs5wtfse95vsp2wahsrtvva2vvdet" timestamp="1717550905"&gt;529&lt;/key&gt;&lt;/foreign-keys&gt;&lt;ref-type name="Web Page"&gt;12&lt;/ref-type&gt;&lt;contributors&gt;&lt;authors&gt;&lt;author&gt;Stats NZ ,&lt;/author&gt;&lt;/authors&gt;&lt;/contributors&gt;&lt;titles&gt;&lt;title&gt;National ethnic population projections, by age and sex, 2018(base)–2043&lt;/title&gt;&lt;/titles&gt;&lt;number&gt;5 June 2024&lt;/number&gt;&lt;dates&gt;&lt;year&gt;2024&lt;/year&gt;&lt;/dates&gt;&lt;urls&gt;&lt;related-urls&gt;&lt;url&gt;nzdotstat.stats.govt.nz/wbos/Index.aspx&lt;/url&gt;&lt;/related-urls&gt;&lt;/urls&gt;&lt;/record&gt;&lt;/Cite&gt;&lt;/EndNote&gt;</w:instrText>
      </w:r>
      <w:r>
        <w:fldChar w:fldCharType="separate"/>
      </w:r>
      <w:r>
        <w:rPr>
          <w:noProof/>
        </w:rPr>
        <w:t>Stats NZ (2024k)</w:t>
      </w:r>
      <w:r>
        <w:fldChar w:fldCharType="end"/>
      </w:r>
    </w:p>
    <w:p w14:paraId="5CA1E264" w14:textId="77777777" w:rsidR="001C7EEF" w:rsidRPr="00E47714" w:rsidRDefault="001C7EEF" w:rsidP="001C7EEF">
      <w:pPr>
        <w:pStyle w:val="Heading3"/>
      </w:pPr>
      <w:r w:rsidRPr="00E47714">
        <w:t xml:space="preserve">Geographic distribution </w:t>
      </w:r>
    </w:p>
    <w:p w14:paraId="4976F184" w14:textId="13D94B66" w:rsidR="001C7EEF" w:rsidRDefault="001C7EEF" w:rsidP="001C7EEF">
      <w:r w:rsidRPr="00E47714">
        <w:t xml:space="preserve">Throughout Aotearoa New Zealand, people live in a </w:t>
      </w:r>
      <w:r>
        <w:t xml:space="preserve">wide </w:t>
      </w:r>
      <w:r w:rsidRPr="00E47714">
        <w:t xml:space="preserve">range of urban centres and rural communities. </w:t>
      </w:r>
      <w:r>
        <w:t>Most of the</w:t>
      </w:r>
      <w:r w:rsidRPr="00E47714">
        <w:t xml:space="preserve"> population is urban but </w:t>
      </w:r>
      <w:r>
        <w:t xml:space="preserve">the size of the </w:t>
      </w:r>
      <w:r w:rsidRPr="00E47714">
        <w:t>rural population</w:t>
      </w:r>
      <w:r w:rsidRPr="00C25806">
        <w:t xml:space="preserve"> </w:t>
      </w:r>
      <w:r>
        <w:t xml:space="preserve">is </w:t>
      </w:r>
      <w:r w:rsidRPr="00E47714">
        <w:t>significant. The proportion of people living in rural communities was stable at around 19% in census data between 2006</w:t>
      </w:r>
      <w:r>
        <w:t xml:space="preserve"> and </w:t>
      </w:r>
      <w:r w:rsidRPr="00E47714">
        <w:t xml:space="preserve">2018, and </w:t>
      </w:r>
      <w:r>
        <w:t xml:space="preserve">19% </w:t>
      </w:r>
      <w:r w:rsidRPr="00E47714">
        <w:t xml:space="preserve">continues to be the estimated </w:t>
      </w:r>
      <w:r>
        <w:t>size of the rural population</w:t>
      </w:r>
      <w:r w:rsidRPr="00E47714">
        <w:t xml:space="preserve"> </w:t>
      </w:r>
      <w:r>
        <w:fldChar w:fldCharType="begin"/>
      </w:r>
      <w:r>
        <w:instrText xml:space="preserve"> ADDIN EN.CITE &lt;EndNote&gt;&lt;Cite&gt;&lt;Author&gt;Minister of Health &lt;/Author&gt;&lt;Year&gt;2023&lt;/Year&gt;&lt;RecNum&gt;410&lt;/RecNum&gt;&lt;DisplayText&gt;(Minister of Health 2023b)&lt;/DisplayText&gt;&lt;record&gt;&lt;rec-number&gt;410&lt;/rec-number&gt;&lt;foreign-keys&gt;&lt;key app="EN" db-id="aaepvppzs5wtfse95vsp2wahsrtvva2vvdet" timestamp="1716415398"&gt;410&lt;/key&gt;&lt;/foreign-keys&gt;&lt;ref-type name="Generic"&gt;13&lt;/ref-type&gt;&lt;contributors&gt;&lt;authors&gt;&lt;author&gt;Minister of Health ,&lt;/author&gt;&lt;/authors&gt;&lt;/contributors&gt;&lt;titles&gt;&lt;title&gt;Rural Health Strategy 2023&lt;/title&gt;&lt;/titles&gt;&lt;dates&gt;&lt;year&gt;2023&lt;/year&gt;&lt;/dates&gt;&lt;pub-location&gt;Wellington&lt;/pub-location&gt;&lt;publisher&gt;Ministry of Health&lt;/publisher&gt;&lt;urls&gt;&lt;/urls&gt;&lt;/record&gt;&lt;/Cite&gt;&lt;/EndNote&gt;</w:instrText>
      </w:r>
      <w:r>
        <w:fldChar w:fldCharType="separate"/>
      </w:r>
      <w:r>
        <w:rPr>
          <w:noProof/>
        </w:rPr>
        <w:t>(Minister of Health 2023b)</w:t>
      </w:r>
      <w:r>
        <w:fldChar w:fldCharType="end"/>
      </w:r>
      <w:r w:rsidRPr="00E47714">
        <w:t>.</w:t>
      </w:r>
    </w:p>
    <w:p w14:paraId="122E4054" w14:textId="77777777" w:rsidR="00183828" w:rsidRPr="00E47714" w:rsidRDefault="00183828" w:rsidP="001C7EEF"/>
    <w:p w14:paraId="731C30F6" w14:textId="136699CE" w:rsidR="001C7EEF" w:rsidRDefault="001C7EEF" w:rsidP="001C7EEF">
      <w:r w:rsidRPr="00E47714">
        <w:t>In the 2018 Census, European/other was the largest ethnic group in rural areas (82%), followed by Māori (22%).</w:t>
      </w:r>
      <w:r w:rsidRPr="00E47714">
        <w:rPr>
          <w:rStyle w:val="FootnoteReference"/>
          <w:rFonts w:cs="Segoe UI"/>
        </w:rPr>
        <w:footnoteReference w:id="5"/>
      </w:r>
      <w:r w:rsidRPr="00E47714">
        <w:t xml:space="preserve"> Asian (4%) and Pacific peoples (3%) made up a small share of people within rural communities. </w:t>
      </w:r>
      <w:r>
        <w:t>The 22%</w:t>
      </w:r>
      <w:r w:rsidRPr="00E47714">
        <w:t xml:space="preserve"> of </w:t>
      </w:r>
      <w:r>
        <w:t xml:space="preserve">people identifying as </w:t>
      </w:r>
      <w:r w:rsidRPr="00E47714">
        <w:t xml:space="preserve">Māori </w:t>
      </w:r>
      <w:r>
        <w:t>in rural communities was higher than the 15%</w:t>
      </w:r>
      <w:r w:rsidRPr="00E47714">
        <w:t xml:space="preserve"> identifying as Māori</w:t>
      </w:r>
      <w:r>
        <w:t xml:space="preserve"> in urban areas</w:t>
      </w:r>
      <w:r w:rsidRPr="00E47714">
        <w:t xml:space="preserve"> </w:t>
      </w:r>
      <w:r>
        <w:fldChar w:fldCharType="begin"/>
      </w:r>
      <w:r>
        <w:instrText xml:space="preserve"> ADDIN EN.CITE &lt;EndNote&gt;&lt;Cite&gt;&lt;Author&gt;Minister of Health &lt;/Author&gt;&lt;Year&gt;2023&lt;/Year&gt;&lt;RecNum&gt;410&lt;/RecNum&gt;&lt;DisplayText&gt;(Minister of Health 2023b)&lt;/DisplayText&gt;&lt;record&gt;&lt;rec-number&gt;410&lt;/rec-number&gt;&lt;foreign-keys&gt;&lt;key app="EN" db-id="aaepvppzs5wtfse95vsp2wahsrtvva2vvdet" timestamp="1716415398"&gt;410&lt;/key&gt;&lt;/foreign-keys&gt;&lt;ref-type name="Generic"&gt;13&lt;/ref-type&gt;&lt;contributors&gt;&lt;authors&gt;&lt;author&gt;Minister of Health ,&lt;/author&gt;&lt;/authors&gt;&lt;/contributors&gt;&lt;titles&gt;&lt;title&gt;Rural Health Strategy 2023&lt;/title&gt;&lt;/titles&gt;&lt;dates&gt;&lt;year&gt;2023&lt;/year&gt;&lt;/dates&gt;&lt;pub-location&gt;Wellington&lt;/pub-location&gt;&lt;publisher&gt;Ministry of Health&lt;/publisher&gt;&lt;urls&gt;&lt;/urls&gt;&lt;/record&gt;&lt;/Cite&gt;&lt;/EndNote&gt;</w:instrText>
      </w:r>
      <w:r>
        <w:fldChar w:fldCharType="separate"/>
      </w:r>
      <w:r>
        <w:rPr>
          <w:noProof/>
        </w:rPr>
        <w:t>(Minister of Health 2023b)</w:t>
      </w:r>
      <w:r>
        <w:fldChar w:fldCharType="end"/>
      </w:r>
      <w:r w:rsidRPr="00E47714">
        <w:t>.</w:t>
      </w:r>
    </w:p>
    <w:p w14:paraId="62272BA8" w14:textId="77777777" w:rsidR="00183828" w:rsidRPr="00E47714" w:rsidRDefault="00183828" w:rsidP="001C7EEF"/>
    <w:p w14:paraId="1B8F4FAC" w14:textId="13C2B23D" w:rsidR="001C7EEF" w:rsidRDefault="001C7EEF" w:rsidP="001C7EEF">
      <w:r w:rsidRPr="00E47714">
        <w:t>Older people are more likely to live in rural communities than other age groups</w:t>
      </w:r>
      <w:r>
        <w:t>.</w:t>
      </w:r>
      <w:r w:rsidRPr="00E47714">
        <w:t xml:space="preserve"> </w:t>
      </w:r>
      <w:r>
        <w:t>I</w:t>
      </w:r>
      <w:r w:rsidRPr="00E47714">
        <w:t>n 2018, around one-quarter of people aged over 65 years lived in rural communities. Between 1996</w:t>
      </w:r>
      <w:r>
        <w:t xml:space="preserve"> and </w:t>
      </w:r>
      <w:r w:rsidRPr="00E47714">
        <w:t xml:space="preserve">2018, those </w:t>
      </w:r>
      <w:r>
        <w:t xml:space="preserve">aged </w:t>
      </w:r>
      <w:r w:rsidRPr="00E47714">
        <w:t xml:space="preserve">over 65 years grew from 13% to 20% of the rural population. This increase was higher than the equivalent change in urban areas </w:t>
      </w:r>
      <w:r>
        <w:fldChar w:fldCharType="begin"/>
      </w:r>
      <w:r>
        <w:instrText xml:space="preserve"> ADDIN EN.CITE &lt;EndNote&gt;&lt;Cite&gt;&lt;Author&gt;Minister of Health &lt;/Author&gt;&lt;Year&gt;2023&lt;/Year&gt;&lt;RecNum&gt;410&lt;/RecNum&gt;&lt;DisplayText&gt;(Minister of Health 2023b)&lt;/DisplayText&gt;&lt;record&gt;&lt;rec-number&gt;410&lt;/rec-number&gt;&lt;foreign-keys&gt;&lt;key app="EN" db-id="aaepvppzs5wtfse95vsp2wahsrtvva2vvdet" timestamp="1716415398"&gt;410&lt;/key&gt;&lt;/foreign-keys&gt;&lt;ref-type name="Generic"&gt;13&lt;/ref-type&gt;&lt;contributors&gt;&lt;authors&gt;&lt;author&gt;Minister of Health ,&lt;/author&gt;&lt;/authors&gt;&lt;/contributors&gt;&lt;titles&gt;&lt;title&gt;Rural Health Strategy 2023&lt;/title&gt;&lt;/titles&gt;&lt;dates&gt;&lt;year&gt;2023&lt;/year&gt;&lt;/dates&gt;&lt;pub-location&gt;Wellington&lt;/pub-location&gt;&lt;publisher&gt;Ministry of Health&lt;/publisher&gt;&lt;urls&gt;&lt;/urls&gt;&lt;/record&gt;&lt;/Cite&gt;&lt;/EndNote&gt;</w:instrText>
      </w:r>
      <w:r>
        <w:fldChar w:fldCharType="separate"/>
      </w:r>
      <w:r>
        <w:rPr>
          <w:noProof/>
        </w:rPr>
        <w:t>(Minister of Health 2023b)</w:t>
      </w:r>
      <w:r>
        <w:fldChar w:fldCharType="end"/>
      </w:r>
      <w:r w:rsidRPr="00E47714">
        <w:t>.</w:t>
      </w:r>
    </w:p>
    <w:p w14:paraId="2F3C7859" w14:textId="77777777" w:rsidR="00183828" w:rsidRPr="00E47714" w:rsidRDefault="00183828" w:rsidP="001C7EEF"/>
    <w:p w14:paraId="63F0282A" w14:textId="3DE1ABEC" w:rsidR="001C7EEF" w:rsidRDefault="001C7EEF" w:rsidP="001C7EEF">
      <w:pPr>
        <w:rPr>
          <w:color w:val="000000"/>
          <w:lang w:eastAsia="en-NZ"/>
        </w:rPr>
      </w:pPr>
      <w:r w:rsidRPr="00E47714">
        <w:rPr>
          <w:color w:val="000000"/>
          <w:lang w:eastAsia="en-NZ"/>
        </w:rPr>
        <w:t>Overall, some key health outcomes for people in rural communities, particularly rural Māori</w:t>
      </w:r>
      <w:r>
        <w:rPr>
          <w:color w:val="000000"/>
          <w:lang w:eastAsia="en-NZ"/>
        </w:rPr>
        <w:t>,</w:t>
      </w:r>
      <w:r w:rsidRPr="00E47714">
        <w:rPr>
          <w:color w:val="000000"/>
          <w:lang w:eastAsia="en-NZ"/>
        </w:rPr>
        <w:t xml:space="preserve"> are poorer than </w:t>
      </w:r>
      <w:r>
        <w:rPr>
          <w:color w:val="000000"/>
          <w:lang w:eastAsia="en-NZ"/>
        </w:rPr>
        <w:t xml:space="preserve">for </w:t>
      </w:r>
      <w:r w:rsidRPr="00E47714">
        <w:rPr>
          <w:color w:val="000000"/>
          <w:lang w:eastAsia="en-NZ"/>
        </w:rPr>
        <w:t>those in urban communities. Rural communities frequently face additional barriers to access</w:t>
      </w:r>
      <w:r>
        <w:rPr>
          <w:color w:val="000000"/>
          <w:lang w:eastAsia="en-NZ"/>
        </w:rPr>
        <w:t>ing</w:t>
      </w:r>
      <w:r w:rsidRPr="00E47714">
        <w:rPr>
          <w:color w:val="000000"/>
          <w:lang w:eastAsia="en-NZ"/>
        </w:rPr>
        <w:t xml:space="preserve"> health</w:t>
      </w:r>
      <w:r>
        <w:rPr>
          <w:color w:val="000000"/>
          <w:lang w:eastAsia="en-NZ"/>
        </w:rPr>
        <w:t xml:space="preserve"> </w:t>
      </w:r>
      <w:r w:rsidRPr="00E47714">
        <w:rPr>
          <w:color w:val="000000"/>
          <w:lang w:eastAsia="en-NZ"/>
        </w:rPr>
        <w:t xml:space="preserve">care services due to geographic distances. </w:t>
      </w:r>
      <w:r>
        <w:rPr>
          <w:color w:val="000000"/>
          <w:lang w:eastAsia="en-NZ"/>
        </w:rPr>
        <w:t>Other difficulties can intensify t</w:t>
      </w:r>
      <w:r w:rsidRPr="00E47714">
        <w:rPr>
          <w:color w:val="000000"/>
          <w:lang w:eastAsia="en-NZ"/>
        </w:rPr>
        <w:t>hese</w:t>
      </w:r>
      <w:r>
        <w:rPr>
          <w:color w:val="000000"/>
          <w:lang w:eastAsia="en-NZ"/>
        </w:rPr>
        <w:t xml:space="preserve"> barriers, such as</w:t>
      </w:r>
      <w:r w:rsidRPr="00E47714">
        <w:rPr>
          <w:color w:val="000000"/>
          <w:lang w:eastAsia="en-NZ"/>
        </w:rPr>
        <w:t xml:space="preserve"> weather events </w:t>
      </w:r>
      <w:r>
        <w:rPr>
          <w:color w:val="000000"/>
          <w:lang w:eastAsia="en-NZ"/>
        </w:rPr>
        <w:t>that disrupt</w:t>
      </w:r>
      <w:r w:rsidRPr="00E47714">
        <w:rPr>
          <w:color w:val="000000"/>
          <w:lang w:eastAsia="en-NZ"/>
        </w:rPr>
        <w:t xml:space="preserve"> key roads</w:t>
      </w:r>
      <w:r>
        <w:rPr>
          <w:color w:val="000000"/>
          <w:lang w:eastAsia="en-NZ"/>
        </w:rPr>
        <w:t xml:space="preserve"> to services</w:t>
      </w:r>
      <w:r w:rsidRPr="00E47714">
        <w:rPr>
          <w:color w:val="000000"/>
          <w:lang w:eastAsia="en-NZ"/>
        </w:rPr>
        <w:t xml:space="preserve">, limited mobile services and/or </w:t>
      </w:r>
      <w:r>
        <w:rPr>
          <w:color w:val="000000"/>
          <w:lang w:eastAsia="en-NZ"/>
        </w:rPr>
        <w:t xml:space="preserve">limited </w:t>
      </w:r>
      <w:r w:rsidRPr="00E47714">
        <w:rPr>
          <w:color w:val="000000"/>
          <w:lang w:eastAsia="en-NZ"/>
        </w:rPr>
        <w:t xml:space="preserve">digital options, and </w:t>
      </w:r>
      <w:r w:rsidRPr="00E47714">
        <w:t xml:space="preserve">intermittent </w:t>
      </w:r>
      <w:r w:rsidRPr="00E47714">
        <w:rPr>
          <w:color w:val="000000"/>
          <w:lang w:eastAsia="en-NZ"/>
        </w:rPr>
        <w:t xml:space="preserve">or no internet connectivity. </w:t>
      </w:r>
    </w:p>
    <w:p w14:paraId="158D626A" w14:textId="070B6036" w:rsidR="00183828" w:rsidRDefault="00183828" w:rsidP="001C7EEF">
      <w:pPr>
        <w:rPr>
          <w:color w:val="000000"/>
          <w:lang w:eastAsia="en-NZ"/>
        </w:rPr>
      </w:pPr>
    </w:p>
    <w:p w14:paraId="5A769EA7" w14:textId="77777777" w:rsidR="00FC05FA" w:rsidRPr="00E47714" w:rsidRDefault="00FC05FA" w:rsidP="001C7EEF">
      <w:pPr>
        <w:rPr>
          <w:color w:val="000000"/>
          <w:lang w:eastAsia="en-NZ"/>
        </w:rPr>
      </w:pPr>
    </w:p>
    <w:p w14:paraId="0F41B352" w14:textId="2A9DC071" w:rsidR="001C7EEF" w:rsidRPr="00E47714" w:rsidRDefault="001C7EEF" w:rsidP="001C7EEF">
      <w:pPr>
        <w:rPr>
          <w:shd w:val="clear" w:color="auto" w:fill="FFFFFF"/>
        </w:rPr>
      </w:pPr>
      <w:r>
        <w:rPr>
          <w:shd w:val="clear" w:color="auto" w:fill="FFFFFF"/>
        </w:rPr>
        <w:lastRenderedPageBreak/>
        <w:fldChar w:fldCharType="begin"/>
      </w:r>
      <w:r>
        <w:rPr>
          <w:shd w:val="clear" w:color="auto" w:fill="FFFFFF"/>
        </w:rPr>
        <w:instrText xml:space="preserve"> REF _Ref169508885 \h </w:instrText>
      </w:r>
      <w:r>
        <w:rPr>
          <w:shd w:val="clear" w:color="auto" w:fill="FFFFFF"/>
        </w:rPr>
      </w:r>
      <w:r>
        <w:rPr>
          <w:shd w:val="clear" w:color="auto" w:fill="FFFFFF"/>
        </w:rPr>
        <w:fldChar w:fldCharType="separate"/>
      </w:r>
      <w:r w:rsidR="009A6F87" w:rsidRPr="00E47714">
        <w:t xml:space="preserve">Figure </w:t>
      </w:r>
      <w:r w:rsidR="009A6F87">
        <w:rPr>
          <w:noProof/>
        </w:rPr>
        <w:t>4</w:t>
      </w:r>
      <w:r>
        <w:rPr>
          <w:shd w:val="clear" w:color="auto" w:fill="FFFFFF"/>
        </w:rPr>
        <w:fldChar w:fldCharType="end"/>
      </w:r>
      <w:r>
        <w:rPr>
          <w:shd w:val="clear" w:color="auto" w:fill="FFFFFF"/>
        </w:rPr>
        <w:t xml:space="preserve"> demonstrates</w:t>
      </w:r>
      <w:r w:rsidRPr="00E47714">
        <w:rPr>
          <w:shd w:val="clear" w:color="auto" w:fill="FFFFFF"/>
        </w:rPr>
        <w:t xml:space="preserve"> </w:t>
      </w:r>
      <w:r>
        <w:rPr>
          <w:shd w:val="clear" w:color="auto" w:fill="FFFFFF"/>
        </w:rPr>
        <w:t xml:space="preserve">how </w:t>
      </w:r>
      <w:r w:rsidRPr="00E47714">
        <w:rPr>
          <w:shd w:val="clear" w:color="auto" w:fill="FFFFFF"/>
        </w:rPr>
        <w:t xml:space="preserve">travel distances </w:t>
      </w:r>
      <w:r>
        <w:rPr>
          <w:shd w:val="clear" w:color="auto" w:fill="FFFFFF"/>
        </w:rPr>
        <w:t xml:space="preserve">can be </w:t>
      </w:r>
      <w:r w:rsidRPr="00E47714">
        <w:rPr>
          <w:shd w:val="clear" w:color="auto" w:fill="FFFFFF"/>
        </w:rPr>
        <w:t>a potential barrier</w:t>
      </w:r>
      <w:r>
        <w:rPr>
          <w:shd w:val="clear" w:color="auto" w:fill="FFFFFF"/>
        </w:rPr>
        <w:t xml:space="preserve"> to health care services. Focusing on the example of</w:t>
      </w:r>
      <w:r w:rsidRPr="00E47714">
        <w:rPr>
          <w:shd w:val="clear" w:color="auto" w:fill="FFFFFF"/>
        </w:rPr>
        <w:t xml:space="preserve"> patients attending radiation treatment </w:t>
      </w:r>
      <w:r>
        <w:rPr>
          <w:shd w:val="clear" w:color="auto" w:fill="FFFFFF"/>
        </w:rPr>
        <w:fldChar w:fldCharType="begin"/>
      </w:r>
      <w:r>
        <w:rPr>
          <w:shd w:val="clear" w:color="auto" w:fill="FFFFFF"/>
        </w:rPr>
        <w:instrText xml:space="preserve"> ADDIN EN.CITE &lt;EndNote&gt;&lt;Cite&gt;&lt;Author&gt;Te Aho o Te Kahu&lt;/Author&gt;&lt;Year&gt;2022&lt;/Year&gt;&lt;RecNum&gt;412&lt;/RecNum&gt;&lt;DisplayText&gt;(Te Aho o Te Kahu 2022b)&lt;/DisplayText&gt;&lt;record&gt;&lt;rec-number&gt;412&lt;/rec-number&gt;&lt;foreign-keys&gt;&lt;key app="EN" db-id="aaepvppzs5wtfse95vsp2wahsrtvva2vvdet" timestamp="1716416348"&gt;412&lt;/key&gt;&lt;/foreign-keys&gt;&lt;ref-type name="Web Page"&gt;12&lt;/ref-type&gt;&lt;contributors&gt;&lt;authors&gt;&lt;author&gt; Te Aho o Te Kahu, &lt;/author&gt;&lt;/authors&gt;&lt;/contributors&gt;&lt;titles&gt;&lt;title&gt;Spotllight on radiation oncology collection&lt;/title&gt;&lt;/titles&gt;&lt;number&gt;23 May 2024&lt;/number&gt;&lt;dates&gt;&lt;year&gt;2022&lt;/year&gt;&lt;/dates&gt;&lt;urls&gt;&lt;related-urls&gt;&lt;url&gt;hcmsitesstorage.blob.core.windows.net/cca/assets/DRAFT_ROC_Infographic_20220921_AD_RS_cc19f9cd58.pdf&lt;/url&gt;&lt;/related-urls&gt;&lt;/urls&gt;&lt;/record&gt;&lt;/Cite&gt;&lt;/EndNote&gt;</w:instrText>
      </w:r>
      <w:r>
        <w:rPr>
          <w:shd w:val="clear" w:color="auto" w:fill="FFFFFF"/>
        </w:rPr>
        <w:fldChar w:fldCharType="separate"/>
      </w:r>
      <w:r>
        <w:rPr>
          <w:noProof/>
          <w:shd w:val="clear" w:color="auto" w:fill="FFFFFF"/>
        </w:rPr>
        <w:t>(Te Aho o Te Kahu 2022b)</w:t>
      </w:r>
      <w:r>
        <w:rPr>
          <w:shd w:val="clear" w:color="auto" w:fill="FFFFFF"/>
        </w:rPr>
        <w:fldChar w:fldCharType="end"/>
      </w:r>
      <w:r>
        <w:rPr>
          <w:shd w:val="clear" w:color="auto" w:fill="FFFFFF"/>
        </w:rPr>
        <w:t>,</w:t>
      </w:r>
      <w:r w:rsidRPr="00E47714">
        <w:rPr>
          <w:shd w:val="clear" w:color="auto" w:fill="FFFFFF"/>
        </w:rPr>
        <w:t xml:space="preserve"> </w:t>
      </w:r>
      <w:r>
        <w:rPr>
          <w:shd w:val="clear" w:color="auto" w:fill="FFFFFF"/>
        </w:rPr>
        <w:t>i</w:t>
      </w:r>
      <w:r w:rsidRPr="00E47714">
        <w:rPr>
          <w:shd w:val="clear" w:color="auto" w:fill="FFFFFF"/>
        </w:rPr>
        <w:t xml:space="preserve">t shows </w:t>
      </w:r>
      <w:r>
        <w:rPr>
          <w:shd w:val="clear" w:color="auto" w:fill="FFFFFF"/>
        </w:rPr>
        <w:t xml:space="preserve">that </w:t>
      </w:r>
      <w:r w:rsidRPr="00E47714">
        <w:rPr>
          <w:shd w:val="clear" w:color="auto" w:fill="FFFFFF"/>
        </w:rPr>
        <w:t>mean travel time (in hours) increas</w:t>
      </w:r>
      <w:r>
        <w:rPr>
          <w:shd w:val="clear" w:color="auto" w:fill="FFFFFF"/>
        </w:rPr>
        <w:t>es</w:t>
      </w:r>
      <w:r w:rsidRPr="00E47714">
        <w:rPr>
          <w:shd w:val="clear" w:color="auto" w:fill="FFFFFF"/>
        </w:rPr>
        <w:t xml:space="preserve"> with distance from a radiation centre</w:t>
      </w:r>
      <w:r>
        <w:rPr>
          <w:shd w:val="clear" w:color="auto" w:fill="FFFFFF"/>
        </w:rPr>
        <w:t>, adding challenges relating to travel, costs, and the possible need for overnight accommodation.</w:t>
      </w:r>
    </w:p>
    <w:p w14:paraId="6688FF05" w14:textId="2E99C9DB" w:rsidR="001C7EEF" w:rsidRPr="00E47714" w:rsidRDefault="001C7EEF" w:rsidP="00183828">
      <w:pPr>
        <w:pStyle w:val="Figure"/>
      </w:pPr>
      <w:bookmarkStart w:id="32" w:name="_Ref169508885"/>
      <w:bookmarkStart w:id="33" w:name="_Toc171330651"/>
      <w:bookmarkStart w:id="34" w:name="_Toc172104687"/>
      <w:r w:rsidRPr="00E47714">
        <w:t xml:space="preserve">Figure </w:t>
      </w:r>
      <w:fldSimple w:instr=" SEQ Figure \* ARABIC ">
        <w:r w:rsidR="009A6F87">
          <w:rPr>
            <w:noProof/>
          </w:rPr>
          <w:t>4</w:t>
        </w:r>
      </w:fldSimple>
      <w:bookmarkEnd w:id="32"/>
      <w:r w:rsidRPr="00E47714">
        <w:t>: Travel time to radiation centres for patients attending radiation treatment in Aotearoa New Zealand, 2018</w:t>
      </w:r>
      <w:r>
        <w:t>–20</w:t>
      </w:r>
      <w:r w:rsidRPr="00E47714">
        <w:t>21</w:t>
      </w:r>
      <w:bookmarkEnd w:id="33"/>
      <w:bookmarkEnd w:id="34"/>
    </w:p>
    <w:p w14:paraId="30AC3F6E" w14:textId="77777777" w:rsidR="001C7EEF" w:rsidRPr="00E47714" w:rsidRDefault="001C7EEF" w:rsidP="00183828">
      <w:pPr>
        <w:rPr>
          <w:rFonts w:ascii="Times New Roman" w:hAnsi="Times New Roman"/>
          <w:sz w:val="24"/>
          <w:szCs w:val="24"/>
          <w:lang w:eastAsia="en-NZ"/>
        </w:rPr>
      </w:pPr>
      <w:r w:rsidRPr="00E47714">
        <w:rPr>
          <w:rFonts w:cs="Segoe UI"/>
          <w:noProof/>
          <w:color w:val="000000" w:themeColor="text1"/>
          <w:shd w:val="clear" w:color="auto" w:fill="FFFFFF"/>
        </w:rPr>
        <w:drawing>
          <wp:inline distT="0" distB="0" distL="0" distR="0" wp14:anchorId="37B61C4E" wp14:editId="75D54495">
            <wp:extent cx="3540125" cy="4810125"/>
            <wp:effectExtent l="0" t="0" r="3175" b="9525"/>
            <wp:docPr id="7" name="Picture 7" descr="A map of New Zealand showing travel times to radiation centres between 2018 and 2021. Radiation centres are located in Auckland, Hamilton, Tauranga, Palmerston North, Wellington, Christchurch, and Dunedin. Regions furthest away from the radiation centres have travel times of more than 4 hours for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New Zealand showing travel times to radiation centres between 2018 and 2021. Radiation centres are located in Auckland, Hamilton, Tauranga, Palmerston North, Wellington, Christchurch, and Dunedin. Regions furthest away from the radiation centres have travel times of more than 4 hours for treatmen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985"/>
                    <a:stretch/>
                  </pic:blipFill>
                  <pic:spPr bwMode="auto">
                    <a:xfrm>
                      <a:off x="0" y="0"/>
                      <a:ext cx="3588690" cy="4876112"/>
                    </a:xfrm>
                    <a:prstGeom prst="rect">
                      <a:avLst/>
                    </a:prstGeom>
                    <a:noFill/>
                    <a:ln>
                      <a:noFill/>
                    </a:ln>
                    <a:extLst>
                      <a:ext uri="{53640926-AAD7-44D8-BBD7-CCE9431645EC}">
                        <a14:shadowObscured xmlns:a14="http://schemas.microsoft.com/office/drawing/2010/main"/>
                      </a:ext>
                    </a:extLst>
                  </pic:spPr>
                </pic:pic>
              </a:graphicData>
            </a:graphic>
          </wp:inline>
        </w:drawing>
      </w:r>
    </w:p>
    <w:p w14:paraId="5B0A25EB" w14:textId="77777777" w:rsidR="001C7EEF" w:rsidRPr="00A2107F" w:rsidRDefault="001C7EEF" w:rsidP="00183828">
      <w:pPr>
        <w:pStyle w:val="Source"/>
        <w:rPr>
          <w:shd w:val="clear" w:color="auto" w:fill="FFFFFF"/>
          <w:lang w:val="de-DE"/>
        </w:rPr>
      </w:pPr>
      <w:r w:rsidRPr="00A2107F">
        <w:rPr>
          <w:b/>
          <w:bCs/>
          <w:shd w:val="clear" w:color="auto" w:fill="FFFFFF"/>
          <w:lang w:val="de-DE"/>
        </w:rPr>
        <w:t>Source:</w:t>
      </w:r>
      <w:r w:rsidRPr="00A2107F">
        <w:rPr>
          <w:shd w:val="clear" w:color="auto" w:fill="FFFFFF"/>
          <w:lang w:val="de-DE"/>
        </w:rPr>
        <w:t xml:space="preserve"> </w:t>
      </w:r>
      <w:r>
        <w:rPr>
          <w:shd w:val="clear" w:color="auto" w:fill="FFFFFF"/>
        </w:rPr>
        <w:fldChar w:fldCharType="begin"/>
      </w:r>
      <w:r w:rsidRPr="00280749">
        <w:rPr>
          <w:shd w:val="clear" w:color="auto" w:fill="FFFFFF"/>
          <w:lang w:val="de-DE"/>
        </w:rPr>
        <w:instrText xml:space="preserve"> ADDIN EN.CITE &lt;EndNote&gt;&lt;Cite AuthorYear="1"&gt;&lt;Author&gt;Te Aho o Te Kahu&lt;/Author&gt;&lt;Year&gt;2022&lt;/Year&gt;&lt;RecNum&gt;412&lt;/RecNum&gt;&lt;DisplayText&gt;Te Aho o Te Kahu (2022b)&lt;/DisplayText&gt;&lt;record&gt;&lt;rec-number&gt;412&lt;/rec-number&gt;&lt;foreign-keys&gt;&lt;key app="EN" db-id="aaepvppzs5wtfse95vsp2wahsrtvva2vvdet" timestamp="1716416348"&gt;412&lt;/key&gt;&lt;/foreign-keys&gt;&lt;ref-type name="Web Page"&gt;12&lt;/ref-type&gt;&lt;contributors&gt;&lt;authors&gt;&lt;author&gt; Te Aho o Te Kahu, &lt;/author&gt;&lt;/authors&gt;&lt;/contributors&gt;&lt;titles&gt;&lt;title&gt;Spotllight on radiation oncology collection&lt;/title&gt;&lt;/titles&gt;&lt;number&gt;23 May 2024&lt;/number&gt;&lt;dates&gt;&lt;year&gt;2022&lt;/year&gt;&lt;/dates&gt;&lt;urls&gt;&lt;related-urls&gt;&lt;url&gt;hcmsitesstorage.blob.core.windows.net/cca/assets/DRAFT_ROC_Infographic_20220921_AD_RS_cc19f9cd58.pdf&lt;/url&gt;&lt;/related-urls&gt;&lt;/urls&gt;&lt;/record&gt;&lt;/Cite&gt;&lt;/EndNote&gt;</w:instrText>
      </w:r>
      <w:r>
        <w:rPr>
          <w:shd w:val="clear" w:color="auto" w:fill="FFFFFF"/>
        </w:rPr>
        <w:fldChar w:fldCharType="separate"/>
      </w:r>
      <w:r w:rsidRPr="00A2107F">
        <w:rPr>
          <w:noProof/>
          <w:shd w:val="clear" w:color="auto" w:fill="FFFFFF"/>
          <w:lang w:val="de-DE"/>
        </w:rPr>
        <w:t>Te Aho o Te Kahu (2022b)</w:t>
      </w:r>
      <w:r>
        <w:rPr>
          <w:shd w:val="clear" w:color="auto" w:fill="FFFFFF"/>
        </w:rPr>
        <w:fldChar w:fldCharType="end"/>
      </w:r>
    </w:p>
    <w:p w14:paraId="316D4263" w14:textId="77777777" w:rsidR="001C7EEF" w:rsidRPr="00E47714" w:rsidRDefault="001C7EEF" w:rsidP="001C7EEF">
      <w:pPr>
        <w:pStyle w:val="Heading3"/>
      </w:pPr>
      <w:r w:rsidRPr="00E47714">
        <w:t>Socioeconomic deprivation</w:t>
      </w:r>
    </w:p>
    <w:p w14:paraId="47988C82" w14:textId="77777777" w:rsidR="001C7EEF" w:rsidRPr="00E47714" w:rsidRDefault="001C7EEF" w:rsidP="001C7EEF">
      <w:r w:rsidRPr="00E47714">
        <w:t>Within</w:t>
      </w:r>
      <w:r>
        <w:t xml:space="preserve"> both</w:t>
      </w:r>
      <w:r w:rsidRPr="00E47714">
        <w:t xml:space="preserve"> urban and rural areas, the</w:t>
      </w:r>
      <w:r>
        <w:t xml:space="preserve"> level of</w:t>
      </w:r>
      <w:r w:rsidRPr="00E47714">
        <w:t xml:space="preserve"> socioeconomic </w:t>
      </w:r>
      <w:r>
        <w:t xml:space="preserve">deprivation </w:t>
      </w:r>
      <w:r w:rsidRPr="00E47714">
        <w:t xml:space="preserve">varies considerably, influencing quality of life and access to essential resources. </w:t>
      </w:r>
      <w:r>
        <w:t>This report uses t</w:t>
      </w:r>
      <w:r w:rsidRPr="00E47714">
        <w:t>he New Zealand Index of Deprivation</w:t>
      </w:r>
      <w:r w:rsidRPr="00C154D7">
        <w:t xml:space="preserve"> </w:t>
      </w:r>
      <w:r>
        <w:t>(</w:t>
      </w:r>
      <w:proofErr w:type="spellStart"/>
      <w:r w:rsidRPr="00E47714">
        <w:t>NZDep</w:t>
      </w:r>
      <w:proofErr w:type="spellEnd"/>
      <w:r w:rsidRPr="00E47714">
        <w:t xml:space="preserve">) to evaluate </w:t>
      </w:r>
      <w:r>
        <w:t xml:space="preserve">the level of </w:t>
      </w:r>
      <w:r w:rsidRPr="00E47714">
        <w:t xml:space="preserve">deprivation across diverse communities. This is an area-based measure of the level of socioeconomic deprivation based on </w:t>
      </w:r>
      <w:r>
        <w:t>nine</w:t>
      </w:r>
      <w:r w:rsidRPr="00E47714">
        <w:t xml:space="preserve"> census variables, </w:t>
      </w:r>
      <w:r>
        <w:t>including</w:t>
      </w:r>
      <w:r w:rsidRPr="00E47714">
        <w:t xml:space="preserve"> income, employment, home ownership, overcrowding and housing with dampness and/or mould. </w:t>
      </w:r>
      <w:r>
        <w:t>It divides the population into</w:t>
      </w:r>
      <w:r w:rsidRPr="00E47714">
        <w:t xml:space="preserve"> deciles</w:t>
      </w:r>
      <w:r>
        <w:t xml:space="preserve"> (10 groups of equal size) where:</w:t>
      </w:r>
    </w:p>
    <w:p w14:paraId="42532813" w14:textId="77777777" w:rsidR="001C7EEF" w:rsidRPr="00E47714" w:rsidRDefault="001C7EEF" w:rsidP="00183828">
      <w:pPr>
        <w:pStyle w:val="Bullet"/>
        <w:rPr>
          <w:lang w:eastAsia="en-NZ"/>
        </w:rPr>
      </w:pPr>
      <w:r>
        <w:rPr>
          <w:lang w:eastAsia="en-NZ"/>
        </w:rPr>
        <w:t>d</w:t>
      </w:r>
      <w:r w:rsidRPr="00E47714">
        <w:rPr>
          <w:lang w:eastAsia="en-NZ"/>
        </w:rPr>
        <w:t xml:space="preserve">ecile 1 represents areas with the least deprived </w:t>
      </w:r>
      <w:proofErr w:type="gramStart"/>
      <w:r w:rsidRPr="00E47714">
        <w:rPr>
          <w:lang w:eastAsia="en-NZ"/>
        </w:rPr>
        <w:t>scores</w:t>
      </w:r>
      <w:proofErr w:type="gramEnd"/>
    </w:p>
    <w:p w14:paraId="0B353A5F" w14:textId="77777777" w:rsidR="001C7EEF" w:rsidRPr="00E47714" w:rsidRDefault="001C7EEF" w:rsidP="00183828">
      <w:pPr>
        <w:pStyle w:val="Bullet"/>
        <w:rPr>
          <w:lang w:eastAsia="en-NZ"/>
        </w:rPr>
      </w:pPr>
      <w:r>
        <w:rPr>
          <w:lang w:eastAsia="en-NZ"/>
        </w:rPr>
        <w:t>d</w:t>
      </w:r>
      <w:r w:rsidRPr="00E47714">
        <w:rPr>
          <w:lang w:eastAsia="en-NZ"/>
        </w:rPr>
        <w:t>ecile 10 represents areas with the most deprived scores</w:t>
      </w:r>
      <w:r>
        <w:rPr>
          <w:lang w:eastAsia="en-NZ"/>
        </w:rPr>
        <w:t xml:space="preserve"> </w:t>
      </w:r>
      <w:r>
        <w:rPr>
          <w:lang w:eastAsia="en-NZ"/>
        </w:rPr>
        <w:fldChar w:fldCharType="begin"/>
      </w:r>
      <w:r>
        <w:rPr>
          <w:lang w:eastAsia="en-NZ"/>
        </w:rPr>
        <w:instrText xml:space="preserve"> ADDIN EN.CITE &lt;EndNote&gt;&lt;Cite&gt;&lt;Author&gt;Massey University&lt;/Author&gt;&lt;Year&gt;(nd)&lt;/Year&gt;&lt;RecNum&gt;413&lt;/RecNum&gt;&lt;DisplayText&gt;(Massey University (nd))&lt;/DisplayText&gt;&lt;record&gt;&lt;rec-number&gt;413&lt;/rec-number&gt;&lt;foreign-keys&gt;&lt;key app="EN" db-id="aaepvppzs5wtfse95vsp2wahsrtvva2vvdet" timestamp="1716416591"&gt;413&lt;/key&gt;&lt;/foreign-keys&gt;&lt;ref-type name="Web Page"&gt;12&lt;/ref-type&gt;&lt;contributors&gt;&lt;authors&gt;&lt;author&gt;Massey University,&lt;/author&gt;&lt;/authors&gt;&lt;/contributors&gt;&lt;titles&gt;&lt;title&gt;Socioeconomic deprivation profile&lt;/title&gt;&lt;/titles&gt;&lt;number&gt;23 May 2024&lt;/number&gt;&lt;dates&gt;&lt;year&gt;(nd)&lt;/year&gt;&lt;/dates&gt;&lt;pub-location&gt;Environmental Health Intelligence New Zealand&lt;/pub-location&gt;&lt;urls&gt;&lt;related-urls&gt;&lt;url&gt;ehinz.ac.nz/indicators/population-vulnerability/socioeconomic-deprivation-profile&lt;/url&gt;&lt;/related-urls&gt;&lt;/urls&gt;&lt;/record&gt;&lt;/Cite&gt;&lt;/EndNote&gt;</w:instrText>
      </w:r>
      <w:r>
        <w:rPr>
          <w:lang w:eastAsia="en-NZ"/>
        </w:rPr>
        <w:fldChar w:fldCharType="separate"/>
      </w:r>
      <w:r>
        <w:rPr>
          <w:noProof/>
          <w:lang w:eastAsia="en-NZ"/>
        </w:rPr>
        <w:t>(Massey University (nd))</w:t>
      </w:r>
      <w:r>
        <w:rPr>
          <w:lang w:eastAsia="en-NZ"/>
        </w:rPr>
        <w:fldChar w:fldCharType="end"/>
      </w:r>
      <w:r w:rsidRPr="00E47714">
        <w:rPr>
          <w:lang w:eastAsia="en-NZ"/>
        </w:rPr>
        <w:t>.</w:t>
      </w:r>
    </w:p>
    <w:p w14:paraId="357794F3" w14:textId="77777777" w:rsidR="00183828" w:rsidRDefault="00183828" w:rsidP="001C7EEF">
      <w:pPr>
        <w:rPr>
          <w:lang w:eastAsia="en-NZ"/>
        </w:rPr>
      </w:pPr>
    </w:p>
    <w:p w14:paraId="140CFD58" w14:textId="6516C45A" w:rsidR="001C7EEF" w:rsidRPr="00E47714" w:rsidRDefault="001C7EEF" w:rsidP="00183828">
      <w:pPr>
        <w:rPr>
          <w:lang w:eastAsia="en-NZ"/>
        </w:rPr>
      </w:pPr>
      <w:r>
        <w:rPr>
          <w:lang w:eastAsia="en-NZ"/>
        </w:rPr>
        <w:lastRenderedPageBreak/>
        <w:t>Another common approach is to divide t</w:t>
      </w:r>
      <w:r w:rsidRPr="00E47714">
        <w:rPr>
          <w:lang w:eastAsia="en-NZ"/>
        </w:rPr>
        <w:t xml:space="preserve">he </w:t>
      </w:r>
      <w:proofErr w:type="spellStart"/>
      <w:r w:rsidRPr="00E47714">
        <w:rPr>
          <w:lang w:eastAsia="en-NZ"/>
        </w:rPr>
        <w:t>NZDep</w:t>
      </w:r>
      <w:proofErr w:type="spellEnd"/>
      <w:r w:rsidRPr="00E47714">
        <w:rPr>
          <w:lang w:eastAsia="en-NZ"/>
        </w:rPr>
        <w:t xml:space="preserve"> </w:t>
      </w:r>
      <w:r>
        <w:rPr>
          <w:lang w:eastAsia="en-NZ"/>
        </w:rPr>
        <w:t xml:space="preserve">measure </w:t>
      </w:r>
      <w:r w:rsidRPr="00E47714">
        <w:rPr>
          <w:lang w:eastAsia="en-NZ"/>
        </w:rPr>
        <w:t xml:space="preserve">into </w:t>
      </w:r>
      <w:r>
        <w:rPr>
          <w:lang w:eastAsia="en-NZ"/>
        </w:rPr>
        <w:t>five</w:t>
      </w:r>
      <w:r w:rsidRPr="00E47714">
        <w:rPr>
          <w:lang w:eastAsia="en-NZ"/>
        </w:rPr>
        <w:t xml:space="preserve"> groups </w:t>
      </w:r>
      <w:r>
        <w:rPr>
          <w:lang w:eastAsia="en-NZ"/>
        </w:rPr>
        <w:t xml:space="preserve">or </w:t>
      </w:r>
      <w:r w:rsidRPr="00E47714">
        <w:rPr>
          <w:lang w:eastAsia="en-NZ"/>
        </w:rPr>
        <w:t>quintiles</w:t>
      </w:r>
      <w:r>
        <w:rPr>
          <w:lang w:eastAsia="en-NZ"/>
        </w:rPr>
        <w:t>. E</w:t>
      </w:r>
      <w:r w:rsidRPr="00E47714">
        <w:rPr>
          <w:lang w:eastAsia="en-NZ"/>
        </w:rPr>
        <w:t xml:space="preserve">ach </w:t>
      </w:r>
      <w:r>
        <w:rPr>
          <w:lang w:eastAsia="en-NZ"/>
        </w:rPr>
        <w:t xml:space="preserve">quintile </w:t>
      </w:r>
      <w:r w:rsidRPr="00E47714">
        <w:rPr>
          <w:lang w:eastAsia="en-NZ"/>
        </w:rPr>
        <w:t>represent</w:t>
      </w:r>
      <w:r>
        <w:rPr>
          <w:lang w:eastAsia="en-NZ"/>
        </w:rPr>
        <w:t>s</w:t>
      </w:r>
      <w:r w:rsidRPr="00E47714">
        <w:rPr>
          <w:lang w:eastAsia="en-NZ"/>
        </w:rPr>
        <w:t xml:space="preserve"> 20% of the population. </w:t>
      </w:r>
      <w:r>
        <w:rPr>
          <w:lang w:eastAsia="en-NZ"/>
        </w:rPr>
        <w:t>In this approach:</w:t>
      </w:r>
    </w:p>
    <w:p w14:paraId="515FE099" w14:textId="77777777" w:rsidR="001C7EEF" w:rsidRPr="00E47714" w:rsidRDefault="001C7EEF" w:rsidP="00183828">
      <w:pPr>
        <w:pStyle w:val="Bullet"/>
        <w:rPr>
          <w:lang w:eastAsia="en-NZ"/>
        </w:rPr>
      </w:pPr>
      <w:r>
        <w:rPr>
          <w:lang w:eastAsia="en-NZ"/>
        </w:rPr>
        <w:t>q</w:t>
      </w:r>
      <w:r w:rsidRPr="00E47714">
        <w:rPr>
          <w:lang w:eastAsia="en-NZ"/>
        </w:rPr>
        <w:t xml:space="preserve">uintile 1 represents the 20% of areas with the lowest </w:t>
      </w:r>
      <w:proofErr w:type="gramStart"/>
      <w:r w:rsidRPr="00E47714">
        <w:rPr>
          <w:lang w:eastAsia="en-NZ"/>
        </w:rPr>
        <w:t>deprivation</w:t>
      </w:r>
      <w:proofErr w:type="gramEnd"/>
    </w:p>
    <w:p w14:paraId="6638404C" w14:textId="77777777" w:rsidR="001C7EEF" w:rsidRPr="00E47714" w:rsidRDefault="001C7EEF" w:rsidP="00183828">
      <w:pPr>
        <w:pStyle w:val="Bullet"/>
        <w:rPr>
          <w:lang w:eastAsia="en-NZ"/>
        </w:rPr>
      </w:pPr>
      <w:r>
        <w:rPr>
          <w:lang w:eastAsia="en-NZ"/>
        </w:rPr>
        <w:t>q</w:t>
      </w:r>
      <w:r w:rsidRPr="00E47714">
        <w:rPr>
          <w:lang w:eastAsia="en-NZ"/>
        </w:rPr>
        <w:t>uintile 5 represents the 20%</w:t>
      </w:r>
      <w:r>
        <w:rPr>
          <w:lang w:eastAsia="en-NZ"/>
        </w:rPr>
        <w:t xml:space="preserve"> of areas</w:t>
      </w:r>
      <w:r w:rsidRPr="00E47714">
        <w:rPr>
          <w:lang w:eastAsia="en-NZ"/>
        </w:rPr>
        <w:t xml:space="preserve"> with the highest deprivation. </w:t>
      </w:r>
    </w:p>
    <w:p w14:paraId="7B69F63D" w14:textId="77777777" w:rsidR="00183828" w:rsidRDefault="00183828" w:rsidP="001C7EEF">
      <w:pPr>
        <w:rPr>
          <w:lang w:eastAsia="en-NZ"/>
        </w:rPr>
      </w:pPr>
    </w:p>
    <w:p w14:paraId="170780F9" w14:textId="2B188476" w:rsidR="001C7EEF" w:rsidRDefault="001C7EEF" w:rsidP="001C7EEF">
      <w:pPr>
        <w:rPr>
          <w:lang w:eastAsia="en-NZ"/>
        </w:rPr>
      </w:pPr>
      <w:r w:rsidRPr="00E47714">
        <w:rPr>
          <w:lang w:eastAsia="en-NZ"/>
        </w:rPr>
        <w:t xml:space="preserve">It is important to note that deprivation is not distributed evenly across the population. For example, the Household Economic Survey 2020/21 estimates that the top 20% of households (quintile 1) hold approximately 62% of </w:t>
      </w:r>
      <w:r w:rsidRPr="00E47714">
        <w:rPr>
          <w:color w:val="000000" w:themeColor="text1"/>
        </w:rPr>
        <w:t xml:space="preserve">Aotearoa </w:t>
      </w:r>
      <w:r w:rsidRPr="00E47714">
        <w:rPr>
          <w:lang w:eastAsia="en-NZ"/>
        </w:rPr>
        <w:t>New Zealand’s total household net wealth, while the lowest 20% of households (quintile 5) hold 1% of household net wealth</w:t>
      </w:r>
      <w:r>
        <w:rPr>
          <w:lang w:eastAsia="en-NZ"/>
        </w:rPr>
        <w:t xml:space="preserve"> </w:t>
      </w:r>
      <w:r>
        <w:rPr>
          <w:lang w:eastAsia="en-NZ"/>
        </w:rPr>
        <w:fldChar w:fldCharType="begin"/>
      </w:r>
      <w:r>
        <w:rPr>
          <w:lang w:eastAsia="en-NZ"/>
        </w:rPr>
        <w:instrText xml:space="preserve"> ADDIN EN.CITE &lt;EndNote&gt;&lt;Cite&gt;&lt;Author&gt;Health NZ&lt;/Author&gt;&lt;Year&gt;2024&lt;/Year&gt;&lt;RecNum&gt;414&lt;/RecNum&gt;&lt;DisplayText&gt;(Health NZ 2024a)&lt;/DisplayText&gt;&lt;record&gt;&lt;rec-number&gt;414&lt;/rec-number&gt;&lt;foreign-keys&gt;&lt;key app="EN" db-id="aaepvppzs5wtfse95vsp2wahsrtvva2vvdet" timestamp="1716416868"&gt;414&lt;/key&gt;&lt;/foreign-keys&gt;&lt;ref-type name="Generic"&gt;13&lt;/ref-type&gt;&lt;contributors&gt;&lt;authors&gt;&lt;author&gt;Health NZ,&lt;/author&gt;&lt;/authors&gt;&lt;/contributors&gt;&lt;titles&gt;&lt;title&gt;Aotearoa New Zealand Health Status Report 2023 &lt;/title&gt;&lt;/titles&gt;&lt;dates&gt;&lt;year&gt;2024&lt;/year&gt;&lt;/dates&gt;&lt;pub-location&gt;Wellington&lt;/pub-location&gt;&lt;publisher&gt;Health New Zealand&lt;/publisher&gt;&lt;urls&gt;&lt;/urls&gt;&lt;/record&gt;&lt;/Cite&gt;&lt;/EndNote&gt;</w:instrText>
      </w:r>
      <w:r>
        <w:rPr>
          <w:lang w:eastAsia="en-NZ"/>
        </w:rPr>
        <w:fldChar w:fldCharType="separate"/>
      </w:r>
      <w:r>
        <w:rPr>
          <w:noProof/>
          <w:lang w:eastAsia="en-NZ"/>
        </w:rPr>
        <w:t>(Health NZ 2024a)</w:t>
      </w:r>
      <w:r>
        <w:rPr>
          <w:lang w:eastAsia="en-NZ"/>
        </w:rPr>
        <w:fldChar w:fldCharType="end"/>
      </w:r>
      <w:r w:rsidRPr="00E47714">
        <w:rPr>
          <w:lang w:eastAsia="en-NZ"/>
        </w:rPr>
        <w:t xml:space="preserve">. </w:t>
      </w:r>
    </w:p>
    <w:p w14:paraId="669E77E9" w14:textId="77777777" w:rsidR="00183828" w:rsidRPr="00E47714" w:rsidRDefault="00183828" w:rsidP="001C7EEF">
      <w:pPr>
        <w:rPr>
          <w:lang w:eastAsia="en-NZ"/>
        </w:rPr>
      </w:pPr>
    </w:p>
    <w:p w14:paraId="15EB9060" w14:textId="686B05B3" w:rsidR="001C7EEF" w:rsidRDefault="001C7EEF" w:rsidP="001C7EEF">
      <w:r w:rsidRPr="00E47714">
        <w:rPr>
          <w:lang w:eastAsia="en-NZ"/>
        </w:rPr>
        <w:t xml:space="preserve">Higher levels of socioeconomic deprivation are associated with worse health </w:t>
      </w:r>
      <w:r>
        <w:rPr>
          <w:lang w:eastAsia="en-NZ"/>
        </w:rPr>
        <w:fldChar w:fldCharType="begin"/>
      </w:r>
      <w:r>
        <w:rPr>
          <w:lang w:eastAsia="en-NZ"/>
        </w:rPr>
        <w:instrText xml:space="preserve"> ADDIN EN.CITE &lt;EndNote&gt;&lt;Cite&gt;&lt;Author&gt;Massey University &lt;/Author&gt;&lt;Year&gt;(nd)&lt;/Year&gt;&lt;RecNum&gt;413&lt;/RecNum&gt;&lt;DisplayText&gt;(Massey University (nd))&lt;/DisplayText&gt;&lt;record&gt;&lt;rec-number&gt;413&lt;/rec-number&gt;&lt;foreign-keys&gt;&lt;key app="EN" db-id="aaepvppzs5wtfse95vsp2wahsrtvva2vvdet" timestamp="1716416591"&gt;413&lt;/key&gt;&lt;/foreign-keys&gt;&lt;ref-type name="Web Page"&gt;12&lt;/ref-type&gt;&lt;contributors&gt;&lt;authors&gt;&lt;author&gt;Massey University ,&lt;/author&gt;&lt;/authors&gt;&lt;/contributors&gt;&lt;titles&gt;&lt;title&gt;Socioeconomic deprivation profile&lt;/title&gt;&lt;/titles&gt;&lt;number&gt;23 May 2024&lt;/number&gt;&lt;dates&gt;&lt;year&gt;(nd)&lt;/year&gt;&lt;/dates&gt;&lt;pub-location&gt;Environmental Health Intelligence New Zealand&lt;/pub-location&gt;&lt;urls&gt;&lt;related-urls&gt;&lt;url&gt;ehinz.ac.nz/indicators/population-vulnerability/socioeconomic-deprivation-profile&lt;/url&gt;&lt;/related-urls&gt;&lt;/urls&gt;&lt;/record&gt;&lt;/Cite&gt;&lt;/EndNote&gt;</w:instrText>
      </w:r>
      <w:r>
        <w:rPr>
          <w:lang w:eastAsia="en-NZ"/>
        </w:rPr>
        <w:fldChar w:fldCharType="separate"/>
      </w:r>
      <w:r>
        <w:rPr>
          <w:noProof/>
          <w:lang w:eastAsia="en-NZ"/>
        </w:rPr>
        <w:t>(Massey University (nd))</w:t>
      </w:r>
      <w:r>
        <w:rPr>
          <w:lang w:eastAsia="en-NZ"/>
        </w:rPr>
        <w:fldChar w:fldCharType="end"/>
      </w:r>
      <w:r w:rsidRPr="00E47714">
        <w:rPr>
          <w:lang w:eastAsia="en-NZ"/>
        </w:rPr>
        <w:t>. Life expectancy is more than 10 years lower for people living in the most deprived areas than for those living in the least deprived</w:t>
      </w:r>
      <w:r>
        <w:rPr>
          <w:lang w:eastAsia="en-NZ"/>
        </w:rPr>
        <w:t xml:space="preserve"> areas </w:t>
      </w:r>
      <w:r>
        <w:rPr>
          <w:lang w:eastAsia="en-NZ"/>
        </w:rPr>
        <w:fldChar w:fldCharType="begin"/>
      </w:r>
      <w:r>
        <w:rPr>
          <w:lang w:eastAsia="en-NZ"/>
        </w:rPr>
        <w:instrText xml:space="preserve"> ADDIN EN.CITE &lt;EndNote&gt;&lt;Cite&gt;&lt;Author&gt;Stats NZ &lt;/Author&gt;&lt;Year&gt;2021&lt;/Year&gt;&lt;RecNum&gt;415&lt;/RecNum&gt;&lt;DisplayText&gt;(Stats NZ 2021a)&lt;/DisplayText&gt;&lt;record&gt;&lt;rec-number&gt;415&lt;/rec-number&gt;&lt;foreign-keys&gt;&lt;key app="EN" db-id="aaepvppzs5wtfse95vsp2wahsrtvva2vvdet" timestamp="1716417547"&gt;415&lt;/key&gt;&lt;/foreign-keys&gt;&lt;ref-type name="Web Page"&gt;12&lt;/ref-type&gt;&lt;contributors&gt;&lt;authors&gt;&lt;author&gt;Stats NZ ,&lt;/author&gt;&lt;/authors&gt;&lt;/contributors&gt;&lt;titles&gt;&lt;title&gt;Growth in life expectancy slows&lt;/title&gt;&lt;/titles&gt;&lt;number&gt;23 May 2024&lt;/number&gt;&lt;dates&gt;&lt;year&gt;2021&lt;/year&gt;&lt;/dates&gt;&lt;urls&gt;&lt;related-urls&gt;&lt;url&gt;stats.govt.nz/news/growth-in-life-expectancy-slows&lt;/url&gt;&lt;/related-urls&gt;&lt;/urls&gt;&lt;/record&gt;&lt;/Cite&gt;&lt;/EndNote&gt;</w:instrText>
      </w:r>
      <w:r>
        <w:rPr>
          <w:lang w:eastAsia="en-NZ"/>
        </w:rPr>
        <w:fldChar w:fldCharType="separate"/>
      </w:r>
      <w:r>
        <w:rPr>
          <w:noProof/>
          <w:lang w:eastAsia="en-NZ"/>
        </w:rPr>
        <w:t>(Stats NZ 2021a)</w:t>
      </w:r>
      <w:r>
        <w:rPr>
          <w:lang w:eastAsia="en-NZ"/>
        </w:rPr>
        <w:fldChar w:fldCharType="end"/>
      </w:r>
      <w:r w:rsidRPr="00E47714">
        <w:rPr>
          <w:lang w:eastAsia="en-NZ"/>
        </w:rPr>
        <w:t xml:space="preserve">. </w:t>
      </w:r>
      <w:r w:rsidRPr="00E47714">
        <w:t xml:space="preserve">The highest infant death rates are in most deprived areas (quintiles 4 and 5). In quintile 5, the infant death rate was close to </w:t>
      </w:r>
      <w:r>
        <w:t>two</w:t>
      </w:r>
      <w:r w:rsidRPr="00E47714">
        <w:t xml:space="preserve"> times the rate in the least deprived areas </w:t>
      </w:r>
      <w:r>
        <w:fldChar w:fldCharType="begin"/>
      </w:r>
      <w:r>
        <w:instrText xml:space="preserve"> ADDIN EN.CITE &lt;EndNote&gt;&lt;Cite&gt;&lt;Author&gt;Health NZ &lt;/Author&gt;&lt;Year&gt;2023&lt;/Year&gt;&lt;RecNum&gt;416&lt;/RecNum&gt;&lt;DisplayText&gt;(Health NZ 2023b)&lt;/DisplayText&gt;&lt;record&gt;&lt;rec-number&gt;416&lt;/rec-number&gt;&lt;foreign-keys&gt;&lt;key app="EN" db-id="aaepvppzs5wtfse95vsp2wahsrtvva2vvdet" timestamp="1716417849"&gt;416&lt;/key&gt;&lt;/foreign-keys&gt;&lt;ref-type name="Web Page"&gt;12&lt;/ref-type&gt;&lt;contributors&gt;&lt;authors&gt;&lt;author&gt;Health NZ ,&lt;/author&gt;&lt;/authors&gt;&lt;/contributors&gt;&lt;titles&gt;&lt;title&gt;Fetal and infant deaths web tool&lt;/title&gt;&lt;/titles&gt;&lt;number&gt;23 May 2024&lt;/number&gt;&lt;dates&gt;&lt;year&gt;2023&lt;/year&gt;&lt;/dates&gt;&lt;urls&gt;&lt;related-urls&gt;&lt;url&gt;tewhatuora.shinyapps.io/fetal-and-infant-deaths-web-tool&lt;/url&gt;&lt;/related-urls&gt;&lt;/urls&gt;&lt;/record&gt;&lt;/Cite&gt;&lt;/EndNote&gt;</w:instrText>
      </w:r>
      <w:r>
        <w:fldChar w:fldCharType="separate"/>
      </w:r>
      <w:r>
        <w:rPr>
          <w:noProof/>
        </w:rPr>
        <w:t>(Health NZ 2023b)</w:t>
      </w:r>
      <w:r>
        <w:fldChar w:fldCharType="end"/>
      </w:r>
      <w:r w:rsidRPr="00E47714">
        <w:t>.</w:t>
      </w:r>
    </w:p>
    <w:p w14:paraId="6CC69EFB" w14:textId="77777777" w:rsidR="00183828" w:rsidRPr="00E47714" w:rsidRDefault="00183828" w:rsidP="001C7EEF"/>
    <w:p w14:paraId="090E6408" w14:textId="23219AAC" w:rsidR="001C7EEF" w:rsidRPr="00E47714" w:rsidRDefault="001C7EEF" w:rsidP="001C7EEF">
      <w:pPr>
        <w:rPr>
          <w:lang w:eastAsia="en-NZ"/>
        </w:rPr>
      </w:pPr>
      <w:r w:rsidRPr="00E47714">
        <w:rPr>
          <w:lang w:eastAsia="en-NZ"/>
        </w:rPr>
        <w:t>Deprivation distribution differs by ethnic group</w:t>
      </w:r>
      <w:r>
        <w:rPr>
          <w:lang w:eastAsia="en-NZ"/>
        </w:rPr>
        <w:t>:</w:t>
      </w:r>
      <w:r w:rsidRPr="00E47714">
        <w:rPr>
          <w:lang w:eastAsia="en-NZ"/>
        </w:rPr>
        <w:t xml:space="preserve"> Māori and Pacific peoples </w:t>
      </w:r>
      <w:r>
        <w:rPr>
          <w:lang w:eastAsia="en-NZ"/>
        </w:rPr>
        <w:t xml:space="preserve">are </w:t>
      </w:r>
      <w:r w:rsidRPr="00E47714">
        <w:rPr>
          <w:lang w:eastAsia="en-NZ"/>
        </w:rPr>
        <w:t>much more likely to live in the most socioeconomically deprived</w:t>
      </w:r>
      <w:r w:rsidRPr="00605E93">
        <w:rPr>
          <w:lang w:eastAsia="en-NZ"/>
        </w:rPr>
        <w:t xml:space="preserve"> </w:t>
      </w:r>
      <w:r w:rsidRPr="00E47714">
        <w:rPr>
          <w:lang w:eastAsia="en-NZ"/>
        </w:rPr>
        <w:t xml:space="preserve">areas. </w:t>
      </w:r>
      <w:r w:rsidRPr="00E47714">
        <w:rPr>
          <w:lang w:eastAsia="en-NZ"/>
        </w:rPr>
        <w:fldChar w:fldCharType="begin"/>
      </w:r>
      <w:r w:rsidRPr="00E47714">
        <w:rPr>
          <w:lang w:eastAsia="en-NZ"/>
        </w:rPr>
        <w:instrText xml:space="preserve"> REF _Ref166051247 \h  \* MERGEFORMAT </w:instrText>
      </w:r>
      <w:r w:rsidRPr="00E47714">
        <w:rPr>
          <w:lang w:eastAsia="en-NZ"/>
        </w:rPr>
      </w:r>
      <w:r w:rsidRPr="00E47714">
        <w:rPr>
          <w:lang w:eastAsia="en-NZ"/>
        </w:rPr>
        <w:fldChar w:fldCharType="separate"/>
      </w:r>
      <w:r w:rsidR="009A6F87" w:rsidRPr="00E47714">
        <w:t xml:space="preserve">Figure </w:t>
      </w:r>
      <w:r w:rsidR="009A6F87">
        <w:t>5</w:t>
      </w:r>
      <w:r w:rsidRPr="00E47714">
        <w:rPr>
          <w:lang w:eastAsia="en-NZ"/>
        </w:rPr>
        <w:fldChar w:fldCharType="end"/>
      </w:r>
      <w:r w:rsidRPr="00E47714">
        <w:rPr>
          <w:lang w:eastAsia="en-NZ"/>
        </w:rPr>
        <w:t xml:space="preserve"> displays the proportion of </w:t>
      </w:r>
      <w:r>
        <w:rPr>
          <w:lang w:eastAsia="en-NZ"/>
        </w:rPr>
        <w:t xml:space="preserve">each </w:t>
      </w:r>
      <w:r w:rsidRPr="00E47714">
        <w:rPr>
          <w:lang w:eastAsia="en-NZ"/>
        </w:rPr>
        <w:t xml:space="preserve">ethnic group </w:t>
      </w:r>
      <w:r>
        <w:rPr>
          <w:lang w:eastAsia="en-NZ"/>
        </w:rPr>
        <w:t>living</w:t>
      </w:r>
      <w:r w:rsidRPr="00E47714">
        <w:rPr>
          <w:lang w:eastAsia="en-NZ"/>
        </w:rPr>
        <w:t xml:space="preserve"> in each quintile</w:t>
      </w:r>
      <w:r>
        <w:rPr>
          <w:lang w:eastAsia="en-NZ"/>
        </w:rPr>
        <w:t>. It shows</w:t>
      </w:r>
      <w:r w:rsidRPr="00E47714">
        <w:rPr>
          <w:lang w:eastAsia="en-NZ"/>
        </w:rPr>
        <w:t xml:space="preserve"> 43.0% of Māori and 55.8% of Pacific peoples liv</w:t>
      </w:r>
      <w:r>
        <w:rPr>
          <w:lang w:eastAsia="en-NZ"/>
        </w:rPr>
        <w:t>e</w:t>
      </w:r>
      <w:r w:rsidRPr="00E47714">
        <w:rPr>
          <w:lang w:eastAsia="en-NZ"/>
        </w:rPr>
        <w:t xml:space="preserve"> in the most deprived quintile, compared </w:t>
      </w:r>
      <w:r>
        <w:rPr>
          <w:lang w:eastAsia="en-NZ"/>
        </w:rPr>
        <w:t>with</w:t>
      </w:r>
      <w:r w:rsidRPr="00E47714">
        <w:rPr>
          <w:lang w:eastAsia="en-NZ"/>
        </w:rPr>
        <w:t xml:space="preserve"> 17.5% of Asian and 12.5% of European/other</w:t>
      </w:r>
      <w:r>
        <w:rPr>
          <w:lang w:eastAsia="en-NZ"/>
        </w:rPr>
        <w:t>s</w:t>
      </w:r>
      <w:r w:rsidRPr="00E47714">
        <w:rPr>
          <w:lang w:eastAsia="en-NZ"/>
        </w:rPr>
        <w:t xml:space="preserve">. In contrast, nearly </w:t>
      </w:r>
      <w:r>
        <w:rPr>
          <w:lang w:eastAsia="en-NZ"/>
        </w:rPr>
        <w:t>one</w:t>
      </w:r>
      <w:r w:rsidRPr="00E47714">
        <w:rPr>
          <w:lang w:eastAsia="en-NZ"/>
        </w:rPr>
        <w:t xml:space="preserve"> in </w:t>
      </w:r>
      <w:r>
        <w:rPr>
          <w:lang w:eastAsia="en-NZ"/>
        </w:rPr>
        <w:t>four</w:t>
      </w:r>
      <w:r w:rsidRPr="00E47714">
        <w:rPr>
          <w:lang w:eastAsia="en-NZ"/>
        </w:rPr>
        <w:t xml:space="preserve"> (24.2%) of European/other</w:t>
      </w:r>
      <w:r>
        <w:rPr>
          <w:lang w:eastAsia="en-NZ"/>
        </w:rPr>
        <w:t>s</w:t>
      </w:r>
      <w:r w:rsidRPr="00E47714">
        <w:rPr>
          <w:lang w:eastAsia="en-NZ"/>
        </w:rPr>
        <w:t xml:space="preserve"> live in the least deprived quintile, compared </w:t>
      </w:r>
      <w:r>
        <w:rPr>
          <w:lang w:eastAsia="en-NZ"/>
        </w:rPr>
        <w:t>with</w:t>
      </w:r>
      <w:r w:rsidRPr="00E47714">
        <w:rPr>
          <w:lang w:eastAsia="en-NZ"/>
        </w:rPr>
        <w:t xml:space="preserve"> 8.3% of Māori and 4.9% of Pacific peoples.</w:t>
      </w:r>
    </w:p>
    <w:p w14:paraId="08204061" w14:textId="018D6D96" w:rsidR="001C7EEF" w:rsidRPr="00E47714" w:rsidRDefault="001C7EEF" w:rsidP="00183828">
      <w:pPr>
        <w:pStyle w:val="Figure"/>
      </w:pPr>
      <w:bookmarkStart w:id="35" w:name="_Ref166051247"/>
      <w:bookmarkStart w:id="36" w:name="_Toc171330652"/>
      <w:bookmarkStart w:id="37" w:name="_Toc172104688"/>
      <w:r w:rsidRPr="00E47714">
        <w:t xml:space="preserve">Figure </w:t>
      </w:r>
      <w:fldSimple w:instr=" SEQ Figure \* ARABIC ">
        <w:r w:rsidR="009A6F87">
          <w:rPr>
            <w:noProof/>
          </w:rPr>
          <w:t>5</w:t>
        </w:r>
      </w:fldSimple>
      <w:bookmarkEnd w:id="35"/>
      <w:r w:rsidRPr="00E47714">
        <w:t xml:space="preserve">: </w:t>
      </w:r>
      <w:r>
        <w:t xml:space="preserve">Aotearoa </w:t>
      </w:r>
      <w:r w:rsidRPr="00E47714">
        <w:t xml:space="preserve">New Zealand estimated resident population, by prioritised ethnic group and deprivation quintile, </w:t>
      </w:r>
      <w:proofErr w:type="gramStart"/>
      <w:r w:rsidRPr="00E47714">
        <w:t>2023</w:t>
      </w:r>
      <w:bookmarkEnd w:id="36"/>
      <w:bookmarkEnd w:id="37"/>
      <w:proofErr w:type="gramEnd"/>
      <w:r w:rsidRPr="00E47714">
        <w:t xml:space="preserve"> </w:t>
      </w:r>
    </w:p>
    <w:p w14:paraId="585288ED" w14:textId="77777777" w:rsidR="001C7EEF" w:rsidRPr="00E47714" w:rsidRDefault="001C7EEF" w:rsidP="005B127B">
      <w:pPr>
        <w:pStyle w:val="NormalWeb"/>
        <w:spacing w:before="0" w:beforeAutospacing="0" w:after="0" w:afterAutospacing="0"/>
      </w:pPr>
      <w:r w:rsidRPr="00E47714">
        <w:rPr>
          <w:noProof/>
        </w:rPr>
        <w:drawing>
          <wp:inline distT="0" distB="0" distL="0" distR="0" wp14:anchorId="2CCE2643" wp14:editId="7B9EA0A4">
            <wp:extent cx="4386662" cy="3476625"/>
            <wp:effectExtent l="0" t="0" r="0" b="0"/>
            <wp:docPr id="1823296326" name="Picture 1823296326" descr="A series of four bar charts showing deprivation quintile by ethnic group. For the Māori ethnic group, 43.0% of the population live in the most deprived areas (quintile 5), 22.6% in quintile 4, 14.9% in quintile 3, 11.1% in quintile 2, and 8.3% in the least deprived quintile (quintile 1). For the Pacific peoples ethnic group, 55.8% of the population live in the most deprived areas (quintile 5), 20.0% in quintile 4, 11.8% in quintile 3, 7.5% in quintile 2, and 4.9% in the least deprived quintile (quintile 1). For the Asian ethnic group, 17.5% of the population live in the most deprived areas (quintile 5), 23.0% in quintile 4, 22.7% in quintile 3, 20.2% in quintile 2, and 16.5% in the least deprived quintile (quintile 1). For the European/other ethnic group, 12.5% of the population live in the most deprived areas (quintile 5), 19.2% in quintile 4, 21.3% in quintile 3, 22.8% in quintile 2, and 24.2% in the least deprived quintile (quintil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6" name="Picture 1823296326" descr="A series of four bar charts showing deprivation quintile by ethnic group. For the Māori ethnic group, 43.0% of the population live in the most deprived areas (quintile 5), 22.6% in quintile 4, 14.9% in quintile 3, 11.1% in quintile 2, and 8.3% in the least deprived quintile (quintile 1). For the Pacific peoples ethnic group, 55.8% of the population live in the most deprived areas (quintile 5), 20.0% in quintile 4, 11.8% in quintile 3, 7.5% in quintile 2, and 4.9% in the least deprived quintile (quintile 1). For the Asian ethnic group, 17.5% of the population live in the most deprived areas (quintile 5), 23.0% in quintile 4, 22.7% in quintile 3, 20.2% in quintile 2, and 16.5% in the least deprived quintile (quintile 1). For the European/other ethnic group, 12.5% of the population live in the most deprived areas (quintile 5), 19.2% in quintile 4, 21.3% in quintile 3, 22.8% in quintile 2, and 24.2% in the least deprived quintile (quintile 1).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 r="-2543" b="-1607"/>
                    <a:stretch/>
                  </pic:blipFill>
                  <pic:spPr bwMode="auto">
                    <a:xfrm>
                      <a:off x="0" y="0"/>
                      <a:ext cx="4389125" cy="3478577"/>
                    </a:xfrm>
                    <a:prstGeom prst="rect">
                      <a:avLst/>
                    </a:prstGeom>
                    <a:noFill/>
                    <a:ln>
                      <a:noFill/>
                    </a:ln>
                    <a:extLst>
                      <a:ext uri="{53640926-AAD7-44D8-BBD7-CCE9431645EC}">
                        <a14:shadowObscured xmlns:a14="http://schemas.microsoft.com/office/drawing/2010/main"/>
                      </a:ext>
                    </a:extLst>
                  </pic:spPr>
                </pic:pic>
              </a:graphicData>
            </a:graphic>
          </wp:inline>
        </w:drawing>
      </w:r>
    </w:p>
    <w:p w14:paraId="715BD512" w14:textId="77777777" w:rsidR="001C7EEF" w:rsidRPr="00E47714" w:rsidRDefault="001C7EEF" w:rsidP="001C7EEF">
      <w:pPr>
        <w:pStyle w:val="Source"/>
      </w:pPr>
      <w:r w:rsidRPr="00E47714">
        <w:rPr>
          <w:b/>
          <w:bCs/>
        </w:rPr>
        <w:t>Source:</w:t>
      </w:r>
      <w:r>
        <w:rPr>
          <w:b/>
          <w:bCs/>
        </w:rPr>
        <w:t xml:space="preserve"> </w:t>
      </w:r>
      <w:r>
        <w:fldChar w:fldCharType="begin"/>
      </w:r>
      <w:r>
        <w:instrText xml:space="preserve"> ADDIN EN.CITE &lt;EndNote&gt;&lt;Cite AuthorYear="1"&gt;&lt;Author&gt;Health NZ&lt;/Author&gt;&lt;Year&gt;2024&lt;/Year&gt;&lt;RecNum&gt;409&lt;/RecNum&gt;&lt;DisplayText&gt;Health NZ (2024m)&lt;/DisplayText&gt;&lt;record&gt;&lt;rec-number&gt;409&lt;/rec-number&gt;&lt;foreign-keys&gt;&lt;key app="EN" db-id="aaepvppzs5wtfse95vsp2wahsrtvva2vvdet" timestamp="1716414715"&gt;409&lt;/key&gt;&lt;/foreign-keys&gt;&lt;ref-type name="Web Page"&gt;12&lt;/ref-type&gt;&lt;contributors&gt;&lt;authors&gt;&lt;author&gt;Health NZ,&lt;/author&gt;&lt;/authors&gt;&lt;/contributors&gt;&lt;titles&gt;&lt;title&gt;Populations web tool&lt;/title&gt;&lt;/titles&gt;&lt;number&gt;23 May 2024&lt;/number&gt;&lt;dates&gt;&lt;year&gt;2024&lt;/year&gt;&lt;/dates&gt;&lt;urls&gt;&lt;related-urls&gt;&lt;url&gt;tewhatuora.shinyapps.io/populations-web-tool&lt;/url&gt;&lt;/related-urls&gt;&lt;/urls&gt;&lt;/record&gt;&lt;/Cite&gt;&lt;/EndNote&gt;</w:instrText>
      </w:r>
      <w:r>
        <w:fldChar w:fldCharType="separate"/>
      </w:r>
      <w:r>
        <w:rPr>
          <w:noProof/>
        </w:rPr>
        <w:t>Health NZ (2024m)</w:t>
      </w:r>
      <w:r>
        <w:fldChar w:fldCharType="end"/>
      </w:r>
    </w:p>
    <w:p w14:paraId="6B09FFBC" w14:textId="77777777" w:rsidR="001C7EEF" w:rsidRPr="00E47714" w:rsidRDefault="001C7EEF" w:rsidP="001C7EEF">
      <w:pPr>
        <w:pStyle w:val="Heading2"/>
      </w:pPr>
      <w:bookmarkStart w:id="38" w:name="_Toc171603258"/>
      <w:bookmarkStart w:id="39" w:name="_Toc171944518"/>
      <w:bookmarkStart w:id="40" w:name="_Toc172104658"/>
      <w:r w:rsidRPr="00E47714">
        <w:lastRenderedPageBreak/>
        <w:t>Disabled population</w:t>
      </w:r>
      <w:bookmarkEnd w:id="38"/>
      <w:bookmarkEnd w:id="39"/>
      <w:bookmarkEnd w:id="40"/>
    </w:p>
    <w:p w14:paraId="79A4B439" w14:textId="13B15EDD" w:rsidR="001C7EEF" w:rsidRDefault="001C7EEF" w:rsidP="001C7EEF">
      <w:pPr>
        <w:rPr>
          <w:shd w:val="clear" w:color="auto" w:fill="FFFFFF"/>
        </w:rPr>
      </w:pPr>
      <w:r w:rsidRPr="00E47714">
        <w:t>The most recent data on the prevalence of disability in Aotearoa New Zealand</w:t>
      </w:r>
      <w:r w:rsidRPr="00E47714">
        <w:rPr>
          <w:shd w:val="clear" w:color="auto" w:fill="FFFFFF"/>
        </w:rPr>
        <w:t xml:space="preserve"> comes from the 2013 Stats NZ New Zealand Disability Survey </w:t>
      </w:r>
      <w:r>
        <w:rPr>
          <w:shd w:val="clear" w:color="auto" w:fill="FFFFFF"/>
        </w:rPr>
        <w:fldChar w:fldCharType="begin"/>
      </w:r>
      <w:r>
        <w:rPr>
          <w:shd w:val="clear" w:color="auto" w:fill="FFFFFF"/>
        </w:rPr>
        <w:instrText xml:space="preserve"> ADDIN EN.CITE &lt;EndNote&gt;&lt;Cite&gt;&lt;Author&gt;Stats NZ &lt;/Author&gt;&lt;Year&gt;2014&lt;/Year&gt;&lt;RecNum&gt;509&lt;/RecNum&gt;&lt;DisplayText&gt;(Stats NZ 2014)&lt;/DisplayText&gt;&lt;record&gt;&lt;rec-number&gt;509&lt;/rec-number&gt;&lt;foreign-keys&gt;&lt;key app="EN" db-id="aaepvppzs5wtfse95vsp2wahsrtvva2vvdet" timestamp="1716771746"&gt;509&lt;/key&gt;&lt;/foreign-keys&gt;&lt;ref-type name="Web Page"&gt;12&lt;/ref-type&gt;&lt;contributors&gt;&lt;authors&gt;&lt;author&gt;Stats NZ ,&lt;/author&gt;&lt;/authors&gt;&lt;/contributors&gt;&lt;titles&gt;&lt;title&gt;Disability Survey: 2013&lt;/title&gt;&lt;/titles&gt;&lt;number&gt;27 May 2024&lt;/number&gt;&lt;dates&gt;&lt;year&gt;2014&lt;/year&gt;&lt;/dates&gt;&lt;urls&gt;&lt;related-urls&gt;&lt;url&gt;stats.govt.nz/information-releases/disability-survey-2013&lt;/url&gt;&lt;/related-urls&gt;&lt;/urls&gt;&lt;/record&gt;&lt;/Cite&gt;&lt;/EndNote&gt;</w:instrText>
      </w:r>
      <w:r>
        <w:rPr>
          <w:shd w:val="clear" w:color="auto" w:fill="FFFFFF"/>
        </w:rPr>
        <w:fldChar w:fldCharType="separate"/>
      </w:r>
      <w:r>
        <w:rPr>
          <w:noProof/>
          <w:shd w:val="clear" w:color="auto" w:fill="FFFFFF"/>
        </w:rPr>
        <w:t>(Stats NZ 2014)</w:t>
      </w:r>
      <w:r>
        <w:rPr>
          <w:shd w:val="clear" w:color="auto" w:fill="FFFFFF"/>
        </w:rPr>
        <w:fldChar w:fldCharType="end"/>
      </w:r>
      <w:r w:rsidRPr="00E47714">
        <w:rPr>
          <w:shd w:val="clear" w:color="auto" w:fill="FFFFFF"/>
        </w:rPr>
        <w:t>. In this survey</w:t>
      </w:r>
      <w:r>
        <w:rPr>
          <w:shd w:val="clear" w:color="auto" w:fill="FFFFFF"/>
        </w:rPr>
        <w:t>,</w:t>
      </w:r>
      <w:r w:rsidRPr="00E47714">
        <w:rPr>
          <w:shd w:val="clear" w:color="auto" w:fill="FFFFFF"/>
        </w:rPr>
        <w:t xml:space="preserve"> 1.1 million New Zealanders (24% of the population) identified as disabled.</w:t>
      </w:r>
      <w:r w:rsidRPr="00E47714">
        <w:rPr>
          <w:rStyle w:val="FootnoteReference"/>
          <w:rFonts w:cs="Segoe UI"/>
          <w:color w:val="000000" w:themeColor="text1"/>
          <w:shd w:val="clear" w:color="auto" w:fill="FFFFFF"/>
        </w:rPr>
        <w:footnoteReference w:id="6"/>
      </w:r>
      <w:r w:rsidRPr="00E47714">
        <w:rPr>
          <w:shd w:val="clear" w:color="auto" w:fill="FFFFFF"/>
        </w:rPr>
        <w:t xml:space="preserve"> </w:t>
      </w:r>
    </w:p>
    <w:p w14:paraId="1690F0DF" w14:textId="77777777" w:rsidR="00FC05FA" w:rsidRPr="00E47714" w:rsidRDefault="00FC05FA" w:rsidP="001C7EEF">
      <w:pPr>
        <w:rPr>
          <w:shd w:val="clear" w:color="auto" w:fill="FFFFFF"/>
        </w:rPr>
      </w:pPr>
    </w:p>
    <w:p w14:paraId="3EA2E252" w14:textId="77777777" w:rsidR="001C7EEF" w:rsidRPr="00E47714" w:rsidRDefault="001C7EEF" w:rsidP="001C7EEF">
      <w:pPr>
        <w:rPr>
          <w:shd w:val="clear" w:color="auto" w:fill="FFFFFF"/>
        </w:rPr>
      </w:pPr>
      <w:r w:rsidRPr="00E47714">
        <w:rPr>
          <w:shd w:val="clear" w:color="auto" w:fill="FFFFFF"/>
        </w:rPr>
        <w:t>The survey showed:</w:t>
      </w:r>
    </w:p>
    <w:p w14:paraId="09D1481F" w14:textId="77777777" w:rsidR="001C7EEF" w:rsidRPr="00E47714" w:rsidRDefault="001C7EEF" w:rsidP="00183828">
      <w:pPr>
        <w:pStyle w:val="Bullet"/>
        <w:rPr>
          <w:shd w:val="clear" w:color="auto" w:fill="FFFFFF"/>
        </w:rPr>
      </w:pPr>
      <w:r w:rsidRPr="00E47714">
        <w:rPr>
          <w:shd w:val="clear" w:color="auto" w:fill="FFFFFF"/>
        </w:rPr>
        <w:t xml:space="preserve">a range of impairments limited 11% of children and 27% of adults in their daily </w:t>
      </w:r>
      <w:proofErr w:type="gramStart"/>
      <w:r w:rsidRPr="00E47714">
        <w:rPr>
          <w:shd w:val="clear" w:color="auto" w:fill="FFFFFF"/>
        </w:rPr>
        <w:t>activities</w:t>
      </w:r>
      <w:proofErr w:type="gramEnd"/>
    </w:p>
    <w:p w14:paraId="3CC8890E" w14:textId="77777777" w:rsidR="001C7EEF" w:rsidRPr="00E47714" w:rsidRDefault="001C7EEF" w:rsidP="00183828">
      <w:pPr>
        <w:pStyle w:val="Bullet"/>
        <w:rPr>
          <w:shd w:val="clear" w:color="auto" w:fill="FFFFFF"/>
        </w:rPr>
      </w:pPr>
      <w:r>
        <w:rPr>
          <w:shd w:val="clear" w:color="auto" w:fill="FFFFFF"/>
        </w:rPr>
        <w:t>a</w:t>
      </w:r>
      <w:r w:rsidRPr="00E47714">
        <w:rPr>
          <w:shd w:val="clear" w:color="auto" w:fill="FFFFFF"/>
        </w:rPr>
        <w:t xml:space="preserve">dults aged 65 </w:t>
      </w:r>
      <w:r>
        <w:rPr>
          <w:shd w:val="clear" w:color="auto" w:fill="FFFFFF"/>
        </w:rPr>
        <w:t xml:space="preserve">years </w:t>
      </w:r>
      <w:r w:rsidRPr="00E47714">
        <w:rPr>
          <w:shd w:val="clear" w:color="auto" w:fill="FFFFFF"/>
        </w:rPr>
        <w:t xml:space="preserve">and over were much more likely to be disabled (59%) than adults </w:t>
      </w:r>
      <w:r>
        <w:rPr>
          <w:shd w:val="clear" w:color="auto" w:fill="FFFFFF"/>
        </w:rPr>
        <w:t xml:space="preserve">aged </w:t>
      </w:r>
      <w:r w:rsidRPr="00E47714">
        <w:rPr>
          <w:shd w:val="clear" w:color="auto" w:fill="FFFFFF"/>
        </w:rPr>
        <w:t>under 65 years (21%)</w:t>
      </w:r>
    </w:p>
    <w:p w14:paraId="743EB5F9" w14:textId="77777777" w:rsidR="001C7EEF" w:rsidRPr="00E47714" w:rsidRDefault="001C7EEF" w:rsidP="00183828">
      <w:pPr>
        <w:pStyle w:val="Bullet"/>
        <w:rPr>
          <w:shd w:val="clear" w:color="auto" w:fill="FFFFFF"/>
        </w:rPr>
      </w:pPr>
      <w:r w:rsidRPr="00E47714">
        <w:rPr>
          <w:shd w:val="clear" w:color="auto" w:fill="FFFFFF"/>
        </w:rPr>
        <w:t>Māori and Pacific peoples had higher than average disability rates, after adjusting for differences in ethnic population age profiles.</w:t>
      </w:r>
    </w:p>
    <w:p w14:paraId="6CCF19D9" w14:textId="77777777" w:rsidR="00183828" w:rsidRDefault="00183828" w:rsidP="001C7EEF">
      <w:pPr>
        <w:rPr>
          <w:shd w:val="clear" w:color="auto" w:fill="FFFFFF"/>
        </w:rPr>
      </w:pPr>
    </w:p>
    <w:p w14:paraId="24D81422" w14:textId="601F9A8F" w:rsidR="001C7EEF" w:rsidRDefault="001C7EEF" w:rsidP="001C7EEF">
      <w:pPr>
        <w:rPr>
          <w:shd w:val="clear" w:color="auto" w:fill="FFFFFF"/>
        </w:rPr>
      </w:pPr>
      <w:r w:rsidRPr="00E47714">
        <w:rPr>
          <w:shd w:val="clear" w:color="auto" w:fill="FFFFFF"/>
        </w:rPr>
        <w:t xml:space="preserve">Information from Stats NZ shows disabled people fare worse than non-disabled people across a range of outcomes relating to economic outcomes, housing and neighbourhoods, and social indicators </w:t>
      </w:r>
      <w:r>
        <w:rPr>
          <w:shd w:val="clear" w:color="auto" w:fill="FFFFFF"/>
        </w:rPr>
        <w:fldChar w:fldCharType="begin"/>
      </w:r>
      <w:r>
        <w:rPr>
          <w:shd w:val="clear" w:color="auto" w:fill="FFFFFF"/>
        </w:rPr>
        <w:instrText xml:space="preserve"> ADDIN EN.CITE &lt;EndNote&gt;&lt;Cite&gt;&lt;Author&gt;Stats NZ &lt;/Author&gt;&lt;Year&gt;2020&lt;/Year&gt;&lt;RecNum&gt;513&lt;/RecNum&gt;&lt;DisplayText&gt;(Stats NZ 2020a)&lt;/DisplayText&gt;&lt;record&gt;&lt;rec-number&gt;513&lt;/rec-number&gt;&lt;foreign-keys&gt;&lt;key app="EN" db-id="aaepvppzs5wtfse95vsp2wahsrtvva2vvdet" timestamp="1716867889"&gt;513&lt;/key&gt;&lt;/foreign-keys&gt;&lt;ref-type name="Web Page"&gt;12&lt;/ref-type&gt;&lt;contributors&gt;&lt;authors&gt;&lt;author&gt;Stats NZ ,&lt;/author&gt;&lt;/authors&gt;&lt;/contributors&gt;&lt;titles&gt;&lt;title&gt;Disabled people fare worse in their home, economic, and social lives&lt;/title&gt;&lt;/titles&gt;&lt;number&gt;28 May 2024&lt;/number&gt;&lt;dates&gt;&lt;year&gt;2020&lt;/year&gt;&lt;/dates&gt;&lt;urls&gt;&lt;related-urls&gt;&lt;url&gt;stats.govt.nz/news/disabled-people-fare-worse-in-their-home-economic-and-social-lives&lt;/url&gt;&lt;/related-urls&gt;&lt;/urls&gt;&lt;/record&gt;&lt;/Cite&gt;&lt;/EndNote&gt;</w:instrText>
      </w:r>
      <w:r>
        <w:rPr>
          <w:shd w:val="clear" w:color="auto" w:fill="FFFFFF"/>
        </w:rPr>
        <w:fldChar w:fldCharType="separate"/>
      </w:r>
      <w:r>
        <w:rPr>
          <w:noProof/>
          <w:shd w:val="clear" w:color="auto" w:fill="FFFFFF"/>
        </w:rPr>
        <w:t>(Stats NZ 2020a)</w:t>
      </w:r>
      <w:r>
        <w:rPr>
          <w:shd w:val="clear" w:color="auto" w:fill="FFFFFF"/>
        </w:rPr>
        <w:fldChar w:fldCharType="end"/>
      </w:r>
      <w:r w:rsidRPr="00E47714">
        <w:rPr>
          <w:shd w:val="clear" w:color="auto" w:fill="FFFFFF"/>
        </w:rPr>
        <w:t xml:space="preserve">. </w:t>
      </w:r>
    </w:p>
    <w:p w14:paraId="37793C30" w14:textId="77777777" w:rsidR="00183828" w:rsidRPr="00E47714" w:rsidRDefault="00183828" w:rsidP="001C7EEF">
      <w:pPr>
        <w:rPr>
          <w:shd w:val="clear" w:color="auto" w:fill="FFFFFF"/>
        </w:rPr>
      </w:pPr>
    </w:p>
    <w:p w14:paraId="10892DCD" w14:textId="77777777" w:rsidR="001C7EEF" w:rsidRPr="00E47714" w:rsidRDefault="001C7EEF" w:rsidP="001C7EEF">
      <w:pPr>
        <w:rPr>
          <w:shd w:val="clear" w:color="auto" w:fill="FFFFFF"/>
        </w:rPr>
      </w:pPr>
      <w:r w:rsidRPr="00E47714">
        <w:rPr>
          <w:shd w:val="clear" w:color="auto" w:fill="FFFFFF"/>
        </w:rPr>
        <w:t xml:space="preserve">Stats NZ </w:t>
      </w:r>
      <w:r>
        <w:rPr>
          <w:shd w:val="clear" w:color="auto" w:fill="FFFFFF"/>
        </w:rPr>
        <w:t xml:space="preserve">has now </w:t>
      </w:r>
      <w:r w:rsidRPr="00E47714">
        <w:rPr>
          <w:shd w:val="clear" w:color="auto" w:fill="FFFFFF"/>
        </w:rPr>
        <w:t xml:space="preserve">conducted </w:t>
      </w:r>
      <w:r>
        <w:rPr>
          <w:shd w:val="clear" w:color="auto" w:fill="FFFFFF"/>
        </w:rPr>
        <w:t>t</w:t>
      </w:r>
      <w:r w:rsidRPr="00E47714">
        <w:rPr>
          <w:shd w:val="clear" w:color="auto" w:fill="FFFFFF"/>
        </w:rPr>
        <w:t xml:space="preserve">he 2023 national disability survey </w:t>
      </w:r>
      <w:r>
        <w:rPr>
          <w:shd w:val="clear" w:color="auto" w:fill="FFFFFF"/>
        </w:rPr>
        <w:t>and the</w:t>
      </w:r>
      <w:r w:rsidRPr="00E47714">
        <w:rPr>
          <w:shd w:val="clear" w:color="auto" w:fill="FFFFFF"/>
        </w:rPr>
        <w:t xml:space="preserve"> results </w:t>
      </w:r>
      <w:r>
        <w:rPr>
          <w:shd w:val="clear" w:color="auto" w:fill="FFFFFF"/>
        </w:rPr>
        <w:t xml:space="preserve">are </w:t>
      </w:r>
      <w:r w:rsidRPr="00E47714">
        <w:rPr>
          <w:shd w:val="clear" w:color="auto" w:fill="FFFFFF"/>
        </w:rPr>
        <w:t xml:space="preserve">expected in 2024/25. The purpose of the survey is to estimate the number of disabled people in </w:t>
      </w:r>
      <w:r w:rsidRPr="00E47714">
        <w:t xml:space="preserve">Aotearoa </w:t>
      </w:r>
      <w:r w:rsidRPr="00E47714">
        <w:rPr>
          <w:shd w:val="clear" w:color="auto" w:fill="FFFFFF"/>
        </w:rPr>
        <w:t>New Zealand, understand more about the wellbeing of disabled people</w:t>
      </w:r>
      <w:r>
        <w:rPr>
          <w:shd w:val="clear" w:color="auto" w:fill="FFFFFF"/>
        </w:rPr>
        <w:t>,</w:t>
      </w:r>
      <w:r w:rsidRPr="00E47714">
        <w:rPr>
          <w:shd w:val="clear" w:color="auto" w:fill="FFFFFF"/>
        </w:rPr>
        <w:t xml:space="preserve"> and understand the barriers </w:t>
      </w:r>
      <w:r>
        <w:rPr>
          <w:shd w:val="clear" w:color="auto" w:fill="FFFFFF"/>
        </w:rPr>
        <w:t xml:space="preserve">that </w:t>
      </w:r>
      <w:r w:rsidRPr="00E47714">
        <w:rPr>
          <w:shd w:val="clear" w:color="auto" w:fill="FFFFFF"/>
        </w:rPr>
        <w:t>disabled people</w:t>
      </w:r>
      <w:r w:rsidRPr="00F81EAB">
        <w:rPr>
          <w:shd w:val="clear" w:color="auto" w:fill="FFFFFF"/>
        </w:rPr>
        <w:t xml:space="preserve"> </w:t>
      </w:r>
      <w:r w:rsidRPr="00E47714">
        <w:rPr>
          <w:shd w:val="clear" w:color="auto" w:fill="FFFFFF"/>
        </w:rPr>
        <w:t xml:space="preserve">experience in different areas of their lives </w:t>
      </w:r>
      <w:r>
        <w:rPr>
          <w:shd w:val="clear" w:color="auto" w:fill="FFFFFF"/>
        </w:rPr>
        <w:fldChar w:fldCharType="begin"/>
      </w:r>
      <w:r>
        <w:rPr>
          <w:shd w:val="clear" w:color="auto" w:fill="FFFFFF"/>
        </w:rPr>
        <w:instrText xml:space="preserve"> ADDIN EN.CITE &lt;EndNote&gt;&lt;Cite&gt;&lt;Author&gt;Stats NZ &lt;/Author&gt;&lt;Year&gt;(nd)&lt;/Year&gt;&lt;RecNum&gt;510&lt;/RecNum&gt;&lt;DisplayText&gt;(Stats NZ (nd)-a)&lt;/DisplayText&gt;&lt;record&gt;&lt;rec-number&gt;510&lt;/rec-number&gt;&lt;foreign-keys&gt;&lt;key app="EN" db-id="aaepvppzs5wtfse95vsp2wahsrtvva2vvdet" timestamp="1716772436"&gt;510&lt;/key&gt;&lt;/foreign-keys&gt;&lt;ref-type name="Web Page"&gt;12&lt;/ref-type&gt;&lt;contributors&gt;&lt;authors&gt;&lt;author&gt;Stats NZ ,&lt;/author&gt;&lt;/authors&gt;&lt;/contributors&gt;&lt;titles&gt;&lt;title&gt;About the 2023 Disability Survey&lt;/title&gt;&lt;/titles&gt;&lt;number&gt;27 May 2024&lt;/number&gt;&lt;dates&gt;&lt;year&gt;(nd)&lt;/year&gt;&lt;/dates&gt;&lt;urls&gt;&lt;related-urls&gt;&lt;url&gt;stats.govt.nz/help-with-surveys/list-of-stats-nz-surveys/about-the-2023-disability-survey/#purpose&lt;/url&gt;&lt;/related-urls&gt;&lt;/urls&gt;&lt;/record&gt;&lt;/Cite&gt;&lt;/EndNote&gt;</w:instrText>
      </w:r>
      <w:r>
        <w:rPr>
          <w:shd w:val="clear" w:color="auto" w:fill="FFFFFF"/>
        </w:rPr>
        <w:fldChar w:fldCharType="separate"/>
      </w:r>
      <w:r>
        <w:rPr>
          <w:noProof/>
          <w:shd w:val="clear" w:color="auto" w:fill="FFFFFF"/>
        </w:rPr>
        <w:t>(Stats NZ (nd)-a)</w:t>
      </w:r>
      <w:r>
        <w:rPr>
          <w:shd w:val="clear" w:color="auto" w:fill="FFFFFF"/>
        </w:rPr>
        <w:fldChar w:fldCharType="end"/>
      </w:r>
      <w:r w:rsidRPr="00E47714">
        <w:rPr>
          <w:shd w:val="clear" w:color="auto" w:fill="FFFFFF"/>
        </w:rPr>
        <w:t xml:space="preserve">. </w:t>
      </w:r>
    </w:p>
    <w:p w14:paraId="79AED5F4" w14:textId="77777777" w:rsidR="001C7EEF" w:rsidRPr="00E47714" w:rsidRDefault="001C7EEF" w:rsidP="001C7EEF">
      <w:pPr>
        <w:pStyle w:val="Heading2"/>
      </w:pPr>
      <w:bookmarkStart w:id="41" w:name="_Toc171603259"/>
      <w:bookmarkStart w:id="42" w:name="_Toc171944519"/>
      <w:bookmarkStart w:id="43" w:name="_Toc172104659"/>
      <w:r w:rsidRPr="00E47714">
        <w:t>Equity</w:t>
      </w:r>
      <w:bookmarkEnd w:id="41"/>
      <w:bookmarkEnd w:id="42"/>
      <w:bookmarkEnd w:id="43"/>
    </w:p>
    <w:p w14:paraId="4352F298" w14:textId="4106C7EB" w:rsidR="001C7EEF" w:rsidRDefault="001C7EEF" w:rsidP="00183828">
      <w:r w:rsidRPr="00E47714">
        <w:t xml:space="preserve">The first principle of the </w:t>
      </w:r>
      <w:proofErr w:type="spellStart"/>
      <w:r w:rsidRPr="00E47714">
        <w:t>Pae</w:t>
      </w:r>
      <w:proofErr w:type="spellEnd"/>
      <w:r w:rsidRPr="00E47714">
        <w:t xml:space="preserve"> Ora (</w:t>
      </w:r>
      <w:r>
        <w:t>H</w:t>
      </w:r>
      <w:r w:rsidRPr="00E47714">
        <w:t xml:space="preserve">ealthy </w:t>
      </w:r>
      <w:r>
        <w:t>F</w:t>
      </w:r>
      <w:r w:rsidRPr="00E47714">
        <w:t xml:space="preserve">utures) Act </w:t>
      </w:r>
      <w:r>
        <w:t xml:space="preserve">2022 </w:t>
      </w:r>
      <w:r w:rsidRPr="00E47714">
        <w:t>is that the health sector should be equitable. This includes ensuring Māori and other population groups have access to services in proportion to their health needs, receive equitable levels of service</w:t>
      </w:r>
      <w:r>
        <w:t>,</w:t>
      </w:r>
      <w:r w:rsidRPr="00E47714">
        <w:t xml:space="preserve"> and achieve equitable health outcomes. </w:t>
      </w:r>
    </w:p>
    <w:p w14:paraId="3C304AFA" w14:textId="77777777" w:rsidR="00183828" w:rsidRPr="00E47714" w:rsidRDefault="00183828" w:rsidP="00183828"/>
    <w:p w14:paraId="60317BEC" w14:textId="77777777" w:rsidR="001C7EEF" w:rsidRDefault="001C7EEF" w:rsidP="00183828">
      <w:r w:rsidRPr="00E47714">
        <w:t xml:space="preserve">The </w:t>
      </w:r>
      <w:r>
        <w:fldChar w:fldCharType="begin"/>
      </w:r>
      <w:r>
        <w:instrText xml:space="preserve"> ADDIN EN.CITE &lt;EndNote&gt;&lt;Cite AuthorYear="1"&gt;&lt;Author&gt;Ministry of Health &lt;/Author&gt;&lt;Year&gt;2023&lt;/Year&gt;&lt;RecNum&gt;418&lt;/RecNum&gt;&lt;DisplayText&gt;Ministry of Health (2023a)&lt;/DisplayText&gt;&lt;record&gt;&lt;rec-number&gt;418&lt;/rec-number&gt;&lt;foreign-keys&gt;&lt;key app="EN" db-id="aaepvppzs5wtfse95vsp2wahsrtvva2vvdet" timestamp="1716418641"&gt;418&lt;/key&gt;&lt;/foreign-keys&gt;&lt;ref-type name="Web Page"&gt;12&lt;/ref-type&gt;&lt;contributors&gt;&lt;authors&gt;&lt;author&gt;Ministry of Health ,&lt;/author&gt;&lt;/authors&gt;&lt;/contributors&gt;&lt;titles&gt;&lt;title&gt;Achieving equity&lt;/title&gt;&lt;/titles&gt;&lt;number&gt;23 May 2024&lt;/number&gt;&lt;dates&gt;&lt;year&gt;2023&lt;/year&gt;&lt;/dates&gt;&lt;urls&gt;&lt;related-urls&gt;&lt;url&gt;health.govt.nz/about-ministry/what-we-do/achieving-equity&lt;/url&gt;&lt;/related-urls&gt;&lt;/urls&gt;&lt;/record&gt;&lt;/Cite&gt;&lt;/EndNote&gt;</w:instrText>
      </w:r>
      <w:r>
        <w:fldChar w:fldCharType="separate"/>
      </w:r>
      <w:r>
        <w:rPr>
          <w:noProof/>
        </w:rPr>
        <w:t>Ministry of Health (2023a)</w:t>
      </w:r>
      <w:r>
        <w:fldChar w:fldCharType="end"/>
      </w:r>
      <w:r w:rsidRPr="00E47714">
        <w:t xml:space="preserve"> defin</w:t>
      </w:r>
      <w:r>
        <w:t>es</w:t>
      </w:r>
      <w:r w:rsidRPr="00E47714">
        <w:t xml:space="preserve"> equity </w:t>
      </w:r>
      <w:r>
        <w:t>in this way</w:t>
      </w:r>
      <w:r w:rsidRPr="00E47714">
        <w:t xml:space="preserve">: </w:t>
      </w:r>
    </w:p>
    <w:p w14:paraId="656BEA3E" w14:textId="77777777" w:rsidR="001C7EEF" w:rsidRPr="00183828" w:rsidRDefault="001C7EEF" w:rsidP="00183828">
      <w:pPr>
        <w:pStyle w:val="NormalIndent"/>
        <w:spacing w:before="160"/>
        <w:rPr>
          <w:sz w:val="21"/>
          <w:szCs w:val="21"/>
        </w:rPr>
      </w:pPr>
      <w:r w:rsidRPr="00183828">
        <w:rPr>
          <w:sz w:val="21"/>
          <w:szCs w:val="21"/>
        </w:rPr>
        <w:t xml:space="preserve">In Aotearoa New Zealand, people have differences in health that are not only avoidable but unfair and unjust. Equity recognises different people with different levels of advantage require different approaches and resources to get equitable health outcomes. </w:t>
      </w:r>
    </w:p>
    <w:p w14:paraId="780640BC" w14:textId="23B93309" w:rsidR="001C7EEF" w:rsidRDefault="001C7EEF" w:rsidP="001C7EEF">
      <w:r>
        <w:t>Many of the causes</w:t>
      </w:r>
      <w:r w:rsidRPr="00E47714">
        <w:t xml:space="preserve"> of inequities </w:t>
      </w:r>
      <w:r>
        <w:t xml:space="preserve">are found across sectors and </w:t>
      </w:r>
      <w:r w:rsidRPr="00E47714">
        <w:t>generation</w:t>
      </w:r>
      <w:r>
        <w:t>s</w:t>
      </w:r>
      <w:r w:rsidRPr="00E47714">
        <w:t xml:space="preserve"> and </w:t>
      </w:r>
      <w:r>
        <w:t xml:space="preserve">are </w:t>
      </w:r>
      <w:r w:rsidRPr="00E47714">
        <w:t>compounding</w:t>
      </w:r>
      <w:r>
        <w:t xml:space="preserve"> – they build on each other</w:t>
      </w:r>
      <w:r w:rsidRPr="00E47714">
        <w:t xml:space="preserve">. Equity is a complex, system-wide problem that requires systematic, multilevel solutions </w:t>
      </w:r>
      <w:r>
        <w:t>in and beyond</w:t>
      </w:r>
      <w:r w:rsidRPr="00E47714">
        <w:t xml:space="preserve"> the health sector </w:t>
      </w:r>
      <w:r>
        <w:fldChar w:fldCharType="begin"/>
      </w:r>
      <w:r>
        <w:instrText xml:space="preserve"> ADDIN EN.CITE &lt;EndNote&gt;&lt;Cite&gt;&lt;Author&gt;Health NZ&lt;/Author&gt;&lt;Year&gt;2024&lt;/Year&gt;&lt;RecNum&gt;414&lt;/RecNum&gt;&lt;DisplayText&gt;(Health NZ 2024a)&lt;/DisplayText&gt;&lt;record&gt;&lt;rec-number&gt;414&lt;/rec-number&gt;&lt;foreign-keys&gt;&lt;key app="EN" db-id="aaepvppzs5wtfse95vsp2wahsrtvva2vvdet" timestamp="1716416868"&gt;414&lt;/key&gt;&lt;/foreign-keys&gt;&lt;ref-type name="Generic"&gt;13&lt;/ref-type&gt;&lt;contributors&gt;&lt;authors&gt;&lt;author&gt;Health NZ,&lt;/author&gt;&lt;/authors&gt;&lt;/contributors&gt;&lt;titles&gt;&lt;title&gt;Aotearoa New Zealand Health Status Report 2023 &lt;/title&gt;&lt;/titles&gt;&lt;dates&gt;&lt;year&gt;2024&lt;/year&gt;&lt;/dates&gt;&lt;pub-location&gt;Wellington&lt;/pub-location&gt;&lt;publisher&gt;Health New Zealand&lt;/publisher&gt;&lt;urls&gt;&lt;/urls&gt;&lt;/record&gt;&lt;/Cite&gt;&lt;/EndNote&gt;</w:instrText>
      </w:r>
      <w:r>
        <w:fldChar w:fldCharType="separate"/>
      </w:r>
      <w:r>
        <w:rPr>
          <w:noProof/>
        </w:rPr>
        <w:t>(Health NZ 2024a)</w:t>
      </w:r>
      <w:r>
        <w:fldChar w:fldCharType="end"/>
      </w:r>
      <w:r w:rsidRPr="00E47714">
        <w:t>.</w:t>
      </w:r>
    </w:p>
    <w:p w14:paraId="12E7AE6C" w14:textId="77777777" w:rsidR="00183828" w:rsidRPr="00E47714" w:rsidRDefault="00183828" w:rsidP="001C7EEF"/>
    <w:p w14:paraId="22EE61F0" w14:textId="77777777" w:rsidR="001C7EEF" w:rsidRPr="00E47714" w:rsidRDefault="001C7EEF" w:rsidP="001C7EEF">
      <w:pPr>
        <w:rPr>
          <w:rFonts w:cs="Segoe UI"/>
        </w:rPr>
      </w:pPr>
    </w:p>
    <w:p w14:paraId="7FBF824E" w14:textId="77777777" w:rsidR="00183828" w:rsidRPr="00183828" w:rsidRDefault="00183828" w:rsidP="00183828">
      <w:pPr>
        <w:pStyle w:val="Heading3"/>
      </w:pPr>
      <w:r w:rsidRPr="00183828">
        <w:lastRenderedPageBreak/>
        <w:t>Health of Māori, Pacific peoples, and disabled people</w:t>
      </w:r>
    </w:p>
    <w:p w14:paraId="70F6E4EA" w14:textId="5CD5859A" w:rsidR="00183828" w:rsidRPr="00E47714" w:rsidRDefault="00183828" w:rsidP="00183828">
      <w:r w:rsidRPr="00E47714">
        <w:t>Māori, Pacific peoples</w:t>
      </w:r>
      <w:r>
        <w:t>,</w:t>
      </w:r>
      <w:r w:rsidRPr="00E47714">
        <w:t xml:space="preserve"> and the disabled population experience inequity and poorer health outcomes compared </w:t>
      </w:r>
      <w:r>
        <w:t>with</w:t>
      </w:r>
      <w:r w:rsidRPr="00E47714">
        <w:t xml:space="preserve"> the general population. </w:t>
      </w:r>
      <w:r w:rsidRPr="00E47714">
        <w:fldChar w:fldCharType="begin"/>
      </w:r>
      <w:r w:rsidRPr="00E47714">
        <w:instrText xml:space="preserve"> REF _Ref167352637 \h  \* MERGEFORMAT </w:instrText>
      </w:r>
      <w:r w:rsidRPr="00E47714">
        <w:fldChar w:fldCharType="separate"/>
      </w:r>
      <w:r w:rsidR="009A6F87" w:rsidRPr="00E47714">
        <w:t xml:space="preserve">Table </w:t>
      </w:r>
      <w:r w:rsidR="009A6F87">
        <w:t>1</w:t>
      </w:r>
      <w:r w:rsidRPr="00E47714">
        <w:fldChar w:fldCharType="end"/>
      </w:r>
      <w:r w:rsidRPr="00E47714">
        <w:t xml:space="preserve"> </w:t>
      </w:r>
      <w:r>
        <w:t>presents</w:t>
      </w:r>
      <w:r w:rsidRPr="00E47714">
        <w:t xml:space="preserve"> key examples </w:t>
      </w:r>
      <w:r>
        <w:t>from within the r</w:t>
      </w:r>
      <w:r w:rsidRPr="00E47714">
        <w:t>eport, highlighting</w:t>
      </w:r>
      <w:r>
        <w:t xml:space="preserve"> the</w:t>
      </w:r>
      <w:r w:rsidRPr="00E47714">
        <w:t xml:space="preserve"> inequity Māori, Pacific peoples and disabled people</w:t>
      </w:r>
      <w:r>
        <w:t xml:space="preserve"> face in health and health care</w:t>
      </w:r>
      <w:r w:rsidRPr="00E47714">
        <w:t>.</w:t>
      </w:r>
    </w:p>
    <w:p w14:paraId="4AB8EB81" w14:textId="67792C1A" w:rsidR="00183828" w:rsidRPr="00E47714" w:rsidRDefault="00183828" w:rsidP="00183828">
      <w:pPr>
        <w:pStyle w:val="Table"/>
      </w:pPr>
      <w:bookmarkStart w:id="44" w:name="_Ref167352637"/>
      <w:bookmarkStart w:id="45" w:name="_Toc171330689"/>
      <w:bookmarkStart w:id="46" w:name="_Toc172010448"/>
      <w:r w:rsidRPr="00E47714">
        <w:t xml:space="preserve">Table </w:t>
      </w:r>
      <w:fldSimple w:instr=" SEQ Table \* ARABIC ">
        <w:r w:rsidR="009A6F87">
          <w:rPr>
            <w:noProof/>
          </w:rPr>
          <w:t>1</w:t>
        </w:r>
      </w:fldSimple>
      <w:bookmarkEnd w:id="44"/>
      <w:r w:rsidRPr="00E47714">
        <w:t>: Examples of inequity for Māori, Pacific peoples</w:t>
      </w:r>
      <w:r>
        <w:t>,</w:t>
      </w:r>
      <w:r w:rsidRPr="00E47714">
        <w:t xml:space="preserve"> and disabled people, compared with </w:t>
      </w:r>
      <w:r>
        <w:t xml:space="preserve">the </w:t>
      </w:r>
      <w:r w:rsidRPr="00E47714">
        <w:t xml:space="preserve">total Aotearoa New Zealand </w:t>
      </w:r>
      <w:proofErr w:type="gramStart"/>
      <w:r w:rsidRPr="00E47714">
        <w:t>population</w:t>
      </w:r>
      <w:bookmarkEnd w:id="45"/>
      <w:bookmarkEnd w:id="46"/>
      <w:proofErr w:type="gramEnd"/>
    </w:p>
    <w:tbl>
      <w:tblPr>
        <w:tblStyle w:val="TableGrid"/>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623"/>
        <w:gridCol w:w="1614"/>
        <w:gridCol w:w="1614"/>
        <w:gridCol w:w="1614"/>
        <w:gridCol w:w="1614"/>
      </w:tblGrid>
      <w:tr w:rsidR="00183828" w:rsidRPr="00E47714" w14:paraId="7A609A66" w14:textId="77777777" w:rsidTr="00183828">
        <w:tc>
          <w:tcPr>
            <w:tcW w:w="1004" w:type="pct"/>
            <w:tcBorders>
              <w:top w:val="nil"/>
              <w:bottom w:val="nil"/>
            </w:tcBorders>
            <w:shd w:val="clear" w:color="auto" w:fill="D9D9D9" w:themeFill="background1" w:themeFillShade="D9"/>
            <w:vAlign w:val="center"/>
          </w:tcPr>
          <w:p w14:paraId="332F8F80" w14:textId="77777777" w:rsidR="00183828" w:rsidRPr="00E47714" w:rsidRDefault="00183828" w:rsidP="00C66A54">
            <w:pPr>
              <w:pStyle w:val="TableText"/>
              <w:jc w:val="center"/>
              <w:rPr>
                <w:b/>
                <w:bCs/>
              </w:rPr>
            </w:pPr>
            <w:r w:rsidRPr="00E47714">
              <w:rPr>
                <w:b/>
                <w:bCs/>
              </w:rPr>
              <w:t>Indicator</w:t>
            </w:r>
          </w:p>
        </w:tc>
        <w:tc>
          <w:tcPr>
            <w:tcW w:w="999" w:type="pct"/>
            <w:tcBorders>
              <w:top w:val="nil"/>
              <w:bottom w:val="nil"/>
            </w:tcBorders>
            <w:shd w:val="clear" w:color="auto" w:fill="D9D9D9" w:themeFill="background1" w:themeFillShade="D9"/>
            <w:vAlign w:val="center"/>
          </w:tcPr>
          <w:p w14:paraId="42A100F5" w14:textId="77777777" w:rsidR="00183828" w:rsidRPr="00E47714" w:rsidRDefault="00183828" w:rsidP="00C66A54">
            <w:pPr>
              <w:pStyle w:val="TableText"/>
              <w:jc w:val="center"/>
              <w:rPr>
                <w:b/>
                <w:bCs/>
              </w:rPr>
            </w:pPr>
            <w:r w:rsidRPr="00E47714">
              <w:rPr>
                <w:b/>
                <w:bCs/>
              </w:rPr>
              <w:t>Total population</w:t>
            </w:r>
          </w:p>
        </w:tc>
        <w:tc>
          <w:tcPr>
            <w:tcW w:w="999" w:type="pct"/>
            <w:tcBorders>
              <w:top w:val="nil"/>
              <w:bottom w:val="nil"/>
            </w:tcBorders>
            <w:shd w:val="clear" w:color="auto" w:fill="D9D9D9" w:themeFill="background1" w:themeFillShade="D9"/>
            <w:vAlign w:val="center"/>
          </w:tcPr>
          <w:p w14:paraId="35AEA094" w14:textId="77777777" w:rsidR="00183828" w:rsidRPr="00E47714" w:rsidRDefault="00183828" w:rsidP="00C66A54">
            <w:pPr>
              <w:pStyle w:val="TableText"/>
              <w:jc w:val="center"/>
              <w:rPr>
                <w:b/>
                <w:bCs/>
              </w:rPr>
            </w:pPr>
            <w:r w:rsidRPr="00E47714">
              <w:rPr>
                <w:b/>
                <w:bCs/>
              </w:rPr>
              <w:t>Māori</w:t>
            </w:r>
          </w:p>
        </w:tc>
        <w:tc>
          <w:tcPr>
            <w:tcW w:w="999" w:type="pct"/>
            <w:tcBorders>
              <w:top w:val="nil"/>
              <w:bottom w:val="nil"/>
            </w:tcBorders>
            <w:shd w:val="clear" w:color="auto" w:fill="D9D9D9" w:themeFill="background1" w:themeFillShade="D9"/>
            <w:vAlign w:val="center"/>
          </w:tcPr>
          <w:p w14:paraId="075324FC" w14:textId="77777777" w:rsidR="00183828" w:rsidRPr="00E47714" w:rsidRDefault="00183828" w:rsidP="00C66A54">
            <w:pPr>
              <w:pStyle w:val="TableText"/>
              <w:jc w:val="center"/>
              <w:rPr>
                <w:rFonts w:eastAsiaTheme="majorEastAsia"/>
                <w:b/>
                <w:bCs/>
                <w:lang w:eastAsia="en-US"/>
              </w:rPr>
            </w:pPr>
            <w:r w:rsidRPr="00E47714">
              <w:rPr>
                <w:b/>
                <w:bCs/>
              </w:rPr>
              <w:t>Pacific peoples</w:t>
            </w:r>
          </w:p>
        </w:tc>
        <w:tc>
          <w:tcPr>
            <w:tcW w:w="999" w:type="pct"/>
            <w:tcBorders>
              <w:top w:val="nil"/>
              <w:bottom w:val="nil"/>
            </w:tcBorders>
            <w:shd w:val="clear" w:color="auto" w:fill="D9D9D9" w:themeFill="background1" w:themeFillShade="D9"/>
            <w:vAlign w:val="center"/>
          </w:tcPr>
          <w:p w14:paraId="1BBE9B82" w14:textId="77777777" w:rsidR="00183828" w:rsidRPr="00E47714" w:rsidRDefault="00183828" w:rsidP="00C66A54">
            <w:pPr>
              <w:pStyle w:val="TableText"/>
              <w:jc w:val="center"/>
              <w:rPr>
                <w:rFonts w:eastAsiaTheme="majorEastAsia"/>
                <w:b/>
                <w:bCs/>
              </w:rPr>
            </w:pPr>
            <w:r w:rsidRPr="00E47714">
              <w:rPr>
                <w:rFonts w:eastAsiaTheme="majorEastAsia"/>
                <w:b/>
                <w:bCs/>
              </w:rPr>
              <w:t>Disabled people</w:t>
            </w:r>
          </w:p>
        </w:tc>
      </w:tr>
      <w:tr w:rsidR="00183828" w:rsidRPr="00E47714" w14:paraId="242D5EC8" w14:textId="77777777" w:rsidTr="00C66A54">
        <w:tc>
          <w:tcPr>
            <w:tcW w:w="1004" w:type="pct"/>
            <w:tcBorders>
              <w:top w:val="nil"/>
            </w:tcBorders>
            <w:shd w:val="clear" w:color="auto" w:fill="auto"/>
            <w:vAlign w:val="center"/>
          </w:tcPr>
          <w:p w14:paraId="67102287" w14:textId="77777777" w:rsidR="00183828" w:rsidRPr="00E47714" w:rsidRDefault="00183828" w:rsidP="00C66A54">
            <w:pPr>
              <w:pStyle w:val="TableText"/>
              <w:jc w:val="center"/>
            </w:pPr>
            <w:r w:rsidRPr="00E47714">
              <w:t>Life expectancy</w:t>
            </w:r>
          </w:p>
          <w:p w14:paraId="71098F66" w14:textId="77777777" w:rsidR="00183828" w:rsidRPr="00E47714" w:rsidRDefault="00183828" w:rsidP="00C66A54">
            <w:pPr>
              <w:pStyle w:val="TableText"/>
              <w:jc w:val="center"/>
            </w:pPr>
          </w:p>
        </w:tc>
        <w:tc>
          <w:tcPr>
            <w:tcW w:w="999" w:type="pct"/>
            <w:tcBorders>
              <w:top w:val="nil"/>
            </w:tcBorders>
            <w:shd w:val="clear" w:color="auto" w:fill="auto"/>
            <w:vAlign w:val="center"/>
          </w:tcPr>
          <w:p w14:paraId="16CF2DA6" w14:textId="77777777" w:rsidR="00183828" w:rsidRPr="00E47714" w:rsidRDefault="00183828" w:rsidP="00C66A54">
            <w:pPr>
              <w:pStyle w:val="TableText"/>
              <w:jc w:val="center"/>
            </w:pPr>
            <w:r w:rsidRPr="00E47714">
              <w:t>Men:</w:t>
            </w:r>
            <w:r>
              <w:br/>
            </w:r>
            <w:r w:rsidRPr="00E47714">
              <w:t>80.0 years</w:t>
            </w:r>
          </w:p>
          <w:p w14:paraId="2516FADE" w14:textId="77777777" w:rsidR="00183828" w:rsidRPr="00E47714" w:rsidRDefault="00183828" w:rsidP="00C66A54">
            <w:pPr>
              <w:pStyle w:val="TableText"/>
              <w:jc w:val="center"/>
            </w:pPr>
            <w:r w:rsidRPr="00E47714">
              <w:t xml:space="preserve">Women: </w:t>
            </w:r>
            <w:r>
              <w:br/>
            </w:r>
            <w:r w:rsidRPr="00E47714">
              <w:t>83.5 years</w:t>
            </w:r>
          </w:p>
        </w:tc>
        <w:tc>
          <w:tcPr>
            <w:tcW w:w="999" w:type="pct"/>
            <w:tcBorders>
              <w:top w:val="nil"/>
            </w:tcBorders>
            <w:shd w:val="clear" w:color="auto" w:fill="auto"/>
            <w:vAlign w:val="center"/>
          </w:tcPr>
          <w:p w14:paraId="7DA2EE03" w14:textId="77777777" w:rsidR="00183828" w:rsidRPr="00E47714" w:rsidRDefault="00183828" w:rsidP="00C66A54">
            <w:pPr>
              <w:pStyle w:val="TableText"/>
              <w:jc w:val="center"/>
            </w:pPr>
            <w:r w:rsidRPr="00E47714">
              <w:t>Māori men:</w:t>
            </w:r>
            <w:r>
              <w:br/>
            </w:r>
            <w:r w:rsidRPr="00E47714">
              <w:t>73.4 years</w:t>
            </w:r>
          </w:p>
          <w:p w14:paraId="6E91E159" w14:textId="77777777" w:rsidR="00183828" w:rsidRPr="00E47714" w:rsidRDefault="00183828" w:rsidP="00C66A54">
            <w:pPr>
              <w:pStyle w:val="TableText"/>
              <w:jc w:val="center"/>
            </w:pPr>
            <w:r w:rsidRPr="00E47714">
              <w:t>Māori women:</w:t>
            </w:r>
            <w:r>
              <w:br/>
            </w:r>
            <w:r w:rsidRPr="00E47714">
              <w:t>77.1 years</w:t>
            </w:r>
          </w:p>
        </w:tc>
        <w:tc>
          <w:tcPr>
            <w:tcW w:w="999" w:type="pct"/>
            <w:tcBorders>
              <w:top w:val="nil"/>
            </w:tcBorders>
            <w:shd w:val="clear" w:color="auto" w:fill="auto"/>
            <w:vAlign w:val="center"/>
          </w:tcPr>
          <w:p w14:paraId="6D7F01B3" w14:textId="77777777" w:rsidR="00183828" w:rsidRPr="00E47714" w:rsidRDefault="00183828" w:rsidP="00C66A54">
            <w:pPr>
              <w:pStyle w:val="TableText"/>
              <w:jc w:val="center"/>
            </w:pPr>
            <w:r w:rsidRPr="00E47714">
              <w:t>Pacific men:</w:t>
            </w:r>
            <w:r>
              <w:br/>
            </w:r>
            <w:r w:rsidRPr="00E47714">
              <w:t>75.4 years</w:t>
            </w:r>
          </w:p>
          <w:p w14:paraId="3C711F4C" w14:textId="77777777" w:rsidR="00183828" w:rsidRPr="00E47714" w:rsidRDefault="00183828" w:rsidP="00C66A54">
            <w:pPr>
              <w:pStyle w:val="TableText"/>
              <w:jc w:val="center"/>
            </w:pPr>
            <w:r w:rsidRPr="00E47714">
              <w:t>Pacific women:</w:t>
            </w:r>
            <w:r>
              <w:br/>
            </w:r>
            <w:r w:rsidRPr="00E47714">
              <w:t>79.0 years</w:t>
            </w:r>
          </w:p>
        </w:tc>
        <w:tc>
          <w:tcPr>
            <w:tcW w:w="999" w:type="pct"/>
            <w:tcBorders>
              <w:top w:val="nil"/>
            </w:tcBorders>
            <w:shd w:val="clear" w:color="auto" w:fill="auto"/>
            <w:vAlign w:val="center"/>
          </w:tcPr>
          <w:p w14:paraId="5ACA7668" w14:textId="77777777" w:rsidR="00183828" w:rsidRPr="00E47714" w:rsidRDefault="00183828" w:rsidP="00C66A54">
            <w:pPr>
              <w:pStyle w:val="TableText"/>
              <w:jc w:val="center"/>
            </w:pPr>
            <w:r w:rsidRPr="00E47714">
              <w:t>Not known</w:t>
            </w:r>
          </w:p>
        </w:tc>
      </w:tr>
      <w:tr w:rsidR="00183828" w:rsidRPr="00E47714" w14:paraId="2B14508D" w14:textId="77777777" w:rsidTr="00C66A54">
        <w:tc>
          <w:tcPr>
            <w:tcW w:w="1004" w:type="pct"/>
            <w:shd w:val="clear" w:color="auto" w:fill="auto"/>
            <w:vAlign w:val="center"/>
          </w:tcPr>
          <w:p w14:paraId="7B99E0D1"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 xml:space="preserve">Living in </w:t>
            </w:r>
            <w:r>
              <w:rPr>
                <w:rFonts w:eastAsia="Noto Sans"/>
                <w:color w:val="000000" w:themeColor="text1"/>
              </w:rPr>
              <w:t>most</w:t>
            </w:r>
            <w:r w:rsidRPr="00E47714">
              <w:rPr>
                <w:rFonts w:eastAsia="Noto Sans"/>
                <w:color w:val="000000" w:themeColor="text1"/>
              </w:rPr>
              <w:t xml:space="preserve"> depriv</w:t>
            </w:r>
            <w:r>
              <w:rPr>
                <w:rFonts w:eastAsia="Noto Sans"/>
                <w:color w:val="000000" w:themeColor="text1"/>
              </w:rPr>
              <w:t>ed areas</w:t>
            </w:r>
            <w:r w:rsidRPr="00E47714">
              <w:rPr>
                <w:rFonts w:eastAsia="Noto Sans"/>
                <w:color w:val="000000" w:themeColor="text1"/>
              </w:rPr>
              <w:t xml:space="preserve"> (quintile 5)</w:t>
            </w:r>
          </w:p>
        </w:tc>
        <w:tc>
          <w:tcPr>
            <w:tcW w:w="999" w:type="pct"/>
            <w:shd w:val="clear" w:color="auto" w:fill="auto"/>
            <w:vAlign w:val="center"/>
          </w:tcPr>
          <w:p w14:paraId="59529AAD"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Total: 20</w:t>
            </w:r>
            <w:r>
              <w:rPr>
                <w:rFonts w:eastAsia="Noto Sans"/>
                <w:color w:val="000000" w:themeColor="text1"/>
              </w:rPr>
              <w:t>.0</w:t>
            </w:r>
            <w:r w:rsidRPr="00E47714">
              <w:rPr>
                <w:rFonts w:eastAsia="Noto Sans"/>
                <w:color w:val="000000" w:themeColor="text1"/>
              </w:rPr>
              <w:t>%</w:t>
            </w:r>
          </w:p>
        </w:tc>
        <w:tc>
          <w:tcPr>
            <w:tcW w:w="999" w:type="pct"/>
            <w:shd w:val="clear" w:color="auto" w:fill="auto"/>
            <w:vAlign w:val="center"/>
          </w:tcPr>
          <w:p w14:paraId="5104B64A"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Māori</w:t>
            </w:r>
            <w:r>
              <w:rPr>
                <w:rFonts w:eastAsia="Noto Sans"/>
                <w:color w:val="000000" w:themeColor="text1"/>
              </w:rPr>
              <w:t>:</w:t>
            </w:r>
            <w:r w:rsidRPr="00E47714">
              <w:rPr>
                <w:rFonts w:eastAsia="Noto Sans"/>
                <w:color w:val="000000" w:themeColor="text1"/>
              </w:rPr>
              <w:t xml:space="preserve"> 43.0%</w:t>
            </w:r>
          </w:p>
        </w:tc>
        <w:tc>
          <w:tcPr>
            <w:tcW w:w="999" w:type="pct"/>
            <w:shd w:val="clear" w:color="auto" w:fill="auto"/>
            <w:vAlign w:val="center"/>
          </w:tcPr>
          <w:p w14:paraId="3CD20DC0"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Pacific: 55.8%</w:t>
            </w:r>
          </w:p>
        </w:tc>
        <w:tc>
          <w:tcPr>
            <w:tcW w:w="999" w:type="pct"/>
            <w:shd w:val="clear" w:color="auto" w:fill="auto"/>
            <w:vAlign w:val="center"/>
          </w:tcPr>
          <w:p w14:paraId="6166428F"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Not known</w:t>
            </w:r>
          </w:p>
        </w:tc>
      </w:tr>
      <w:tr w:rsidR="00183828" w:rsidRPr="00E47714" w14:paraId="34E33F9D" w14:textId="77777777" w:rsidTr="00C66A54">
        <w:tc>
          <w:tcPr>
            <w:tcW w:w="1004" w:type="pct"/>
            <w:shd w:val="clear" w:color="auto" w:fill="auto"/>
            <w:vAlign w:val="center"/>
          </w:tcPr>
          <w:p w14:paraId="4562FA94"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Children living in material hardship</w:t>
            </w:r>
          </w:p>
        </w:tc>
        <w:tc>
          <w:tcPr>
            <w:tcW w:w="999" w:type="pct"/>
            <w:shd w:val="clear" w:color="auto" w:fill="auto"/>
            <w:vAlign w:val="center"/>
          </w:tcPr>
          <w:p w14:paraId="0133D2F1" w14:textId="77777777" w:rsidR="00183828" w:rsidRPr="00E47714" w:rsidRDefault="00183828" w:rsidP="00C66A54">
            <w:pPr>
              <w:pStyle w:val="TableText"/>
              <w:jc w:val="center"/>
            </w:pPr>
            <w:r w:rsidRPr="00E47714">
              <w:rPr>
                <w:rFonts w:eastAsia="Noto Sans"/>
                <w:color w:val="000000" w:themeColor="text1"/>
              </w:rPr>
              <w:t>Total children: 12.5%</w:t>
            </w:r>
          </w:p>
        </w:tc>
        <w:tc>
          <w:tcPr>
            <w:tcW w:w="999" w:type="pct"/>
            <w:shd w:val="clear" w:color="auto" w:fill="auto"/>
            <w:vAlign w:val="center"/>
          </w:tcPr>
          <w:p w14:paraId="3C300C7E" w14:textId="77777777" w:rsidR="00183828" w:rsidRPr="00E47714" w:rsidRDefault="00183828" w:rsidP="00C66A54">
            <w:pPr>
              <w:pStyle w:val="TableText"/>
              <w:jc w:val="center"/>
            </w:pPr>
            <w:r w:rsidRPr="00E47714">
              <w:rPr>
                <w:rFonts w:eastAsia="Noto Sans"/>
                <w:color w:val="000000" w:themeColor="text1"/>
              </w:rPr>
              <w:t>Māori children: 21.5%</w:t>
            </w:r>
          </w:p>
        </w:tc>
        <w:tc>
          <w:tcPr>
            <w:tcW w:w="999" w:type="pct"/>
            <w:shd w:val="clear" w:color="auto" w:fill="auto"/>
            <w:vAlign w:val="center"/>
          </w:tcPr>
          <w:p w14:paraId="1A5C064F" w14:textId="77777777" w:rsidR="00183828" w:rsidRPr="00E47714" w:rsidRDefault="00183828" w:rsidP="00C66A54">
            <w:pPr>
              <w:pStyle w:val="TableText"/>
              <w:jc w:val="center"/>
              <w:rPr>
                <w:rFonts w:eastAsia="Calibri Light"/>
              </w:rPr>
            </w:pPr>
            <w:r w:rsidRPr="00E47714">
              <w:rPr>
                <w:rFonts w:eastAsia="Noto Sans"/>
                <w:color w:val="000000" w:themeColor="text1"/>
              </w:rPr>
              <w:t>Pacific children: 28.9%</w:t>
            </w:r>
          </w:p>
        </w:tc>
        <w:tc>
          <w:tcPr>
            <w:tcW w:w="999" w:type="pct"/>
            <w:shd w:val="clear" w:color="auto" w:fill="auto"/>
            <w:vAlign w:val="center"/>
          </w:tcPr>
          <w:p w14:paraId="576ABD0B" w14:textId="77777777" w:rsidR="00183828" w:rsidRPr="00E47714" w:rsidRDefault="00183828" w:rsidP="00C66A54">
            <w:pPr>
              <w:pStyle w:val="TableText"/>
              <w:jc w:val="center"/>
            </w:pPr>
            <w:r w:rsidRPr="00E47714">
              <w:rPr>
                <w:rFonts w:eastAsia="Noto Sans"/>
                <w:color w:val="000000" w:themeColor="text1"/>
              </w:rPr>
              <w:t>Disabled children:</w:t>
            </w:r>
            <w:r>
              <w:rPr>
                <w:rFonts w:eastAsia="Noto Sans"/>
                <w:color w:val="000000" w:themeColor="text1"/>
              </w:rPr>
              <w:br/>
            </w:r>
            <w:r w:rsidRPr="00E47714">
              <w:rPr>
                <w:rFonts w:eastAsia="Noto Sans"/>
                <w:color w:val="000000" w:themeColor="text1"/>
              </w:rPr>
              <w:t>22.3%</w:t>
            </w:r>
          </w:p>
        </w:tc>
      </w:tr>
      <w:tr w:rsidR="00183828" w:rsidRPr="00E47714" w14:paraId="4F04F3F8" w14:textId="77777777" w:rsidTr="00C66A54">
        <w:tc>
          <w:tcPr>
            <w:tcW w:w="1004" w:type="pct"/>
            <w:shd w:val="clear" w:color="auto" w:fill="auto"/>
            <w:vAlign w:val="center"/>
          </w:tcPr>
          <w:p w14:paraId="0D0C441A" w14:textId="77777777" w:rsidR="00183828" w:rsidRPr="00E47714" w:rsidRDefault="00183828" w:rsidP="00C66A54">
            <w:pPr>
              <w:pStyle w:val="TableText"/>
              <w:jc w:val="center"/>
            </w:pPr>
            <w:r w:rsidRPr="00E47714">
              <w:t>Children living with household food insecurity</w:t>
            </w:r>
          </w:p>
        </w:tc>
        <w:tc>
          <w:tcPr>
            <w:tcW w:w="999" w:type="pct"/>
            <w:shd w:val="clear" w:color="auto" w:fill="auto"/>
            <w:vAlign w:val="center"/>
          </w:tcPr>
          <w:p w14:paraId="2A9D59A9" w14:textId="77777777" w:rsidR="00183828" w:rsidRPr="00E47714" w:rsidRDefault="00183828" w:rsidP="00C66A54">
            <w:pPr>
              <w:pStyle w:val="TableText"/>
              <w:jc w:val="center"/>
            </w:pPr>
            <w:r w:rsidRPr="00E47714">
              <w:t>Total children: 21.3%</w:t>
            </w:r>
          </w:p>
        </w:tc>
        <w:tc>
          <w:tcPr>
            <w:tcW w:w="999" w:type="pct"/>
            <w:shd w:val="clear" w:color="auto" w:fill="auto"/>
            <w:vAlign w:val="center"/>
          </w:tcPr>
          <w:p w14:paraId="7185756B" w14:textId="77777777" w:rsidR="00183828" w:rsidRPr="00E47714" w:rsidRDefault="00183828" w:rsidP="00C66A54">
            <w:pPr>
              <w:pStyle w:val="TableText"/>
              <w:jc w:val="center"/>
            </w:pPr>
            <w:r w:rsidRPr="00E47714">
              <w:rPr>
                <w:rFonts w:eastAsia="Noto Sans"/>
                <w:color w:val="000000" w:themeColor="text1"/>
              </w:rPr>
              <w:t>Māori children: 35.1%</w:t>
            </w:r>
          </w:p>
        </w:tc>
        <w:tc>
          <w:tcPr>
            <w:tcW w:w="999" w:type="pct"/>
            <w:shd w:val="clear" w:color="auto" w:fill="auto"/>
            <w:vAlign w:val="center"/>
          </w:tcPr>
          <w:p w14:paraId="27F67F96" w14:textId="77777777" w:rsidR="00183828" w:rsidRPr="00E47714" w:rsidRDefault="00183828" w:rsidP="00C66A54">
            <w:pPr>
              <w:pStyle w:val="TableText"/>
              <w:jc w:val="center"/>
            </w:pPr>
            <w:r w:rsidRPr="00E47714">
              <w:rPr>
                <w:rFonts w:eastAsia="Noto Sans"/>
                <w:color w:val="000000" w:themeColor="text1"/>
              </w:rPr>
              <w:t>Pacific children: 39.6%</w:t>
            </w:r>
          </w:p>
        </w:tc>
        <w:tc>
          <w:tcPr>
            <w:tcW w:w="999" w:type="pct"/>
            <w:shd w:val="clear" w:color="auto" w:fill="auto"/>
            <w:vAlign w:val="center"/>
          </w:tcPr>
          <w:p w14:paraId="36895EC1" w14:textId="77777777" w:rsidR="00183828" w:rsidRPr="00E47714" w:rsidRDefault="00183828" w:rsidP="00C66A54">
            <w:pPr>
              <w:pStyle w:val="TableText"/>
              <w:jc w:val="center"/>
            </w:pPr>
            <w:r w:rsidRPr="00E47714">
              <w:rPr>
                <w:rFonts w:eastAsia="Noto Sans"/>
                <w:color w:val="000000" w:themeColor="text1"/>
              </w:rPr>
              <w:t>Disabled children: 35.0%</w:t>
            </w:r>
          </w:p>
        </w:tc>
      </w:tr>
      <w:tr w:rsidR="00183828" w:rsidRPr="00E47714" w14:paraId="5A74A399" w14:textId="77777777" w:rsidTr="00C66A54">
        <w:tc>
          <w:tcPr>
            <w:tcW w:w="1004" w:type="pct"/>
            <w:shd w:val="clear" w:color="auto" w:fill="auto"/>
            <w:vAlign w:val="center"/>
          </w:tcPr>
          <w:p w14:paraId="0C10537A"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Daily smokers*</w:t>
            </w:r>
          </w:p>
        </w:tc>
        <w:tc>
          <w:tcPr>
            <w:tcW w:w="999" w:type="pct"/>
            <w:shd w:val="clear" w:color="auto" w:fill="auto"/>
            <w:vAlign w:val="center"/>
          </w:tcPr>
          <w:p w14:paraId="695F35C0"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Total adults:</w:t>
            </w:r>
            <w:r>
              <w:rPr>
                <w:rFonts w:eastAsia="Noto Sans"/>
                <w:color w:val="000000" w:themeColor="text1"/>
              </w:rPr>
              <w:br/>
            </w:r>
            <w:r w:rsidRPr="00E47714">
              <w:rPr>
                <w:rFonts w:eastAsia="Noto Sans"/>
                <w:color w:val="000000" w:themeColor="text1"/>
              </w:rPr>
              <w:t>8.2%</w:t>
            </w:r>
          </w:p>
        </w:tc>
        <w:tc>
          <w:tcPr>
            <w:tcW w:w="999" w:type="pct"/>
            <w:shd w:val="clear" w:color="auto" w:fill="auto"/>
            <w:vAlign w:val="center"/>
          </w:tcPr>
          <w:p w14:paraId="049DFD11" w14:textId="77777777" w:rsidR="00183828" w:rsidRPr="00E47714" w:rsidRDefault="00183828" w:rsidP="00C66A54">
            <w:pPr>
              <w:pStyle w:val="TableText"/>
              <w:jc w:val="center"/>
            </w:pPr>
            <w:r w:rsidRPr="00E47714">
              <w:rPr>
                <w:rFonts w:eastAsia="Noto Sans"/>
                <w:color w:val="000000" w:themeColor="text1"/>
              </w:rPr>
              <w:t xml:space="preserve">Māori adults: </w:t>
            </w:r>
            <w:r>
              <w:rPr>
                <w:rFonts w:eastAsia="Noto Sans"/>
                <w:color w:val="000000" w:themeColor="text1"/>
              </w:rPr>
              <w:br/>
            </w:r>
            <w:r w:rsidRPr="00E47714">
              <w:rPr>
                <w:rFonts w:eastAsia="Noto Sans"/>
                <w:color w:val="000000" w:themeColor="text1"/>
              </w:rPr>
              <w:t>20.2%</w:t>
            </w:r>
          </w:p>
        </w:tc>
        <w:tc>
          <w:tcPr>
            <w:tcW w:w="999" w:type="pct"/>
            <w:shd w:val="clear" w:color="auto" w:fill="auto"/>
            <w:vAlign w:val="center"/>
          </w:tcPr>
          <w:p w14:paraId="3C022162" w14:textId="77777777" w:rsidR="00183828" w:rsidRPr="00E47714" w:rsidRDefault="00183828" w:rsidP="00C66A54">
            <w:pPr>
              <w:pStyle w:val="TableText"/>
              <w:jc w:val="center"/>
            </w:pPr>
            <w:r w:rsidRPr="00E47714">
              <w:rPr>
                <w:rFonts w:eastAsia="Calibri Light"/>
              </w:rPr>
              <w:t>Pacific adults</w:t>
            </w:r>
            <w:r>
              <w:rPr>
                <w:rFonts w:eastAsia="Calibri Light"/>
              </w:rPr>
              <w:t>:</w:t>
            </w:r>
            <w:r>
              <w:rPr>
                <w:rFonts w:eastAsia="Calibri Light"/>
              </w:rPr>
              <w:br/>
            </w:r>
            <w:r w:rsidRPr="00E47714">
              <w:rPr>
                <w:rFonts w:eastAsia="Calibri Light"/>
              </w:rPr>
              <w:t>13.5%</w:t>
            </w:r>
          </w:p>
        </w:tc>
        <w:tc>
          <w:tcPr>
            <w:tcW w:w="999" w:type="pct"/>
            <w:shd w:val="clear" w:color="auto" w:fill="auto"/>
            <w:vAlign w:val="center"/>
          </w:tcPr>
          <w:p w14:paraId="38C78CE3" w14:textId="77777777" w:rsidR="00183828" w:rsidRPr="00E47714" w:rsidRDefault="00183828" w:rsidP="00C66A54">
            <w:pPr>
              <w:pStyle w:val="TableText"/>
              <w:jc w:val="center"/>
            </w:pPr>
            <w:r w:rsidRPr="00E47714">
              <w:t>Disabled adults:</w:t>
            </w:r>
            <w:r>
              <w:br/>
            </w:r>
            <w:r w:rsidRPr="00E47714">
              <w:t>12.8%</w:t>
            </w:r>
          </w:p>
        </w:tc>
      </w:tr>
      <w:tr w:rsidR="00183828" w:rsidRPr="00E47714" w14:paraId="1D8F2B11" w14:textId="77777777" w:rsidTr="00C66A54">
        <w:tc>
          <w:tcPr>
            <w:tcW w:w="1004" w:type="pct"/>
            <w:shd w:val="clear" w:color="auto" w:fill="auto"/>
            <w:vAlign w:val="center"/>
          </w:tcPr>
          <w:p w14:paraId="47B51B32"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Self-rated</w:t>
            </w:r>
            <w:r>
              <w:rPr>
                <w:rFonts w:eastAsia="Noto Sans"/>
                <w:color w:val="000000" w:themeColor="text1"/>
              </w:rPr>
              <w:t xml:space="preserve"> good</w:t>
            </w:r>
            <w:r w:rsidRPr="00E47714">
              <w:rPr>
                <w:rFonts w:eastAsia="Noto Sans"/>
                <w:color w:val="000000" w:themeColor="text1"/>
              </w:rPr>
              <w:t xml:space="preserve"> health*</w:t>
            </w:r>
          </w:p>
        </w:tc>
        <w:tc>
          <w:tcPr>
            <w:tcW w:w="999" w:type="pct"/>
            <w:shd w:val="clear" w:color="auto" w:fill="auto"/>
            <w:vAlign w:val="center"/>
          </w:tcPr>
          <w:p w14:paraId="09E11540"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Total adults:</w:t>
            </w:r>
            <w:r>
              <w:rPr>
                <w:rFonts w:eastAsia="Noto Sans"/>
                <w:color w:val="000000" w:themeColor="text1"/>
              </w:rPr>
              <w:br/>
            </w:r>
            <w:r w:rsidRPr="00E47714">
              <w:rPr>
                <w:rFonts w:eastAsia="Noto Sans"/>
                <w:color w:val="000000" w:themeColor="text1"/>
              </w:rPr>
              <w:t>87.4%</w:t>
            </w:r>
          </w:p>
        </w:tc>
        <w:tc>
          <w:tcPr>
            <w:tcW w:w="999" w:type="pct"/>
            <w:shd w:val="clear" w:color="auto" w:fill="auto"/>
            <w:vAlign w:val="center"/>
          </w:tcPr>
          <w:p w14:paraId="1AF8E1B0"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 xml:space="preserve">Māori adults: </w:t>
            </w:r>
            <w:r>
              <w:rPr>
                <w:rFonts w:eastAsia="Noto Sans"/>
                <w:color w:val="000000" w:themeColor="text1"/>
              </w:rPr>
              <w:br/>
            </w:r>
            <w:r w:rsidRPr="00E47714">
              <w:rPr>
                <w:rFonts w:eastAsia="Noto Sans"/>
                <w:color w:val="000000" w:themeColor="text1"/>
              </w:rPr>
              <w:t>80.5%</w:t>
            </w:r>
          </w:p>
        </w:tc>
        <w:tc>
          <w:tcPr>
            <w:tcW w:w="999" w:type="pct"/>
            <w:shd w:val="clear" w:color="auto" w:fill="auto"/>
            <w:vAlign w:val="center"/>
          </w:tcPr>
          <w:p w14:paraId="58F6E192" w14:textId="77777777" w:rsidR="00183828" w:rsidRPr="00E47714" w:rsidRDefault="00183828" w:rsidP="00C66A54">
            <w:pPr>
              <w:pStyle w:val="TableText"/>
              <w:jc w:val="center"/>
              <w:rPr>
                <w:rFonts w:eastAsia="Calibri Light"/>
              </w:rPr>
            </w:pPr>
            <w:r w:rsidRPr="00E47714">
              <w:rPr>
                <w:rFonts w:eastAsia="Calibri Light"/>
              </w:rPr>
              <w:t>Pacific adults: 81.8%</w:t>
            </w:r>
          </w:p>
        </w:tc>
        <w:tc>
          <w:tcPr>
            <w:tcW w:w="999" w:type="pct"/>
            <w:shd w:val="clear" w:color="auto" w:fill="auto"/>
            <w:vAlign w:val="center"/>
          </w:tcPr>
          <w:p w14:paraId="12388691" w14:textId="77777777" w:rsidR="00183828" w:rsidRPr="00E47714" w:rsidRDefault="00183828" w:rsidP="00C66A54">
            <w:pPr>
              <w:pStyle w:val="TableText"/>
              <w:jc w:val="center"/>
            </w:pPr>
            <w:r w:rsidRPr="00E47714">
              <w:t>Disabled adults:</w:t>
            </w:r>
            <w:r>
              <w:br/>
            </w:r>
            <w:r w:rsidRPr="00E47714">
              <w:t>59.4%</w:t>
            </w:r>
          </w:p>
        </w:tc>
      </w:tr>
      <w:tr w:rsidR="00183828" w:rsidRPr="00E47714" w14:paraId="3710D6CB" w14:textId="77777777" w:rsidTr="00C66A54">
        <w:tc>
          <w:tcPr>
            <w:tcW w:w="1004" w:type="pct"/>
            <w:shd w:val="clear" w:color="auto" w:fill="auto"/>
            <w:vAlign w:val="center"/>
          </w:tcPr>
          <w:p w14:paraId="1873DC1B"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Breastfeeding</w:t>
            </w:r>
            <w:r>
              <w:rPr>
                <w:rFonts w:eastAsia="Noto Sans"/>
                <w:color w:val="000000" w:themeColor="text1"/>
              </w:rPr>
              <w:t xml:space="preserve"> e</w:t>
            </w:r>
            <w:r w:rsidRPr="00E47714">
              <w:rPr>
                <w:rFonts w:eastAsia="Noto Sans"/>
                <w:color w:val="000000" w:themeColor="text1"/>
              </w:rPr>
              <w:t>xclusive</w:t>
            </w:r>
            <w:r>
              <w:rPr>
                <w:rFonts w:eastAsia="Noto Sans"/>
                <w:color w:val="000000" w:themeColor="text1"/>
              </w:rPr>
              <w:t>ly</w:t>
            </w:r>
            <w:r w:rsidRPr="00E47714">
              <w:rPr>
                <w:rFonts w:eastAsia="Noto Sans"/>
                <w:color w:val="000000" w:themeColor="text1"/>
              </w:rPr>
              <w:t xml:space="preserve">/fully at </w:t>
            </w:r>
            <w:r>
              <w:rPr>
                <w:rFonts w:eastAsia="Noto Sans"/>
                <w:color w:val="000000" w:themeColor="text1"/>
              </w:rPr>
              <w:t>two</w:t>
            </w:r>
            <w:r w:rsidRPr="00E47714">
              <w:rPr>
                <w:rFonts w:eastAsia="Noto Sans"/>
                <w:color w:val="000000" w:themeColor="text1"/>
              </w:rPr>
              <w:t xml:space="preserve"> weeks </w:t>
            </w:r>
          </w:p>
        </w:tc>
        <w:tc>
          <w:tcPr>
            <w:tcW w:w="999" w:type="pct"/>
            <w:shd w:val="clear" w:color="auto" w:fill="auto"/>
            <w:vAlign w:val="center"/>
          </w:tcPr>
          <w:p w14:paraId="2FCFC2BD"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Total babies:</w:t>
            </w:r>
            <w:r>
              <w:rPr>
                <w:rFonts w:eastAsia="Noto Sans"/>
                <w:color w:val="000000" w:themeColor="text1"/>
              </w:rPr>
              <w:br/>
            </w:r>
            <w:r w:rsidRPr="00E47714">
              <w:rPr>
                <w:rFonts w:eastAsia="Noto Sans"/>
                <w:color w:val="000000" w:themeColor="text1"/>
              </w:rPr>
              <w:t>74.0%</w:t>
            </w:r>
          </w:p>
        </w:tc>
        <w:tc>
          <w:tcPr>
            <w:tcW w:w="999" w:type="pct"/>
            <w:shd w:val="clear" w:color="auto" w:fill="auto"/>
            <w:vAlign w:val="center"/>
          </w:tcPr>
          <w:p w14:paraId="506E98B6"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Māori babies:</w:t>
            </w:r>
            <w:r>
              <w:rPr>
                <w:rFonts w:eastAsia="Noto Sans"/>
                <w:color w:val="000000" w:themeColor="text1"/>
              </w:rPr>
              <w:br/>
            </w:r>
            <w:r w:rsidRPr="00E47714">
              <w:rPr>
                <w:rFonts w:eastAsia="Noto Sans"/>
                <w:color w:val="000000" w:themeColor="text1"/>
              </w:rPr>
              <w:t>72.7%</w:t>
            </w:r>
          </w:p>
        </w:tc>
        <w:tc>
          <w:tcPr>
            <w:tcW w:w="999" w:type="pct"/>
            <w:shd w:val="clear" w:color="auto" w:fill="auto"/>
            <w:vAlign w:val="center"/>
          </w:tcPr>
          <w:p w14:paraId="3DE565F8" w14:textId="77777777" w:rsidR="00183828" w:rsidRPr="00E47714" w:rsidRDefault="00183828" w:rsidP="00C66A54">
            <w:pPr>
              <w:pStyle w:val="TableText"/>
              <w:jc w:val="center"/>
              <w:rPr>
                <w:rFonts w:eastAsia="Calibri Light"/>
              </w:rPr>
            </w:pPr>
            <w:r w:rsidRPr="00E47714">
              <w:rPr>
                <w:rFonts w:eastAsia="Calibri Light"/>
              </w:rPr>
              <w:t>Pacific babies:</w:t>
            </w:r>
            <w:r>
              <w:rPr>
                <w:rFonts w:eastAsia="Calibri Light"/>
              </w:rPr>
              <w:br/>
            </w:r>
            <w:r w:rsidRPr="00E47714">
              <w:rPr>
                <w:rFonts w:eastAsia="Calibri Light"/>
              </w:rPr>
              <w:t>66.6%</w:t>
            </w:r>
          </w:p>
        </w:tc>
        <w:tc>
          <w:tcPr>
            <w:tcW w:w="999" w:type="pct"/>
            <w:shd w:val="clear" w:color="auto" w:fill="auto"/>
            <w:vAlign w:val="center"/>
          </w:tcPr>
          <w:p w14:paraId="2485AB7E" w14:textId="77777777" w:rsidR="00183828" w:rsidRPr="00E47714" w:rsidRDefault="00183828" w:rsidP="00C66A54">
            <w:pPr>
              <w:pStyle w:val="TableText"/>
              <w:jc w:val="center"/>
            </w:pPr>
            <w:r w:rsidRPr="00E47714">
              <w:t>Not known</w:t>
            </w:r>
          </w:p>
        </w:tc>
      </w:tr>
      <w:tr w:rsidR="00183828" w:rsidRPr="00E47714" w14:paraId="6886A9B3" w14:textId="77777777" w:rsidTr="00C66A54">
        <w:tc>
          <w:tcPr>
            <w:tcW w:w="1004" w:type="pct"/>
            <w:shd w:val="clear" w:color="auto" w:fill="auto"/>
            <w:vAlign w:val="center"/>
          </w:tcPr>
          <w:p w14:paraId="1C0CF14E" w14:textId="77777777" w:rsidR="00183828" w:rsidRPr="00E47714" w:rsidRDefault="00183828" w:rsidP="00C66A54">
            <w:pPr>
              <w:pStyle w:val="TableText"/>
              <w:jc w:val="center"/>
            </w:pPr>
            <w:r w:rsidRPr="00E47714">
              <w:t>Anxiety and/or depression</w:t>
            </w:r>
          </w:p>
        </w:tc>
        <w:tc>
          <w:tcPr>
            <w:tcW w:w="999" w:type="pct"/>
            <w:shd w:val="clear" w:color="auto" w:fill="auto"/>
            <w:vAlign w:val="center"/>
          </w:tcPr>
          <w:p w14:paraId="379202B8" w14:textId="77777777" w:rsidR="00183828" w:rsidRPr="00E47714" w:rsidRDefault="00183828" w:rsidP="00C66A54">
            <w:pPr>
              <w:pStyle w:val="TableText"/>
              <w:jc w:val="center"/>
              <w:rPr>
                <w:rFonts w:cs="Segoe UI"/>
              </w:rPr>
            </w:pPr>
            <w:r w:rsidRPr="00E47714">
              <w:t>Total adults:</w:t>
            </w:r>
            <w:r>
              <w:br/>
            </w:r>
            <w:r w:rsidRPr="00E47714">
              <w:t>34.8%</w:t>
            </w:r>
          </w:p>
        </w:tc>
        <w:tc>
          <w:tcPr>
            <w:tcW w:w="999" w:type="pct"/>
            <w:shd w:val="clear" w:color="auto" w:fill="auto"/>
            <w:vAlign w:val="center"/>
          </w:tcPr>
          <w:p w14:paraId="777F2E53" w14:textId="77777777" w:rsidR="00183828" w:rsidRPr="00E47714" w:rsidRDefault="00183828" w:rsidP="00C66A54">
            <w:pPr>
              <w:pStyle w:val="TableText"/>
              <w:jc w:val="center"/>
              <w:rPr>
                <w:rFonts w:eastAsia="Noto Sans"/>
                <w:color w:val="000000" w:themeColor="text1"/>
              </w:rPr>
            </w:pPr>
            <w:r w:rsidRPr="00E47714">
              <w:t>Māori adults:</w:t>
            </w:r>
            <w:r>
              <w:br/>
            </w:r>
            <w:r w:rsidRPr="00E47714">
              <w:t>45.2%</w:t>
            </w:r>
          </w:p>
        </w:tc>
        <w:tc>
          <w:tcPr>
            <w:tcW w:w="999" w:type="pct"/>
            <w:shd w:val="clear" w:color="auto" w:fill="auto"/>
            <w:vAlign w:val="center"/>
          </w:tcPr>
          <w:p w14:paraId="65210C0E" w14:textId="77777777" w:rsidR="00183828" w:rsidRPr="00E47714" w:rsidRDefault="00183828" w:rsidP="00C66A54">
            <w:pPr>
              <w:pStyle w:val="TableText"/>
              <w:jc w:val="center"/>
              <w:rPr>
                <w:rFonts w:eastAsia="Calibri Light"/>
              </w:rPr>
            </w:pPr>
            <w:r w:rsidRPr="00E47714">
              <w:rPr>
                <w:rFonts w:eastAsia="Calibri Light"/>
              </w:rPr>
              <w:t>Pacific adults:</w:t>
            </w:r>
            <w:r>
              <w:rPr>
                <w:rFonts w:eastAsia="Calibri Light"/>
              </w:rPr>
              <w:br/>
            </w:r>
            <w:r w:rsidRPr="00E47714">
              <w:rPr>
                <w:rFonts w:eastAsia="Calibri Light"/>
              </w:rPr>
              <w:t>40.7%</w:t>
            </w:r>
          </w:p>
        </w:tc>
        <w:tc>
          <w:tcPr>
            <w:tcW w:w="999" w:type="pct"/>
            <w:shd w:val="clear" w:color="auto" w:fill="auto"/>
            <w:vAlign w:val="center"/>
          </w:tcPr>
          <w:p w14:paraId="3FD85020" w14:textId="77777777" w:rsidR="00183828" w:rsidRPr="00E47714" w:rsidRDefault="00183828" w:rsidP="00C66A54">
            <w:pPr>
              <w:pStyle w:val="TableText"/>
              <w:jc w:val="center"/>
            </w:pPr>
            <w:r w:rsidRPr="00E47714">
              <w:t>Disabled adults:</w:t>
            </w:r>
            <w:r>
              <w:br/>
            </w:r>
            <w:r w:rsidRPr="00E47714">
              <w:t>61.5%</w:t>
            </w:r>
          </w:p>
        </w:tc>
      </w:tr>
      <w:tr w:rsidR="00183828" w:rsidRPr="00E47714" w14:paraId="61CB0281" w14:textId="77777777" w:rsidTr="00C66A54">
        <w:tc>
          <w:tcPr>
            <w:tcW w:w="1004" w:type="pct"/>
            <w:shd w:val="clear" w:color="auto" w:fill="auto"/>
            <w:vAlign w:val="center"/>
          </w:tcPr>
          <w:p w14:paraId="11291C36" w14:textId="77777777" w:rsidR="00183828" w:rsidRPr="00E47714" w:rsidRDefault="00183828" w:rsidP="00C66A54">
            <w:pPr>
              <w:pStyle w:val="TableText"/>
              <w:jc w:val="center"/>
              <w:rPr>
                <w:rFonts w:cs="Segoe UI"/>
              </w:rPr>
            </w:pPr>
            <w:r w:rsidRPr="00E47714">
              <w:rPr>
                <w:rFonts w:cs="Segoe UI"/>
              </w:rPr>
              <w:t>Emotional and/or behavioural problems**</w:t>
            </w:r>
          </w:p>
        </w:tc>
        <w:tc>
          <w:tcPr>
            <w:tcW w:w="999" w:type="pct"/>
            <w:shd w:val="clear" w:color="auto" w:fill="auto"/>
            <w:vAlign w:val="center"/>
          </w:tcPr>
          <w:p w14:paraId="712BF178" w14:textId="77777777" w:rsidR="00183828" w:rsidRPr="00E47714" w:rsidRDefault="00183828" w:rsidP="00C66A54">
            <w:pPr>
              <w:pStyle w:val="TableText"/>
              <w:jc w:val="center"/>
              <w:rPr>
                <w:rFonts w:eastAsia="Noto Sans"/>
                <w:color w:val="000000" w:themeColor="text1"/>
              </w:rPr>
            </w:pPr>
            <w:r w:rsidRPr="00E47714">
              <w:rPr>
                <w:color w:val="000000" w:themeColor="text1"/>
              </w:rPr>
              <w:t>Total children:</w:t>
            </w:r>
            <w:r>
              <w:rPr>
                <w:color w:val="000000" w:themeColor="text1"/>
              </w:rPr>
              <w:br/>
            </w:r>
            <w:r w:rsidRPr="00E47714">
              <w:rPr>
                <w:color w:val="000000" w:themeColor="text1"/>
              </w:rPr>
              <w:t>9.6%</w:t>
            </w:r>
          </w:p>
        </w:tc>
        <w:tc>
          <w:tcPr>
            <w:tcW w:w="999" w:type="pct"/>
            <w:shd w:val="clear" w:color="auto" w:fill="auto"/>
            <w:vAlign w:val="center"/>
          </w:tcPr>
          <w:p w14:paraId="3DDB8F17" w14:textId="77777777" w:rsidR="00183828" w:rsidRPr="00E47714" w:rsidRDefault="00183828" w:rsidP="00C66A54">
            <w:pPr>
              <w:pStyle w:val="TableText"/>
              <w:jc w:val="center"/>
              <w:rPr>
                <w:rFonts w:eastAsia="Noto Sans"/>
                <w:color w:val="000000" w:themeColor="text1"/>
              </w:rPr>
            </w:pPr>
            <w:r w:rsidRPr="00E47714">
              <w:rPr>
                <w:rFonts w:eastAsia="Noto Sans"/>
                <w:color w:val="000000" w:themeColor="text1"/>
              </w:rPr>
              <w:t>Māori children:</w:t>
            </w:r>
            <w:r>
              <w:rPr>
                <w:rFonts w:eastAsia="Noto Sans"/>
                <w:color w:val="000000" w:themeColor="text1"/>
              </w:rPr>
              <w:br/>
            </w:r>
            <w:r w:rsidRPr="00E47714">
              <w:rPr>
                <w:rFonts w:eastAsia="Noto Sans"/>
                <w:color w:val="000000" w:themeColor="text1"/>
              </w:rPr>
              <w:t>13.5%</w:t>
            </w:r>
          </w:p>
        </w:tc>
        <w:tc>
          <w:tcPr>
            <w:tcW w:w="999" w:type="pct"/>
            <w:shd w:val="clear" w:color="auto" w:fill="auto"/>
            <w:vAlign w:val="center"/>
          </w:tcPr>
          <w:p w14:paraId="2B0D40FF" w14:textId="77777777" w:rsidR="00183828" w:rsidRPr="00E47714" w:rsidRDefault="00183828" w:rsidP="00C66A54">
            <w:pPr>
              <w:pStyle w:val="TableText"/>
              <w:jc w:val="center"/>
              <w:rPr>
                <w:rFonts w:eastAsia="Calibri Light"/>
              </w:rPr>
            </w:pPr>
            <w:r w:rsidRPr="00E47714">
              <w:rPr>
                <w:rFonts w:eastAsia="Calibri Light"/>
              </w:rPr>
              <w:t>Pacific children:</w:t>
            </w:r>
            <w:r>
              <w:rPr>
                <w:rFonts w:eastAsia="Calibri Light"/>
              </w:rPr>
              <w:br/>
            </w:r>
            <w:r w:rsidRPr="00E47714">
              <w:rPr>
                <w:rFonts w:eastAsia="Calibri Light"/>
              </w:rPr>
              <w:t>10.1%</w:t>
            </w:r>
          </w:p>
        </w:tc>
        <w:tc>
          <w:tcPr>
            <w:tcW w:w="999" w:type="pct"/>
            <w:shd w:val="clear" w:color="auto" w:fill="auto"/>
            <w:vAlign w:val="center"/>
          </w:tcPr>
          <w:p w14:paraId="36832FBC" w14:textId="77777777" w:rsidR="00183828" w:rsidRPr="00E47714" w:rsidRDefault="00183828" w:rsidP="00C66A54">
            <w:pPr>
              <w:pStyle w:val="TableText"/>
              <w:jc w:val="center"/>
            </w:pPr>
            <w:r w:rsidRPr="00E47714">
              <w:t>Disabled children:</w:t>
            </w:r>
            <w:r>
              <w:br/>
            </w:r>
            <w:r w:rsidRPr="00E47714">
              <w:t>38.9%</w:t>
            </w:r>
          </w:p>
        </w:tc>
      </w:tr>
      <w:tr w:rsidR="00183828" w:rsidRPr="00E47714" w14:paraId="7DC93E04" w14:textId="77777777" w:rsidTr="00C66A54">
        <w:tc>
          <w:tcPr>
            <w:tcW w:w="1004" w:type="pct"/>
            <w:shd w:val="clear" w:color="auto" w:fill="auto"/>
            <w:vAlign w:val="center"/>
          </w:tcPr>
          <w:p w14:paraId="442C0C71" w14:textId="77777777" w:rsidR="00183828" w:rsidRPr="00E47714" w:rsidRDefault="00183828" w:rsidP="00C66A54">
            <w:pPr>
              <w:pStyle w:val="TableText"/>
              <w:jc w:val="center"/>
              <w:rPr>
                <w:rFonts w:cs="Segoe UI"/>
              </w:rPr>
            </w:pPr>
            <w:r w:rsidRPr="00E47714">
              <w:rPr>
                <w:rFonts w:cs="Segoe UI"/>
              </w:rPr>
              <w:t xml:space="preserve">Unmet need for professional help </w:t>
            </w:r>
            <w:r>
              <w:rPr>
                <w:rFonts w:cs="Segoe UI"/>
              </w:rPr>
              <w:t>with</w:t>
            </w:r>
            <w:r w:rsidRPr="00E47714">
              <w:rPr>
                <w:rFonts w:cs="Segoe UI"/>
              </w:rPr>
              <w:t xml:space="preserve"> mental health</w:t>
            </w:r>
          </w:p>
        </w:tc>
        <w:tc>
          <w:tcPr>
            <w:tcW w:w="999" w:type="pct"/>
            <w:shd w:val="clear" w:color="auto" w:fill="auto"/>
            <w:vAlign w:val="center"/>
          </w:tcPr>
          <w:p w14:paraId="68E6355F" w14:textId="77777777" w:rsidR="00183828" w:rsidRPr="00E47714" w:rsidRDefault="00183828" w:rsidP="00C66A54">
            <w:pPr>
              <w:pStyle w:val="TableText"/>
              <w:jc w:val="center"/>
              <w:rPr>
                <w:rFonts w:cs="Segoe UI"/>
              </w:rPr>
            </w:pPr>
            <w:r w:rsidRPr="00E47714">
              <w:rPr>
                <w:rFonts w:cs="Segoe UI"/>
              </w:rPr>
              <w:t>Total adults:</w:t>
            </w:r>
            <w:r>
              <w:rPr>
                <w:rFonts w:cs="Segoe UI"/>
              </w:rPr>
              <w:br/>
            </w:r>
            <w:r w:rsidRPr="00E47714">
              <w:rPr>
                <w:rFonts w:cs="Segoe UI"/>
              </w:rPr>
              <w:t>8.4%</w:t>
            </w:r>
          </w:p>
        </w:tc>
        <w:tc>
          <w:tcPr>
            <w:tcW w:w="999" w:type="pct"/>
            <w:shd w:val="clear" w:color="auto" w:fill="auto"/>
            <w:vAlign w:val="center"/>
          </w:tcPr>
          <w:p w14:paraId="629A740C" w14:textId="77777777" w:rsidR="00183828" w:rsidRPr="00E47714" w:rsidRDefault="00183828" w:rsidP="00C66A54">
            <w:pPr>
              <w:pStyle w:val="TableText"/>
              <w:jc w:val="center"/>
              <w:rPr>
                <w:rFonts w:eastAsia="Noto Sans"/>
                <w:color w:val="000000" w:themeColor="text1"/>
              </w:rPr>
            </w:pPr>
            <w:r w:rsidRPr="00E47714">
              <w:t>Māori adults:</w:t>
            </w:r>
            <w:r>
              <w:br/>
            </w:r>
            <w:r w:rsidRPr="00E47714">
              <w:t>11.7%</w:t>
            </w:r>
          </w:p>
        </w:tc>
        <w:tc>
          <w:tcPr>
            <w:tcW w:w="999" w:type="pct"/>
            <w:shd w:val="clear" w:color="auto" w:fill="auto"/>
            <w:vAlign w:val="center"/>
          </w:tcPr>
          <w:p w14:paraId="5A62D7D6" w14:textId="77777777" w:rsidR="00183828" w:rsidRPr="00E47714" w:rsidRDefault="00183828" w:rsidP="00C66A54">
            <w:pPr>
              <w:pStyle w:val="TableText"/>
              <w:jc w:val="center"/>
              <w:rPr>
                <w:rFonts w:eastAsia="Calibri Light"/>
              </w:rPr>
            </w:pPr>
            <w:r w:rsidRPr="00E47714">
              <w:rPr>
                <w:rFonts w:eastAsia="Calibri Light"/>
              </w:rPr>
              <w:t>Pacific adults:</w:t>
            </w:r>
            <w:r>
              <w:rPr>
                <w:rFonts w:eastAsia="Calibri Light"/>
              </w:rPr>
              <w:br/>
            </w:r>
            <w:r w:rsidRPr="00E47714">
              <w:rPr>
                <w:rFonts w:eastAsia="Calibri Light"/>
              </w:rPr>
              <w:t>8.8%</w:t>
            </w:r>
          </w:p>
        </w:tc>
        <w:tc>
          <w:tcPr>
            <w:tcW w:w="999" w:type="pct"/>
            <w:shd w:val="clear" w:color="auto" w:fill="auto"/>
            <w:vAlign w:val="center"/>
          </w:tcPr>
          <w:p w14:paraId="1CFF00AA" w14:textId="77777777" w:rsidR="00183828" w:rsidRPr="00E47714" w:rsidRDefault="00183828" w:rsidP="00C66A54">
            <w:pPr>
              <w:pStyle w:val="TableText"/>
              <w:jc w:val="center"/>
            </w:pPr>
            <w:r w:rsidRPr="00E47714">
              <w:t>Disabled adults:</w:t>
            </w:r>
            <w:r>
              <w:br/>
            </w:r>
            <w:r w:rsidRPr="00E47714">
              <w:t>18.9%</w:t>
            </w:r>
          </w:p>
        </w:tc>
      </w:tr>
    </w:tbl>
    <w:p w14:paraId="2C5D0B80" w14:textId="77777777" w:rsidR="00183828" w:rsidRPr="00E47714" w:rsidRDefault="00183828" w:rsidP="00183828">
      <w:pPr>
        <w:pStyle w:val="Note"/>
      </w:pPr>
      <w:r>
        <w:t xml:space="preserve">Note: </w:t>
      </w:r>
      <w:r w:rsidRPr="00E47714">
        <w:t xml:space="preserve">* </w:t>
      </w:r>
      <w:r>
        <w:t>Three</w:t>
      </w:r>
      <w:r w:rsidRPr="00E47714">
        <w:t>-year pooled period ending 2022/23</w:t>
      </w:r>
      <w:r>
        <w:t xml:space="preserve">. </w:t>
      </w:r>
      <w:r w:rsidRPr="00E47714">
        <w:t xml:space="preserve">** </w:t>
      </w:r>
      <w:r>
        <w:t>Two</w:t>
      </w:r>
      <w:r w:rsidRPr="00E47714">
        <w:t>-year pooled period ending 2022/23</w:t>
      </w:r>
      <w:r>
        <w:t>.</w:t>
      </w:r>
    </w:p>
    <w:p w14:paraId="088F04A5" w14:textId="7D0D93D2" w:rsidR="00183828" w:rsidRDefault="00183828" w:rsidP="00183828">
      <w:pPr>
        <w:pStyle w:val="Source"/>
      </w:pPr>
      <w:r w:rsidRPr="00E47714">
        <w:rPr>
          <w:b/>
          <w:bCs/>
        </w:rPr>
        <w:t xml:space="preserve">Source: </w:t>
      </w:r>
      <w:r>
        <w:fldChar w:fldCharType="begin"/>
      </w:r>
      <w:r>
        <w:instrText xml:space="preserve"> ADDIN EN.CITE &lt;EndNote&gt;&lt;Cite AuthorYear="1"&gt;&lt;Author&gt;Stats NZ &lt;/Author&gt;&lt;Year&gt;2024&lt;/Year&gt;&lt;RecNum&gt;402&lt;/RecNum&gt;&lt;DisplayText&gt;Stats NZ (2024a)&lt;/DisplayText&gt;&lt;record&gt;&lt;rec-number&gt;402&lt;/rec-number&gt;&lt;foreign-keys&gt;&lt;key app="EN" db-id="aaepvppzs5wtfse95vsp2wahsrtvva2vvdet" timestamp="1716345098"&gt;402&lt;/key&gt;&lt;/foreign-keys&gt;&lt;ref-type name="Web Page"&gt;12&lt;/ref-type&gt;&lt;contributors&gt;&lt;authors&gt;&lt;author&gt;Stats NZ ,&lt;/author&gt;&lt;/authors&gt;&lt;/contributors&gt;&lt;titles&gt;&lt;title&gt;Births and deaths: Year ended December 2023 (including abridged period life table)&lt;/title&gt;&lt;/titles&gt;&lt;number&gt;22 May 2024&lt;/number&gt;&lt;dates&gt;&lt;year&gt;2024&lt;/year&gt;&lt;/dates&gt;&lt;urls&gt;&lt;related-urls&gt;&lt;url&gt;stats.govt.nz/information-releases/births-and-deaths-year-ended-december-2023-including-abridged-period-life-table&lt;/url&gt;&lt;/related-urls&gt;&lt;/urls&gt;&lt;/record&gt;&lt;/Cite&gt;&lt;/EndNote&gt;</w:instrText>
      </w:r>
      <w:r>
        <w:fldChar w:fldCharType="separate"/>
      </w:r>
      <w:r>
        <w:rPr>
          <w:noProof/>
        </w:rPr>
        <w:t>Stats NZ (2024a)</w:t>
      </w:r>
      <w:r>
        <w:fldChar w:fldCharType="end"/>
      </w:r>
      <w:r w:rsidRPr="00E47714">
        <w:t xml:space="preserve">, </w:t>
      </w:r>
      <w:r>
        <w:fldChar w:fldCharType="begin">
          <w:fldData xml:space="preserve">PEVuZE5vdGU+PENpdGUgQXV0aG9yWWVhcj0iMSI+PEF1dGhvcj5NaW5pc3RyeSBvZiBIZWFsdGgg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</w:fldData>
        </w:fldChar>
      </w:r>
      <w:r>
        <w:instrText xml:space="preserve"> ADDIN EN.CITE </w:instrText>
      </w:r>
      <w:r>
        <w:fldChar w:fldCharType="begin">
          <w:fldData xml:space="preserve">PEVuZE5vdGU+PENpdGUgQXV0aG9yWWVhcj0iMSI+PEF1dGhvcj5NaW5pc3RyeSBvZiBIZWFsdGgg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</w:fldData>
        </w:fldChar>
      </w:r>
      <w:r>
        <w:instrText xml:space="preserve"> ADDIN EN.CITE.DATA </w:instrText>
      </w:r>
      <w:r>
        <w:fldChar w:fldCharType="end"/>
      </w:r>
      <w:r>
        <w:fldChar w:fldCharType="separate"/>
      </w:r>
      <w:r>
        <w:rPr>
          <w:noProof/>
        </w:rPr>
        <w:t>Ministry of Health (2023d)</w:t>
      </w:r>
      <w:r>
        <w:fldChar w:fldCharType="end"/>
      </w:r>
      <w:r>
        <w:t xml:space="preserve">, </w:t>
      </w:r>
      <w:r>
        <w:fldChar w:fldCharType="begin"/>
      </w:r>
      <w:r>
        <w:instrText xml:space="preserve"> ADDIN EN.CITE &lt;EndNote&gt;&lt;Cite AuthorYear="1"&gt;&lt;Author&gt;Ministry of Health &lt;/Author&gt;&lt;Year&gt;2024&lt;/Year&gt;&lt;RecNum&gt;516&lt;/RecNum&gt;&lt;DisplayText&gt;Ministry of Health (2024d)&lt;/DisplayText&gt;&lt;record&gt;&lt;rec-number&gt;516&lt;/rec-number&gt;&lt;foreign-keys&gt;&lt;key app="EN" db-id="aaepvppzs5wtfse95vsp2wahsrtvva2vvdet" timestamp="1717126105"&gt;516&lt;/key&gt;&lt;/foreign-keys&gt;&lt;ref-type name="Web Page"&gt;12&lt;/ref-type&gt;&lt;contributors&gt;&lt;authors&gt;&lt;author&gt;Ministry of Health ,&lt;/author&gt;&lt;/authors&gt;&lt;/contributors&gt;&lt;titles&gt;&lt;title&gt;Mental Health and Problematic Substance Use Data Explorer&lt;/title&gt;&lt;/titles&gt;&lt;number&gt;10 June 2024&lt;/number&gt;&lt;dates&gt;&lt;year&gt;2024&lt;/year&gt;&lt;/dates&gt;&lt;urls&gt;&lt;related-urls&gt;&lt;url&gt;minhealthnz.shinyapps.io/nz-health-survey-2022-23-mental-health-data-explorer&lt;/url&gt;&lt;/related-urls&gt;&lt;/urls&gt;&lt;/record&gt;&lt;/Cite&gt;&lt;/EndNote&gt;</w:instrText>
      </w:r>
      <w:r>
        <w:fldChar w:fldCharType="separate"/>
      </w:r>
      <w:r>
        <w:rPr>
          <w:noProof/>
        </w:rPr>
        <w:t>Ministry of Health (2024d)</w:t>
      </w:r>
      <w:r>
        <w:fldChar w:fldCharType="end"/>
      </w:r>
      <w:r w:rsidRPr="00E47714">
        <w:t>,</w:t>
      </w:r>
      <w:r>
        <w:t xml:space="preserve"> </w:t>
      </w:r>
      <w:r w:rsidRPr="00E47714">
        <w:fldChar w:fldCharType="begin">
          <w:fldData xml:space="preserve">PEVuZE5vdGU+PENpdGUgRXhjbHVkZUF1dGg9IjEiIEV4Y2x1ZGVZZWFyPSIxIiBIaWRkZW49IjEi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==
</w:fldData>
        </w:fldChar>
      </w:r>
      <w:r>
        <w:instrText xml:space="preserve"> ADDIN EN.CITE </w:instrText>
      </w:r>
      <w:r>
        <w:fldChar w:fldCharType="begin">
          <w:fldData xml:space="preserve">PEVuZE5vdGU+PENpdGUgRXhjbHVkZUF1dGg9IjEiIEV4Y2x1ZGVZZWFyPSIxIiBIaWRkZW49IjEi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==
</w:fldData>
        </w:fldChar>
      </w:r>
      <w:r>
        <w:instrText xml:space="preserve"> ADDIN EN.CITE.DATA </w:instrText>
      </w:r>
      <w:r>
        <w:fldChar w:fldCharType="end"/>
      </w:r>
      <w:r w:rsidRPr="00E47714">
        <w:fldChar w:fldCharType="separate"/>
      </w:r>
      <w:r>
        <w:rPr>
          <w:noProof/>
        </w:rPr>
        <w:t>Health NZ (2023e)</w:t>
      </w:r>
      <w:r w:rsidRPr="00E47714">
        <w:fldChar w:fldCharType="end"/>
      </w:r>
    </w:p>
    <w:p w14:paraId="1F47261A" w14:textId="77777777" w:rsidR="00183828" w:rsidRDefault="00183828" w:rsidP="00183828">
      <w:pPr>
        <w:sectPr w:rsidR="00183828" w:rsidSect="001C7EEF">
          <w:pgSz w:w="11907" w:h="16834" w:code="9"/>
          <w:pgMar w:top="1418" w:right="1701" w:bottom="1134" w:left="1843" w:header="284" w:footer="425" w:gutter="284"/>
          <w:cols w:space="720"/>
        </w:sectPr>
      </w:pPr>
    </w:p>
    <w:p w14:paraId="15F6C731" w14:textId="18A902BC" w:rsidR="00183828" w:rsidRPr="005169DD" w:rsidRDefault="00183828" w:rsidP="00183828">
      <w:pPr>
        <w:pStyle w:val="Heading1"/>
      </w:pPr>
      <w:bookmarkStart w:id="47" w:name="_Toc171603260"/>
      <w:bookmarkStart w:id="48" w:name="_Toc171944520"/>
      <w:bookmarkStart w:id="49" w:name="_Toc172104660"/>
      <w:r w:rsidRPr="00E47714">
        <w:lastRenderedPageBreak/>
        <w:t xml:space="preserve">Health </w:t>
      </w:r>
      <w:r>
        <w:t>m</w:t>
      </w:r>
      <w:r w:rsidRPr="00E47714">
        <w:t>easures</w:t>
      </w:r>
      <w:r w:rsidRPr="00256491">
        <w:t xml:space="preserve"> </w:t>
      </w:r>
      <w:r>
        <w:t xml:space="preserve">- </w:t>
      </w:r>
      <w:proofErr w:type="spellStart"/>
      <w:r w:rsidRPr="00256491">
        <w:t>Ngā</w:t>
      </w:r>
      <w:proofErr w:type="spellEnd"/>
      <w:r w:rsidRPr="00256491">
        <w:t xml:space="preserve"> </w:t>
      </w:r>
      <w:proofErr w:type="spellStart"/>
      <w:r w:rsidRPr="00256491">
        <w:t>inenga</w:t>
      </w:r>
      <w:proofErr w:type="spellEnd"/>
      <w:r w:rsidRPr="00256491">
        <w:t xml:space="preserve"> </w:t>
      </w:r>
      <w:proofErr w:type="spellStart"/>
      <w:r w:rsidR="00876632">
        <w:t>h</w:t>
      </w:r>
      <w:r w:rsidRPr="00256491">
        <w:t>auora</w:t>
      </w:r>
      <w:bookmarkEnd w:id="47"/>
      <w:bookmarkEnd w:id="48"/>
      <w:bookmarkEnd w:id="49"/>
      <w:proofErr w:type="spellEnd"/>
    </w:p>
    <w:p w14:paraId="37447346" w14:textId="4A68775A" w:rsidR="00183828" w:rsidRDefault="00183828" w:rsidP="00183828">
      <w:r w:rsidRPr="00E47714">
        <w:t xml:space="preserve">This section </w:t>
      </w:r>
      <w:r>
        <w:t>reports on meaningful</w:t>
      </w:r>
      <w:r w:rsidRPr="00E47714">
        <w:t xml:space="preserve"> measure</w:t>
      </w:r>
      <w:r>
        <w:t>s of</w:t>
      </w:r>
      <w:r w:rsidRPr="00E47714">
        <w:t xml:space="preserve"> the health of the Aotearoa New Zealand population. </w:t>
      </w:r>
      <w:r>
        <w:t>It covers</w:t>
      </w:r>
      <w:r w:rsidRPr="00E47714">
        <w:t xml:space="preserve"> self-rated health, life expectancy, mortality measures</w:t>
      </w:r>
      <w:r>
        <w:t>,</w:t>
      </w:r>
      <w:r w:rsidRPr="00E47714">
        <w:t xml:space="preserve"> and maternity indicators, including </w:t>
      </w:r>
      <w:proofErr w:type="spellStart"/>
      <w:r w:rsidRPr="00E47714">
        <w:t>fetal</w:t>
      </w:r>
      <w:proofErr w:type="spellEnd"/>
      <w:r w:rsidRPr="00E47714">
        <w:t xml:space="preserve"> and infant mortality. </w:t>
      </w:r>
    </w:p>
    <w:p w14:paraId="24B7A71E" w14:textId="77777777" w:rsidR="00183828" w:rsidRPr="00E47714" w:rsidRDefault="00183828" w:rsidP="00183828"/>
    <w:p w14:paraId="5807216A" w14:textId="77777777" w:rsidR="00183828" w:rsidRPr="00E47714" w:rsidRDefault="00183828" w:rsidP="00183828">
      <w:r w:rsidRPr="00E47714">
        <w:t xml:space="preserve">One of the key data sources used in this section is the New Zealand Health Survey (Health Survey). This survey monitors the health and wellbeing of New Zealanders, including how people experience their own health and health services. The information covers population health, health risk and protective factors, as well as health service </w:t>
      </w:r>
      <w:r>
        <w:t xml:space="preserve">use </w:t>
      </w:r>
      <w:r>
        <w:fldChar w:fldCharType="begin"/>
      </w:r>
      <w:r>
        <w:instrText xml:space="preserve"> ADDIN EN.CITE &lt;EndNote&gt;&lt;Cite&gt;&lt;Author&gt;Ministry of Health &lt;/Author&gt;&lt;Year&gt;2023&lt;/Year&gt;&lt;RecNum&gt;419&lt;/RecNum&gt;&lt;DisplayText&gt;(Ministry of Health 2023e)&lt;/DisplayText&gt;&lt;record&gt;&lt;rec-number&gt;419&lt;/rec-number&gt;&lt;foreign-keys&gt;&lt;key app="EN" db-id="aaepvppzs5wtfse95vsp2wahsrtvva2vvdet" timestamp="1716419972"&gt;419&lt;/key&gt;&lt;/foreign-keys&gt;&lt;ref-type name="Government Document"&gt;46&lt;/ref-type&gt;&lt;contributors&gt;&lt;authors&gt;&lt;author&gt;Ministry of Health ,&lt;/author&gt;&lt;/authors&gt;&lt;/contributors&gt;&lt;titles&gt;&lt;title&gt;Content Guide 2022/23: New Zealand Health Survey&lt;/title&gt;&lt;/titles&gt;&lt;dates&gt;&lt;year&gt;2023&lt;/year&gt;&lt;/dates&gt;&lt;pub-location&gt;Wellington&lt;/pub-location&gt;&lt;publisher&gt;Ministry of Health&lt;/publisher&gt;&lt;urls&gt;&lt;related-urls&gt;&lt;url&gt;health.govt.nz/system/files/documents/publications/content-guide-2022-23-new-zealand-health-survey-dec23.pdf&lt;/url&gt;&lt;/related-urls&gt;&lt;/urls&gt;&lt;/record&gt;&lt;/Cite&gt;&lt;/EndNote&gt;</w:instrText>
      </w:r>
      <w:r>
        <w:fldChar w:fldCharType="separate"/>
      </w:r>
      <w:r>
        <w:rPr>
          <w:noProof/>
        </w:rPr>
        <w:t>(Ministry of Health 2023e)</w:t>
      </w:r>
      <w:r>
        <w:fldChar w:fldCharType="end"/>
      </w:r>
      <w:r w:rsidRPr="00E47714">
        <w:t xml:space="preserve">. The Ministry of Health </w:t>
      </w:r>
      <w:r>
        <w:t xml:space="preserve">began running the </w:t>
      </w:r>
      <w:r w:rsidRPr="00E47714">
        <w:t xml:space="preserve">Health Survey </w:t>
      </w:r>
      <w:r>
        <w:t>in</w:t>
      </w:r>
      <w:r w:rsidRPr="00E47714">
        <w:t xml:space="preserve"> 1992/93 </w:t>
      </w:r>
      <w:r>
        <w:t xml:space="preserve">and has conducted it </w:t>
      </w:r>
      <w:r w:rsidRPr="00E47714">
        <w:t>every year since 2011/12.</w:t>
      </w:r>
    </w:p>
    <w:p w14:paraId="2499C94F" w14:textId="77777777" w:rsidR="00183828" w:rsidRPr="00E47714" w:rsidRDefault="00183828" w:rsidP="00183828">
      <w:pPr>
        <w:pStyle w:val="Heading2"/>
      </w:pPr>
      <w:bookmarkStart w:id="50" w:name="_Toc171603261"/>
      <w:bookmarkStart w:id="51" w:name="_Toc171944521"/>
      <w:bookmarkStart w:id="52" w:name="_Toc172104661"/>
      <w:r w:rsidRPr="00E47714">
        <w:t>Self-rated health</w:t>
      </w:r>
      <w:bookmarkEnd w:id="50"/>
      <w:bookmarkEnd w:id="51"/>
      <w:bookmarkEnd w:id="52"/>
    </w:p>
    <w:p w14:paraId="3ACCA175" w14:textId="77777777" w:rsidR="00183828" w:rsidRDefault="00183828" w:rsidP="00183828">
      <w:r w:rsidRPr="00E47714">
        <w:t>Self-rated health is a measure based on a person’s perception of their</w:t>
      </w:r>
      <w:r w:rsidRPr="00261AA7">
        <w:t xml:space="preserve"> </w:t>
      </w:r>
      <w:r w:rsidRPr="00E47714">
        <w:t xml:space="preserve">own health. Individuals rate their health on a scale from excellent to poor. </w:t>
      </w:r>
    </w:p>
    <w:p w14:paraId="17135C59" w14:textId="77777777" w:rsidR="002B1C76" w:rsidRPr="00E47714" w:rsidRDefault="002B1C76" w:rsidP="00183828"/>
    <w:p w14:paraId="575AE376" w14:textId="77777777" w:rsidR="00183828" w:rsidRPr="00E47714" w:rsidRDefault="00183828" w:rsidP="00183828">
      <w:r w:rsidRPr="00E47714">
        <w:t xml:space="preserve">In the Health Survey, for the </w:t>
      </w:r>
      <w:r>
        <w:t>three</w:t>
      </w:r>
      <w:r w:rsidRPr="00E47714">
        <w:t>-year pooled period ending 2022/23, most adults (87.4%) reported that they were in good health (defined as good, very good or excellent health)</w:t>
      </w:r>
      <w:r>
        <w:t>.</w:t>
      </w:r>
      <w:r w:rsidRPr="00E47714">
        <w:t xml:space="preserve"> </w:t>
      </w:r>
      <w:r>
        <w:t>H</w:t>
      </w:r>
      <w:r w:rsidRPr="00E47714">
        <w:t>owever</w:t>
      </w:r>
      <w:r>
        <w:t>,</w:t>
      </w:r>
      <w:r w:rsidRPr="00E47714">
        <w:t xml:space="preserve"> rates differed by population group.</w:t>
      </w:r>
    </w:p>
    <w:p w14:paraId="54D51D87" w14:textId="77777777" w:rsidR="00183828" w:rsidRPr="00E47714" w:rsidRDefault="00183828" w:rsidP="00183828">
      <w:pPr>
        <w:pStyle w:val="Bullet"/>
      </w:pPr>
      <w:r w:rsidRPr="00E47714">
        <w:t xml:space="preserve">Disabled adults (59.4%) were less likely to report </w:t>
      </w:r>
      <w:r>
        <w:t>they were</w:t>
      </w:r>
      <w:r w:rsidRPr="00E47714">
        <w:t xml:space="preserve"> in good health than non-disabled adults (90.2%), after adjusting for age and gender.</w:t>
      </w:r>
    </w:p>
    <w:p w14:paraId="0EDAA0F5" w14:textId="77777777" w:rsidR="00183828" w:rsidRPr="00F6564A" w:rsidRDefault="00183828" w:rsidP="00183828">
      <w:pPr>
        <w:pStyle w:val="Bullet"/>
      </w:pPr>
      <w:r w:rsidRPr="00E47714">
        <w:t xml:space="preserve">Māori (80.5%) and Pacific (81.8%) adults were less likely to report </w:t>
      </w:r>
      <w:r>
        <w:t>they were</w:t>
      </w:r>
      <w:r w:rsidRPr="00E47714">
        <w:t xml:space="preserve"> in good health than Asian (90.5%) and European/other (87.9%)</w:t>
      </w:r>
      <w:r w:rsidRPr="005D04BC">
        <w:t xml:space="preserve"> </w:t>
      </w:r>
      <w:r w:rsidRPr="00E47714">
        <w:t xml:space="preserve">adults. </w:t>
      </w:r>
    </w:p>
    <w:p w14:paraId="01D616F5" w14:textId="77777777" w:rsidR="00183828" w:rsidRDefault="00183828" w:rsidP="00183828"/>
    <w:p w14:paraId="745D9378" w14:textId="7F368FD5" w:rsidR="00183828" w:rsidRDefault="00183828" w:rsidP="00183828">
      <w:r w:rsidRPr="00E47714">
        <w:fldChar w:fldCharType="begin"/>
      </w:r>
      <w:r w:rsidRPr="00E47714">
        <w:instrText xml:space="preserve"> REF _Ref167800476 \h  \* MERGEFORMAT </w:instrText>
      </w:r>
      <w:r w:rsidRPr="00E47714">
        <w:fldChar w:fldCharType="separate"/>
      </w:r>
      <w:r w:rsidR="009A6F87" w:rsidRPr="00E47714">
        <w:t xml:space="preserve">Figure </w:t>
      </w:r>
      <w:r w:rsidR="009A6F87">
        <w:t>6</w:t>
      </w:r>
      <w:r w:rsidRPr="00E47714">
        <w:fldChar w:fldCharType="end"/>
      </w:r>
      <w:r w:rsidRPr="00E47714">
        <w:t xml:space="preserve"> </w:t>
      </w:r>
      <w:r>
        <w:t>presents</w:t>
      </w:r>
      <w:r w:rsidRPr="00E47714">
        <w:t xml:space="preserve"> </w:t>
      </w:r>
      <w:r>
        <w:t>three</w:t>
      </w:r>
      <w:r w:rsidRPr="00E47714">
        <w:t xml:space="preserve">-year rolling averages of self-rated good health between 2014/15 and 2022/23 by ethnic group. It shows self-reported good health for Māori and Pacific peoples </w:t>
      </w:r>
      <w:r>
        <w:t xml:space="preserve">has </w:t>
      </w:r>
      <w:r w:rsidRPr="00E47714">
        <w:t xml:space="preserve">declined since 2014/15. The level of good health for Asian and European/other adults has remained stable. </w:t>
      </w:r>
    </w:p>
    <w:p w14:paraId="385288D2" w14:textId="77777777" w:rsidR="00183828" w:rsidRPr="00E47714" w:rsidRDefault="00183828" w:rsidP="00183828"/>
    <w:p w14:paraId="44EF52D6" w14:textId="77777777" w:rsidR="00183828" w:rsidRPr="00E47714" w:rsidRDefault="00183828" w:rsidP="00183828">
      <w:pPr>
        <w:pStyle w:val="li-key-points"/>
        <w:shd w:val="clear" w:color="auto" w:fill="FFFFFF"/>
        <w:spacing w:before="90" w:beforeAutospacing="0" w:after="0" w:afterAutospacing="0"/>
        <w:ind w:left="357"/>
        <w:rPr>
          <w:rFonts w:ascii="Segoe UI" w:eastAsiaTheme="minorHAnsi" w:hAnsi="Segoe UI" w:cs="Segoe UI"/>
          <w:kern w:val="2"/>
          <w:sz w:val="22"/>
          <w:szCs w:val="22"/>
          <w:lang w:eastAsia="en-US"/>
          <w14:ligatures w14:val="standardContextual"/>
        </w:rPr>
      </w:pPr>
    </w:p>
    <w:p w14:paraId="2C49B97B" w14:textId="033FBE1C" w:rsidR="00183828" w:rsidRPr="00E47714" w:rsidRDefault="00183828" w:rsidP="00183828">
      <w:pPr>
        <w:pStyle w:val="Figure"/>
      </w:pPr>
      <w:bookmarkStart w:id="53" w:name="_Ref167800476"/>
      <w:bookmarkStart w:id="54" w:name="_Toc171330653"/>
      <w:bookmarkStart w:id="55" w:name="_Toc172104689"/>
      <w:r w:rsidRPr="00E47714">
        <w:lastRenderedPageBreak/>
        <w:t xml:space="preserve">Figure </w:t>
      </w:r>
      <w:fldSimple w:instr=" SEQ Figure \* ARABIC ">
        <w:r w:rsidR="009A6F87">
          <w:rPr>
            <w:noProof/>
          </w:rPr>
          <w:t>6</w:t>
        </w:r>
      </w:fldSimple>
      <w:bookmarkEnd w:id="53"/>
      <w:r w:rsidRPr="00E47714">
        <w:t>: Self-rated good health, by ethnic group (total response), 2014/15–2022/23</w:t>
      </w:r>
      <w:bookmarkEnd w:id="54"/>
      <w:bookmarkEnd w:id="55"/>
    </w:p>
    <w:p w14:paraId="235D6014" w14:textId="77777777" w:rsidR="00183828" w:rsidRPr="00E47714" w:rsidRDefault="00183828" w:rsidP="005B127B">
      <w:pPr>
        <w:pStyle w:val="NormalWeb"/>
        <w:spacing w:before="0" w:beforeAutospacing="0" w:after="0" w:afterAutospacing="0"/>
      </w:pPr>
      <w:r w:rsidRPr="00E47714">
        <w:rPr>
          <w:noProof/>
        </w:rPr>
        <w:drawing>
          <wp:inline distT="0" distB="0" distL="0" distR="0" wp14:anchorId="637953A7" wp14:editId="77943048">
            <wp:extent cx="5105400" cy="3063241"/>
            <wp:effectExtent l="0" t="0" r="0" b="3810"/>
            <wp:docPr id="1823296330" name="Picture 1823296330" descr="A series of four side-by-side timeseries line charts showing self-rated good health by ethnic group, between 2014/2015 and 2022/2023. Self-rated good health is lower for Māori and Pacific peoples than Asian and European/Other and has decreased from 2014/15 to 2022/23. Asian people had a consistently high percentage of approximately 90% of people with self-rated good health over time. The percentage of European/Other ethnicities with self-rated good health fell from approximately 90% to 87% between 2014/2015 and 2022/2023. Confidence intervals for the data are small and the changes over time for Māori, Pacific peoples, and European/Other ethnicities are meaningful. Along the x-axes of the charts, the years are presented as a 3-year rolling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30" name="Picture 1823296330" descr="A series of four side-by-side timeseries line charts showing self-rated good health by ethnic group, between 2014/2015 and 2022/2023. Self-rated good health is lower for Māori and Pacific peoples than Asian and European/Other and has decreased from 2014/15 to 2022/23. Asian people had a consistently high percentage of approximately 90% of people with self-rated good health over time. The percentage of European/Other ethnicities with self-rated good health fell from approximately 90% to 87% between 2014/2015 and 2022/2023. Confidence intervals for the data are small and the changes over time for Māori, Pacific peoples, and European/Other ethnicities are meaningful. Along the x-axes of the charts, the years are presented as a 3-year rolling averag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106373" cy="3063825"/>
                    </a:xfrm>
                    <a:prstGeom prst="rect">
                      <a:avLst/>
                    </a:prstGeom>
                    <a:noFill/>
                    <a:ln>
                      <a:noFill/>
                    </a:ln>
                  </pic:spPr>
                </pic:pic>
              </a:graphicData>
            </a:graphic>
          </wp:inline>
        </w:drawing>
      </w:r>
    </w:p>
    <w:p w14:paraId="503BA22D" w14:textId="77777777" w:rsidR="00183828" w:rsidRPr="00E47714" w:rsidRDefault="00183828" w:rsidP="00183828">
      <w:pPr>
        <w:pStyle w:val="Source"/>
      </w:pPr>
      <w:r w:rsidRPr="00F810D0">
        <w:t>Note:</w:t>
      </w:r>
      <w:r>
        <w:t xml:space="preserve"> </w:t>
      </w:r>
      <w:r w:rsidRPr="00E47714">
        <w:t>Shaded area indicates 95% confidence intervals</w:t>
      </w:r>
      <w:r>
        <w:t>.</w:t>
      </w:r>
    </w:p>
    <w:p w14:paraId="1AC97A0F" w14:textId="77777777" w:rsidR="00183828" w:rsidRDefault="00183828" w:rsidP="00183828">
      <w:pPr>
        <w:pStyle w:val="Source"/>
      </w:pPr>
      <w:r w:rsidRPr="00E47714">
        <w:rPr>
          <w:b/>
          <w:bCs/>
        </w:rPr>
        <w:t>Source:</w:t>
      </w:r>
      <w:r w:rsidRPr="00E47714">
        <w:t xml:space="preserve"> </w:t>
      </w:r>
      <w:r>
        <w:fldChar w:fldCharType="begin"/>
      </w:r>
      <w:r>
        <w:instrText xml:space="preserve"> ADDIN EN.CITE &lt;EndNote&gt;&lt;Cite AuthorYear="1"&gt;&lt;Author&gt;Ministry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p>
    <w:p w14:paraId="1487B88D" w14:textId="77777777" w:rsidR="00183828" w:rsidRDefault="00183828" w:rsidP="00183828"/>
    <w:p w14:paraId="3E5C3F88" w14:textId="4E73F558" w:rsidR="00183828" w:rsidRPr="00E47714" w:rsidRDefault="00183828" w:rsidP="00183828">
      <w:r w:rsidRPr="00E47714">
        <w:fldChar w:fldCharType="begin"/>
      </w:r>
      <w:r w:rsidRPr="00E47714">
        <w:instrText xml:space="preserve"> REF _Ref167800794 \h  \* MERGEFORMAT </w:instrText>
      </w:r>
      <w:r w:rsidRPr="00E47714">
        <w:fldChar w:fldCharType="separate"/>
      </w:r>
      <w:r w:rsidR="009A6F87" w:rsidRPr="00E47714">
        <w:t xml:space="preserve">Figure </w:t>
      </w:r>
      <w:r w:rsidR="009A6F87">
        <w:t>7</w:t>
      </w:r>
      <w:r w:rsidRPr="00E47714">
        <w:fldChar w:fldCharType="end"/>
      </w:r>
      <w:r w:rsidRPr="00E47714">
        <w:t xml:space="preserve"> presents </w:t>
      </w:r>
      <w:r>
        <w:t>three</w:t>
      </w:r>
      <w:r w:rsidRPr="00E47714">
        <w:t xml:space="preserve">-year rolling averages of self-reported good health (defined as good, very good or excellent health) by deprivation quintile between 2013/14 and 2022/23. It shows that </w:t>
      </w:r>
      <w:r>
        <w:t xml:space="preserve">fewer </w:t>
      </w:r>
      <w:r w:rsidRPr="00E47714">
        <w:t>adults living in the most deprived quintile (81.6%) report</w:t>
      </w:r>
      <w:r>
        <w:t>ed</w:t>
      </w:r>
      <w:r w:rsidRPr="00E47714">
        <w:t xml:space="preserve"> being in good health than those living in the least deprived quintile (90.5%).</w:t>
      </w:r>
    </w:p>
    <w:p w14:paraId="73FE1314" w14:textId="0129B512" w:rsidR="00183828" w:rsidRPr="00E47714" w:rsidRDefault="00183828" w:rsidP="00183828">
      <w:pPr>
        <w:pStyle w:val="Figure"/>
      </w:pPr>
      <w:bookmarkStart w:id="56" w:name="_Ref167800794"/>
      <w:bookmarkStart w:id="57" w:name="_Toc171330654"/>
      <w:bookmarkStart w:id="58" w:name="_Toc172104690"/>
      <w:r w:rsidRPr="00E47714">
        <w:t xml:space="preserve">Figure </w:t>
      </w:r>
      <w:fldSimple w:instr=" SEQ Figure \* ARABIC ">
        <w:r w:rsidR="009A6F87">
          <w:rPr>
            <w:noProof/>
          </w:rPr>
          <w:t>7</w:t>
        </w:r>
      </w:fldSimple>
      <w:bookmarkEnd w:id="56"/>
      <w:r w:rsidRPr="00E47714">
        <w:t>: Self-rated good health, by deprivation quintile, 2013/14–2022/23</w:t>
      </w:r>
      <w:bookmarkEnd w:id="57"/>
      <w:bookmarkEnd w:id="58"/>
    </w:p>
    <w:p w14:paraId="752EDBD3" w14:textId="77777777" w:rsidR="00183828" w:rsidRPr="00E47714" w:rsidRDefault="00183828" w:rsidP="005B127B">
      <w:pPr>
        <w:pStyle w:val="NormalWeb"/>
        <w:spacing w:before="0" w:beforeAutospacing="0" w:after="0" w:afterAutospacing="0"/>
      </w:pPr>
      <w:r w:rsidRPr="00E47714">
        <w:rPr>
          <w:noProof/>
        </w:rPr>
        <w:drawing>
          <wp:inline distT="0" distB="0" distL="0" distR="0" wp14:anchorId="36041A57" wp14:editId="2E9AF942">
            <wp:extent cx="5105400" cy="2551700"/>
            <wp:effectExtent l="0" t="0" r="0" b="1270"/>
            <wp:docPr id="1823296329" name="Picture 1823296329" descr="A series of five side-by-side timeseries line charts showing self-rated good health by deprivation quintile, between 2013/2014 and 2022/2023. There is a trend of a decreasing percentage of people with self-reported good health from the least deprived quintile to the most deprived quintile, with an approximately 10% difference in self-rated good health between those in the least deprived quintile and those in the most deprived quintile. Within each quintile group, there is also a trend of a decreasing percentage of people with self-reported good health from 2013/2014 to 2022/2023, apart from for quintile 3, with approximately a 3 to 5% difference from 2013/2014 to 2022/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9" name="Picture 1823296329" descr="A series of five side-by-side timeseries line charts showing self-rated good health by deprivation quintile, between 2013/2014 and 2022/2023. There is a trend of a decreasing percentage of people with self-reported good health from the least deprived quintile to the most deprived quintile, with an approximately 10% difference in self-rated good health between those in the least deprived quintile and those in the most deprived quintile. Within each quintile group, there is also a trend of a decreasing percentage of people with self-reported good health from 2013/2014 to 2022/2023, apart from for quintile 3, with approximately a 3 to 5% difference from 2013/2014 to 2022/2023. "/>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115779" cy="2556888"/>
                    </a:xfrm>
                    <a:prstGeom prst="rect">
                      <a:avLst/>
                    </a:prstGeom>
                    <a:noFill/>
                    <a:ln>
                      <a:noFill/>
                    </a:ln>
                  </pic:spPr>
                </pic:pic>
              </a:graphicData>
            </a:graphic>
          </wp:inline>
        </w:drawing>
      </w:r>
    </w:p>
    <w:p w14:paraId="21B42DB5" w14:textId="77777777" w:rsidR="00183828" w:rsidRPr="00E47714" w:rsidRDefault="00183828" w:rsidP="00183828">
      <w:pPr>
        <w:pStyle w:val="Source"/>
      </w:pPr>
      <w:r w:rsidRPr="003E4984">
        <w:t>Note:</w:t>
      </w:r>
      <w:r>
        <w:t xml:space="preserve"> </w:t>
      </w:r>
      <w:r w:rsidRPr="00E47714">
        <w:t>Shaded area indicates 95% confidence intervals</w:t>
      </w:r>
      <w:r>
        <w:t>.</w:t>
      </w:r>
    </w:p>
    <w:p w14:paraId="184A3C91" w14:textId="77777777" w:rsidR="00183828" w:rsidRPr="00E47714" w:rsidRDefault="00183828" w:rsidP="00183828">
      <w:pPr>
        <w:pStyle w:val="Source"/>
      </w:pPr>
      <w:r w:rsidRPr="00E47714">
        <w:rPr>
          <w:b/>
          <w:bCs/>
        </w:rPr>
        <w:t>Source:</w:t>
      </w:r>
      <w:r w:rsidRPr="00E47714">
        <w:t xml:space="preserve"> </w:t>
      </w:r>
      <w:r>
        <w:fldChar w:fldCharType="begin"/>
      </w:r>
      <w:r>
        <w:instrText xml:space="preserve"> ADDIN EN.CITE &lt;EndNote&gt;&lt;Cite AuthorYear="1"&gt;&lt;Author&gt;Ministry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p>
    <w:p w14:paraId="164DC3A9" w14:textId="77777777" w:rsidR="00183828" w:rsidRDefault="00183828" w:rsidP="00183828">
      <w:pPr>
        <w:pStyle w:val="Heading3"/>
        <w:sectPr w:rsidR="00183828" w:rsidSect="001C7EEF">
          <w:pgSz w:w="11907" w:h="16834" w:code="9"/>
          <w:pgMar w:top="1418" w:right="1701" w:bottom="1134" w:left="1843" w:header="284" w:footer="425" w:gutter="284"/>
          <w:cols w:space="720"/>
        </w:sectPr>
      </w:pPr>
    </w:p>
    <w:p w14:paraId="730248E9" w14:textId="0A591380" w:rsidR="00183828" w:rsidRPr="00E47714" w:rsidRDefault="00183828" w:rsidP="00183828">
      <w:pPr>
        <w:pStyle w:val="Heading3"/>
        <w:spacing w:before="0"/>
      </w:pPr>
      <w:r w:rsidRPr="00E47714">
        <w:lastRenderedPageBreak/>
        <w:t>Parent-rated child health</w:t>
      </w:r>
    </w:p>
    <w:p w14:paraId="39B4025D" w14:textId="4057D9AD" w:rsidR="00183828" w:rsidRDefault="00183828" w:rsidP="00183828">
      <w:r w:rsidRPr="00E47714">
        <w:t xml:space="preserve">In the </w:t>
      </w:r>
      <w:r>
        <w:t>three</w:t>
      </w:r>
      <w:r w:rsidRPr="00E47714">
        <w:t xml:space="preserve">-year pooled period ending 2022/23, according to their parents or primary caregiver, 97.0% of children were in good, very good or excellent health. This level of good health among children is down from 98.1% for the </w:t>
      </w:r>
      <w:r>
        <w:t>three</w:t>
      </w:r>
      <w:r w:rsidRPr="00E47714">
        <w:t xml:space="preserve">-year pooled period ending 2018/19. </w:t>
      </w:r>
    </w:p>
    <w:p w14:paraId="05468CEE" w14:textId="77777777" w:rsidR="00183828" w:rsidRDefault="00183828" w:rsidP="00183828"/>
    <w:p w14:paraId="49CB7D08" w14:textId="77777777" w:rsidR="00183828" w:rsidRPr="00E47714" w:rsidRDefault="00183828" w:rsidP="00183828">
      <w:r w:rsidRPr="00E47714">
        <w:t xml:space="preserve">Parent-rated child health differed by population group in the </w:t>
      </w:r>
      <w:r>
        <w:t>three</w:t>
      </w:r>
      <w:r w:rsidRPr="00E47714">
        <w:t>-year pooled period ending 2022/23</w:t>
      </w:r>
      <w:r>
        <w:t>.</w:t>
      </w:r>
    </w:p>
    <w:p w14:paraId="1E886E2E" w14:textId="77777777" w:rsidR="00183828" w:rsidRPr="00E47714" w:rsidRDefault="00183828" w:rsidP="00183828">
      <w:pPr>
        <w:pStyle w:val="Bullet"/>
      </w:pPr>
      <w:r w:rsidRPr="00E47714">
        <w:t xml:space="preserve">Parents of Māori children (94.7%) and Pacific children (95.2%) were less likely to rate their children’s health as very good or excellent, compared </w:t>
      </w:r>
      <w:r>
        <w:t>with</w:t>
      </w:r>
      <w:r w:rsidRPr="00E47714">
        <w:t xml:space="preserve"> parents of Asian children (97.8%) </w:t>
      </w:r>
      <w:r>
        <w:t>and</w:t>
      </w:r>
      <w:r w:rsidRPr="00E47714">
        <w:t xml:space="preserve"> European/other children (97.8%).</w:t>
      </w:r>
    </w:p>
    <w:p w14:paraId="72F79F1E" w14:textId="77777777" w:rsidR="00183828" w:rsidRPr="00E47714" w:rsidRDefault="00183828" w:rsidP="00183828">
      <w:pPr>
        <w:pStyle w:val="Bullet"/>
      </w:pPr>
      <w:r w:rsidRPr="00E47714">
        <w:t xml:space="preserve">Parents of children living in the most deprived neighbourhoods (quintile 5) (95.7%) were less likely to rate their children’s health as very good or excellent, compared </w:t>
      </w:r>
      <w:r>
        <w:t>with</w:t>
      </w:r>
      <w:r w:rsidRPr="00E47714">
        <w:t xml:space="preserve"> parents of children living in the least deprived neighbourhoods (quintile 1) (98.9%).</w:t>
      </w:r>
    </w:p>
    <w:p w14:paraId="57563D99" w14:textId="77777777" w:rsidR="00183828" w:rsidRDefault="00183828" w:rsidP="00183828"/>
    <w:p w14:paraId="20A03BE2" w14:textId="7E993A15" w:rsidR="00183828" w:rsidRPr="00E47714" w:rsidRDefault="00183828" w:rsidP="00183828">
      <w:r>
        <w:t xml:space="preserve">A question set used to identify disabled children (The Washington Group / UNICEF Child Functioning Module) was included In the Health Survey for the first time in </w:t>
      </w:r>
      <w:r w:rsidRPr="00E47714">
        <w:t>2022/23</w:t>
      </w:r>
      <w:r>
        <w:t>. P</w:t>
      </w:r>
      <w:r w:rsidRPr="00E47714">
        <w:t xml:space="preserve">arents of disabled children </w:t>
      </w:r>
      <w:r>
        <w:t>were asked to rate their child’s health</w:t>
      </w:r>
      <w:r w:rsidRPr="00E47714">
        <w:t xml:space="preserve">. For the 2022/23 year, 86.2% of parents of disabled children rated their child’s health as good, very good or excellent, compared </w:t>
      </w:r>
      <w:r>
        <w:t>with</w:t>
      </w:r>
      <w:r w:rsidRPr="00E47714">
        <w:t xml:space="preserve"> 97.9% of parents of non-disabled children.</w:t>
      </w:r>
    </w:p>
    <w:p w14:paraId="3E261BDA" w14:textId="77777777" w:rsidR="00183828" w:rsidRPr="00E47714" w:rsidRDefault="00183828" w:rsidP="00183828">
      <w:pPr>
        <w:pStyle w:val="Heading2"/>
      </w:pPr>
      <w:bookmarkStart w:id="59" w:name="_Toc171603262"/>
      <w:bookmarkStart w:id="60" w:name="_Toc171944522"/>
      <w:bookmarkStart w:id="61" w:name="_Toc172104662"/>
      <w:r w:rsidRPr="00E47714">
        <w:t>Life expectancy</w:t>
      </w:r>
      <w:bookmarkEnd w:id="59"/>
      <w:bookmarkEnd w:id="60"/>
      <w:bookmarkEnd w:id="61"/>
    </w:p>
    <w:p w14:paraId="5707505D" w14:textId="22860E18" w:rsidR="00183828" w:rsidRDefault="00183828" w:rsidP="00183828">
      <w:r w:rsidRPr="00E47714">
        <w:t>Life expectancy at birth is a summary measure</w:t>
      </w:r>
      <w:r w:rsidRPr="00E47714">
        <w:rPr>
          <w:rStyle w:val="FootnoteReference"/>
          <w:rFonts w:cs="Segoe UI"/>
        </w:rPr>
        <w:footnoteReference w:id="7"/>
      </w:r>
      <w:r w:rsidRPr="00E47714">
        <w:t xml:space="preserve"> of population survival. It is the average number of years a person born today can expect to live, if current age-specific mortality rates </w:t>
      </w:r>
      <w:r>
        <w:t>continue</w:t>
      </w:r>
      <w:r w:rsidRPr="00E47714">
        <w:t xml:space="preserve">. The current estimated average life expectancy at birth for New Zealanders is 82.2 years. Compared </w:t>
      </w:r>
      <w:r>
        <w:t>with</w:t>
      </w:r>
      <w:r w:rsidRPr="00E47714">
        <w:t xml:space="preserve"> all countries, Aotearoa New Zealand is ranked twentieth by life expectancy at birth</w:t>
      </w:r>
      <w:r>
        <w:t>.</w:t>
      </w:r>
      <w:r w:rsidRPr="00E47714">
        <w:t xml:space="preserve"> Hong Kong </w:t>
      </w:r>
      <w:r>
        <w:t xml:space="preserve">is </w:t>
      </w:r>
      <w:r w:rsidRPr="00E47714">
        <w:t>highest at 85.5</w:t>
      </w:r>
      <w:r>
        <w:t xml:space="preserve"> years</w:t>
      </w:r>
      <w:r w:rsidRPr="00E47714">
        <w:t xml:space="preserve">, followed by Macao at 85.3 years </w:t>
      </w:r>
      <w:r>
        <w:fldChar w:fldCharType="begin"/>
      </w:r>
      <w:r>
        <w:instrText xml:space="preserve"> ADDIN EN.CITE &lt;EndNote&gt;&lt;Cite&gt;&lt;Author&gt;World Bank&lt;/Author&gt;&lt;Year&gt;(nd)&lt;/Year&gt;&lt;RecNum&gt;520&lt;/RecNum&gt;&lt;DisplayText&gt;(World Bank (nd))&lt;/DisplayText&gt;&lt;record&gt;&lt;rec-number&gt;520&lt;/rec-number&gt;&lt;foreign-keys&gt;&lt;key app="EN" db-id="aaepvppzs5wtfse95vsp2wahsrtvva2vvdet" timestamp="1717463394"&gt;520&lt;/key&gt;&lt;/foreign-keys&gt;&lt;ref-type name="Web Page"&gt;12&lt;/ref-type&gt;&lt;contributors&gt;&lt;authors&gt;&lt;author&gt;World Bank,&lt;/author&gt;&lt;/authors&gt;&lt;/contributors&gt;&lt;titles&gt;&lt;title&gt;Life expectancy at birth, total (years)&lt;/title&gt;&lt;/titles&gt;&lt;number&gt;12 March 2024&lt;/number&gt;&lt;dates&gt;&lt;year&gt;(nd)&lt;/year&gt;&lt;/dates&gt;&lt;urls&gt;&lt;related-urls&gt;&lt;url&gt;data.worldbank.org/indicator/SP.DYN.LE00.IN&lt;/url&gt;&lt;/related-urls&gt;&lt;/urls&gt;&lt;/record&gt;&lt;/Cite&gt;&lt;/EndNote&gt;</w:instrText>
      </w:r>
      <w:r>
        <w:fldChar w:fldCharType="separate"/>
      </w:r>
      <w:r>
        <w:rPr>
          <w:noProof/>
        </w:rPr>
        <w:t>(World Bank (nd))</w:t>
      </w:r>
      <w:r>
        <w:fldChar w:fldCharType="end"/>
      </w:r>
      <w:r w:rsidRPr="00E47714">
        <w:t>.</w:t>
      </w:r>
    </w:p>
    <w:p w14:paraId="0BD77DB2" w14:textId="77777777" w:rsidR="00183828" w:rsidRPr="00E47714" w:rsidRDefault="00183828" w:rsidP="00183828"/>
    <w:p w14:paraId="4EA2D547" w14:textId="64FDDA5F" w:rsidR="00183828" w:rsidRDefault="00183828" w:rsidP="00183828">
      <w:r w:rsidRPr="00E47714">
        <w:t>In 2023, there were 37,884 deaths in Aotearoa New Zealand. This</w:t>
      </w:r>
      <w:r>
        <w:t xml:space="preserve"> total</w:t>
      </w:r>
      <w:r w:rsidRPr="00E47714">
        <w:t xml:space="preserve"> was 690 fewer </w:t>
      </w:r>
      <w:r>
        <w:t xml:space="preserve">deaths </w:t>
      </w:r>
      <w:r w:rsidRPr="00E47714">
        <w:t xml:space="preserve">(1.8%) than the previous year. Most deaths occurred in older age groups, with almost </w:t>
      </w:r>
      <w:r>
        <w:t>two</w:t>
      </w:r>
      <w:r w:rsidRPr="00E47714">
        <w:t xml:space="preserve"> out of every </w:t>
      </w:r>
      <w:r>
        <w:t>three</w:t>
      </w:r>
      <w:r w:rsidRPr="00E47714">
        <w:t xml:space="preserve"> deaths </w:t>
      </w:r>
      <w:r>
        <w:t>involving</w:t>
      </w:r>
      <w:r w:rsidRPr="00E47714">
        <w:t xml:space="preserve"> people aged 75 years and over. The median age at death in 2023 was 79 years for males and 83 years for females. In 1953 (70 years ago), the median age of death was 68 years for males and 71 years for females </w:t>
      </w:r>
      <w:r>
        <w:fldChar w:fldCharType="begin"/>
      </w:r>
      <w:r>
        <w:instrText xml:space="preserve"> ADDIN EN.CITE &lt;EndNote&gt;&lt;Cite&gt;&lt;Author&gt;Stats NZ &lt;/Author&gt;&lt;Year&gt;2024&lt;/Year&gt;&lt;RecNum&gt;402&lt;/RecNum&gt;&lt;DisplayText&gt;(Stats NZ 2024a)&lt;/DisplayText&gt;&lt;record&gt;&lt;rec-number&gt;402&lt;/rec-number&gt;&lt;foreign-keys&gt;&lt;key app="EN" db-id="aaepvppzs5wtfse95vsp2wahsrtvva2vvdet" timestamp="1716345098"&gt;402&lt;/key&gt;&lt;/foreign-keys&gt;&lt;ref-type name="Web Page"&gt;12&lt;/ref-type&gt;&lt;contributors&gt;&lt;authors&gt;&lt;author&gt;Stats NZ ,&lt;/author&gt;&lt;/authors&gt;&lt;/contributors&gt;&lt;titles&gt;&lt;title&gt;Births and deaths: Year ended December 2023 (including abridged period life table)&lt;/title&gt;&lt;/titles&gt;&lt;number&gt;22 May 2024&lt;/number&gt;&lt;dates&gt;&lt;year&gt;2024&lt;/year&gt;&lt;/dates&gt;&lt;urls&gt;&lt;related-urls&gt;&lt;url&gt;stats.govt.nz/information-releases/births-and-deaths-year-ended-december-2023-including-abridged-period-life-table&lt;/url&gt;&lt;/related-urls&gt;&lt;/urls&gt;&lt;/record&gt;&lt;/Cite&gt;&lt;/EndNote&gt;</w:instrText>
      </w:r>
      <w:r>
        <w:fldChar w:fldCharType="separate"/>
      </w:r>
      <w:r>
        <w:rPr>
          <w:noProof/>
        </w:rPr>
        <w:t>(Stats NZ 2024a)</w:t>
      </w:r>
      <w:r>
        <w:fldChar w:fldCharType="end"/>
      </w:r>
      <w:r w:rsidRPr="00E47714">
        <w:t>.</w:t>
      </w:r>
    </w:p>
    <w:p w14:paraId="79AF5E00" w14:textId="77777777" w:rsidR="00183828" w:rsidRPr="00E47714" w:rsidRDefault="00183828" w:rsidP="00183828"/>
    <w:p w14:paraId="57DCE84C" w14:textId="57B630FE" w:rsidR="00183828" w:rsidRDefault="00183828" w:rsidP="00183828">
      <w:r w:rsidRPr="00E47714">
        <w:t>Although th</w:t>
      </w:r>
      <w:r>
        <w:t>e number of</w:t>
      </w:r>
      <w:r w:rsidRPr="00E47714">
        <w:t xml:space="preserve"> deaths in 2023 </w:t>
      </w:r>
      <w:r>
        <w:t xml:space="preserve">was lower than in </w:t>
      </w:r>
      <w:r w:rsidRPr="00E47714">
        <w:t xml:space="preserve">2022, </w:t>
      </w:r>
      <w:r>
        <w:t xml:space="preserve">the 690 </w:t>
      </w:r>
      <w:r w:rsidRPr="00E47714">
        <w:t xml:space="preserve">deaths in 2023 were still higher than the years </w:t>
      </w:r>
      <w:r>
        <w:t>before</w:t>
      </w:r>
      <w:r w:rsidRPr="00E47714">
        <w:t xml:space="preserve"> 2022, as COVID-19 contributed to increased deaths in these </w:t>
      </w:r>
      <w:r>
        <w:t xml:space="preserve">last two </w:t>
      </w:r>
      <w:r w:rsidRPr="00E47714">
        <w:t xml:space="preserve">years. </w:t>
      </w:r>
      <w:r>
        <w:t>The number of deaths attributed to COVID-19 was</w:t>
      </w:r>
      <w:r w:rsidRPr="00E47714">
        <w:t xml:space="preserve"> 2,699 </w:t>
      </w:r>
      <w:r>
        <w:t>in 2022 and</w:t>
      </w:r>
      <w:r w:rsidRPr="00E47714">
        <w:t xml:space="preserve"> 1,007 </w:t>
      </w:r>
      <w:r>
        <w:t>in 2023</w:t>
      </w:r>
      <w:r w:rsidRPr="00E47714">
        <w:t>.</w:t>
      </w:r>
    </w:p>
    <w:p w14:paraId="03825805" w14:textId="77777777" w:rsidR="00183828" w:rsidRPr="00E47714" w:rsidRDefault="00183828" w:rsidP="00183828"/>
    <w:p w14:paraId="50C88DD7" w14:textId="3A775FD4" w:rsidR="00183828" w:rsidRDefault="00183828" w:rsidP="00183828">
      <w:r w:rsidRPr="00E47714">
        <w:lastRenderedPageBreak/>
        <w:t>A</w:t>
      </w:r>
      <w:r>
        <w:t>n</w:t>
      </w:r>
      <w:r w:rsidRPr="00E47714">
        <w:t xml:space="preserve"> Institute for Health Metrics and Evaluation study described how COVID-19 had a greater impact on life expectancy than previously known. </w:t>
      </w:r>
      <w:r>
        <w:t>It</w:t>
      </w:r>
      <w:r w:rsidRPr="00E47714">
        <w:t xml:space="preserve"> confirmed the pandemic killed approximately 16 million people worldwide in 2020 and 2021 and caused global life expectancy to decline by 1.6 years from 2019 to 2021. According to the study,</w:t>
      </w:r>
      <w:r w:rsidRPr="006A0148">
        <w:t xml:space="preserve"> </w:t>
      </w:r>
      <w:r w:rsidRPr="00E47714">
        <w:t>during this period Aotearoa New Zealand had one of the lowest age-adjusted excess mortality rates (</w:t>
      </w:r>
      <w:r w:rsidRPr="00E47714">
        <w:rPr>
          <w:color w:val="000000" w:themeColor="text1"/>
          <w:shd w:val="clear" w:color="auto" w:fill="FFFFFF"/>
        </w:rPr>
        <w:t>the net difference between the number of deaths during the pandemic and the number of deaths that would be expected based on past trends</w:t>
      </w:r>
      <w:r w:rsidRPr="00E47714">
        <w:t xml:space="preserve">) </w:t>
      </w:r>
      <w:r w:rsidRPr="00E47714">
        <w:fldChar w:fldCharType="begin"/>
      </w:r>
      <w:r>
        <w:instrText xml:space="preserve"> ADDIN EN.CITE &lt;EndNote&gt;&lt;Cite&gt;&lt;Author&gt;Institute for Health Metrics and Evaluation &lt;/Author&gt;&lt;Year&gt;2024&lt;/Year&gt;&lt;RecNum&gt;421&lt;/RecNum&gt;&lt;DisplayText&gt;(Institute for Health Metrics and Evaluation 2024a)&lt;/DisplayText&gt;&lt;record&gt;&lt;rec-number&gt;421&lt;/rec-number&gt;&lt;foreign-keys&gt;&lt;key app="EN" db-id="aaepvppzs5wtfse95vsp2wahsrtvva2vvdet" timestamp="1716420958"&gt;421&lt;/key&gt;&lt;/foreign-keys&gt;&lt;ref-type name="Web Page"&gt;12&lt;/ref-type&gt;&lt;contributors&gt;&lt;authors&gt;&lt;author&gt;Institute for Health Metrics and Evaluation , &lt;/author&gt;&lt;/authors&gt;&lt;/contributors&gt;&lt;titles&gt;&lt;title&gt;COVID-19 had greater impact on life expectancy than previously known, but child mortality rates continued to decline during the pandemic&lt;/title&gt;&lt;/titles&gt;&lt;number&gt;23 May 2024&lt;/number&gt;&lt;dates&gt;&lt;year&gt;2024&lt;/year&gt;&lt;/dates&gt;&lt;urls&gt;&lt;related-urls&gt;&lt;url&gt;healthdata.org/news-events/newsroom/news-releases/covid-19-had-greater-impact-life-expectancy-previously-known&lt;/url&gt;&lt;/related-urls&gt;&lt;/urls&gt;&lt;/record&gt;&lt;/Cite&gt;&lt;/EndNote&gt;</w:instrText>
      </w:r>
      <w:r w:rsidRPr="00E47714">
        <w:fldChar w:fldCharType="separate"/>
      </w:r>
      <w:r>
        <w:rPr>
          <w:noProof/>
        </w:rPr>
        <w:t>(Institute for Health Metrics and Evaluation 2024a)</w:t>
      </w:r>
      <w:r w:rsidRPr="00E47714">
        <w:fldChar w:fldCharType="end"/>
      </w:r>
      <w:r w:rsidRPr="00E47714">
        <w:t>.</w:t>
      </w:r>
    </w:p>
    <w:p w14:paraId="10A421B5" w14:textId="77777777" w:rsidR="00183828" w:rsidRDefault="00183828" w:rsidP="00183828"/>
    <w:p w14:paraId="38F64FF7" w14:textId="78C3DB41" w:rsidR="00183828" w:rsidRPr="00E47714" w:rsidRDefault="00183828" w:rsidP="00183828">
      <w:r w:rsidRPr="00E47714">
        <w:fldChar w:fldCharType="begin"/>
      </w:r>
      <w:r w:rsidRPr="00E47714">
        <w:instrText xml:space="preserve"> REF _Ref166761854 \h  \* MERGEFORMAT </w:instrText>
      </w:r>
      <w:r w:rsidRPr="00E47714">
        <w:fldChar w:fldCharType="separate"/>
      </w:r>
      <w:r w:rsidR="009A6F87" w:rsidRPr="00E47714">
        <w:t xml:space="preserve">Figure </w:t>
      </w:r>
      <w:r w:rsidR="009A6F87">
        <w:t>8</w:t>
      </w:r>
      <w:r w:rsidRPr="00E47714">
        <w:fldChar w:fldCharType="end"/>
      </w:r>
      <w:r w:rsidRPr="00E47714">
        <w:t xml:space="preserve"> shows the impact of COVID-19 on life expectancy at birth, comparing Aotearoa New Zealand, Australia, European Union count</w:t>
      </w:r>
      <w:r>
        <w:t>r</w:t>
      </w:r>
      <w:r w:rsidRPr="00E47714">
        <w:t>ies and Organisation for Economic Co-operation and Development</w:t>
      </w:r>
      <w:r>
        <w:t xml:space="preserve"> (OECD</w:t>
      </w:r>
      <w:r w:rsidRPr="00E47714">
        <w:t xml:space="preserve">) countries. </w:t>
      </w:r>
    </w:p>
    <w:p w14:paraId="5C668EEB" w14:textId="6593F911" w:rsidR="00183828" w:rsidRPr="00E47714" w:rsidRDefault="00183828" w:rsidP="00183828">
      <w:pPr>
        <w:pStyle w:val="Figure"/>
      </w:pPr>
      <w:bookmarkStart w:id="62" w:name="_Ref166761854"/>
      <w:bookmarkStart w:id="63" w:name="_Toc171330655"/>
      <w:bookmarkStart w:id="64" w:name="_Toc172104691"/>
      <w:r w:rsidRPr="00E47714">
        <w:t xml:space="preserve">Figure </w:t>
      </w:r>
      <w:fldSimple w:instr=" SEQ Figure \* ARABIC ">
        <w:r w:rsidR="009A6F87">
          <w:rPr>
            <w:noProof/>
          </w:rPr>
          <w:t>8</w:t>
        </w:r>
      </w:fldSimple>
      <w:bookmarkEnd w:id="62"/>
      <w:r w:rsidRPr="00E47714">
        <w:t>: Impact of COVID-19 on life expectancy at birth,</w:t>
      </w:r>
      <w:r>
        <w:t xml:space="preserve"> comparing</w:t>
      </w:r>
      <w:r w:rsidRPr="00E47714">
        <w:t xml:space="preserve"> </w:t>
      </w:r>
      <w:r w:rsidRPr="00E47714">
        <w:rPr>
          <w:rFonts w:cs="Segoe UI"/>
        </w:rPr>
        <w:t xml:space="preserve">Aotearoa </w:t>
      </w:r>
      <w:r w:rsidRPr="00E47714">
        <w:t xml:space="preserve">New Zealand </w:t>
      </w:r>
      <w:r>
        <w:t>with international data</w:t>
      </w:r>
      <w:r w:rsidRPr="00E47714">
        <w:t>, 1990–</w:t>
      </w:r>
      <w:proofErr w:type="gramStart"/>
      <w:r w:rsidRPr="00E47714">
        <w:t>2021</w:t>
      </w:r>
      <w:bookmarkEnd w:id="63"/>
      <w:bookmarkEnd w:id="64"/>
      <w:proofErr w:type="gramEnd"/>
    </w:p>
    <w:p w14:paraId="6585C58E" w14:textId="77777777" w:rsidR="00183828" w:rsidRPr="00E47714" w:rsidRDefault="00183828" w:rsidP="005B127B">
      <w:pPr>
        <w:pStyle w:val="NormalWeb"/>
        <w:spacing w:before="0" w:beforeAutospacing="0" w:after="0" w:afterAutospacing="0"/>
      </w:pPr>
      <w:r w:rsidRPr="00E47714">
        <w:rPr>
          <w:noProof/>
        </w:rPr>
        <w:drawing>
          <wp:inline distT="0" distB="0" distL="0" distR="0" wp14:anchorId="20CD11A9" wp14:editId="1671AC84">
            <wp:extent cx="5130800" cy="3708400"/>
            <wp:effectExtent l="0" t="0" r="0" b="6350"/>
            <wp:docPr id="1823296333" name="Picture 1823296333" descr="A time-series line chart showing life expectancy in years over time from 1990 to 2021 for Australia, New Zealand, the European Union grouped and OECD member countries grouped. In general life-expectancy has increased since 1990. The chart contrasts the effect of COVID-19 on life expectancy, showing that life expectancy decreased during the COVID-19 pandemic in the European Union and in OECD member countries. Life expectancy did not decrease in Australia and New Zealand during the COVID-19 pandemic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33" name="Picture 1823296333" descr="A time-series line chart showing life expectancy in years over time from 1990 to 2021 for Australia, New Zealand, the European Union grouped and OECD member countries grouped. In general life-expectancy has increased since 1990. The chart contrasts the effect of COVID-19 on life expectancy, showing that life expectancy decreased during the COVID-19 pandemic in the European Union and in OECD member countries. Life expectancy did not decrease in Australia and New Zealand during the COVID-19 pandemic period."/>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145446" cy="3718986"/>
                    </a:xfrm>
                    <a:prstGeom prst="rect">
                      <a:avLst/>
                    </a:prstGeom>
                    <a:noFill/>
                    <a:ln>
                      <a:noFill/>
                    </a:ln>
                  </pic:spPr>
                </pic:pic>
              </a:graphicData>
            </a:graphic>
          </wp:inline>
        </w:drawing>
      </w:r>
    </w:p>
    <w:p w14:paraId="57F8BFE9" w14:textId="7065133B" w:rsidR="00183828" w:rsidRPr="00E47714" w:rsidRDefault="00183828" w:rsidP="00183828">
      <w:pPr>
        <w:pStyle w:val="Source"/>
      </w:pPr>
      <w:r w:rsidRPr="00E47714">
        <w:rPr>
          <w:b/>
          <w:bCs/>
        </w:rPr>
        <w:t xml:space="preserve">Source: </w:t>
      </w:r>
      <w:r>
        <w:fldChar w:fldCharType="begin"/>
      </w:r>
      <w:r>
        <w:instrText xml:space="preserve"> ADDIN EN.CITE &lt;EndNote&gt;&lt;Cite AuthorYear="1"&gt;&lt;Author&gt;World Bank&lt;/Author&gt;&lt;Year&gt;(nd)&lt;/Year&gt;&lt;RecNum&gt;520&lt;/RecNum&gt;&lt;DisplayText&gt;World Bank ((nd))&lt;/DisplayText&gt;&lt;record&gt;&lt;rec-number&gt;520&lt;/rec-number&gt;&lt;foreign-keys&gt;&lt;key app="EN" db-id="aaepvppzs5wtfse95vsp2wahsrtvva2vvdet" timestamp="1717463394"&gt;520&lt;/key&gt;&lt;/foreign-keys&gt;&lt;ref-type name="Web Page"&gt;12&lt;/ref-type&gt;&lt;contributors&gt;&lt;authors&gt;&lt;author&gt;World Bank,&lt;/author&gt;&lt;/authors&gt;&lt;/contributors&gt;&lt;titles&gt;&lt;title&gt;Life expectancy at birth, total (years)&lt;/title&gt;&lt;/titles&gt;&lt;number&gt;12 March 2024&lt;/number&gt;&lt;dates&gt;&lt;year&gt;(nd)&lt;/year&gt;&lt;/dates&gt;&lt;urls&gt;&lt;related-urls&gt;&lt;url&gt;data.worldbank.org/indicator/SP.DYN.LE00.IN&lt;/url&gt;&lt;/related-urls&gt;&lt;/urls&gt;&lt;/record&gt;&lt;/Cite&gt;&lt;/EndNote&gt;</w:instrText>
      </w:r>
      <w:r>
        <w:fldChar w:fldCharType="separate"/>
      </w:r>
      <w:r>
        <w:rPr>
          <w:noProof/>
        </w:rPr>
        <w:t>World Bank ((nd))</w:t>
      </w:r>
      <w:r>
        <w:fldChar w:fldCharType="end"/>
      </w:r>
    </w:p>
    <w:p w14:paraId="7CE739FD" w14:textId="77777777" w:rsidR="00183828" w:rsidRPr="00E47714" w:rsidRDefault="00183828" w:rsidP="00183828">
      <w:pPr>
        <w:pStyle w:val="Heading3"/>
      </w:pPr>
      <w:r w:rsidRPr="00E47714">
        <w:t>Life expectancy by gender</w:t>
      </w:r>
    </w:p>
    <w:p w14:paraId="4DA891C6" w14:textId="21F3F808" w:rsidR="00183828" w:rsidRDefault="00183828" w:rsidP="00183828">
      <w:r w:rsidRPr="00E47714">
        <w:t>In Aotearoa New Zealand, females typically have a higher life expectancy than males, with statistics consistently showing a notable difference in lifespan. The gap between male and female life expectancy has reduced over time. In 2021</w:t>
      </w:r>
      <w:r>
        <w:t>–20</w:t>
      </w:r>
      <w:r w:rsidRPr="00E47714">
        <w:t xml:space="preserve">23, a </w:t>
      </w:r>
      <w:proofErr w:type="spellStart"/>
      <w:r w:rsidRPr="00E47714">
        <w:t>newborn</w:t>
      </w:r>
      <w:proofErr w:type="spellEnd"/>
      <w:r w:rsidRPr="00E47714">
        <w:t xml:space="preserve"> male could expect to live 80.3 years on average and a </w:t>
      </w:r>
      <w:proofErr w:type="spellStart"/>
      <w:r w:rsidRPr="00E47714">
        <w:t>newborn</w:t>
      </w:r>
      <w:proofErr w:type="spellEnd"/>
      <w:r w:rsidRPr="00E47714">
        <w:t xml:space="preserve"> female 83.7 years, a difference of 3.4 years </w:t>
      </w:r>
      <w:r w:rsidRPr="00E47714">
        <w:fldChar w:fldCharType="begin"/>
      </w:r>
      <w:r>
        <w:instrText xml:space="preserve"> ADDIN EN.CITE &lt;EndNote&gt;&lt;Cite&gt;&lt;Author&gt;Stats NZ &lt;/Author&gt;&lt;Year&gt;2024&lt;/Year&gt;&lt;RecNum&gt;402&lt;/RecNum&gt;&lt;DisplayText&gt;(Stats NZ 2024a)&lt;/DisplayText&gt;&lt;record&gt;&lt;rec-number&gt;402&lt;/rec-number&gt;&lt;foreign-keys&gt;&lt;key app="EN" db-id="aaepvppzs5wtfse95vsp2wahsrtvva2vvdet" timestamp="1716345098"&gt;402&lt;/key&gt;&lt;/foreign-keys&gt;&lt;ref-type name="Web Page"&gt;12&lt;/ref-type&gt;&lt;contributors&gt;&lt;authors&gt;&lt;author&gt;Stats NZ ,&lt;/author&gt;&lt;/authors&gt;&lt;/contributors&gt;&lt;titles&gt;&lt;title&gt;Births and deaths: Year ended December 2023 (including abridged period life table)&lt;/title&gt;&lt;/titles&gt;&lt;number&gt;22 May 2024&lt;/number&gt;&lt;dates&gt;&lt;year&gt;2024&lt;/year&gt;&lt;/dates&gt;&lt;urls&gt;&lt;related-urls&gt;&lt;url&gt;stats.govt.nz/information-releases/births-and-deaths-year-ended-december-2023-including-abridged-period-life-table&lt;/url&gt;&lt;/related-urls&gt;&lt;/urls&gt;&lt;/record&gt;&lt;/Cite&gt;&lt;/EndNote&gt;</w:instrText>
      </w:r>
      <w:r w:rsidRPr="00E47714">
        <w:fldChar w:fldCharType="separate"/>
      </w:r>
      <w:r>
        <w:rPr>
          <w:noProof/>
        </w:rPr>
        <w:t>(Stats NZ 2024a)</w:t>
      </w:r>
      <w:r w:rsidRPr="00E47714">
        <w:fldChar w:fldCharType="end"/>
      </w:r>
      <w:r w:rsidRPr="00E47714">
        <w:t>. In 1970</w:t>
      </w:r>
      <w:r>
        <w:t>–19</w:t>
      </w:r>
      <w:r w:rsidRPr="00E47714">
        <w:t xml:space="preserve">72, the gap between male and female life expectancy at birth was 6.1 years, when a </w:t>
      </w:r>
      <w:proofErr w:type="spellStart"/>
      <w:r w:rsidRPr="00E47714">
        <w:t>newborn</w:t>
      </w:r>
      <w:proofErr w:type="spellEnd"/>
      <w:r w:rsidRPr="00E47714">
        <w:t xml:space="preserve"> male </w:t>
      </w:r>
      <w:r>
        <w:t xml:space="preserve">was expected to </w:t>
      </w:r>
      <w:r w:rsidRPr="00E47714">
        <w:t xml:space="preserve">live 68.5 years on average and a </w:t>
      </w:r>
      <w:proofErr w:type="spellStart"/>
      <w:r w:rsidRPr="00E47714">
        <w:t>newborn</w:t>
      </w:r>
      <w:proofErr w:type="spellEnd"/>
      <w:r w:rsidRPr="00E47714">
        <w:t xml:space="preserve"> female 74.6 years </w:t>
      </w:r>
      <w:r>
        <w:fldChar w:fldCharType="begin"/>
      </w:r>
      <w:r>
        <w:instrText xml:space="preserve"> ADDIN EN.CITE &lt;EndNote&gt;&lt;Cite&gt;&lt;Author&gt;Stats NZ &lt;/Author&gt;&lt;Year&gt;(nd)&lt;/Year&gt;&lt;RecNum&gt;422&lt;/RecNum&gt;&lt;DisplayText&gt;(Stats NZ (nd)-b)&lt;/DisplayText&gt;&lt;record&gt;&lt;rec-number&gt;422&lt;/rec-number&gt;&lt;foreign-keys&gt;&lt;key app="EN" db-id="aaepvppzs5wtfse95vsp2wahsrtvva2vvdet" timestamp="1716421115"&gt;422&lt;/key&gt;&lt;/foreign-keys&gt;&lt;ref-type name="Web Page"&gt;12&lt;/ref-type&gt;&lt;contributors&gt;&lt;authors&gt;&lt;author&gt;Stats NZ , &lt;/author&gt;&lt;/authors&gt;&lt;/contributors&gt;&lt;titles&gt;&lt;title&gt;Life expectancy&lt;/title&gt;&lt;/titles&gt;&lt;number&gt;23 May 2024&lt;/number&gt;&lt;dates&gt;&lt;year&gt;(nd)&lt;/year&gt;&lt;/dates&gt;&lt;urls&gt;&lt;related-urls&gt;&lt;url&gt;stats.govt.nz/topics/life-expectancy&lt;/url&gt;&lt;/related-urls&gt;&lt;/urls&gt;&lt;/record&gt;&lt;/Cite&gt;&lt;/EndNote&gt;</w:instrText>
      </w:r>
      <w:r>
        <w:fldChar w:fldCharType="separate"/>
      </w:r>
      <w:r>
        <w:rPr>
          <w:noProof/>
        </w:rPr>
        <w:t>(Stats NZ (nd)-b)</w:t>
      </w:r>
      <w:r>
        <w:fldChar w:fldCharType="end"/>
      </w:r>
      <w:r w:rsidRPr="00E47714">
        <w:t>.</w:t>
      </w:r>
    </w:p>
    <w:p w14:paraId="277F079A" w14:textId="77777777" w:rsidR="00183828" w:rsidRPr="00E47714" w:rsidRDefault="00183828" w:rsidP="00183828"/>
    <w:p w14:paraId="56ED444D" w14:textId="4F53575E" w:rsidR="00183828" w:rsidRDefault="00183828" w:rsidP="00183828">
      <w:pPr>
        <w:rPr>
          <w:rFonts w:cs="Segoe UI"/>
        </w:rPr>
      </w:pPr>
      <w:r w:rsidRPr="00E47714">
        <w:lastRenderedPageBreak/>
        <w:t xml:space="preserve">At </w:t>
      </w:r>
      <w:r>
        <w:t xml:space="preserve">the </w:t>
      </w:r>
      <w:r w:rsidRPr="00E47714">
        <w:t xml:space="preserve">age </w:t>
      </w:r>
      <w:r>
        <w:t xml:space="preserve">of </w:t>
      </w:r>
      <w:r w:rsidRPr="00E47714">
        <w:t>65</w:t>
      </w:r>
      <w:r>
        <w:t xml:space="preserve"> years</w:t>
      </w:r>
      <w:r w:rsidRPr="00E47714">
        <w:t>, life expectancy for men is 84.6 years</w:t>
      </w:r>
      <w:r>
        <w:t>.</w:t>
      </w:r>
      <w:r w:rsidRPr="00E47714">
        <w:t xml:space="preserve"> </w:t>
      </w:r>
      <w:r>
        <w:t>T</w:t>
      </w:r>
      <w:r w:rsidRPr="00E47714">
        <w:t xml:space="preserve">hat is, a 65-year-old man today can expect to live a further 19.6 years. The life expectancy for women at 65 years is 86.8 years (a further 21.8 years) </w:t>
      </w:r>
      <w:r>
        <w:fldChar w:fldCharType="begin"/>
      </w:r>
      <w:r>
        <w:instrText xml:space="preserve"> ADDIN EN.CITE &lt;EndNote&gt;&lt;Cite&gt;&lt;Author&gt;Stats NZ &lt;/Author&gt;&lt;Year&gt;2024&lt;/Year&gt;&lt;RecNum&gt;402&lt;/RecNum&gt;&lt;DisplayText&gt;(Stats NZ 2024a)&lt;/DisplayText&gt;&lt;record&gt;&lt;rec-number&gt;402&lt;/rec-number&gt;&lt;foreign-keys&gt;&lt;key app="EN" db-id="aaepvppzs5wtfse95vsp2wahsrtvva2vvdet" timestamp="1716345098"&gt;402&lt;/key&gt;&lt;/foreign-keys&gt;&lt;ref-type name="Web Page"&gt;12&lt;/ref-type&gt;&lt;contributors&gt;&lt;authors&gt;&lt;author&gt;Stats NZ ,&lt;/author&gt;&lt;/authors&gt;&lt;/contributors&gt;&lt;titles&gt;&lt;title&gt;Births and deaths: Year ended December 2023 (including abridged period life table)&lt;/title&gt;&lt;/titles&gt;&lt;number&gt;22 May 2024&lt;/number&gt;&lt;dates&gt;&lt;year&gt;2024&lt;/year&gt;&lt;/dates&gt;&lt;urls&gt;&lt;related-urls&gt;&lt;url&gt;stats.govt.nz/information-releases/births-and-deaths-year-ended-december-2023-including-abridged-period-life-table&lt;/url&gt;&lt;/related-urls&gt;&lt;/urls&gt;&lt;/record&gt;&lt;/Cite&gt;&lt;/EndNote&gt;</w:instrText>
      </w:r>
      <w:r>
        <w:fldChar w:fldCharType="separate"/>
      </w:r>
      <w:r>
        <w:rPr>
          <w:noProof/>
        </w:rPr>
        <w:t>(Stats NZ 2024a)</w:t>
      </w:r>
      <w:r>
        <w:fldChar w:fldCharType="end"/>
      </w:r>
      <w:r w:rsidRPr="00E47714">
        <w:t>.</w:t>
      </w:r>
      <w:r w:rsidRPr="00E47714">
        <w:rPr>
          <w:rStyle w:val="FootnoteReference"/>
          <w:rFonts w:cs="Segoe UI"/>
        </w:rPr>
        <w:t xml:space="preserve"> </w:t>
      </w:r>
    </w:p>
    <w:p w14:paraId="4B4B825F" w14:textId="77777777" w:rsidR="00183828" w:rsidRPr="00E47714" w:rsidRDefault="00183828" w:rsidP="00183828"/>
    <w:p w14:paraId="676222F9" w14:textId="61D494AB" w:rsidR="00183828" w:rsidRPr="00E47714" w:rsidRDefault="00183828" w:rsidP="00183828">
      <w:r>
        <w:fldChar w:fldCharType="begin"/>
      </w:r>
      <w:r>
        <w:instrText xml:space="preserve"> REF _Ref169515498 \h </w:instrText>
      </w:r>
      <w:r>
        <w:fldChar w:fldCharType="separate"/>
      </w:r>
      <w:r w:rsidR="009A6F87" w:rsidRPr="00E47714">
        <w:t xml:space="preserve">Figure </w:t>
      </w:r>
      <w:r w:rsidR="009A6F87">
        <w:rPr>
          <w:noProof/>
        </w:rPr>
        <w:t>9</w:t>
      </w:r>
      <w:r>
        <w:fldChar w:fldCharType="end"/>
      </w:r>
      <w:r w:rsidRPr="00E47714">
        <w:t xml:space="preserve"> </w:t>
      </w:r>
      <w:r>
        <w:t>shows</w:t>
      </w:r>
      <w:r w:rsidRPr="00E47714">
        <w:t xml:space="preserve"> life expectancy across Aotearoa New Zealand</w:t>
      </w:r>
      <w:r>
        <w:t xml:space="preserve"> in 2017–2019. The</w:t>
      </w:r>
      <w:r w:rsidRPr="00E47714">
        <w:t xml:space="preserve"> colour-coded areas highlight the disparities in life expectancy between males and females, and between regions. Darker blue indicates </w:t>
      </w:r>
      <w:r>
        <w:t>a</w:t>
      </w:r>
      <w:r w:rsidRPr="00E47714">
        <w:t xml:space="preserve"> longer lifespan. For both males and females, based on Aotearoa New Zealand period life tables 2017</w:t>
      </w:r>
      <w:r w:rsidRPr="00E47714">
        <w:rPr>
          <w:rStyle w:val="normaltextrun"/>
          <w:rFonts w:ascii="Calibri" w:hAnsi="Calibri" w:cs="Calibri"/>
          <w:color w:val="000000"/>
          <w:bdr w:val="none" w:sz="0" w:space="0" w:color="auto" w:frame="1"/>
        </w:rPr>
        <w:t>–</w:t>
      </w:r>
      <w:r w:rsidRPr="00EF7A62">
        <w:t>20</w:t>
      </w:r>
      <w:r w:rsidRPr="000A5B08">
        <w:t>1</w:t>
      </w:r>
      <w:r w:rsidRPr="00E47714">
        <w:t>9</w:t>
      </w:r>
      <w:r>
        <w:t>, with uncertainty shown in brackets from low to high</w:t>
      </w:r>
      <w:r w:rsidRPr="00E47714">
        <w:t xml:space="preserve"> </w:t>
      </w:r>
      <w:r>
        <w:fldChar w:fldCharType="begin"/>
      </w:r>
      <w:r>
        <w:instrText xml:space="preserve"> ADDIN EN.CITE &lt;EndNote&gt;&lt;Cite&gt;&lt;Author&gt;Stats NZ &lt;/Author&gt;&lt;Year&gt;2021&lt;/Year&gt;&lt;RecNum&gt;423&lt;/RecNum&gt;&lt;DisplayText&gt;(Stats NZ 2021b)&lt;/DisplayText&gt;&lt;record&gt;&lt;rec-number&gt;423&lt;/rec-number&gt;&lt;foreign-keys&gt;&lt;key app="EN" db-id="aaepvppzs5wtfse95vsp2wahsrtvva2vvdet" timestamp="1716421454"&gt;423&lt;/key&gt;&lt;/foreign-keys&gt;&lt;ref-type name="Web Page"&gt;12&lt;/ref-type&gt;&lt;contributors&gt;&lt;authors&gt;&lt;author&gt;Stats NZ ,&lt;/author&gt;&lt;/authors&gt;&lt;/contributors&gt;&lt;titles&gt;&lt;title&gt;National and subnational period life tables: 2017–2019&lt;/title&gt;&lt;/titles&gt;&lt;number&gt;23 May 2024&lt;/number&gt;&lt;dates&gt;&lt;year&gt;2021&lt;/year&gt;&lt;/dates&gt;&lt;urls&gt;&lt;related-urls&gt;&lt;url&gt;stats.govt.nz/information-releases/national-and-subnational-period-life-tables-2017-2019&lt;/url&gt;&lt;/related-urls&gt;&lt;/urls&gt;&lt;/record&gt;&lt;/Cite&gt;&lt;/EndNote&gt;</w:instrText>
      </w:r>
      <w:r>
        <w:fldChar w:fldCharType="separate"/>
      </w:r>
      <w:r>
        <w:rPr>
          <w:noProof/>
        </w:rPr>
        <w:t>(Stats NZ 2021b)</w:t>
      </w:r>
      <w:r>
        <w:fldChar w:fldCharType="end"/>
      </w:r>
      <w:r w:rsidRPr="00E47714">
        <w:t>, the Gisborne region had the lowest life expectancy with 76.8 (76.1</w:t>
      </w:r>
      <w:r>
        <w:t>–</w:t>
      </w:r>
      <w:r w:rsidRPr="00E47714">
        <w:t>77.5) years for males and 80.6 (79.9</w:t>
      </w:r>
      <w:r>
        <w:t>–</w:t>
      </w:r>
      <w:r w:rsidRPr="00E47714">
        <w:t>81.2) years for females. The Tasman region had the highest life expectancy with 81.2 (80.6</w:t>
      </w:r>
      <w:r>
        <w:t>–</w:t>
      </w:r>
      <w:r w:rsidRPr="00E47714">
        <w:t>81.9) years for males and 84.5 (83.9</w:t>
      </w:r>
      <w:r>
        <w:t>–</w:t>
      </w:r>
      <w:r w:rsidRPr="00E47714">
        <w:t xml:space="preserve">85.2) years for females </w:t>
      </w:r>
      <w:r>
        <w:fldChar w:fldCharType="begin"/>
      </w:r>
      <w:r>
        <w:instrText xml:space="preserve"> ADDIN EN.CITE &lt;EndNote&gt;&lt;Cite&gt;&lt;Author&gt;Stats NZ &lt;/Author&gt;&lt;Year&gt;2021&lt;/Year&gt;&lt;RecNum&gt;423&lt;/RecNum&gt;&lt;DisplayText&gt;(Stats NZ 2021b)&lt;/DisplayText&gt;&lt;record&gt;&lt;rec-number&gt;423&lt;/rec-number&gt;&lt;foreign-keys&gt;&lt;key app="EN" db-id="aaepvppzs5wtfse95vsp2wahsrtvva2vvdet" timestamp="1716421454"&gt;423&lt;/key&gt;&lt;/foreign-keys&gt;&lt;ref-type name="Web Page"&gt;12&lt;/ref-type&gt;&lt;contributors&gt;&lt;authors&gt;&lt;author&gt;Stats NZ ,&lt;/author&gt;&lt;/authors&gt;&lt;/contributors&gt;&lt;titles&gt;&lt;title&gt;National and subnational period life tables: 2017–2019&lt;/title&gt;&lt;/titles&gt;&lt;number&gt;23 May 2024&lt;/number&gt;&lt;dates&gt;&lt;year&gt;2021&lt;/year&gt;&lt;/dates&gt;&lt;urls&gt;&lt;related-urls&gt;&lt;url&gt;stats.govt.nz/information-releases/national-and-subnational-period-life-tables-2017-2019&lt;/url&gt;&lt;/related-urls&gt;&lt;/urls&gt;&lt;/record&gt;&lt;/Cite&gt;&lt;/EndNote&gt;</w:instrText>
      </w:r>
      <w:r>
        <w:fldChar w:fldCharType="separate"/>
      </w:r>
      <w:r>
        <w:rPr>
          <w:noProof/>
        </w:rPr>
        <w:t>(Stats NZ 2021b)</w:t>
      </w:r>
      <w:r>
        <w:fldChar w:fldCharType="end"/>
      </w:r>
      <w:r w:rsidRPr="00E47714">
        <w:t>.</w:t>
      </w:r>
    </w:p>
    <w:p w14:paraId="3AE4A4F7" w14:textId="246EFE84" w:rsidR="00183828" w:rsidRPr="00E47714" w:rsidRDefault="00183828" w:rsidP="00183828">
      <w:pPr>
        <w:pStyle w:val="Figure"/>
        <w:rPr>
          <w:rFonts w:cs="Segoe UI"/>
        </w:rPr>
      </w:pPr>
      <w:bookmarkStart w:id="65" w:name="_Ref169515498"/>
      <w:bookmarkStart w:id="66" w:name="_Toc171330656"/>
      <w:bookmarkStart w:id="67" w:name="_Toc172104692"/>
      <w:r w:rsidRPr="00E47714">
        <w:t xml:space="preserve">Figure </w:t>
      </w:r>
      <w:fldSimple w:instr=" SEQ Figure \* ARABIC ">
        <w:r w:rsidR="009A6F87">
          <w:rPr>
            <w:noProof/>
          </w:rPr>
          <w:t>9</w:t>
        </w:r>
      </w:fldSimple>
      <w:bookmarkEnd w:id="65"/>
      <w:r w:rsidRPr="00E47714">
        <w:t>: Life expectancy for males and females by region, 2017–</w:t>
      </w:r>
      <w:r>
        <w:t>20</w:t>
      </w:r>
      <w:r w:rsidRPr="00E47714">
        <w:t>19</w:t>
      </w:r>
      <w:bookmarkEnd w:id="66"/>
      <w:bookmarkEnd w:id="67"/>
      <w:r w:rsidRPr="00E47714">
        <w:rPr>
          <w:rFonts w:cs="Segoe UI"/>
        </w:rPr>
        <w:t xml:space="preserve"> </w:t>
      </w:r>
    </w:p>
    <w:p w14:paraId="709970E4" w14:textId="77777777" w:rsidR="00183828" w:rsidRPr="00E47714" w:rsidRDefault="00183828" w:rsidP="00183828">
      <w:pPr>
        <w:rPr>
          <w:lang w:eastAsia="en-NZ"/>
        </w:rPr>
      </w:pPr>
      <w:r w:rsidRPr="00E47714">
        <w:rPr>
          <w:noProof/>
          <w:lang w:eastAsia="en-NZ"/>
        </w:rPr>
        <w:drawing>
          <wp:inline distT="0" distB="0" distL="0" distR="0" wp14:anchorId="7215C7D2" wp14:editId="6FCD36D5">
            <wp:extent cx="5104660" cy="3251200"/>
            <wp:effectExtent l="0" t="0" r="1270" b="6350"/>
            <wp:docPr id="15" name="Picture 15" descr="A series of two maps of New Zealand showing life expectancy between 2017-2019 across regions for females and males. Males have lower life expectancy than females. The variation in life expectancy across regions for females was between 80-81 years up to 84-85 years, while for males life expectancy varied across regions from 76-77 years up to 81-82 years. The Gisborne region has the lowest life expectancy and the Tasman region had the highest life expecta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eries of two maps of New Zealand showing life expectancy between 2017-2019 across regions for females and males. Males have lower life expectancy than females. The variation in life expectancy across regions for females was between 80-81 years up to 84-85 years, while for males life expectancy varied across regions from 76-77 years up to 81-82 years. The Gisborne region has the lowest life expectancy and the Tasman region had the highest life expectancy. "/>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6680" b="3271"/>
                    <a:stretch/>
                  </pic:blipFill>
                  <pic:spPr bwMode="auto">
                    <a:xfrm>
                      <a:off x="0" y="0"/>
                      <a:ext cx="5125968" cy="3264771"/>
                    </a:xfrm>
                    <a:prstGeom prst="rect">
                      <a:avLst/>
                    </a:prstGeom>
                    <a:noFill/>
                    <a:ln>
                      <a:noFill/>
                    </a:ln>
                    <a:extLst>
                      <a:ext uri="{53640926-AAD7-44D8-BBD7-CCE9431645EC}">
                        <a14:shadowObscured xmlns:a14="http://schemas.microsoft.com/office/drawing/2010/main"/>
                      </a:ext>
                    </a:extLst>
                  </pic:spPr>
                </pic:pic>
              </a:graphicData>
            </a:graphic>
          </wp:inline>
        </w:drawing>
      </w:r>
    </w:p>
    <w:p w14:paraId="498CE0E0" w14:textId="77777777" w:rsidR="00183828" w:rsidRPr="00E47714" w:rsidRDefault="00183828" w:rsidP="00183828">
      <w:pPr>
        <w:pStyle w:val="Source"/>
        <w:rPr>
          <w:lang w:eastAsia="en-NZ"/>
        </w:rPr>
      </w:pPr>
      <w:r w:rsidRPr="00E47714">
        <w:rPr>
          <w:b/>
          <w:bCs/>
          <w:lang w:eastAsia="en-NZ"/>
        </w:rPr>
        <w:t>Source:</w:t>
      </w:r>
      <w:r>
        <w:rPr>
          <w:b/>
          <w:bCs/>
          <w:lang w:eastAsia="en-NZ"/>
        </w:rPr>
        <w:t xml:space="preserve"> </w:t>
      </w:r>
      <w:r>
        <w:rPr>
          <w:lang w:eastAsia="en-NZ"/>
        </w:rPr>
        <w:fldChar w:fldCharType="begin"/>
      </w:r>
      <w:r>
        <w:rPr>
          <w:lang w:eastAsia="en-NZ"/>
        </w:rPr>
        <w:instrText xml:space="preserve"> ADDIN EN.CITE &lt;EndNote&gt;&lt;Cite AuthorYear="1"&gt;&lt;Author&gt;Stats NZ &lt;/Author&gt;&lt;Year&gt;2021&lt;/Year&gt;&lt;RecNum&gt;423&lt;/RecNum&gt;&lt;DisplayText&gt;Stats NZ (2021b)&lt;/DisplayText&gt;&lt;record&gt;&lt;rec-number&gt;423&lt;/rec-number&gt;&lt;foreign-keys&gt;&lt;key app="EN" db-id="aaepvppzs5wtfse95vsp2wahsrtvva2vvdet" timestamp="1716421454"&gt;423&lt;/key&gt;&lt;/foreign-keys&gt;&lt;ref-type name="Web Page"&gt;12&lt;/ref-type&gt;&lt;contributors&gt;&lt;authors&gt;&lt;author&gt;Stats NZ ,&lt;/author&gt;&lt;/authors&gt;&lt;/contributors&gt;&lt;titles&gt;&lt;title&gt;National and subnational period life tables: 2017–2019&lt;/title&gt;&lt;/titles&gt;&lt;number&gt;23 May 2024&lt;/number&gt;&lt;dates&gt;&lt;year&gt;2021&lt;/year&gt;&lt;/dates&gt;&lt;urls&gt;&lt;related-urls&gt;&lt;url&gt;stats.govt.nz/information-releases/national-and-subnational-period-life-tables-2017-2019&lt;/url&gt;&lt;/related-urls&gt;&lt;/urls&gt;&lt;/record&gt;&lt;/Cite&gt;&lt;/EndNote&gt;</w:instrText>
      </w:r>
      <w:r>
        <w:rPr>
          <w:lang w:eastAsia="en-NZ"/>
        </w:rPr>
        <w:fldChar w:fldCharType="separate"/>
      </w:r>
      <w:r>
        <w:rPr>
          <w:noProof/>
          <w:lang w:eastAsia="en-NZ"/>
        </w:rPr>
        <w:t>Stats NZ (2021b)</w:t>
      </w:r>
      <w:r>
        <w:rPr>
          <w:lang w:eastAsia="en-NZ"/>
        </w:rPr>
        <w:fldChar w:fldCharType="end"/>
      </w:r>
    </w:p>
    <w:p w14:paraId="36D87BF3" w14:textId="77777777" w:rsidR="00183828" w:rsidRDefault="00183828" w:rsidP="00183828">
      <w:pPr>
        <w:rPr>
          <w:lang w:eastAsia="en-NZ"/>
        </w:rPr>
      </w:pPr>
    </w:p>
    <w:p w14:paraId="3C9BC991" w14:textId="2EBD7FB1" w:rsidR="00183828" w:rsidRPr="00E47714" w:rsidRDefault="00183828" w:rsidP="00183828">
      <w:pPr>
        <w:rPr>
          <w:lang w:eastAsia="en-NZ"/>
        </w:rPr>
      </w:pPr>
      <w:r w:rsidRPr="00E47714">
        <w:rPr>
          <w:lang w:eastAsia="en-NZ"/>
        </w:rPr>
        <w:t xml:space="preserve">It is important to note that life expectancy estimates for regions with small death and population numbers have greater uncertainty. </w:t>
      </w:r>
      <w:r>
        <w:rPr>
          <w:lang w:eastAsia="en-NZ"/>
        </w:rPr>
        <w:t>In addition, c</w:t>
      </w:r>
      <w:r w:rsidRPr="00E47714">
        <w:rPr>
          <w:lang w:eastAsia="en-NZ"/>
        </w:rPr>
        <w:t>alculations are based on where someone lived at the time of death, which may not necessarily be where they spent most of their life.</w:t>
      </w:r>
    </w:p>
    <w:p w14:paraId="3F90917F" w14:textId="77777777" w:rsidR="00183828" w:rsidRPr="00E47714" w:rsidRDefault="00183828" w:rsidP="00183828">
      <w:pPr>
        <w:pStyle w:val="Heading3"/>
      </w:pPr>
      <w:r w:rsidRPr="00E47714">
        <w:t xml:space="preserve">Life </w:t>
      </w:r>
      <w:r>
        <w:t>e</w:t>
      </w:r>
      <w:r w:rsidRPr="00E47714">
        <w:t>xpectancy by ethnic group</w:t>
      </w:r>
      <w:r>
        <w:t xml:space="preserve"> and gender</w:t>
      </w:r>
    </w:p>
    <w:p w14:paraId="282A9C77" w14:textId="5292CEE9" w:rsidR="00183828" w:rsidRPr="00E47714" w:rsidRDefault="00183828" w:rsidP="00183828">
      <w:r w:rsidRPr="00E47714">
        <w:t>In Aotearoa New Zealand, life expectancy varies by ethnic group</w:t>
      </w:r>
      <w:r>
        <w:t>, as</w:t>
      </w:r>
      <w:r w:rsidRPr="00E47714">
        <w:t xml:space="preserve"> </w:t>
      </w:r>
      <w:r w:rsidRPr="00E47714">
        <w:fldChar w:fldCharType="begin"/>
      </w:r>
      <w:r w:rsidRPr="00E47714">
        <w:instrText xml:space="preserve"> REF _Ref166763476 \h  \* MERGEFORMAT </w:instrText>
      </w:r>
      <w:r w:rsidRPr="00E47714">
        <w:fldChar w:fldCharType="separate"/>
      </w:r>
      <w:r w:rsidR="009A6F87" w:rsidRPr="00E47714">
        <w:t xml:space="preserve">Figure </w:t>
      </w:r>
      <w:r w:rsidR="009A6F87">
        <w:t>10</w:t>
      </w:r>
      <w:r w:rsidRPr="00E47714">
        <w:fldChar w:fldCharType="end"/>
      </w:r>
      <w:r w:rsidRPr="00E47714">
        <w:t xml:space="preserve"> shows. </w:t>
      </w:r>
      <w:r>
        <w:t>From</w:t>
      </w:r>
      <w:r w:rsidRPr="00E47714">
        <w:t xml:space="preserve"> 2017</w:t>
      </w:r>
      <w:r>
        <w:t xml:space="preserve"> to 20</w:t>
      </w:r>
      <w:r w:rsidRPr="00E47714">
        <w:t>19, life expectancy at birth was 73.4 years for Māori males and 75.4 years</w:t>
      </w:r>
      <w:r w:rsidRPr="0096166D">
        <w:t xml:space="preserve"> </w:t>
      </w:r>
      <w:r w:rsidRPr="00E47714">
        <w:t xml:space="preserve">for Pacific males. </w:t>
      </w:r>
      <w:r>
        <w:t xml:space="preserve">In contrast, </w:t>
      </w:r>
      <w:r w:rsidRPr="00E47714">
        <w:t>for the total population life expectancy at birth was 80.0 years for males and 83.5 years for females. Of all ethnic groups in Aotearoa New Zealand, Asian</w:t>
      </w:r>
      <w:r>
        <w:t xml:space="preserve"> people had the highest life expectancy at birth: Asian</w:t>
      </w:r>
      <w:r w:rsidRPr="00E47714">
        <w:t xml:space="preserve"> females </w:t>
      </w:r>
      <w:r>
        <w:t xml:space="preserve">were </w:t>
      </w:r>
      <w:r w:rsidRPr="00E47714">
        <w:t>highest (87.9 years), followed by Asian males (85.1 years).</w:t>
      </w:r>
    </w:p>
    <w:p w14:paraId="05C14738" w14:textId="77777777" w:rsidR="00183828" w:rsidRPr="00E47714" w:rsidRDefault="00183828" w:rsidP="00183828">
      <w:pPr>
        <w:spacing w:before="90"/>
        <w:rPr>
          <w:rFonts w:cs="Segoe UI"/>
        </w:rPr>
      </w:pPr>
    </w:p>
    <w:p w14:paraId="62D5D57B" w14:textId="206F9968" w:rsidR="00183828" w:rsidRPr="00E47714" w:rsidRDefault="00183828" w:rsidP="00183828">
      <w:pPr>
        <w:pStyle w:val="Figure"/>
      </w:pPr>
      <w:bookmarkStart w:id="68" w:name="_Ref166763476"/>
      <w:bookmarkStart w:id="69" w:name="_Toc171330657"/>
      <w:bookmarkStart w:id="70" w:name="_Toc172104693"/>
      <w:r w:rsidRPr="00E47714">
        <w:lastRenderedPageBreak/>
        <w:t xml:space="preserve">Figure </w:t>
      </w:r>
      <w:fldSimple w:instr=" SEQ Figure \* ARABIC ">
        <w:r w:rsidR="009A6F87">
          <w:rPr>
            <w:noProof/>
          </w:rPr>
          <w:t>10</w:t>
        </w:r>
      </w:fldSimple>
      <w:bookmarkEnd w:id="68"/>
      <w:r w:rsidRPr="00E47714">
        <w:t>: Aotearoa New Zealand life expectancy at birth, by ethnic group (total response) and gender, 2017</w:t>
      </w:r>
      <w:r>
        <w:t>–</w:t>
      </w:r>
      <w:r w:rsidRPr="00E47714">
        <w:t>2019</w:t>
      </w:r>
      <w:bookmarkEnd w:id="69"/>
      <w:bookmarkEnd w:id="70"/>
    </w:p>
    <w:p w14:paraId="406BBAFB" w14:textId="77777777" w:rsidR="00183828" w:rsidRPr="00E47714" w:rsidRDefault="00183828" w:rsidP="00183828">
      <w:r w:rsidRPr="00E47714">
        <w:rPr>
          <w:noProof/>
        </w:rPr>
        <w:drawing>
          <wp:inline distT="0" distB="0" distL="0" distR="0" wp14:anchorId="30D43049" wp14:editId="6A74055E">
            <wp:extent cx="5096934" cy="1358414"/>
            <wp:effectExtent l="0" t="0" r="8890" b="0"/>
            <wp:docPr id="1823296335" name="Picture 1823296335" descr="A timeline showing the life expectancy of sex-ethnic group combinations. The general pattern shows females have longer life expectancies than males, and the Asian ethnic group has the highest life expectancy, followed by European/other, Pacific peoples, and then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35" name="Picture 1823296335" descr="A timeline showing the life expectancy of sex-ethnic group combinations. The general pattern shows females have longer life expectancies than males, and the Asian ethnic group has the highest life expectancy, followed by European/other, Pacific peoples, and then Māori."/>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124699" cy="1365814"/>
                    </a:xfrm>
                    <a:prstGeom prst="rect">
                      <a:avLst/>
                    </a:prstGeom>
                    <a:noFill/>
                    <a:ln>
                      <a:noFill/>
                    </a:ln>
                  </pic:spPr>
                </pic:pic>
              </a:graphicData>
            </a:graphic>
          </wp:inline>
        </w:drawing>
      </w:r>
    </w:p>
    <w:p w14:paraId="7FF10D37" w14:textId="77777777" w:rsidR="00183828" w:rsidRPr="00E47714" w:rsidRDefault="00183828" w:rsidP="00183828">
      <w:pPr>
        <w:pStyle w:val="Source"/>
      </w:pPr>
      <w:r w:rsidRPr="00E47714">
        <w:rPr>
          <w:b/>
          <w:bCs/>
        </w:rPr>
        <w:t xml:space="preserve">Source: </w:t>
      </w:r>
      <w:r>
        <w:fldChar w:fldCharType="begin"/>
      </w:r>
      <w:r>
        <w:instrText xml:space="preserve"> ADDIN EN.CITE &lt;EndNote&gt;&lt;Cite AuthorYear="1"&gt;&lt;Author&gt;Stats NZ &lt;/Author&gt;&lt;Year&gt;2021&lt;/Year&gt;&lt;RecNum&gt;423&lt;/RecNum&gt;&lt;DisplayText&gt;Stats NZ (2021b)&lt;/DisplayText&gt;&lt;record&gt;&lt;rec-number&gt;423&lt;/rec-number&gt;&lt;foreign-keys&gt;&lt;key app="EN" db-id="aaepvppzs5wtfse95vsp2wahsrtvva2vvdet" timestamp="1716421454"&gt;423&lt;/key&gt;&lt;/foreign-keys&gt;&lt;ref-type name="Web Page"&gt;12&lt;/ref-type&gt;&lt;contributors&gt;&lt;authors&gt;&lt;author&gt;Stats NZ ,&lt;/author&gt;&lt;/authors&gt;&lt;/contributors&gt;&lt;titles&gt;&lt;title&gt;National and subnational period life tables: 2017–2019&lt;/title&gt;&lt;/titles&gt;&lt;number&gt;23 May 2024&lt;/number&gt;&lt;dates&gt;&lt;year&gt;2021&lt;/year&gt;&lt;/dates&gt;&lt;urls&gt;&lt;related-urls&gt;&lt;url&gt;stats.govt.nz/information-releases/national-and-subnational-period-life-tables-2017-2019&lt;/url&gt;&lt;/related-urls&gt;&lt;/urls&gt;&lt;/record&gt;&lt;/Cite&gt;&lt;/EndNote&gt;</w:instrText>
      </w:r>
      <w:r>
        <w:fldChar w:fldCharType="separate"/>
      </w:r>
      <w:r>
        <w:rPr>
          <w:noProof/>
        </w:rPr>
        <w:t>Stats NZ (2021b)</w:t>
      </w:r>
      <w:r>
        <w:fldChar w:fldCharType="end"/>
      </w:r>
    </w:p>
    <w:p w14:paraId="5D94F59C" w14:textId="77777777" w:rsidR="00183828" w:rsidRPr="00E47714" w:rsidRDefault="00183828" w:rsidP="00183828">
      <w:pPr>
        <w:pStyle w:val="Heading3"/>
      </w:pPr>
      <w:r w:rsidRPr="00E47714">
        <w:t xml:space="preserve">Life </w:t>
      </w:r>
      <w:r>
        <w:t>e</w:t>
      </w:r>
      <w:r w:rsidRPr="00E47714">
        <w:t>xpectancy by deprivation</w:t>
      </w:r>
      <w:r>
        <w:t xml:space="preserve"> and gender</w:t>
      </w:r>
    </w:p>
    <w:p w14:paraId="369F3A9D" w14:textId="7D91BB8B" w:rsidR="00183828" w:rsidRPr="00E47714" w:rsidRDefault="00183828" w:rsidP="00183828">
      <w:pPr>
        <w:rPr>
          <w:rFonts w:cs="Segoe UI"/>
        </w:rPr>
      </w:pPr>
      <w:r w:rsidRPr="00E47714">
        <w:t>In Aotearoa New Zealand, life expectancy at birth also varies by deprivation. In 2017</w:t>
      </w:r>
      <w:r>
        <w:t>–20</w:t>
      </w:r>
      <w:r w:rsidRPr="00E47714">
        <w:t xml:space="preserve">19, males </w:t>
      </w:r>
      <w:r>
        <w:t>living</w:t>
      </w:r>
      <w:r w:rsidRPr="00E47714">
        <w:t xml:space="preserve"> in the most deprived areas (decile 10) had a life expectancy at birth of 74.1 years</w:t>
      </w:r>
      <w:r>
        <w:t>. That is</w:t>
      </w:r>
      <w:r w:rsidRPr="00E47714">
        <w:t xml:space="preserve"> almost 10 years less than males in the least deprived areas (decile 1)</w:t>
      </w:r>
      <w:r>
        <w:t>,</w:t>
      </w:r>
      <w:r w:rsidRPr="00E47714">
        <w:t xml:space="preserve"> who have a life expectancy of 84.7 years. Similarly, females in the most deprived neighbourhoods have a life expectancy at birth of 78.5 years, </w:t>
      </w:r>
      <w:r>
        <w:t xml:space="preserve">which is </w:t>
      </w:r>
      <w:r w:rsidRPr="00E47714">
        <w:t xml:space="preserve">around </w:t>
      </w:r>
      <w:r>
        <w:t>nine</w:t>
      </w:r>
      <w:r w:rsidRPr="00E47714">
        <w:t xml:space="preserve"> years less than females living in the least deprived neighbourhoods. </w:t>
      </w:r>
      <w:r w:rsidRPr="00E47714">
        <w:fldChar w:fldCharType="begin"/>
      </w:r>
      <w:r w:rsidRPr="00E47714">
        <w:instrText xml:space="preserve"> REF _Ref168405808 \h  \* MERGEFORMAT </w:instrText>
      </w:r>
      <w:r w:rsidRPr="00E47714">
        <w:fldChar w:fldCharType="separate"/>
      </w:r>
      <w:r w:rsidR="009A6F87" w:rsidRPr="00E47714">
        <w:t xml:space="preserve">Figure </w:t>
      </w:r>
      <w:r w:rsidR="009A6F87">
        <w:t>11</w:t>
      </w:r>
      <w:r w:rsidRPr="00E47714">
        <w:fldChar w:fldCharType="end"/>
      </w:r>
      <w:r w:rsidRPr="00E47714">
        <w:t xml:space="preserve"> shows life expectancy at birth by deprivation and gender.</w:t>
      </w:r>
    </w:p>
    <w:p w14:paraId="159863D1" w14:textId="66D92FA9" w:rsidR="00183828" w:rsidRPr="00E47714" w:rsidRDefault="00183828" w:rsidP="00183828">
      <w:pPr>
        <w:pStyle w:val="Figure"/>
      </w:pPr>
      <w:bookmarkStart w:id="71" w:name="_Ref168405808"/>
      <w:bookmarkStart w:id="72" w:name="_Toc171330658"/>
      <w:bookmarkStart w:id="73" w:name="_Toc172104694"/>
      <w:r w:rsidRPr="00E47714">
        <w:t xml:space="preserve">Figure </w:t>
      </w:r>
      <w:fldSimple w:instr=" SEQ Figure \* ARABIC ">
        <w:r w:rsidR="009A6F87">
          <w:rPr>
            <w:noProof/>
          </w:rPr>
          <w:t>11</w:t>
        </w:r>
      </w:fldSimple>
      <w:bookmarkEnd w:id="71"/>
      <w:r w:rsidRPr="00E47714">
        <w:t xml:space="preserve">: </w:t>
      </w:r>
      <w:r w:rsidRPr="00E47714">
        <w:rPr>
          <w:rFonts w:cs="Segoe UI"/>
        </w:rPr>
        <w:t xml:space="preserve">Aotearoa </w:t>
      </w:r>
      <w:r w:rsidRPr="00E47714">
        <w:t>New Zealand life expectancy at birth, by deprivation decile and gender, 2017</w:t>
      </w:r>
      <w:r>
        <w:t>–</w:t>
      </w:r>
      <w:r w:rsidRPr="00E47714">
        <w:t>2019</w:t>
      </w:r>
      <w:bookmarkEnd w:id="72"/>
      <w:bookmarkEnd w:id="73"/>
    </w:p>
    <w:p w14:paraId="123A070B" w14:textId="77777777" w:rsidR="00183828" w:rsidRPr="00E47714" w:rsidRDefault="00183828" w:rsidP="005B127B">
      <w:pPr>
        <w:pStyle w:val="NormalWeb"/>
        <w:spacing w:before="0" w:beforeAutospacing="0" w:after="0" w:afterAutospacing="0"/>
      </w:pPr>
      <w:r w:rsidRPr="00E47714">
        <w:rPr>
          <w:noProof/>
        </w:rPr>
        <w:drawing>
          <wp:inline distT="0" distB="0" distL="0" distR="0" wp14:anchorId="461B6BBE" wp14:editId="133994F3">
            <wp:extent cx="5096510" cy="2716605"/>
            <wp:effectExtent l="0" t="0" r="8890" b="7620"/>
            <wp:docPr id="1823296325" name="Picture 1823296325" descr="A series of two timelines showing life expectancy by sex (male-female) and deprivation (NZDep2018). The timelines show that overall, less deprived populations have longer life expectancies compared to more deprived populations. In addition, the female population has a longer life expectancy compared the male population with the same level of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5" name="Picture 1823296325" descr="A series of two timelines showing life expectancy by sex (male-female) and deprivation (NZDep2018). The timelines show that overall, less deprived populations have longer life expectancies compared to more deprived populations. In addition, the female population has a longer life expectancy compared the male population with the same level of deprivati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10018" cy="2723805"/>
                    </a:xfrm>
                    <a:prstGeom prst="rect">
                      <a:avLst/>
                    </a:prstGeom>
                  </pic:spPr>
                </pic:pic>
              </a:graphicData>
            </a:graphic>
          </wp:inline>
        </w:drawing>
      </w:r>
    </w:p>
    <w:p w14:paraId="572CFAB9" w14:textId="77777777" w:rsidR="00183828" w:rsidRPr="00E47714" w:rsidRDefault="00183828" w:rsidP="00183828">
      <w:pPr>
        <w:pStyle w:val="Source"/>
      </w:pPr>
      <w:r w:rsidRPr="00E47714">
        <w:rPr>
          <w:b/>
          <w:bCs/>
        </w:rPr>
        <w:t xml:space="preserve">Source: </w:t>
      </w:r>
      <w:r>
        <w:fldChar w:fldCharType="begin"/>
      </w:r>
      <w:r>
        <w:instrText xml:space="preserve"> ADDIN EN.CITE &lt;EndNote&gt;&lt;Cite AuthorYear="1"&gt;&lt;Author&gt;Stats NZ &lt;/Author&gt;&lt;Year&gt;2021&lt;/Year&gt;&lt;RecNum&gt;423&lt;/RecNum&gt;&lt;DisplayText&gt;Stats NZ (2021b)&lt;/DisplayText&gt;&lt;record&gt;&lt;rec-number&gt;423&lt;/rec-number&gt;&lt;foreign-keys&gt;&lt;key app="EN" db-id="aaepvppzs5wtfse95vsp2wahsrtvva2vvdet" timestamp="1716421454"&gt;423&lt;/key&gt;&lt;/foreign-keys&gt;&lt;ref-type name="Web Page"&gt;12&lt;/ref-type&gt;&lt;contributors&gt;&lt;authors&gt;&lt;author&gt;Stats NZ ,&lt;/author&gt;&lt;/authors&gt;&lt;/contributors&gt;&lt;titles&gt;&lt;title&gt;National and subnational period life tables: 2017–2019&lt;/title&gt;&lt;/titles&gt;&lt;number&gt;23 May 2024&lt;/number&gt;&lt;dates&gt;&lt;year&gt;2021&lt;/year&gt;&lt;/dates&gt;&lt;urls&gt;&lt;related-urls&gt;&lt;url&gt;stats.govt.nz/information-releases/national-and-subnational-period-life-tables-2017-2019&lt;/url&gt;&lt;/related-urls&gt;&lt;/urls&gt;&lt;/record&gt;&lt;/Cite&gt;&lt;/EndNote&gt;</w:instrText>
      </w:r>
      <w:r>
        <w:fldChar w:fldCharType="separate"/>
      </w:r>
      <w:r>
        <w:rPr>
          <w:noProof/>
        </w:rPr>
        <w:t>Stats NZ (2021b)</w:t>
      </w:r>
      <w:r>
        <w:fldChar w:fldCharType="end"/>
      </w:r>
    </w:p>
    <w:p w14:paraId="739B8137" w14:textId="77777777" w:rsidR="00183828" w:rsidRPr="00C87FEA" w:rsidRDefault="00183828" w:rsidP="00183828">
      <w:r w:rsidRPr="00E47714">
        <w:br w:type="page"/>
      </w:r>
    </w:p>
    <w:p w14:paraId="2FB91E68" w14:textId="77777777" w:rsidR="00183828" w:rsidRPr="00E47714" w:rsidRDefault="00183828" w:rsidP="00183828">
      <w:pPr>
        <w:pStyle w:val="Heading2"/>
      </w:pPr>
      <w:bookmarkStart w:id="74" w:name="_Toc171603263"/>
      <w:bookmarkStart w:id="75" w:name="_Toc171944523"/>
      <w:bookmarkStart w:id="76" w:name="_Toc172104663"/>
      <w:r w:rsidRPr="00E47714">
        <w:lastRenderedPageBreak/>
        <w:t>Mortality</w:t>
      </w:r>
      <w:bookmarkEnd w:id="74"/>
      <w:bookmarkEnd w:id="75"/>
      <w:bookmarkEnd w:id="76"/>
    </w:p>
    <w:p w14:paraId="6BD04655" w14:textId="2313EF64" w:rsidR="00183828" w:rsidRDefault="00183828" w:rsidP="00183828">
      <w:r w:rsidRPr="00E47714">
        <w:t xml:space="preserve">Trends in mortality (deaths) are a </w:t>
      </w:r>
      <w:r>
        <w:t>major cause</w:t>
      </w:r>
      <w:r w:rsidRPr="00E47714">
        <w:t xml:space="preserve"> of changes in life expectancy.</w:t>
      </w:r>
      <w:r>
        <w:t xml:space="preserve"> The</w:t>
      </w:r>
      <w:r w:rsidRPr="00E47714">
        <w:t xml:space="preserve"> mortality web tool</w:t>
      </w:r>
      <w:r>
        <w:t xml:space="preserve"> of Health New Zealand – </w:t>
      </w:r>
      <w:proofErr w:type="spellStart"/>
      <w:r w:rsidRPr="00E47714">
        <w:t>Te</w:t>
      </w:r>
      <w:proofErr w:type="spellEnd"/>
      <w:r w:rsidRPr="00E47714">
        <w:t xml:space="preserve"> </w:t>
      </w:r>
      <w:proofErr w:type="spellStart"/>
      <w:r w:rsidRPr="00E47714">
        <w:t>Whatu</w:t>
      </w:r>
      <w:proofErr w:type="spellEnd"/>
      <w:r w:rsidRPr="00E47714">
        <w:t xml:space="preserve"> Ora </w:t>
      </w:r>
      <w:r>
        <w:fldChar w:fldCharType="begin"/>
      </w:r>
      <w:r>
        <w:instrText xml:space="preserve"> ADDIN EN.CITE &lt;EndNote&gt;&lt;Cite&gt;&lt;Author&gt;Health NZ &lt;/Author&gt;&lt;Year&gt;2023&lt;/Year&gt;&lt;RecNum&gt;424&lt;/RecNum&gt;&lt;DisplayText&gt;(Health NZ 2023c)&lt;/DisplayText&gt;&lt;record&gt;&lt;rec-number&gt;424&lt;/rec-number&gt;&lt;foreign-keys&gt;&lt;key app="EN" db-id="aaepvppzs5wtfse95vsp2wahsrtvva2vvdet" timestamp="1716421709"&gt;424&lt;/key&gt;&lt;/foreign-keys&gt;&lt;ref-type name="Web Page"&gt;12&lt;/ref-type&gt;&lt;contributors&gt;&lt;authors&gt;&lt;author&gt;Health NZ ,&lt;/author&gt;&lt;/authors&gt;&lt;/contributors&gt;&lt;titles&gt;&lt;title&gt;Mortality web tool&lt;/title&gt;&lt;/titles&gt;&lt;number&gt;23 May 2024&lt;/number&gt;&lt;dates&gt;&lt;year&gt;2023&lt;/year&gt;&lt;/dates&gt;&lt;urls&gt;&lt;related-urls&gt;&lt;url&gt;tewhatuora.shinyapps.io/mortality-web-tool&lt;/url&gt;&lt;/related-urls&gt;&lt;/urls&gt;&lt;/record&gt;&lt;/Cite&gt;&lt;/EndNote&gt;</w:instrText>
      </w:r>
      <w:r>
        <w:fldChar w:fldCharType="separate"/>
      </w:r>
      <w:r>
        <w:rPr>
          <w:noProof/>
        </w:rPr>
        <w:t>(Health NZ 2023c)</w:t>
      </w:r>
      <w:r>
        <w:fldChar w:fldCharType="end"/>
      </w:r>
      <w:r w:rsidRPr="00E47714">
        <w:t xml:space="preserve"> presents mortality data for selected causes of death registered in Aotearoa New Zealand. Data for 2020 and 2021 is preliminary, </w:t>
      </w:r>
      <w:r>
        <w:t xml:space="preserve">because Health New Zealand </w:t>
      </w:r>
      <w:r w:rsidRPr="00E47714">
        <w:t xml:space="preserve">is yet to receive cause of death information for some deaths the coroner </w:t>
      </w:r>
      <w:r>
        <w:t>is</w:t>
      </w:r>
      <w:r w:rsidRPr="00E47714">
        <w:t xml:space="preserve"> investigat</w:t>
      </w:r>
      <w:r>
        <w:t>ing</w:t>
      </w:r>
      <w:r w:rsidRPr="00E47714">
        <w:t xml:space="preserve">. </w:t>
      </w:r>
    </w:p>
    <w:p w14:paraId="4ED3A33F" w14:textId="77777777" w:rsidR="00183828" w:rsidRPr="00E47714" w:rsidRDefault="00183828" w:rsidP="00183828"/>
    <w:p w14:paraId="302720D1" w14:textId="77777777" w:rsidR="00183828" w:rsidRPr="00E47714" w:rsidRDefault="00183828" w:rsidP="00183828">
      <w:r w:rsidRPr="00E47714">
        <w:t>In 2021, 34,997 deaths</w:t>
      </w:r>
      <w:r w:rsidRPr="008A719B">
        <w:t xml:space="preserve"> </w:t>
      </w:r>
      <w:r w:rsidRPr="00E47714">
        <w:t>were registered in Aotearoa New Zealand. The age-standardised rate was 355.8 deaths per 100,000 population. Rates are per 100,000 population, age standardised to the WHO World Standard Population.</w:t>
      </w:r>
      <w:r w:rsidRPr="00E47714">
        <w:rPr>
          <w:rStyle w:val="FootnoteReference"/>
          <w:rFonts w:cs="Segoe UI"/>
        </w:rPr>
        <w:footnoteReference w:id="8"/>
      </w:r>
      <w:r w:rsidRPr="00E47714">
        <w:t xml:space="preserve"> </w:t>
      </w:r>
    </w:p>
    <w:p w14:paraId="6822C82B" w14:textId="77777777" w:rsidR="00183828" w:rsidRPr="00E47714" w:rsidRDefault="00183828" w:rsidP="00183828">
      <w:pPr>
        <w:pStyle w:val="Heading3"/>
      </w:pPr>
      <w:r w:rsidRPr="00E47714">
        <w:t>Leading causes of death</w:t>
      </w:r>
    </w:p>
    <w:p w14:paraId="1965F616" w14:textId="77777777" w:rsidR="00183828" w:rsidRPr="00E47714" w:rsidRDefault="00183828" w:rsidP="00183828">
      <w:pPr>
        <w:pStyle w:val="Bullet"/>
      </w:pPr>
      <w:r w:rsidRPr="00E47714">
        <w:t>For the total population, the leading causes of death in 2021 were cancers</w:t>
      </w:r>
      <w:r>
        <w:t xml:space="preserve"> (110.8 deaths per 100,000 population)</w:t>
      </w:r>
      <w:r w:rsidRPr="00E47714">
        <w:t>, ischaemic heart diseases</w:t>
      </w:r>
      <w:r>
        <w:t xml:space="preserve"> (</w:t>
      </w:r>
      <w:r w:rsidRPr="00E47714">
        <w:t>42.9</w:t>
      </w:r>
      <w:r>
        <w:t xml:space="preserve"> deaths)</w:t>
      </w:r>
      <w:r w:rsidRPr="00E47714">
        <w:t xml:space="preserve"> and cerebrovascular diseases (19.2 deaths).</w:t>
      </w:r>
    </w:p>
    <w:p w14:paraId="779E6302" w14:textId="77777777" w:rsidR="00183828" w:rsidRPr="00E47714" w:rsidRDefault="00183828" w:rsidP="00183828">
      <w:pPr>
        <w:pStyle w:val="Bullet"/>
      </w:pPr>
      <w:r w:rsidRPr="00E47714">
        <w:t>For Māori, the leading causes of death in 2021 were cancers</w:t>
      </w:r>
      <w:r>
        <w:t xml:space="preserve"> (</w:t>
      </w:r>
      <w:r w:rsidRPr="00E47714">
        <w:t>166.2 deaths per 100,000 Māori population</w:t>
      </w:r>
      <w:r>
        <w:t>)</w:t>
      </w:r>
      <w:r w:rsidRPr="00E47714">
        <w:t>, ischaemic heart diseases</w:t>
      </w:r>
      <w:r>
        <w:t xml:space="preserve"> (</w:t>
      </w:r>
      <w:r w:rsidRPr="00E47714">
        <w:t>72.0</w:t>
      </w:r>
      <w:r w:rsidRPr="00F66BB3">
        <w:t xml:space="preserve"> </w:t>
      </w:r>
      <w:r w:rsidRPr="00E47714">
        <w:t>deaths</w:t>
      </w:r>
      <w:r>
        <w:t>)</w:t>
      </w:r>
      <w:r w:rsidRPr="00E47714">
        <w:t xml:space="preserve"> and chronic lower respiratory diseases (35.5 deaths).</w:t>
      </w:r>
    </w:p>
    <w:p w14:paraId="12494CB3" w14:textId="77777777" w:rsidR="00183828" w:rsidRPr="00E47714" w:rsidRDefault="00183828" w:rsidP="00183828">
      <w:pPr>
        <w:pStyle w:val="Heading3"/>
      </w:pPr>
      <w:r w:rsidRPr="00E47714">
        <w:t>Mortality trends over time</w:t>
      </w:r>
    </w:p>
    <w:p w14:paraId="21102401" w14:textId="77777777" w:rsidR="00183828" w:rsidRPr="00E47714" w:rsidRDefault="00183828" w:rsidP="00183828">
      <w:pPr>
        <w:pStyle w:val="Bullet"/>
      </w:pPr>
      <w:r w:rsidRPr="00E47714">
        <w:t>While the total number of deaths has increased with the growing and ageing population, the age-standardised mortality rate has decreased over time, from 982.0 deaths per 100,000 population in 1948 to 355.8 deaths per 100,000 in 2021.</w:t>
      </w:r>
    </w:p>
    <w:p w14:paraId="0341FDF4" w14:textId="77777777" w:rsidR="00183828" w:rsidRPr="00E47714" w:rsidRDefault="00183828" w:rsidP="00183828">
      <w:pPr>
        <w:pStyle w:val="Bullet"/>
      </w:pPr>
      <w:r w:rsidRPr="00E47714">
        <w:t>Males have a higher mortality rate than females, although the gap between the two rates is decreasing.</w:t>
      </w:r>
    </w:p>
    <w:p w14:paraId="15B826FA" w14:textId="77777777" w:rsidR="00183828" w:rsidRPr="00E47714" w:rsidRDefault="00183828" w:rsidP="00183828">
      <w:pPr>
        <w:pStyle w:val="Heading3"/>
      </w:pPr>
      <w:r w:rsidRPr="00E47714">
        <w:t>Mortality rates for Māori and non-Māori</w:t>
      </w:r>
    </w:p>
    <w:p w14:paraId="54BBF42D" w14:textId="566E4E68" w:rsidR="00183828" w:rsidRDefault="00183828" w:rsidP="00183828">
      <w:r w:rsidRPr="00E47714">
        <w:t xml:space="preserve">Mortality rates for Māori have been generally higher than </w:t>
      </w:r>
      <w:r>
        <w:t xml:space="preserve">rates </w:t>
      </w:r>
      <w:r w:rsidRPr="00E47714">
        <w:t xml:space="preserve">for non-Māori. </w:t>
      </w:r>
      <w:r>
        <w:t>Both</w:t>
      </w:r>
      <w:r w:rsidRPr="00E47714">
        <w:t xml:space="preserve"> Māori males and Māori females </w:t>
      </w:r>
      <w:r>
        <w:t>have had</w:t>
      </w:r>
      <w:r w:rsidRPr="00E47714">
        <w:t xml:space="preserve"> higher mortality rates than non-Māori </w:t>
      </w:r>
      <w:r>
        <w:t>males and females</w:t>
      </w:r>
      <w:r w:rsidRPr="00E47714">
        <w:t>.</w:t>
      </w:r>
    </w:p>
    <w:p w14:paraId="60C2DE1F" w14:textId="77777777" w:rsidR="00183828" w:rsidRPr="00E47714" w:rsidRDefault="00183828" w:rsidP="00183828"/>
    <w:p w14:paraId="49934B66" w14:textId="3AAF8B24" w:rsidR="00183828" w:rsidRPr="00E47714" w:rsidRDefault="00183828" w:rsidP="00183828">
      <w:r w:rsidRPr="00E47714">
        <w:fldChar w:fldCharType="begin"/>
      </w:r>
      <w:r w:rsidRPr="00E47714">
        <w:instrText xml:space="preserve"> REF _Ref167102034 \h  \* MERGEFORMAT </w:instrText>
      </w:r>
      <w:r w:rsidRPr="00E47714">
        <w:fldChar w:fldCharType="separate"/>
      </w:r>
      <w:r w:rsidR="009A6F87" w:rsidRPr="00E47714">
        <w:t xml:space="preserve">Figure </w:t>
      </w:r>
      <w:r w:rsidR="009A6F87">
        <w:t>12</w:t>
      </w:r>
      <w:r w:rsidRPr="00E47714">
        <w:fldChar w:fldCharType="end"/>
      </w:r>
      <w:r w:rsidRPr="00E47714">
        <w:t xml:space="preserve"> compar</w:t>
      </w:r>
      <w:r>
        <w:t>es</w:t>
      </w:r>
      <w:r w:rsidRPr="00E47714">
        <w:t xml:space="preserve"> the leading causes of mortality for Māori and non-Māori </w:t>
      </w:r>
      <w:r>
        <w:t>from</w:t>
      </w:r>
      <w:r w:rsidRPr="00E47714">
        <w:t xml:space="preserve"> 1996 </w:t>
      </w:r>
      <w:r>
        <w:t xml:space="preserve">to </w:t>
      </w:r>
      <w:r w:rsidRPr="00E47714">
        <w:t>2021. It shows the rates of death per 100,000 population have decreased for Māori and non-Māori across the entire period for most of the leading causes of mortality</w:t>
      </w:r>
      <w:r>
        <w:t>.</w:t>
      </w:r>
      <w:r w:rsidRPr="00E47714">
        <w:t xml:space="preserve"> </w:t>
      </w:r>
      <w:r>
        <w:t>H</w:t>
      </w:r>
      <w:r w:rsidRPr="00E47714">
        <w:t>owever</w:t>
      </w:r>
      <w:r>
        <w:t>, it also shows</w:t>
      </w:r>
      <w:r w:rsidRPr="00E47714">
        <w:t xml:space="preserve"> </w:t>
      </w:r>
      <w:r>
        <w:t xml:space="preserve">that </w:t>
      </w:r>
      <w:r w:rsidRPr="00E47714">
        <w:t>inequity in mortality rates persist</w:t>
      </w:r>
      <w:r>
        <w:t>s</w:t>
      </w:r>
      <w:r w:rsidRPr="00E47714">
        <w:t>.</w:t>
      </w:r>
    </w:p>
    <w:p w14:paraId="32C054DB" w14:textId="0C13B406" w:rsidR="00183828" w:rsidRPr="00E47714" w:rsidRDefault="00183828" w:rsidP="00183828">
      <w:pPr>
        <w:pStyle w:val="Figure"/>
      </w:pPr>
      <w:bookmarkStart w:id="77" w:name="_Ref167102034"/>
      <w:bookmarkStart w:id="78" w:name="_Toc171330659"/>
      <w:bookmarkStart w:id="79" w:name="_Toc172104695"/>
      <w:r w:rsidRPr="00E47714">
        <w:lastRenderedPageBreak/>
        <w:t xml:space="preserve">Figure </w:t>
      </w:r>
      <w:fldSimple w:instr=" SEQ Figure \* ARABIC ">
        <w:r w:rsidR="009A6F87">
          <w:rPr>
            <w:noProof/>
          </w:rPr>
          <w:t>12</w:t>
        </w:r>
      </w:fldSimple>
      <w:bookmarkEnd w:id="77"/>
      <w:r w:rsidRPr="00E47714">
        <w:t>: Mortality rate by main causes, Māori and non-Māori, 1996</w:t>
      </w:r>
      <w:r>
        <w:t>–</w:t>
      </w:r>
      <w:r w:rsidRPr="00E47714">
        <w:t>2021</w:t>
      </w:r>
      <w:bookmarkEnd w:id="78"/>
      <w:bookmarkEnd w:id="79"/>
    </w:p>
    <w:p w14:paraId="1784365E" w14:textId="77777777" w:rsidR="00183828" w:rsidRPr="00E47714" w:rsidRDefault="00183828" w:rsidP="005B127B">
      <w:pPr>
        <w:pStyle w:val="NormalWeb"/>
        <w:spacing w:before="0" w:beforeAutospacing="0" w:after="0" w:afterAutospacing="0"/>
      </w:pPr>
      <w:r>
        <w:rPr>
          <w:noProof/>
        </w:rPr>
        <w:drawing>
          <wp:inline distT="0" distB="0" distL="0" distR="0" wp14:anchorId="3C74FF58" wp14:editId="3E5B7549">
            <wp:extent cx="5153025" cy="5153025"/>
            <wp:effectExtent l="0" t="0" r="9525" b="9525"/>
            <wp:docPr id="8" name="Picture 8" descr="A series of nine time-series line charts showing age-standardised rates of death per 100,000  between 1996-2021 for Māori and non-Māori. The nine causes of death include All cancer, ischemic heart disease, cerebrovascular disease, chronic lower respiratory diseases, other forms of heart disease, diabetes mellitus, intentional self-harm, motor vehicle accidents, and influenza and pneumonia. Māori have higher mortality for all causes, apart from influenza and pneumonia. For all cancer, ischemic heart disease, cerebrovascular disease, and chronic lower respiratory diseases, and motor vehicle accidents rates of mortality among both Māori and non-Māori have decreased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eries of nine time-series line charts showing age-standardised rates of death per 100,000  between 1996-2021 for Māori and non-Māori. The nine causes of death include All cancer, ischemic heart disease, cerebrovascular disease, chronic lower respiratory diseases, other forms of heart disease, diabetes mellitus, intentional self-harm, motor vehicle accidents, and influenza and pneumonia. Māori have higher mortality for all causes, apart from influenza and pneumonia. For all cancer, ischemic heart disease, cerebrovascular disease, and chronic lower respiratory diseases, and motor vehicle accidents rates of mortality among both Māori and non-Māori have decreased over tim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5153025"/>
                    </a:xfrm>
                    <a:prstGeom prst="rect">
                      <a:avLst/>
                    </a:prstGeom>
                    <a:noFill/>
                    <a:ln>
                      <a:noFill/>
                    </a:ln>
                  </pic:spPr>
                </pic:pic>
              </a:graphicData>
            </a:graphic>
          </wp:inline>
        </w:drawing>
      </w:r>
    </w:p>
    <w:p w14:paraId="462681B3" w14:textId="77777777" w:rsidR="00183828" w:rsidRPr="00E47714" w:rsidRDefault="00183828" w:rsidP="00183828">
      <w:pPr>
        <w:pStyle w:val="Source"/>
      </w:pPr>
      <w:r w:rsidRPr="00E47714">
        <w:rPr>
          <w:b/>
        </w:rPr>
        <w:t xml:space="preserve">Source: </w:t>
      </w:r>
      <w:r>
        <w:fldChar w:fldCharType="begin"/>
      </w:r>
      <w:r>
        <w:instrText xml:space="preserve"> ADDIN EN.CITE &lt;EndNote&gt;&lt;Cite AuthorYear="1"&gt;&lt;Author&gt;Health NZ &lt;/Author&gt;&lt;Year&gt;2023&lt;/Year&gt;&lt;RecNum&gt;424&lt;/RecNum&gt;&lt;DisplayText&gt;Health NZ (2023c)&lt;/DisplayText&gt;&lt;record&gt;&lt;rec-number&gt;424&lt;/rec-number&gt;&lt;foreign-keys&gt;&lt;key app="EN" db-id="aaepvppzs5wtfse95vsp2wahsrtvva2vvdet" timestamp="1716421709"&gt;424&lt;/key&gt;&lt;/foreign-keys&gt;&lt;ref-type name="Web Page"&gt;12&lt;/ref-type&gt;&lt;contributors&gt;&lt;authors&gt;&lt;author&gt;Health NZ ,&lt;/author&gt;&lt;/authors&gt;&lt;/contributors&gt;&lt;titles&gt;&lt;title&gt;Mortality web tool&lt;/title&gt;&lt;/titles&gt;&lt;number&gt;23 May 2024&lt;/number&gt;&lt;dates&gt;&lt;year&gt;2023&lt;/year&gt;&lt;/dates&gt;&lt;urls&gt;&lt;related-urls&gt;&lt;url&gt;tewhatuora.shinyapps.io/mortality-web-tool&lt;/url&gt;&lt;/related-urls&gt;&lt;/urls&gt;&lt;/record&gt;&lt;/Cite&gt;&lt;/EndNote&gt;</w:instrText>
      </w:r>
      <w:r>
        <w:fldChar w:fldCharType="separate"/>
      </w:r>
      <w:r>
        <w:rPr>
          <w:noProof/>
        </w:rPr>
        <w:t>Health NZ (2023c)</w:t>
      </w:r>
      <w:r>
        <w:fldChar w:fldCharType="end"/>
      </w:r>
    </w:p>
    <w:p w14:paraId="4E4A89CA" w14:textId="77777777" w:rsidR="00183828" w:rsidRPr="00E47714" w:rsidRDefault="00183828" w:rsidP="00183828">
      <w:pPr>
        <w:pStyle w:val="Heading3"/>
      </w:pPr>
      <w:proofErr w:type="spellStart"/>
      <w:r w:rsidRPr="00E47714">
        <w:t>Fetal</w:t>
      </w:r>
      <w:proofErr w:type="spellEnd"/>
      <w:r w:rsidRPr="00E47714">
        <w:t xml:space="preserve"> and </w:t>
      </w:r>
      <w:r>
        <w:t>i</w:t>
      </w:r>
      <w:r w:rsidRPr="00E47714">
        <w:t>nfant mortality</w:t>
      </w:r>
    </w:p>
    <w:p w14:paraId="1C94FB74" w14:textId="55AF595F" w:rsidR="00183828" w:rsidRDefault="00183828" w:rsidP="00183828">
      <w:pPr>
        <w:rPr>
          <w:sz w:val="18"/>
          <w:szCs w:val="18"/>
        </w:rPr>
      </w:pPr>
      <w:r w:rsidRPr="00E47714">
        <w:t xml:space="preserve">The infant mortality rate is the number of infant deaths for every 1,000 live births. An infant death is defined as the death of an infant before their first birthday, and a </w:t>
      </w:r>
      <w:proofErr w:type="spellStart"/>
      <w:r w:rsidRPr="00E47714">
        <w:t>fetal</w:t>
      </w:r>
      <w:proofErr w:type="spellEnd"/>
      <w:r w:rsidRPr="00E47714">
        <w:t xml:space="preserve"> death is defined as the death of a </w:t>
      </w:r>
      <w:proofErr w:type="spellStart"/>
      <w:r w:rsidRPr="00E47714">
        <w:t>fetus</w:t>
      </w:r>
      <w:proofErr w:type="spellEnd"/>
      <w:r w:rsidRPr="00E47714">
        <w:t xml:space="preserve"> at 20 weeks’ gestation or later or, if gestation is unknown, a </w:t>
      </w:r>
      <w:proofErr w:type="spellStart"/>
      <w:r w:rsidRPr="00E47714">
        <w:t>fetus</w:t>
      </w:r>
      <w:proofErr w:type="spellEnd"/>
      <w:r w:rsidRPr="00E47714">
        <w:t xml:space="preserve"> weighing at least 400 grams</w:t>
      </w:r>
      <w:r w:rsidRPr="00E47714">
        <w:rPr>
          <w:sz w:val="18"/>
          <w:szCs w:val="18"/>
        </w:rPr>
        <w:t xml:space="preserve">. </w:t>
      </w:r>
    </w:p>
    <w:p w14:paraId="430461E9" w14:textId="77777777" w:rsidR="00183828" w:rsidRPr="00E47714" w:rsidRDefault="00183828" w:rsidP="00183828">
      <w:pPr>
        <w:rPr>
          <w:sz w:val="18"/>
          <w:szCs w:val="18"/>
        </w:rPr>
      </w:pPr>
    </w:p>
    <w:p w14:paraId="1A7F484A" w14:textId="1A2CFDAA" w:rsidR="00183828" w:rsidRDefault="00183828" w:rsidP="00183828">
      <w:r>
        <w:t>Health New Zealand</w:t>
      </w:r>
      <w:r w:rsidRPr="00E47714">
        <w:t xml:space="preserve">’s </w:t>
      </w:r>
      <w:proofErr w:type="spellStart"/>
      <w:r w:rsidRPr="00E47714">
        <w:t>Fetal</w:t>
      </w:r>
      <w:proofErr w:type="spellEnd"/>
      <w:r w:rsidRPr="00E47714">
        <w:t xml:space="preserve"> and Infant Deaths web tool </w:t>
      </w:r>
      <w:r>
        <w:fldChar w:fldCharType="begin"/>
      </w:r>
      <w:r>
        <w:instrText xml:space="preserve"> ADDIN EN.CITE &lt;EndNote&gt;&lt;Cite&gt;&lt;Author&gt;Health NZ &lt;/Author&gt;&lt;Year&gt;2023&lt;/Year&gt;&lt;RecNum&gt;416&lt;/RecNum&gt;&lt;DisplayText&gt;(Health NZ 2023b)&lt;/DisplayText&gt;&lt;record&gt;&lt;rec-number&gt;416&lt;/rec-number&gt;&lt;foreign-keys&gt;&lt;key app="EN" db-id="aaepvppzs5wtfse95vsp2wahsrtvva2vvdet" timestamp="1716417849"&gt;416&lt;/key&gt;&lt;/foreign-keys&gt;&lt;ref-type name="Web Page"&gt;12&lt;/ref-type&gt;&lt;contributors&gt;&lt;authors&gt;&lt;author&gt;Health NZ ,&lt;/author&gt;&lt;/authors&gt;&lt;/contributors&gt;&lt;titles&gt;&lt;title&gt;Fetal and infant deaths web tool&lt;/title&gt;&lt;/titles&gt;&lt;number&gt;23 May 2024&lt;/number&gt;&lt;dates&gt;&lt;year&gt;2023&lt;/year&gt;&lt;/dates&gt;&lt;urls&gt;&lt;related-urls&gt;&lt;url&gt;tewhatuora.shinyapps.io/fetal-and-infant-deaths-web-tool&lt;/url&gt;&lt;/related-urls&gt;&lt;/urls&gt;&lt;/record&gt;&lt;/Cite&gt;&lt;/EndNote&gt;</w:instrText>
      </w:r>
      <w:r>
        <w:fldChar w:fldCharType="separate"/>
      </w:r>
      <w:r>
        <w:rPr>
          <w:noProof/>
        </w:rPr>
        <w:t>(Health NZ 2023b)</w:t>
      </w:r>
      <w:r>
        <w:fldChar w:fldCharType="end"/>
      </w:r>
      <w:r>
        <w:t xml:space="preserve"> </w:t>
      </w:r>
      <w:r w:rsidRPr="00E47714">
        <w:t xml:space="preserve">presents a summary of </w:t>
      </w:r>
      <w:proofErr w:type="spellStart"/>
      <w:r w:rsidRPr="00E47714">
        <w:t>fetal</w:t>
      </w:r>
      <w:proofErr w:type="spellEnd"/>
      <w:r w:rsidRPr="00E47714">
        <w:t xml:space="preserve"> deaths and infant deaths in Aotearoa New Zealand, with a focus o</w:t>
      </w:r>
      <w:r>
        <w:t>n</w:t>
      </w:r>
      <w:r w:rsidRPr="00E47714">
        <w:t xml:space="preserve"> deaths and still births registered in 2020 (the most recent year</w:t>
      </w:r>
      <w:r>
        <w:t xml:space="preserve"> when data is</w:t>
      </w:r>
      <w:r w:rsidRPr="00E47714">
        <w:t xml:space="preserve"> available). Information presented includes demographic information, cause of death, gestation and birthweight, as well as deaths classified as sudden infant death syndrome (SIDS) and sudden unexpected death in infancy (SUDI).</w:t>
      </w:r>
    </w:p>
    <w:p w14:paraId="4B0C2A50" w14:textId="77777777" w:rsidR="00183828" w:rsidRPr="00E47714" w:rsidRDefault="00183828" w:rsidP="00183828"/>
    <w:p w14:paraId="20050CBC" w14:textId="77777777" w:rsidR="00183828" w:rsidRPr="00E47714" w:rsidRDefault="00183828" w:rsidP="00183828">
      <w:r w:rsidRPr="00E47714">
        <w:t xml:space="preserve">In 2020, there were 434 </w:t>
      </w:r>
      <w:proofErr w:type="spellStart"/>
      <w:r w:rsidRPr="00E47714">
        <w:t>fetal</w:t>
      </w:r>
      <w:proofErr w:type="spellEnd"/>
      <w:r w:rsidRPr="00E47714">
        <w:t xml:space="preserve"> deaths and 278 infant deaths registered. This equates to a </w:t>
      </w:r>
      <w:proofErr w:type="spellStart"/>
      <w:r w:rsidRPr="00E47714">
        <w:t>fetal</w:t>
      </w:r>
      <w:proofErr w:type="spellEnd"/>
      <w:r w:rsidRPr="00E47714">
        <w:t xml:space="preserve"> death rate of 7.4 per 1,000 total births and an infant death rate of 4.8 per 1,000 live births. </w:t>
      </w:r>
      <w:r>
        <w:t>However, rates</w:t>
      </w:r>
      <w:r w:rsidRPr="003738B8">
        <w:t xml:space="preserve"> </w:t>
      </w:r>
      <w:r w:rsidRPr="00E47714">
        <w:t>should be interpreted with caution</w:t>
      </w:r>
      <w:r>
        <w:t xml:space="preserve"> because they are based </w:t>
      </w:r>
      <w:r>
        <w:lastRenderedPageBreak/>
        <w:t>on small</w:t>
      </w:r>
      <w:r w:rsidRPr="00E47714">
        <w:t xml:space="preserve"> number</w:t>
      </w:r>
      <w:r>
        <w:t>s</w:t>
      </w:r>
      <w:r w:rsidRPr="00E47714">
        <w:t xml:space="preserve"> of </w:t>
      </w:r>
      <w:proofErr w:type="spellStart"/>
      <w:r w:rsidRPr="00E47714">
        <w:t>fetal</w:t>
      </w:r>
      <w:proofErr w:type="spellEnd"/>
      <w:r w:rsidRPr="00E47714">
        <w:t xml:space="preserve"> and infant deaths</w:t>
      </w:r>
      <w:r>
        <w:t>. As a result, rates</w:t>
      </w:r>
      <w:r w:rsidRPr="00E47714">
        <w:t xml:space="preserve"> may fluctuate markedly from year to year.</w:t>
      </w:r>
    </w:p>
    <w:p w14:paraId="7CC65791" w14:textId="77777777" w:rsidR="00183828" w:rsidRPr="00E47714" w:rsidRDefault="00183828" w:rsidP="00183828">
      <w:pPr>
        <w:pStyle w:val="Heading4"/>
      </w:pPr>
      <w:r w:rsidRPr="00E47714">
        <w:t>Key finding</w:t>
      </w:r>
      <w:r>
        <w:t>s</w:t>
      </w:r>
      <w:r w:rsidRPr="00E47714">
        <w:t xml:space="preserve"> for 2020</w:t>
      </w:r>
    </w:p>
    <w:p w14:paraId="601A5C9F" w14:textId="77777777" w:rsidR="00183828" w:rsidRPr="00E47714" w:rsidRDefault="00183828" w:rsidP="00183828">
      <w:pPr>
        <w:pStyle w:val="Bullet"/>
      </w:pPr>
      <w:r w:rsidRPr="00E47714">
        <w:t>Infant death rates for Māori</w:t>
      </w:r>
      <w:r>
        <w:t xml:space="preserve"> (6.2 per 1,000 live births)</w:t>
      </w:r>
      <w:r w:rsidRPr="00E47714">
        <w:t xml:space="preserve"> and Pacific peoples (7.1) were significantly higher than rates for Asian</w:t>
      </w:r>
      <w:r>
        <w:t xml:space="preserve"> (3.0)</w:t>
      </w:r>
      <w:r w:rsidRPr="00E47714">
        <w:t xml:space="preserve"> and European/other</w:t>
      </w:r>
      <w:r>
        <w:t xml:space="preserve"> (4.2)</w:t>
      </w:r>
      <w:r w:rsidRPr="00E47714">
        <w:t xml:space="preserve"> ethnic groups.</w:t>
      </w:r>
    </w:p>
    <w:p w14:paraId="6E601ED8" w14:textId="77777777" w:rsidR="00183828" w:rsidRPr="00E47714" w:rsidRDefault="00183828" w:rsidP="00183828">
      <w:pPr>
        <w:pStyle w:val="Bullet"/>
      </w:pPr>
      <w:r w:rsidRPr="00E47714">
        <w:t>The infant death rate was highest for infants born to people who were less than 20 years of age (9.6 per 1,000 live births).</w:t>
      </w:r>
    </w:p>
    <w:p w14:paraId="788C3190" w14:textId="77777777" w:rsidR="00183828" w:rsidRPr="00E47714" w:rsidRDefault="00183828" w:rsidP="00183828">
      <w:pPr>
        <w:pStyle w:val="Bullet"/>
      </w:pPr>
      <w:r w:rsidRPr="00E47714">
        <w:t>The highest infant death rates occurred in the most deprived areas. In quintile 5, the infant death rate was 7.3 per 1,000 live births</w:t>
      </w:r>
      <w:r>
        <w:t>,</w:t>
      </w:r>
      <w:r w:rsidRPr="00E47714">
        <w:t xml:space="preserve"> close to </w:t>
      </w:r>
      <w:r>
        <w:t>two</w:t>
      </w:r>
      <w:r w:rsidRPr="00E47714">
        <w:t xml:space="preserve"> times the rate in the least deprived areas</w:t>
      </w:r>
      <w:r>
        <w:t xml:space="preserve"> (</w:t>
      </w:r>
      <w:r w:rsidRPr="00E47714">
        <w:t>3.5 per 1,000 live births</w:t>
      </w:r>
      <w:r w:rsidRPr="00367344">
        <w:t xml:space="preserve"> </w:t>
      </w:r>
      <w:r w:rsidRPr="00E47714">
        <w:t>in quintile 1).</w:t>
      </w:r>
    </w:p>
    <w:p w14:paraId="28AE05FF" w14:textId="77777777" w:rsidR="00183828" w:rsidRDefault="00183828" w:rsidP="00183828"/>
    <w:p w14:paraId="619DF6C9" w14:textId="77777777" w:rsidR="00183828" w:rsidRDefault="00183828" w:rsidP="00183828">
      <w:r w:rsidRPr="00E47714">
        <w:t>The infant mortality rate, after decreas</w:t>
      </w:r>
      <w:r>
        <w:t>ing</w:t>
      </w:r>
      <w:r w:rsidRPr="00E47714">
        <w:t xml:space="preserve"> substantially in the past, has had smaller relative decreases in recent years, </w:t>
      </w:r>
      <w:r>
        <w:t>because the</w:t>
      </w:r>
      <w:r w:rsidRPr="00E47714">
        <w:t xml:space="preserve"> number of infant deaths</w:t>
      </w:r>
      <w:r>
        <w:t xml:space="preserve"> is </w:t>
      </w:r>
      <w:r w:rsidRPr="00E47714">
        <w:t xml:space="preserve">relatively low. The rate declined from 7.3 per 1,000 </w:t>
      </w:r>
      <w:r>
        <w:t>live</w:t>
      </w:r>
      <w:r w:rsidRPr="00E47714">
        <w:t xml:space="preserve"> births in 1996 to 5.4 in 2003, and then remained relatively stable until 2020 (</w:t>
      </w:r>
      <w:r>
        <w:t xml:space="preserve">when it fell to </w:t>
      </w:r>
      <w:r w:rsidRPr="00E47714">
        <w:t>4.8</w:t>
      </w:r>
      <w:r>
        <w:t xml:space="preserve"> per 1,000 live births</w:t>
      </w:r>
      <w:r w:rsidRPr="00E47714">
        <w:t>).</w:t>
      </w:r>
    </w:p>
    <w:p w14:paraId="2753EF20" w14:textId="77777777" w:rsidR="00183828" w:rsidRPr="00E47714" w:rsidRDefault="00183828" w:rsidP="00183828">
      <w:pPr>
        <w:pStyle w:val="Heading2"/>
      </w:pPr>
      <w:bookmarkStart w:id="80" w:name="_Toc171603264"/>
      <w:bookmarkStart w:id="81" w:name="_Toc171944524"/>
      <w:bookmarkStart w:id="82" w:name="_Toc172104664"/>
      <w:r w:rsidRPr="00E47714">
        <w:t>Maternity</w:t>
      </w:r>
      <w:bookmarkEnd w:id="80"/>
      <w:bookmarkEnd w:id="81"/>
      <w:bookmarkEnd w:id="82"/>
    </w:p>
    <w:p w14:paraId="5A0975EA" w14:textId="77777777" w:rsidR="00183828" w:rsidRPr="00E47714" w:rsidRDefault="00183828" w:rsidP="00183828">
      <w:r w:rsidRPr="00E47714">
        <w:t>In 2021 (</w:t>
      </w:r>
      <w:r>
        <w:t>the most recent year when</w:t>
      </w:r>
      <w:r w:rsidRPr="00E47714">
        <w:t xml:space="preserve"> maternity data </w:t>
      </w:r>
      <w:r>
        <w:t xml:space="preserve">is </w:t>
      </w:r>
      <w:r w:rsidRPr="00E47714">
        <w:t>available)</w:t>
      </w:r>
      <w:r>
        <w:t>,</w:t>
      </w:r>
      <w:r w:rsidRPr="00E47714">
        <w:t xml:space="preserve"> 62,433 people gave birth and 62,046 babies were live born. The birth rate in 2021 was 61.5 live births per 1,000 females of reproductive age</w:t>
      </w:r>
      <w:r>
        <w:t>,</w:t>
      </w:r>
      <w:r w:rsidRPr="00E47714">
        <w:rPr>
          <w:rStyle w:val="FootnoteReference"/>
          <w:rFonts w:cs="Segoe UI"/>
        </w:rPr>
        <w:footnoteReference w:id="9"/>
      </w:r>
      <w:r>
        <w:t xml:space="preserve"> which is</w:t>
      </w:r>
      <w:r w:rsidRPr="00E47714">
        <w:t xml:space="preserve"> an increase from 2020 (57.5 per 1,000 females of reproductive age) </w:t>
      </w:r>
      <w:r>
        <w:fldChar w:fldCharType="begin"/>
      </w:r>
      <w:r>
        <w:instrText xml:space="preserve"> ADDIN EN.CITE &lt;EndNote&gt;&lt;Cite&gt;&lt;Author&gt;Health NZ &lt;/Author&gt;&lt;Year&gt;2023&lt;/Year&gt;&lt;RecNum&gt;519&lt;/RecNum&gt;&lt;DisplayText&gt;(Health NZ 2023e)&lt;/DisplayText&gt;&lt;record&gt;&lt;rec-number&gt;519&lt;/rec-number&gt;&lt;foreign-keys&gt;&lt;key app="EN" db-id="aaepvppzs5wtfse95vsp2wahsrtvva2vvdet" timestamp="1717462510"&gt;519&lt;/key&gt;&lt;/foreign-keys&gt;&lt;ref-type name="Web Page"&gt;12&lt;/ref-type&gt;&lt;contributors&gt;&lt;authors&gt;&lt;author&gt;Health NZ ,&lt;/author&gt;&lt;/authors&gt;&lt;/contributors&gt;&lt;titles&gt;&lt;title&gt;Report on Maternity web tool&lt;/title&gt;&lt;/titles&gt;&lt;number&gt;26 March 2024&lt;/number&gt;&lt;dates&gt;&lt;year&gt;2023&lt;/year&gt;&lt;/dates&gt;&lt;urls&gt;&lt;related-urls&gt;&lt;url&gt;tewhatuora.shinyapps.io/report-on-maternity-web-tool&lt;/url&gt;&lt;/related-urls&gt;&lt;/urls&gt;&lt;/record&gt;&lt;/Cite&gt;&lt;/EndNote&gt;</w:instrText>
      </w:r>
      <w:r>
        <w:fldChar w:fldCharType="separate"/>
      </w:r>
      <w:r>
        <w:rPr>
          <w:noProof/>
        </w:rPr>
        <w:t>(Health NZ 2023e)</w:t>
      </w:r>
      <w:r>
        <w:fldChar w:fldCharType="end"/>
      </w:r>
      <w:r w:rsidRPr="00E47714">
        <w:t>.</w:t>
      </w:r>
    </w:p>
    <w:p w14:paraId="37FD834D" w14:textId="77777777" w:rsidR="00183828" w:rsidRPr="00E47714" w:rsidRDefault="00183828" w:rsidP="00183828">
      <w:pPr>
        <w:pStyle w:val="Heading3"/>
      </w:pPr>
      <w:r w:rsidRPr="00E47714">
        <w:t>Primary maternity care</w:t>
      </w:r>
    </w:p>
    <w:p w14:paraId="13A2ED07" w14:textId="2CB33441" w:rsidR="00183828" w:rsidRDefault="00183828" w:rsidP="00183828">
      <w:r w:rsidRPr="00E47714">
        <w:t xml:space="preserve">In 2021, most people giving birth (93.9%) received care from a community-based </w:t>
      </w:r>
      <w:r>
        <w:t>l</w:t>
      </w:r>
      <w:r w:rsidRPr="00E47714">
        <w:t xml:space="preserve">ead </w:t>
      </w:r>
      <w:r>
        <w:t>m</w:t>
      </w:r>
      <w:r w:rsidRPr="00E47714">
        <w:t xml:space="preserve">aternity </w:t>
      </w:r>
      <w:r>
        <w:t>c</w:t>
      </w:r>
      <w:r w:rsidRPr="00E47714">
        <w:t xml:space="preserve">arer (LMC). </w:t>
      </w:r>
      <w:r>
        <w:t>Among</w:t>
      </w:r>
      <w:r w:rsidRPr="00E47714">
        <w:t xml:space="preserve"> the remainder, 3.1% of people registered with a </w:t>
      </w:r>
      <w:r>
        <w:t>district health board</w:t>
      </w:r>
      <w:r w:rsidRPr="00E47714">
        <w:t xml:space="preserve"> primary maternity service, and the provision of care was unknown for </w:t>
      </w:r>
      <w:r>
        <w:t xml:space="preserve">the other </w:t>
      </w:r>
      <w:r w:rsidRPr="00E47714">
        <w:t xml:space="preserve">3.0%. </w:t>
      </w:r>
    </w:p>
    <w:p w14:paraId="71E86233" w14:textId="77777777" w:rsidR="00183828" w:rsidRDefault="00183828" w:rsidP="00183828"/>
    <w:p w14:paraId="6C6BE707" w14:textId="77777777" w:rsidR="00183828" w:rsidRPr="00E47714" w:rsidRDefault="00183828" w:rsidP="00183828">
      <w:r w:rsidRPr="00E47714">
        <w:t>In 2021</w:t>
      </w:r>
      <w:r>
        <w:t>, among those giving birth</w:t>
      </w:r>
      <w:r w:rsidRPr="00E47714">
        <w:t>:</w:t>
      </w:r>
    </w:p>
    <w:p w14:paraId="028AEE4F" w14:textId="77777777" w:rsidR="00183828" w:rsidRPr="00E47714" w:rsidRDefault="00183828" w:rsidP="00183828">
      <w:pPr>
        <w:pStyle w:val="Bullet"/>
      </w:pPr>
      <w:r>
        <w:t>n</w:t>
      </w:r>
      <w:r w:rsidRPr="00E47714">
        <w:t>early three-quarters (73.5%) of people registered with an LMC in their first trimester of pregnancy</w:t>
      </w:r>
      <w:r>
        <w:t>,</w:t>
      </w:r>
      <w:r w:rsidRPr="00E47714">
        <w:t xml:space="preserve"> up from just over half (56.0%) in </w:t>
      </w:r>
      <w:proofErr w:type="gramStart"/>
      <w:r w:rsidRPr="00E47714">
        <w:t>2012</w:t>
      </w:r>
      <w:proofErr w:type="gramEnd"/>
    </w:p>
    <w:p w14:paraId="26E4FC6E" w14:textId="77777777" w:rsidR="00183828" w:rsidRPr="00E47714" w:rsidRDefault="00183828" w:rsidP="00183828">
      <w:pPr>
        <w:pStyle w:val="Bullet"/>
      </w:pPr>
      <w:r w:rsidRPr="00E47714">
        <w:t xml:space="preserve">15.2% of people registered with an LMC in their second </w:t>
      </w:r>
      <w:proofErr w:type="gramStart"/>
      <w:r w:rsidRPr="00E47714">
        <w:t>trimester</w:t>
      </w:r>
      <w:proofErr w:type="gramEnd"/>
    </w:p>
    <w:p w14:paraId="39B4D67D" w14:textId="77777777" w:rsidR="00183828" w:rsidRPr="00E47714" w:rsidRDefault="00183828" w:rsidP="00183828">
      <w:pPr>
        <w:pStyle w:val="Bullet"/>
      </w:pPr>
      <w:r w:rsidRPr="00E47714">
        <w:t>3.6% of people registered with an LMC in the</w:t>
      </w:r>
      <w:r>
        <w:t>ir</w:t>
      </w:r>
      <w:r w:rsidRPr="00E47714">
        <w:t xml:space="preserve"> third </w:t>
      </w:r>
      <w:proofErr w:type="gramStart"/>
      <w:r w:rsidRPr="00E47714">
        <w:t>trimester</w:t>
      </w:r>
      <w:proofErr w:type="gramEnd"/>
    </w:p>
    <w:p w14:paraId="699551AC" w14:textId="77777777" w:rsidR="00183828" w:rsidRPr="00E47714" w:rsidRDefault="00183828" w:rsidP="00183828">
      <w:pPr>
        <w:pStyle w:val="Bullet"/>
      </w:pPr>
      <w:r w:rsidRPr="00E47714">
        <w:t>1.7% registered in the postnatal period.</w:t>
      </w:r>
    </w:p>
    <w:p w14:paraId="1D5CB9E0" w14:textId="77777777" w:rsidR="00183828" w:rsidRDefault="00183828" w:rsidP="00183828"/>
    <w:p w14:paraId="206B32A4" w14:textId="7B0C2E64" w:rsidR="00183828" w:rsidRPr="00E47714" w:rsidRDefault="00183828" w:rsidP="00183828">
      <w:r w:rsidRPr="00E47714">
        <w:t>The rate of registration in the first trimester differed by population group</w:t>
      </w:r>
      <w:r>
        <w:t>.</w:t>
      </w:r>
      <w:r w:rsidRPr="00E47714">
        <w:t xml:space="preserve"> </w:t>
      </w:r>
      <w:r>
        <w:t>Y</w:t>
      </w:r>
      <w:r w:rsidRPr="00E47714">
        <w:t xml:space="preserve">ounger age groups, Pacific peoples and people living in the </w:t>
      </w:r>
      <w:r>
        <w:t>most</w:t>
      </w:r>
      <w:r w:rsidRPr="00E47714">
        <w:t xml:space="preserve"> depriv</w:t>
      </w:r>
      <w:r>
        <w:t>ed</w:t>
      </w:r>
      <w:r w:rsidRPr="00E47714">
        <w:t xml:space="preserve"> areas </w:t>
      </w:r>
      <w:r>
        <w:t xml:space="preserve">were </w:t>
      </w:r>
      <w:r w:rsidRPr="00E47714">
        <w:t>less likely to register with an LMC in their first trimester.</w:t>
      </w:r>
    </w:p>
    <w:p w14:paraId="4B827A6B" w14:textId="77777777" w:rsidR="00183828" w:rsidRPr="00E47714" w:rsidRDefault="00183828" w:rsidP="00183828">
      <w:pPr>
        <w:pStyle w:val="Heading3"/>
      </w:pPr>
      <w:r w:rsidRPr="00E47714">
        <w:lastRenderedPageBreak/>
        <w:t>Labour and birth</w:t>
      </w:r>
    </w:p>
    <w:p w14:paraId="679F4797" w14:textId="0953907C" w:rsidR="00183828" w:rsidRDefault="00183828" w:rsidP="00183828">
      <w:r w:rsidRPr="00E47714">
        <w:t xml:space="preserve">In 2021, most people gave birth at a tertiary (45.5%) or secondary (40.9%) maternity facility. A further 9.4% gave birth in a primary maternity facility. These rates have been stable over the last 10 years. In addition, 4.3% of people gave birth at home in 2021, similar to </w:t>
      </w:r>
      <w:r>
        <w:t xml:space="preserve">the </w:t>
      </w:r>
      <w:r w:rsidRPr="00E47714">
        <w:t>2020</w:t>
      </w:r>
      <w:r>
        <w:t xml:space="preserve"> rate</w:t>
      </w:r>
      <w:r w:rsidRPr="00E47714">
        <w:t>.</w:t>
      </w:r>
    </w:p>
    <w:p w14:paraId="65DA8ACF" w14:textId="77777777" w:rsidR="00183828" w:rsidRPr="00E47714" w:rsidRDefault="00183828" w:rsidP="00183828"/>
    <w:p w14:paraId="648A5B32" w14:textId="0C0C1606" w:rsidR="00183828" w:rsidRDefault="00183828" w:rsidP="00183828">
      <w:r w:rsidRPr="00E47714">
        <w:t xml:space="preserve">Induction of labour, epidural analgesia and episiotomy rates have continued </w:t>
      </w:r>
      <w:r>
        <w:t>to increase</w:t>
      </w:r>
      <w:r w:rsidRPr="00E47714">
        <w:t xml:space="preserve"> over the last 15 years. Rates of labour augmentation have continued a downward trend over this same period.</w:t>
      </w:r>
    </w:p>
    <w:p w14:paraId="46B58A18" w14:textId="77777777" w:rsidR="00183828" w:rsidRPr="00E47714" w:rsidRDefault="00183828" w:rsidP="00183828"/>
    <w:p w14:paraId="2AD98A39" w14:textId="3D7F911D" w:rsidR="00183828" w:rsidRDefault="00183828" w:rsidP="00183828">
      <w:r w:rsidRPr="00E47714">
        <w:t>Caesarean section rates have increased over the last 15 years to</w:t>
      </w:r>
      <w:r>
        <w:t xml:space="preserve"> reach</w:t>
      </w:r>
      <w:r w:rsidRPr="00E47714">
        <w:t xml:space="preserve"> 30.9% of all births in 2021, the highest ever recorded. Unplanned (emergency) caesarean section rates have generally increased over the same period, whereas planned (elective) caesarean rates have remained roughly the same. There has been a corresponding decrease in spontaneous vaginal birth (57.3% in 2021) and no significant change to rates of instrumental vaginal birth (9.5% in 2021).</w:t>
      </w:r>
    </w:p>
    <w:p w14:paraId="61EEC991" w14:textId="77777777" w:rsidR="00183828" w:rsidRPr="00E47714" w:rsidRDefault="00183828" w:rsidP="00183828"/>
    <w:p w14:paraId="76986640" w14:textId="6CE5D37C" w:rsidR="00183828" w:rsidRDefault="00183828" w:rsidP="00183828">
      <w:r w:rsidRPr="00E47714">
        <w:fldChar w:fldCharType="begin"/>
      </w:r>
      <w:r w:rsidRPr="00E47714">
        <w:instrText xml:space="preserve"> REF _Ref167273900 \h  \* MERGEFORMAT </w:instrText>
      </w:r>
      <w:r w:rsidRPr="00E47714">
        <w:fldChar w:fldCharType="separate"/>
      </w:r>
      <w:r w:rsidR="009A6F87" w:rsidRPr="00E47714">
        <w:t xml:space="preserve">Figure </w:t>
      </w:r>
      <w:r w:rsidR="009A6F87">
        <w:t>13</w:t>
      </w:r>
      <w:r w:rsidRPr="00E47714">
        <w:fldChar w:fldCharType="end"/>
      </w:r>
      <w:r w:rsidRPr="00E47714">
        <w:t xml:space="preserve"> shows rates of caesarean births increased for all age groups between 2007 and 2021</w:t>
      </w:r>
      <w:r>
        <w:t>.</w:t>
      </w:r>
      <w:r w:rsidRPr="00E47714">
        <w:t xml:space="preserve"> Rates increas</w:t>
      </w:r>
      <w:r>
        <w:t>ed</w:t>
      </w:r>
      <w:r w:rsidRPr="00E47714">
        <w:t xml:space="preserve"> with the age of the birthing parent. In 2021, 43.7% of all people giving birth aged 40 years and over gave birth by caesarean, compared </w:t>
      </w:r>
      <w:r>
        <w:t>with</w:t>
      </w:r>
      <w:r w:rsidRPr="00E47714">
        <w:t xml:space="preserve"> 17.6% of people aged under 20 years. </w:t>
      </w:r>
    </w:p>
    <w:p w14:paraId="4F979245" w14:textId="5CA1C4BE" w:rsidR="00183828" w:rsidRPr="00E47714" w:rsidRDefault="00183828" w:rsidP="00183828">
      <w:pPr>
        <w:pStyle w:val="Figure"/>
      </w:pPr>
      <w:bookmarkStart w:id="83" w:name="_Ref167273900"/>
      <w:bookmarkStart w:id="84" w:name="_Toc171330660"/>
      <w:bookmarkStart w:id="85" w:name="_Toc172104696"/>
      <w:r w:rsidRPr="00E47714">
        <w:t xml:space="preserve">Figure </w:t>
      </w:r>
      <w:fldSimple w:instr=" SEQ Figure \* ARABIC ">
        <w:r w:rsidR="009A6F87">
          <w:rPr>
            <w:noProof/>
          </w:rPr>
          <w:t>13</w:t>
        </w:r>
      </w:fldSimple>
      <w:bookmarkEnd w:id="83"/>
      <w:r w:rsidRPr="00E47714">
        <w:t>: Percentage of births by type and age of person giving birth, 2007–</w:t>
      </w:r>
      <w:proofErr w:type="gramStart"/>
      <w:r w:rsidRPr="00E47714">
        <w:t>2021</w:t>
      </w:r>
      <w:bookmarkEnd w:id="84"/>
      <w:bookmarkEnd w:id="85"/>
      <w:proofErr w:type="gramEnd"/>
    </w:p>
    <w:p w14:paraId="04D34600" w14:textId="77777777" w:rsidR="00183828" w:rsidRPr="00E47714" w:rsidRDefault="00183828" w:rsidP="005B127B">
      <w:pPr>
        <w:pStyle w:val="NormalWeb"/>
        <w:spacing w:before="0" w:beforeAutospacing="0" w:after="0" w:afterAutospacing="0"/>
      </w:pPr>
      <w:r>
        <w:rPr>
          <w:noProof/>
        </w:rPr>
        <w:drawing>
          <wp:inline distT="0" distB="0" distL="0" distR="0" wp14:anchorId="66929B59" wp14:editId="06E1A665">
            <wp:extent cx="5124450" cy="3014149"/>
            <wp:effectExtent l="0" t="0" r="0" b="0"/>
            <wp:docPr id="10" name="Picture 10" descr="A series of six time-series line charts showing percentage of births by delivery type from 2007 to 2021 among age groups &lt;20 y, 20-24 y, 25-29 y, 30-34 y, 35-39 y and 40+ y. Over time the percentage of births by spontaneous vaginal births has decreased approximately 10 percentage points across all age groups, while the percentage of caesarean section, elective caesarean, emergency caesarean, and assisted vaginal birth deliveries have increased. Younger persons giving birth have the highest percentage of births by spontaneous vaginal delivery and older persons giving birth have the lowest percentage of births by spontaneous vaginal deli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eries of six time-series line charts showing percentage of births by delivery type from 2007 to 2021 among age groups &lt;20 y, 20-24 y, 25-29 y, 30-34 y, 35-39 y and 40+ y. Over time the percentage of births by spontaneous vaginal births has decreased approximately 10 percentage points across all age groups, while the percentage of caesarean section, elective caesarean, emergency caesarean, and assisted vaginal birth deliveries have increased. Younger persons giving birth have the highest percentage of births by spontaneous vaginal delivery and older persons giving birth have the lowest percentage of births by spontaneous vaginal delivery.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5120" cy="3020425"/>
                    </a:xfrm>
                    <a:prstGeom prst="rect">
                      <a:avLst/>
                    </a:prstGeom>
                    <a:noFill/>
                    <a:ln>
                      <a:noFill/>
                    </a:ln>
                  </pic:spPr>
                </pic:pic>
              </a:graphicData>
            </a:graphic>
          </wp:inline>
        </w:drawing>
      </w:r>
    </w:p>
    <w:p w14:paraId="383114D0" w14:textId="77777777" w:rsidR="00183828" w:rsidRPr="00E47714" w:rsidRDefault="00183828" w:rsidP="00183828">
      <w:pPr>
        <w:pStyle w:val="Source"/>
      </w:pPr>
      <w:r w:rsidRPr="00E47714">
        <w:rPr>
          <w:b/>
          <w:bCs/>
        </w:rPr>
        <w:t>Source:</w:t>
      </w:r>
      <w:r w:rsidRPr="00E47714">
        <w:t xml:space="preserve"> </w:t>
      </w:r>
      <w:r>
        <w:fldChar w:fldCharType="begin"/>
      </w:r>
      <w:r>
        <w:instrText xml:space="preserve"> ADDIN EN.CITE &lt;EndNote&gt;&lt;Cite AuthorYear="1"&gt;&lt;Author&gt;Health NZ &lt;/Author&gt;&lt;Year&gt;2023&lt;/Year&gt;&lt;RecNum&gt;519&lt;/RecNum&gt;&lt;DisplayText&gt;Health NZ (2023e)&lt;/DisplayText&gt;&lt;record&gt;&lt;rec-number&gt;519&lt;/rec-number&gt;&lt;foreign-keys&gt;&lt;key app="EN" db-id="aaepvppzs5wtfse95vsp2wahsrtvva2vvdet" timestamp="1717462510"&gt;519&lt;/key&gt;&lt;/foreign-keys&gt;&lt;ref-type name="Web Page"&gt;12&lt;/ref-type&gt;&lt;contributors&gt;&lt;authors&gt;&lt;author&gt;Health NZ ,&lt;/author&gt;&lt;/authors&gt;&lt;/contributors&gt;&lt;titles&gt;&lt;title&gt;Report on Maternity web tool&lt;/title&gt;&lt;/titles&gt;&lt;number&gt;26 March 2024&lt;/number&gt;&lt;dates&gt;&lt;year&gt;2023&lt;/year&gt;&lt;/dates&gt;&lt;urls&gt;&lt;related-urls&gt;&lt;url&gt;tewhatuora.shinyapps.io/report-on-maternity-web-tool&lt;/url&gt;&lt;/related-urls&gt;&lt;/urls&gt;&lt;/record&gt;&lt;/Cite&gt;&lt;/EndNote&gt;</w:instrText>
      </w:r>
      <w:r>
        <w:fldChar w:fldCharType="separate"/>
      </w:r>
      <w:r>
        <w:rPr>
          <w:noProof/>
        </w:rPr>
        <w:t>Health NZ (2023e)</w:t>
      </w:r>
      <w:r>
        <w:fldChar w:fldCharType="end"/>
      </w:r>
    </w:p>
    <w:p w14:paraId="4DF84CD9" w14:textId="77777777" w:rsidR="00183828" w:rsidRPr="00E47714" w:rsidRDefault="00183828" w:rsidP="00183828">
      <w:pPr>
        <w:pStyle w:val="Heading4"/>
      </w:pPr>
      <w:r w:rsidRPr="00E47714">
        <w:t xml:space="preserve">Age </w:t>
      </w:r>
      <w:r>
        <w:t>of people giving</w:t>
      </w:r>
      <w:r w:rsidRPr="00E47714">
        <w:t xml:space="preserve"> birth</w:t>
      </w:r>
    </w:p>
    <w:p w14:paraId="49A90024" w14:textId="77777777" w:rsidR="00183828" w:rsidRPr="00E47714" w:rsidRDefault="00183828" w:rsidP="00183828">
      <w:pPr>
        <w:rPr>
          <w:rStyle w:val="cf01"/>
          <w:sz w:val="22"/>
          <w:szCs w:val="22"/>
        </w:rPr>
      </w:pPr>
      <w:r>
        <w:rPr>
          <w:rStyle w:val="cf01"/>
          <w:sz w:val="22"/>
          <w:szCs w:val="22"/>
        </w:rPr>
        <w:t>Patterns in the</w:t>
      </w:r>
      <w:r w:rsidRPr="00E47714">
        <w:rPr>
          <w:rStyle w:val="cf01"/>
          <w:sz w:val="22"/>
          <w:szCs w:val="22"/>
        </w:rPr>
        <w:t xml:space="preserve"> age</w:t>
      </w:r>
      <w:r>
        <w:rPr>
          <w:rStyle w:val="cf01"/>
          <w:sz w:val="22"/>
          <w:szCs w:val="22"/>
        </w:rPr>
        <w:t xml:space="preserve"> groups</w:t>
      </w:r>
      <w:r w:rsidRPr="00E47714">
        <w:rPr>
          <w:rStyle w:val="cf01"/>
          <w:sz w:val="22"/>
          <w:szCs w:val="22"/>
        </w:rPr>
        <w:t xml:space="preserve"> of people giving birth ha</w:t>
      </w:r>
      <w:r>
        <w:rPr>
          <w:rStyle w:val="cf01"/>
          <w:sz w:val="22"/>
          <w:szCs w:val="22"/>
        </w:rPr>
        <w:t>ve</w:t>
      </w:r>
      <w:r w:rsidRPr="00E47714">
        <w:rPr>
          <w:rStyle w:val="cf01"/>
          <w:sz w:val="22"/>
          <w:szCs w:val="22"/>
        </w:rPr>
        <w:t xml:space="preserve"> changed over time. The </w:t>
      </w:r>
      <w:r>
        <w:rPr>
          <w:rStyle w:val="cf01"/>
          <w:sz w:val="22"/>
          <w:szCs w:val="22"/>
        </w:rPr>
        <w:t>percentage</w:t>
      </w:r>
      <w:r w:rsidRPr="00E47714">
        <w:rPr>
          <w:rStyle w:val="cf01"/>
          <w:sz w:val="22"/>
          <w:szCs w:val="22"/>
        </w:rPr>
        <w:t xml:space="preserve"> of people giving birth aged under 20 years has reduced from 7.9% of all births (5,076 births) in 2007 to 2.9% of all births (1,796) in 2021. In contrast, </w:t>
      </w:r>
      <w:r>
        <w:rPr>
          <w:rStyle w:val="cf01"/>
          <w:sz w:val="22"/>
          <w:szCs w:val="22"/>
        </w:rPr>
        <w:t xml:space="preserve">those aged </w:t>
      </w:r>
      <w:r w:rsidRPr="00E47714">
        <w:rPr>
          <w:rStyle w:val="cf01"/>
          <w:sz w:val="22"/>
          <w:szCs w:val="22"/>
        </w:rPr>
        <w:t>30–34</w:t>
      </w:r>
      <w:r>
        <w:rPr>
          <w:rStyle w:val="cf01"/>
          <w:sz w:val="22"/>
          <w:szCs w:val="22"/>
        </w:rPr>
        <w:t xml:space="preserve"> </w:t>
      </w:r>
      <w:r w:rsidRPr="00E47714">
        <w:rPr>
          <w:rStyle w:val="cf01"/>
          <w:sz w:val="22"/>
          <w:szCs w:val="22"/>
        </w:rPr>
        <w:t>year</w:t>
      </w:r>
      <w:r>
        <w:rPr>
          <w:rStyle w:val="cf01"/>
          <w:sz w:val="22"/>
          <w:szCs w:val="22"/>
        </w:rPr>
        <w:t>s</w:t>
      </w:r>
      <w:r w:rsidRPr="00E47714">
        <w:rPr>
          <w:rStyle w:val="cf01"/>
          <w:sz w:val="22"/>
          <w:szCs w:val="22"/>
        </w:rPr>
        <w:t xml:space="preserve"> made up 28.5% of all births (18,317 births) in 2007 and </w:t>
      </w:r>
      <w:r>
        <w:rPr>
          <w:rStyle w:val="cf01"/>
          <w:sz w:val="22"/>
          <w:szCs w:val="22"/>
        </w:rPr>
        <w:t xml:space="preserve">increased to </w:t>
      </w:r>
      <w:r w:rsidRPr="00E47714">
        <w:rPr>
          <w:rStyle w:val="cf01"/>
          <w:sz w:val="22"/>
          <w:szCs w:val="22"/>
        </w:rPr>
        <w:t>35.1% of births (21,906) in 2021.</w:t>
      </w:r>
    </w:p>
    <w:p w14:paraId="737740B6" w14:textId="316E5FA6" w:rsidR="00183828" w:rsidRPr="00E47714" w:rsidRDefault="00183828" w:rsidP="00183828">
      <w:r w:rsidRPr="00E47714">
        <w:lastRenderedPageBreak/>
        <w:fldChar w:fldCharType="begin"/>
      </w:r>
      <w:r w:rsidRPr="00E47714">
        <w:instrText xml:space="preserve"> REF _Ref167274663 \h  \* MERGEFORMAT </w:instrText>
      </w:r>
      <w:r w:rsidRPr="00E47714">
        <w:fldChar w:fldCharType="separate"/>
      </w:r>
      <w:r w:rsidR="009A6F87" w:rsidRPr="00E47714">
        <w:t xml:space="preserve">Figure </w:t>
      </w:r>
      <w:r w:rsidR="009A6F87">
        <w:t>14</w:t>
      </w:r>
      <w:r w:rsidRPr="00E47714">
        <w:fldChar w:fldCharType="end"/>
      </w:r>
      <w:r w:rsidRPr="00E47714">
        <w:t xml:space="preserve"> shows the number of births by age of birthing parent between 2008 and 2021. The highest number of births </w:t>
      </w:r>
      <w:r>
        <w:t>was</w:t>
      </w:r>
      <w:r w:rsidRPr="00E47714">
        <w:t xml:space="preserve"> </w:t>
      </w:r>
      <w:r>
        <w:t>for</w:t>
      </w:r>
      <w:r w:rsidRPr="00E47714">
        <w:t xml:space="preserve"> people aged 30–34 years, </w:t>
      </w:r>
      <w:r>
        <w:t>while the second highest was for</w:t>
      </w:r>
      <w:r w:rsidRPr="00E47714">
        <w:t xml:space="preserve"> those aged 25–29 years.</w:t>
      </w:r>
    </w:p>
    <w:p w14:paraId="40FA8BF0" w14:textId="69521C77" w:rsidR="00183828" w:rsidRPr="00E47714" w:rsidRDefault="00183828" w:rsidP="00183828">
      <w:pPr>
        <w:pStyle w:val="Figure"/>
      </w:pPr>
      <w:bookmarkStart w:id="86" w:name="_Ref167274663"/>
      <w:bookmarkStart w:id="87" w:name="_Toc171330661"/>
      <w:bookmarkStart w:id="88" w:name="_Toc172104697"/>
      <w:r w:rsidRPr="00E47714">
        <w:t xml:space="preserve">Figure </w:t>
      </w:r>
      <w:fldSimple w:instr=" SEQ Figure \* ARABIC ">
        <w:r w:rsidR="009A6F87">
          <w:rPr>
            <w:noProof/>
          </w:rPr>
          <w:t>14</w:t>
        </w:r>
      </w:fldSimple>
      <w:bookmarkEnd w:id="86"/>
      <w:r w:rsidRPr="00E47714">
        <w:t xml:space="preserve">: Number of births, by age of person giving birth, </w:t>
      </w:r>
      <w:r w:rsidRPr="00E47714">
        <w:rPr>
          <w:rFonts w:cs="Segoe UI"/>
        </w:rPr>
        <w:t xml:space="preserve">Aotearoa </w:t>
      </w:r>
      <w:r w:rsidRPr="00E47714">
        <w:t>New Zealand, 2007–2021</w:t>
      </w:r>
      <w:bookmarkEnd w:id="87"/>
      <w:bookmarkEnd w:id="88"/>
    </w:p>
    <w:p w14:paraId="66D75FE9" w14:textId="77777777" w:rsidR="00183828" w:rsidRPr="00E47714" w:rsidRDefault="00183828" w:rsidP="005B127B">
      <w:pPr>
        <w:pStyle w:val="NormalWeb"/>
        <w:spacing w:before="0" w:beforeAutospacing="0" w:after="0" w:afterAutospacing="0"/>
      </w:pPr>
      <w:r>
        <w:rPr>
          <w:noProof/>
        </w:rPr>
        <w:drawing>
          <wp:inline distT="0" distB="0" distL="0" distR="0" wp14:anchorId="44C8240C" wp14:editId="7670F703">
            <wp:extent cx="5095875" cy="4584933"/>
            <wp:effectExtent l="0" t="0" r="0" b="6350"/>
            <wp:docPr id="11" name="Picture 11" descr="A time-series line chart showing the number of births by age group from 2007-2021. In 2021, the highest number of births is among those aged 30-34 years, followed by 25-29 years, 35-39 years, 20-24 years, 40+ years and finally less than 20 years. Since 2007, a higher number of births has occurred among those aged 30-34 years, and lower numbers of births have occurred among those aged 20-24 years and those aged less than 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ime-series line chart showing the number of births by age group from 2007-2021. In 2021, the highest number of births is among those aged 30-34 years, followed by 25-29 years, 35-39 years, 20-24 years, 40+ years and finally less than 20 years. Since 2007, a higher number of births has occurred among those aged 30-34 years, and lower numbers of births have occurred among those aged 20-24 years and those aged less than 20 year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03567" cy="4591853"/>
                    </a:xfrm>
                    <a:prstGeom prst="rect">
                      <a:avLst/>
                    </a:prstGeom>
                    <a:noFill/>
                    <a:ln>
                      <a:noFill/>
                    </a:ln>
                  </pic:spPr>
                </pic:pic>
              </a:graphicData>
            </a:graphic>
          </wp:inline>
        </w:drawing>
      </w:r>
    </w:p>
    <w:p w14:paraId="6F8752CC" w14:textId="77777777" w:rsidR="00183828" w:rsidRPr="00E47714" w:rsidRDefault="00183828" w:rsidP="00183828">
      <w:pPr>
        <w:pStyle w:val="Source"/>
      </w:pPr>
      <w:r w:rsidRPr="00E47714">
        <w:rPr>
          <w:b/>
        </w:rPr>
        <w:t xml:space="preserve">Source: </w:t>
      </w:r>
      <w:r>
        <w:fldChar w:fldCharType="begin"/>
      </w:r>
      <w:r>
        <w:instrText xml:space="preserve"> ADDIN EN.CITE &lt;EndNote&gt;&lt;Cite AuthorYear="1"&gt;&lt;Author&gt;Health NZ &lt;/Author&gt;&lt;Year&gt;2023&lt;/Year&gt;&lt;RecNum&gt;519&lt;/RecNum&gt;&lt;DisplayText&gt;Health NZ (2023e)&lt;/DisplayText&gt;&lt;record&gt;&lt;rec-number&gt;519&lt;/rec-number&gt;&lt;foreign-keys&gt;&lt;key app="EN" db-id="aaepvppzs5wtfse95vsp2wahsrtvva2vvdet" timestamp="1717462510"&gt;519&lt;/key&gt;&lt;/foreign-keys&gt;&lt;ref-type name="Web Page"&gt;12&lt;/ref-type&gt;&lt;contributors&gt;&lt;authors&gt;&lt;author&gt;Health NZ ,&lt;/author&gt;&lt;/authors&gt;&lt;/contributors&gt;&lt;titles&gt;&lt;title&gt;Report on Maternity web tool&lt;/title&gt;&lt;/titles&gt;&lt;number&gt;26 March 2024&lt;/number&gt;&lt;dates&gt;&lt;year&gt;2023&lt;/year&gt;&lt;/dates&gt;&lt;urls&gt;&lt;related-urls&gt;&lt;url&gt;tewhatuora.shinyapps.io/report-on-maternity-web-tool&lt;/url&gt;&lt;/related-urls&gt;&lt;/urls&gt;&lt;/record&gt;&lt;/Cite&gt;&lt;/EndNote&gt;</w:instrText>
      </w:r>
      <w:r>
        <w:fldChar w:fldCharType="separate"/>
      </w:r>
      <w:r>
        <w:rPr>
          <w:noProof/>
        </w:rPr>
        <w:t>Health NZ (2023e)</w:t>
      </w:r>
      <w:r>
        <w:fldChar w:fldCharType="end"/>
      </w:r>
    </w:p>
    <w:p w14:paraId="35803E31" w14:textId="77777777" w:rsidR="00183828" w:rsidRPr="00E47714" w:rsidRDefault="00183828" w:rsidP="00183828">
      <w:pPr>
        <w:pStyle w:val="Heading4"/>
      </w:pPr>
      <w:r w:rsidRPr="00E47714">
        <w:t xml:space="preserve">Babies </w:t>
      </w:r>
    </w:p>
    <w:p w14:paraId="13DEAECD" w14:textId="77777777" w:rsidR="00183828" w:rsidRPr="00E47714" w:rsidRDefault="00183828" w:rsidP="00183828">
      <w:r w:rsidRPr="00E47714">
        <w:t xml:space="preserve">Trends in average birthweight </w:t>
      </w:r>
      <w:r>
        <w:t>and</w:t>
      </w:r>
      <w:r w:rsidRPr="00E47714">
        <w:t xml:space="preserve"> distribution of gestational age at birth </w:t>
      </w:r>
      <w:r>
        <w:t xml:space="preserve">have not changed </w:t>
      </w:r>
      <w:r w:rsidRPr="00E47714">
        <w:t xml:space="preserve">over the last 15 years. </w:t>
      </w:r>
    </w:p>
    <w:p w14:paraId="60E4AF82" w14:textId="77777777" w:rsidR="00183828" w:rsidRPr="00E47714" w:rsidRDefault="00183828" w:rsidP="00183828">
      <w:pPr>
        <w:pStyle w:val="Bullet"/>
      </w:pPr>
      <w:r w:rsidRPr="00E47714">
        <w:t>In 2021, 7.9% of babies were born preterm (before 37 weeks</w:t>
      </w:r>
      <w:r>
        <w:t>’</w:t>
      </w:r>
      <w:r w:rsidRPr="00E47714">
        <w:t xml:space="preserve"> gestation)</w:t>
      </w:r>
      <w:r>
        <w:t>.</w:t>
      </w:r>
      <w:r w:rsidRPr="00E47714">
        <w:t xml:space="preserve"> </w:t>
      </w:r>
      <w:r>
        <w:t xml:space="preserve">Preterm births </w:t>
      </w:r>
      <w:r w:rsidRPr="00E47714">
        <w:t xml:space="preserve">were more common among people under 20 years and aged 40 years and over, Māori, Pacific peoples and people </w:t>
      </w:r>
      <w:r>
        <w:t xml:space="preserve">living </w:t>
      </w:r>
      <w:r w:rsidRPr="00E47714">
        <w:t>in</w:t>
      </w:r>
      <w:r>
        <w:t xml:space="preserve"> the most deprived</w:t>
      </w:r>
      <w:r w:rsidRPr="00E47714">
        <w:t xml:space="preserve"> areas.</w:t>
      </w:r>
    </w:p>
    <w:p w14:paraId="402E018B" w14:textId="77777777" w:rsidR="00183828" w:rsidRPr="000D1504" w:rsidRDefault="00183828" w:rsidP="00183828">
      <w:pPr>
        <w:pStyle w:val="Bullet"/>
      </w:pPr>
      <w:r w:rsidRPr="000D1504">
        <w:t>Similar to previous years, in 2021, babies of low birthweight (less than 2</w:t>
      </w:r>
      <w:r>
        <w:t>,</w:t>
      </w:r>
      <w:r w:rsidRPr="000D1504">
        <w:t>500</w:t>
      </w:r>
      <w:r>
        <w:t xml:space="preserve"> </w:t>
      </w:r>
      <w:r w:rsidRPr="000D1504">
        <w:t>g</w:t>
      </w:r>
      <w:r>
        <w:t>rams</w:t>
      </w:r>
      <w:r w:rsidRPr="000D1504">
        <w:t>) were more common among people</w:t>
      </w:r>
      <w:r>
        <w:t xml:space="preserve"> aged</w:t>
      </w:r>
      <w:r w:rsidRPr="000D1504">
        <w:t xml:space="preserve"> under 20 years, people </w:t>
      </w:r>
      <w:r>
        <w:t>of</w:t>
      </w:r>
      <w:r w:rsidRPr="000D1504">
        <w:t xml:space="preserve"> Indian ethnic</w:t>
      </w:r>
      <w:r>
        <w:t>ity</w:t>
      </w:r>
      <w:r w:rsidRPr="000D1504">
        <w:t xml:space="preserve"> and people </w:t>
      </w:r>
      <w:r>
        <w:t>living</w:t>
      </w:r>
      <w:r w:rsidRPr="000D1504">
        <w:t xml:space="preserve"> in </w:t>
      </w:r>
      <w:r>
        <w:t xml:space="preserve">the most deprived </w:t>
      </w:r>
      <w:r w:rsidRPr="000D1504">
        <w:t>areas.</w:t>
      </w:r>
    </w:p>
    <w:p w14:paraId="3FFDF9E1" w14:textId="77777777" w:rsidR="00183828" w:rsidRPr="00E47714" w:rsidRDefault="00183828" w:rsidP="00183828">
      <w:pPr>
        <w:pStyle w:val="Heading3"/>
      </w:pPr>
      <w:r w:rsidRPr="00E47714">
        <w:t xml:space="preserve">Breastfeeding status at </w:t>
      </w:r>
      <w:r>
        <w:t>two</w:t>
      </w:r>
      <w:r w:rsidRPr="00E47714">
        <w:t xml:space="preserve"> weeks of age</w:t>
      </w:r>
    </w:p>
    <w:p w14:paraId="0D67F20D" w14:textId="77777777" w:rsidR="00183828" w:rsidRPr="00E47714" w:rsidRDefault="00183828" w:rsidP="00183828">
      <w:r w:rsidRPr="00E47714">
        <w:t xml:space="preserve">In 2021, 74.0% of babies were exclusively or fully breastfed at </w:t>
      </w:r>
      <w:r>
        <w:t>two</w:t>
      </w:r>
      <w:r w:rsidRPr="00E47714">
        <w:t xml:space="preserve"> weeks of age, a drop from 77.6% in 2018. The rate of partial breastfeeding (breastmilk and breastmilk </w:t>
      </w:r>
      <w:r w:rsidRPr="00E47714">
        <w:lastRenderedPageBreak/>
        <w:t xml:space="preserve">substitute/infant formula) increased during this time, from 15.8% of all babies being partially breastfed in 2018 to 19.1% in 2021. </w:t>
      </w:r>
    </w:p>
    <w:p w14:paraId="198B195C" w14:textId="77777777" w:rsidR="00C66A54" w:rsidRDefault="00C66A54" w:rsidP="00183828"/>
    <w:p w14:paraId="67BD90DF" w14:textId="5D984652" w:rsidR="00183828" w:rsidRPr="00E47714" w:rsidRDefault="00183828" w:rsidP="00183828">
      <w:r w:rsidRPr="00E47714">
        <w:fldChar w:fldCharType="begin"/>
      </w:r>
      <w:r w:rsidRPr="00E47714">
        <w:instrText xml:space="preserve"> REF _Ref166834876 \h  \* MERGEFORMAT </w:instrText>
      </w:r>
      <w:r w:rsidRPr="00E47714">
        <w:fldChar w:fldCharType="separate"/>
      </w:r>
      <w:r w:rsidR="009A6F87" w:rsidRPr="00E47714">
        <w:t xml:space="preserve">Figure </w:t>
      </w:r>
      <w:r w:rsidR="009A6F87">
        <w:t>15</w:t>
      </w:r>
      <w:r w:rsidRPr="00E47714">
        <w:fldChar w:fldCharType="end"/>
      </w:r>
      <w:r w:rsidRPr="00E47714">
        <w:t xml:space="preserve"> shows the breastfeeding status at </w:t>
      </w:r>
      <w:r>
        <w:t>two</w:t>
      </w:r>
      <w:r w:rsidRPr="00E47714">
        <w:t xml:space="preserve"> weeks of age in 2021, by baby’s ethnic group. </w:t>
      </w:r>
    </w:p>
    <w:p w14:paraId="6E6BA508" w14:textId="77777777" w:rsidR="00183828" w:rsidRPr="00E47714" w:rsidRDefault="00183828" w:rsidP="00C66A54">
      <w:pPr>
        <w:pStyle w:val="Bullet"/>
      </w:pPr>
      <w:r w:rsidRPr="00E47714">
        <w:t>Māori babies: 72.7% were exclusively or fully breastfed, 16.8% were partially breastfed and 10.6% were artificially fed (</w:t>
      </w:r>
      <w:r>
        <w:t xml:space="preserve">with </w:t>
      </w:r>
      <w:r w:rsidRPr="00E47714">
        <w:t>a breastmilk substitute</w:t>
      </w:r>
      <w:r>
        <w:t xml:space="preserve"> or </w:t>
      </w:r>
      <w:r w:rsidRPr="00E47714">
        <w:t>infant formula).</w:t>
      </w:r>
    </w:p>
    <w:p w14:paraId="32A724EF" w14:textId="77777777" w:rsidR="00183828" w:rsidRPr="00E47714" w:rsidRDefault="00183828" w:rsidP="00C66A54">
      <w:pPr>
        <w:pStyle w:val="Bullet"/>
      </w:pPr>
      <w:r w:rsidRPr="00E47714">
        <w:t>Pacific babies: 66.6% were exclusively or fully breastfed, 23.6% were partially breastfed and 9.7% were artificially fed.</w:t>
      </w:r>
    </w:p>
    <w:p w14:paraId="5140B692" w14:textId="77777777" w:rsidR="00183828" w:rsidRPr="00E47714" w:rsidRDefault="00183828" w:rsidP="00C66A54">
      <w:pPr>
        <w:pStyle w:val="Bullet"/>
      </w:pPr>
      <w:r w:rsidRPr="00E47714">
        <w:t>Indian babies: 68.4% were exclusively or fully breastfed, 29.5% were partially breastfed and 2.0% were artificially fed.</w:t>
      </w:r>
    </w:p>
    <w:p w14:paraId="3AA8DF66" w14:textId="77777777" w:rsidR="00183828" w:rsidRPr="00E47714" w:rsidRDefault="00183828" w:rsidP="00C66A54">
      <w:pPr>
        <w:pStyle w:val="Bullet"/>
      </w:pPr>
      <w:r w:rsidRPr="00E47714">
        <w:t>Asian babies: 65.2% were exclusively or fully breastfed, 31.0% were partially breastfed and 3.7% were artificially fed.</w:t>
      </w:r>
    </w:p>
    <w:p w14:paraId="7B8F1628" w14:textId="77777777" w:rsidR="00183828" w:rsidRPr="00E47714" w:rsidRDefault="00183828" w:rsidP="00C66A54">
      <w:pPr>
        <w:pStyle w:val="Bullet"/>
      </w:pPr>
      <w:r w:rsidRPr="00E47714">
        <w:t>European/other babies: 79.7% were exclusively or fully breastfed, 14.6% were partially breastfed and 5.7% were artificially fed.</w:t>
      </w:r>
    </w:p>
    <w:p w14:paraId="3B51EF06" w14:textId="21F4116D" w:rsidR="00183828" w:rsidRPr="00E47714" w:rsidRDefault="00183828" w:rsidP="00C66A54">
      <w:pPr>
        <w:pStyle w:val="Figure"/>
      </w:pPr>
      <w:bookmarkStart w:id="89" w:name="_Ref166834876"/>
      <w:bookmarkStart w:id="90" w:name="_Toc171330662"/>
      <w:bookmarkStart w:id="91" w:name="_Toc172104698"/>
      <w:r w:rsidRPr="00E47714">
        <w:t xml:space="preserve">Figure </w:t>
      </w:r>
      <w:fldSimple w:instr=" SEQ Figure \* ARABIC ">
        <w:r w:rsidR="009A6F87">
          <w:rPr>
            <w:noProof/>
          </w:rPr>
          <w:t>15</w:t>
        </w:r>
      </w:fldSimple>
      <w:bookmarkEnd w:id="89"/>
      <w:r w:rsidRPr="00E47714">
        <w:t xml:space="preserve">: Breastfeeding status at </w:t>
      </w:r>
      <w:r>
        <w:t>two</w:t>
      </w:r>
      <w:r w:rsidRPr="00E47714">
        <w:t xml:space="preserve"> weeks</w:t>
      </w:r>
      <w:r>
        <w:t xml:space="preserve"> of age</w:t>
      </w:r>
      <w:r w:rsidRPr="00E47714">
        <w:t>, by baby’s ethnic group (prioritised ethnicity), 2021</w:t>
      </w:r>
      <w:bookmarkEnd w:id="90"/>
      <w:bookmarkEnd w:id="91"/>
    </w:p>
    <w:p w14:paraId="514B81A2" w14:textId="77777777" w:rsidR="00183828" w:rsidRPr="00E47714" w:rsidRDefault="00183828" w:rsidP="005B127B">
      <w:pPr>
        <w:pStyle w:val="NormalWeb"/>
        <w:spacing w:before="0" w:beforeAutospacing="0" w:after="0" w:afterAutospacing="0"/>
      </w:pPr>
      <w:r w:rsidRPr="00E47714">
        <w:rPr>
          <w:noProof/>
        </w:rPr>
        <w:drawing>
          <wp:inline distT="0" distB="0" distL="0" distR="0" wp14:anchorId="3D3E7721" wp14:editId="749B5373">
            <wp:extent cx="5124450" cy="2712193"/>
            <wp:effectExtent l="0" t="0" r="0" b="0"/>
            <wp:docPr id="1823296332" name="Picture 1823296332" descr="A series of 5 time-series line charts showing the percentage of exclusive, partial, full, and artificial breastfeeding at 2-weeks for Māori, Pacific peoples, Indian, Asian, and European/other ethnicities by the baby's ethnic group. The percentage of exclusive breastfed babies at two weeks was lower in 2021 among all ethnicities groups than in previous years, while the percentage of partial breastfeeding had increased for all ethnic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32" name="Picture 1823296332" descr="A series of 5 time-series line charts showing the percentage of exclusive, partial, full, and artificial breastfeeding at 2-weeks for Māori, Pacific peoples, Indian, Asian, and European/other ethnicities by the baby's ethnic group. The percentage of exclusive breastfed babies at two weeks was lower in 2021 among all ethnicities groups than in previous years, while the percentage of partial breastfeeding had increased for all ethnic groups. "/>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147050" cy="2724154"/>
                    </a:xfrm>
                    <a:prstGeom prst="rect">
                      <a:avLst/>
                    </a:prstGeom>
                    <a:noFill/>
                    <a:ln>
                      <a:noFill/>
                    </a:ln>
                  </pic:spPr>
                </pic:pic>
              </a:graphicData>
            </a:graphic>
          </wp:inline>
        </w:drawing>
      </w:r>
    </w:p>
    <w:p w14:paraId="58B9167E" w14:textId="05DD6B3A" w:rsidR="00183828" w:rsidRDefault="00183828" w:rsidP="00183828">
      <w:pPr>
        <w:pStyle w:val="Source"/>
      </w:pPr>
      <w:r w:rsidRPr="00E47714">
        <w:rPr>
          <w:b/>
          <w:bCs/>
        </w:rPr>
        <w:t>Source:</w:t>
      </w:r>
      <w:r>
        <w:rPr>
          <w:b/>
          <w:bCs/>
        </w:rPr>
        <w:t xml:space="preserve"> </w:t>
      </w:r>
      <w:r>
        <w:fldChar w:fldCharType="begin"/>
      </w:r>
      <w:r>
        <w:instrText xml:space="preserve"> ADDIN EN.CITE &lt;EndNote&gt;&lt;Cite AuthorYear="1"&gt;&lt;Author&gt;Health NZ &lt;/Author&gt;&lt;Year&gt;2023&lt;/Year&gt;&lt;RecNum&gt;519&lt;/RecNum&gt;&lt;DisplayText&gt;Health NZ (2023e)&lt;/DisplayText&gt;&lt;record&gt;&lt;rec-number&gt;519&lt;/rec-number&gt;&lt;foreign-keys&gt;&lt;key app="EN" db-id="aaepvppzs5wtfse95vsp2wahsrtvva2vvdet" timestamp="1717462510"&gt;519&lt;/key&gt;&lt;/foreign-keys&gt;&lt;ref-type name="Web Page"&gt;12&lt;/ref-type&gt;&lt;contributors&gt;&lt;authors&gt;&lt;author&gt;Health NZ ,&lt;/author&gt;&lt;/authors&gt;&lt;/contributors&gt;&lt;titles&gt;&lt;title&gt;Report on Maternity web tool&lt;/title&gt;&lt;/titles&gt;&lt;number&gt;26 March 2024&lt;/number&gt;&lt;dates&gt;&lt;year&gt;2023&lt;/year&gt;&lt;/dates&gt;&lt;urls&gt;&lt;related-urls&gt;&lt;url&gt;tewhatuora.shinyapps.io/report-on-maternity-web-tool&lt;/url&gt;&lt;/related-urls&gt;&lt;/urls&gt;&lt;/record&gt;&lt;/Cite&gt;&lt;/EndNote&gt;</w:instrText>
      </w:r>
      <w:r>
        <w:fldChar w:fldCharType="separate"/>
      </w:r>
      <w:r>
        <w:rPr>
          <w:noProof/>
        </w:rPr>
        <w:t>Health NZ (2023e)</w:t>
      </w:r>
      <w:r>
        <w:fldChar w:fldCharType="end"/>
      </w:r>
    </w:p>
    <w:p w14:paraId="1AC622B3" w14:textId="77777777" w:rsidR="00C66A54" w:rsidRDefault="00C66A54" w:rsidP="00C66A54">
      <w:pPr>
        <w:sectPr w:rsidR="00C66A54" w:rsidSect="001C7EEF">
          <w:pgSz w:w="11907" w:h="16834" w:code="9"/>
          <w:pgMar w:top="1418" w:right="1701" w:bottom="1134" w:left="1843" w:header="284" w:footer="425" w:gutter="284"/>
          <w:cols w:space="720"/>
        </w:sectPr>
      </w:pPr>
    </w:p>
    <w:p w14:paraId="070B55CC" w14:textId="68BCE639" w:rsidR="00C66A54" w:rsidRPr="00E47714" w:rsidRDefault="00C66A54" w:rsidP="00C66A54">
      <w:pPr>
        <w:pStyle w:val="Heading1"/>
      </w:pPr>
      <w:bookmarkStart w:id="92" w:name="_Toc171603265"/>
      <w:bookmarkStart w:id="93" w:name="_Toc171944525"/>
      <w:bookmarkStart w:id="94" w:name="_Toc172104665"/>
      <w:r w:rsidRPr="00E47714">
        <w:lastRenderedPageBreak/>
        <w:t>Causes of health loss</w:t>
      </w:r>
      <w:r>
        <w:t xml:space="preserve"> - </w:t>
      </w:r>
      <w:proofErr w:type="spellStart"/>
      <w:r>
        <w:rPr>
          <w:rStyle w:val="ui-provider"/>
          <w:rFonts w:eastAsia="Arial Unicode MS"/>
        </w:rPr>
        <w:t>Ngā</w:t>
      </w:r>
      <w:proofErr w:type="spellEnd"/>
      <w:r>
        <w:rPr>
          <w:rStyle w:val="ui-provider"/>
          <w:rFonts w:eastAsia="Arial Unicode MS"/>
        </w:rPr>
        <w:t xml:space="preserve"> take </w:t>
      </w:r>
      <w:proofErr w:type="spellStart"/>
      <w:r>
        <w:rPr>
          <w:rStyle w:val="ui-provider"/>
          <w:rFonts w:eastAsia="Arial Unicode MS"/>
        </w:rPr>
        <w:t>mō</w:t>
      </w:r>
      <w:proofErr w:type="spellEnd"/>
      <w:r>
        <w:rPr>
          <w:rStyle w:val="ui-provider"/>
          <w:rFonts w:eastAsia="Arial Unicode MS"/>
        </w:rPr>
        <w:t xml:space="preserve"> </w:t>
      </w:r>
      <w:proofErr w:type="spellStart"/>
      <w:r>
        <w:rPr>
          <w:rStyle w:val="ui-provider"/>
          <w:rFonts w:eastAsia="Arial Unicode MS"/>
        </w:rPr>
        <w:t>te</w:t>
      </w:r>
      <w:proofErr w:type="spellEnd"/>
      <w:r>
        <w:rPr>
          <w:rStyle w:val="ui-provider"/>
          <w:rFonts w:eastAsia="Arial Unicode MS"/>
        </w:rPr>
        <w:t xml:space="preserve"> mate </w:t>
      </w:r>
      <w:proofErr w:type="spellStart"/>
      <w:proofErr w:type="gramStart"/>
      <w:r w:rsidR="00393829">
        <w:rPr>
          <w:rStyle w:val="ui-provider"/>
          <w:rFonts w:eastAsia="Arial Unicode MS"/>
        </w:rPr>
        <w:t>h</w:t>
      </w:r>
      <w:r>
        <w:rPr>
          <w:rStyle w:val="ui-provider"/>
          <w:rFonts w:eastAsia="Arial Unicode MS"/>
        </w:rPr>
        <w:t>auora</w:t>
      </w:r>
      <w:bookmarkEnd w:id="92"/>
      <w:bookmarkEnd w:id="93"/>
      <w:bookmarkEnd w:id="94"/>
      <w:proofErr w:type="spellEnd"/>
      <w:proofErr w:type="gramEnd"/>
    </w:p>
    <w:p w14:paraId="58E72B61" w14:textId="66095C84" w:rsidR="00C66A54" w:rsidRDefault="00C66A54" w:rsidP="00C66A54">
      <w:r w:rsidRPr="00E47714">
        <w:t xml:space="preserve">This section covers major causes of health loss, </w:t>
      </w:r>
      <w:r>
        <w:t xml:space="preserve">which </w:t>
      </w:r>
      <w:r w:rsidRPr="00E47714">
        <w:t>includ</w:t>
      </w:r>
      <w:r>
        <w:t>es</w:t>
      </w:r>
      <w:r w:rsidRPr="00E47714">
        <w:t xml:space="preserve"> both mortality (deaths) and morbidity (poor health). Many factors contribute to a population’s health loss, including demographic trends, socioeconomic disparities, risk factors, environmental factors</w:t>
      </w:r>
      <w:r>
        <w:t>,</w:t>
      </w:r>
      <w:r w:rsidRPr="00E47714">
        <w:t xml:space="preserve"> and access to health</w:t>
      </w:r>
      <w:r>
        <w:t xml:space="preserve"> </w:t>
      </w:r>
      <w:r w:rsidRPr="00E47714">
        <w:t xml:space="preserve">care. </w:t>
      </w:r>
    </w:p>
    <w:p w14:paraId="102F3462" w14:textId="77777777" w:rsidR="00C66A54" w:rsidRPr="00E47714" w:rsidRDefault="00C66A54" w:rsidP="00C66A54"/>
    <w:p w14:paraId="377811E3" w14:textId="7DF953D0" w:rsidR="00C66A54" w:rsidRDefault="00C66A54" w:rsidP="00C66A54">
      <w:r>
        <w:t>The</w:t>
      </w:r>
      <w:r w:rsidRPr="00E47714">
        <w:t xml:space="preserve"> Government</w:t>
      </w:r>
      <w:r>
        <w:t>’s</w:t>
      </w:r>
      <w:r w:rsidRPr="00E47714">
        <w:t xml:space="preserve"> priorities</w:t>
      </w:r>
      <w:r>
        <w:t xml:space="preserve"> include</w:t>
      </w:r>
      <w:r w:rsidRPr="00E47714">
        <w:t xml:space="preserve"> a focus on the 5+5 concept, responding to five non-communicable diseases: cancer, diabetes, respiratory disease, cardiovascular disease</w:t>
      </w:r>
      <w:r>
        <w:t>,</w:t>
      </w:r>
      <w:r w:rsidRPr="00E47714">
        <w:t xml:space="preserve"> and poor mental health. Together, these conditions account for around 80% of deaths from non-communicable diseases in </w:t>
      </w:r>
      <w:r>
        <w:t xml:space="preserve">Aotearoa </w:t>
      </w:r>
      <w:r w:rsidRPr="00E47714">
        <w:t xml:space="preserve">New Zealand and </w:t>
      </w:r>
      <w:r>
        <w:t xml:space="preserve">a </w:t>
      </w:r>
      <w:r w:rsidRPr="00E47714">
        <w:t xml:space="preserve">considerable </w:t>
      </w:r>
      <w:r>
        <w:t xml:space="preserve">amount of the </w:t>
      </w:r>
      <w:r w:rsidRPr="00E47714">
        <w:t>health loss New Zealanders</w:t>
      </w:r>
      <w:r>
        <w:t xml:space="preserve"> experience</w:t>
      </w:r>
      <w:r w:rsidRPr="00E47714">
        <w:t>.</w:t>
      </w:r>
    </w:p>
    <w:p w14:paraId="611145F3" w14:textId="77777777" w:rsidR="00C66A54" w:rsidRDefault="00C66A54" w:rsidP="00C66A54"/>
    <w:p w14:paraId="14530FA7" w14:textId="6EB570FD" w:rsidR="00C66A54" w:rsidRDefault="00C66A54" w:rsidP="00C66A54">
      <w:r>
        <w:t>P</w:t>
      </w:r>
      <w:r w:rsidRPr="00E47714">
        <w:t xml:space="preserve">revention of these non-communicable diseases </w:t>
      </w:r>
      <w:r>
        <w:t>can be improved by</w:t>
      </w:r>
      <w:r w:rsidRPr="00E47714">
        <w:t xml:space="preserve"> addressing five modifiable risk factors: smoking, alcohol consumption, poor nutrition, physical inactivity, and adverse social and environmental factors. Prioritising work to prevent and reduce the impact of these diseases aligns with Goal 3 of the United Nations Sustainable Development Goals (to reduce the premature mortality from non-communicable diseases through improved prevention and treatment) and the W</w:t>
      </w:r>
      <w:r>
        <w:t>HO</w:t>
      </w:r>
      <w:r w:rsidRPr="00E47714">
        <w:t>’s Global Action Plan for the Prevention and Control of Noncommunicable Diseases 2013–2030</w:t>
      </w:r>
      <w:r>
        <w:t xml:space="preserve"> </w:t>
      </w:r>
      <w:r>
        <w:fldChar w:fldCharType="begin"/>
      </w:r>
      <w:r>
        <w:instrText xml:space="preserve"> ADDIN EN.CITE &lt;EndNote&gt;&lt;Cite&gt;&lt;Author&gt;Minister of Health&lt;/Author&gt;&lt;Year&gt;2024&lt;/Year&gt;&lt;RecNum&gt;540&lt;/RecNum&gt;&lt;DisplayText&gt;(Minister of Health 2024)&lt;/DisplayText&gt;&lt;record&gt;&lt;rec-number&gt;540&lt;/rec-number&gt;&lt;foreign-keys&gt;&lt;key app="EN" db-id="aaepvppzs5wtfse95vsp2wahsrtvva2vvdet" timestamp="1719798794"&gt;540&lt;/key&gt;&lt;/foreign-keys&gt;&lt;ref-type name="Generic"&gt;13&lt;/ref-type&gt;&lt;contributors&gt;&lt;authors&gt;&lt;author&gt;Minister of Health,&lt;/author&gt;&lt;/authors&gt;&lt;/contributors&gt;&lt;titles&gt;&lt;title&gt; Government Policy Statement on Health 2024 – 2027&lt;/title&gt;&lt;/titles&gt;&lt;dates&gt;&lt;year&gt;2024&lt;/year&gt;&lt;/dates&gt;&lt;pub-location&gt;Wellington&lt;/pub-location&gt;&lt;publisher&gt;Ministry of Health&lt;/publisher&gt;&lt;urls&gt;&lt;/urls&gt;&lt;/record&gt;&lt;/Cite&gt;&lt;/EndNote&gt;</w:instrText>
      </w:r>
      <w:r>
        <w:fldChar w:fldCharType="separate"/>
      </w:r>
      <w:r>
        <w:rPr>
          <w:noProof/>
        </w:rPr>
        <w:t>(Minister of Health 2024)</w:t>
      </w:r>
      <w:r>
        <w:fldChar w:fldCharType="end"/>
      </w:r>
      <w:r w:rsidRPr="00E47714">
        <w:t xml:space="preserve">. </w:t>
      </w:r>
    </w:p>
    <w:p w14:paraId="41BC8176" w14:textId="77777777" w:rsidR="00C66A54" w:rsidRPr="00E47714" w:rsidRDefault="00C66A54" w:rsidP="00C66A54"/>
    <w:p w14:paraId="518C3982" w14:textId="77BF66E7" w:rsidR="00C66A54" w:rsidRDefault="00C66A54" w:rsidP="00C66A54">
      <w:r>
        <w:t>This</w:t>
      </w:r>
      <w:r w:rsidRPr="00E47714">
        <w:t xml:space="preserve"> report </w:t>
      </w:r>
      <w:r>
        <w:t xml:space="preserve">uses </w:t>
      </w:r>
      <w:r w:rsidRPr="00E47714">
        <w:t>information from the Global Burden of Disease (GBD) study 2021</w:t>
      </w:r>
      <w:r>
        <w:t xml:space="preserve"> to measure health loss</w:t>
      </w:r>
      <w:r w:rsidRPr="00E47714">
        <w:t xml:space="preserve">. This </w:t>
      </w:r>
      <w:r>
        <w:t>s</w:t>
      </w:r>
      <w:r w:rsidRPr="00E47714">
        <w:t>tudy draws on data from 152 countries, including Aotearoa New Zealand, and is the most comprehensive worldwide observational epidemiological study to date.</w:t>
      </w:r>
    </w:p>
    <w:p w14:paraId="04DBA05C" w14:textId="77777777" w:rsidR="00C66A54" w:rsidRPr="00E47714" w:rsidRDefault="00C66A54" w:rsidP="00C66A54"/>
    <w:p w14:paraId="0B8700C7" w14:textId="78A3A762" w:rsidR="00C66A54" w:rsidRDefault="00C66A54" w:rsidP="00C66A54">
      <w:r w:rsidRPr="00E47714">
        <w:t xml:space="preserve">The GBD </w:t>
      </w:r>
      <w:r>
        <w:t xml:space="preserve">study </w:t>
      </w:r>
      <w:r w:rsidRPr="00E47714">
        <w:t xml:space="preserve">provides a robust measure of health loss in the form of </w:t>
      </w:r>
      <w:r>
        <w:t>d</w:t>
      </w:r>
      <w:r w:rsidRPr="00E47714">
        <w:t>isability-</w:t>
      </w:r>
      <w:r>
        <w:t>a</w:t>
      </w:r>
      <w:r w:rsidRPr="00E47714">
        <w:t xml:space="preserve">djusted </w:t>
      </w:r>
      <w:r>
        <w:t>l</w:t>
      </w:r>
      <w:r w:rsidRPr="00E47714">
        <w:t xml:space="preserve">ife </w:t>
      </w:r>
      <w:r>
        <w:t>y</w:t>
      </w:r>
      <w:r w:rsidRPr="00E47714">
        <w:t>ears (DALYs). This metric quantif</w:t>
      </w:r>
      <w:r>
        <w:t>ies</w:t>
      </w:r>
      <w:r w:rsidRPr="00E47714">
        <w:t xml:space="preserve"> the overall burden of disease and injury on a population. DALYs represent the sum of years of life lost (YLLs) due to premature mortality (early death), and years lived with disability (YLDs) due to morbidity or illness</w:t>
      </w:r>
      <w:r>
        <w:t>.</w:t>
      </w:r>
      <w:r w:rsidRPr="00E47714">
        <w:rPr>
          <w:rStyle w:val="FootnoteReference"/>
          <w:rFonts w:cs="Segoe UI"/>
        </w:rPr>
        <w:footnoteReference w:id="10"/>
      </w:r>
      <w:r w:rsidRPr="00E47714">
        <w:t xml:space="preserve"> DALYs measure the gap between the ideal health of a population and </w:t>
      </w:r>
      <w:r>
        <w:t>its</w:t>
      </w:r>
      <w:r w:rsidRPr="00E47714">
        <w:t xml:space="preserve"> current health status, </w:t>
      </w:r>
      <w:proofErr w:type="gramStart"/>
      <w:r w:rsidRPr="00E47714">
        <w:t>taking into account</w:t>
      </w:r>
      <w:proofErr w:type="gramEnd"/>
      <w:r w:rsidRPr="00E47714">
        <w:t xml:space="preserve"> both mortality and morbidity.</w:t>
      </w:r>
    </w:p>
    <w:p w14:paraId="3959631F" w14:textId="77777777" w:rsidR="00C66A54" w:rsidRPr="00E47714" w:rsidRDefault="00C66A54" w:rsidP="00C66A54"/>
    <w:p w14:paraId="55358FE2" w14:textId="77777777" w:rsidR="00C66A54" w:rsidRDefault="00C66A54" w:rsidP="00C66A54">
      <w:r w:rsidRPr="00E47714">
        <w:t xml:space="preserve">One DALY represents the loss of one year of life lived in good health. </w:t>
      </w:r>
      <w:bookmarkStart w:id="95" w:name="Figure_2:_GBD_measures_of_health_loss"/>
      <w:bookmarkStart w:id="96" w:name="_bookmark4"/>
      <w:bookmarkEnd w:id="95"/>
      <w:bookmarkEnd w:id="96"/>
      <w:r w:rsidRPr="00E47714">
        <w:t xml:space="preserve">Because a DALY includes both fatal and non-fatal components, it is an important measure for assessing overall population health. It also provides a consistent basis for comparing the impact of different types of conditions within the population, across population subgroups and between locations </w:t>
      </w:r>
      <w:r>
        <w:fldChar w:fldCharType="begin"/>
      </w:r>
      <w:r>
        <w:instrText xml:space="preserve"> ADDIN EN.CITE &lt;EndNote&gt;&lt;Cite&gt;&lt;Author&gt;Ministry of Health &lt;/Author&gt;&lt;Year&gt;2020&lt;/Year&gt;&lt;RecNum&gt;426&lt;/RecNum&gt;&lt;DisplayText&gt;(Ministry of Health 2020)&lt;/DisplayText&gt;&lt;record&gt;&lt;rec-number&gt;426&lt;/rec-number&gt;&lt;foreign-keys&gt;&lt;key app="EN" db-id="aaepvppzs5wtfse95vsp2wahsrtvva2vvdet" timestamp="1716422208"&gt;426&lt;/key&gt;&lt;/foreign-keys&gt;&lt;ref-type name="Government Document"&gt;46&lt;/ref-type&gt;&lt;contributors&gt;&lt;authors&gt;&lt;author&gt;Ministry of Health ,&lt;/author&gt;&lt;/authors&gt;&lt;/contributors&gt;&lt;titles&gt;&lt;title&gt;Longer, Healthier Lives: New Zealand’s health 1990–2017&lt;/title&gt;&lt;/titles&gt;&lt;dates&gt;&lt;year&gt;2020&lt;/year&gt;&lt;/dates&gt;&lt;pub-location&gt;Wellington&lt;/pub-location&gt;&lt;publisher&gt;Ministry of Health&lt;/publisher&gt;&lt;urls&gt;&lt;related-urls&gt;&lt;url&gt;https://www.health.govt.nz/system/files/documents/publications/longer-healthier-lives-new-zealands-health-1990-2017.pdf&lt;/url&gt;&lt;/related-urls&gt;&lt;/urls&gt;&lt;/record&gt;&lt;/Cite&gt;&lt;/EndNote&gt;</w:instrText>
      </w:r>
      <w:r>
        <w:fldChar w:fldCharType="separate"/>
      </w:r>
      <w:r>
        <w:rPr>
          <w:noProof/>
        </w:rPr>
        <w:t>(Ministry of Health 2020)</w:t>
      </w:r>
      <w:r>
        <w:fldChar w:fldCharType="end"/>
      </w:r>
      <w:r w:rsidRPr="00E47714">
        <w:t>.</w:t>
      </w:r>
    </w:p>
    <w:p w14:paraId="02DDB6C9" w14:textId="77777777" w:rsidR="00C66A54" w:rsidRPr="00E47714" w:rsidRDefault="00C66A54" w:rsidP="00C66A54">
      <w:pPr>
        <w:pStyle w:val="Heading2"/>
      </w:pPr>
      <w:bookmarkStart w:id="97" w:name="_Toc171603266"/>
      <w:bookmarkStart w:id="98" w:name="_Toc171944526"/>
      <w:bookmarkStart w:id="99" w:name="_Toc172104666"/>
      <w:r>
        <w:lastRenderedPageBreak/>
        <w:t>Overview of health loss in Aotearoa New Zealand</w:t>
      </w:r>
      <w:bookmarkEnd w:id="97"/>
      <w:bookmarkEnd w:id="98"/>
      <w:bookmarkEnd w:id="99"/>
    </w:p>
    <w:p w14:paraId="0EB9DCCB" w14:textId="14AFB569" w:rsidR="00C66A54" w:rsidRDefault="00C66A54" w:rsidP="00C66A54">
      <w:r w:rsidRPr="00E47714">
        <w:t xml:space="preserve">Between 1990 and 2021, the total burden of disease (as measured by total number of DALYs) has increased by 26%. The main reason for this increase is </w:t>
      </w:r>
      <w:r>
        <w:t xml:space="preserve">that </w:t>
      </w:r>
      <w:r w:rsidRPr="00E47714">
        <w:t>Aotearoa New Zealand’s</w:t>
      </w:r>
      <w:r w:rsidRPr="000F520F">
        <w:t xml:space="preserve"> </w:t>
      </w:r>
      <w:r w:rsidRPr="00E47714">
        <w:t>population</w:t>
      </w:r>
      <w:r>
        <w:t xml:space="preserve"> is</w:t>
      </w:r>
      <w:r w:rsidRPr="00E47714">
        <w:t xml:space="preserve"> growing and ageing. The age-standardised DALY rate per 100,000 people, however, has decreased by 31% during this time. The main reason for this decrease is</w:t>
      </w:r>
      <w:r>
        <w:t xml:space="preserve"> that</w:t>
      </w:r>
      <w:r w:rsidRPr="00E47714">
        <w:t xml:space="preserve"> early deaths </w:t>
      </w:r>
      <w:r>
        <w:t xml:space="preserve">have reduced </w:t>
      </w:r>
      <w:r w:rsidRPr="00E47714">
        <w:t>(</w:t>
      </w:r>
      <w:proofErr w:type="spellStart"/>
      <w:r>
        <w:t>ie</w:t>
      </w:r>
      <w:proofErr w:type="spellEnd"/>
      <w:r>
        <w:t xml:space="preserve">, </w:t>
      </w:r>
      <w:r w:rsidRPr="00E47714">
        <w:t>mortality rates</w:t>
      </w:r>
      <w:r>
        <w:t xml:space="preserve"> have decreased</w:t>
      </w:r>
      <w:r w:rsidRPr="00E47714">
        <w:t xml:space="preserve">), resulting in a decrease in years of life lost (the age-standardised YLL rate). </w:t>
      </w:r>
    </w:p>
    <w:p w14:paraId="6B469838" w14:textId="77777777" w:rsidR="00C66A54" w:rsidRPr="00E47714" w:rsidRDefault="00C66A54" w:rsidP="00C66A54"/>
    <w:p w14:paraId="0B580BD4" w14:textId="77777777" w:rsidR="00C66A54" w:rsidRPr="00E47714" w:rsidRDefault="00C66A54" w:rsidP="00C66A54">
      <w:pPr>
        <w:rPr>
          <w:rFonts w:cs="Segoe UI"/>
        </w:rPr>
      </w:pPr>
      <w:r w:rsidRPr="00E47714">
        <w:t>Although GBD data show</w:t>
      </w:r>
      <w:r>
        <w:t>s</w:t>
      </w:r>
      <w:r w:rsidRPr="00E47714">
        <w:t xml:space="preserve"> progress in reducing health loss from early death (the age-standardised rate of YLLs), the age-standardised rate of YLDs</w:t>
      </w:r>
      <w:r>
        <w:t xml:space="preserve"> has not changed much</w:t>
      </w:r>
      <w:r w:rsidRPr="00E47714">
        <w:t>. Because of this, an increasing proportion of health loss occurs due to morbidity or illness, indicating the need for an ongoing focus on preventi</w:t>
      </w:r>
      <w:r>
        <w:t>ng</w:t>
      </w:r>
      <w:r w:rsidRPr="00E47714">
        <w:t xml:space="preserve"> disease as the population grows and ages.</w:t>
      </w:r>
    </w:p>
    <w:p w14:paraId="4BCA7159" w14:textId="77777777" w:rsidR="00C66A54" w:rsidRPr="00E47714" w:rsidRDefault="00C66A54" w:rsidP="00C66A54">
      <w:pPr>
        <w:pStyle w:val="Heading3"/>
      </w:pPr>
      <w:r w:rsidRPr="00E47714">
        <w:t>Leading causes of health loss</w:t>
      </w:r>
    </w:p>
    <w:p w14:paraId="306B390D" w14:textId="0E4A8BEA" w:rsidR="00C66A54" w:rsidRDefault="00C66A54" w:rsidP="00C66A54">
      <w:r w:rsidRPr="00E47714">
        <w:t xml:space="preserve">Non-communicable diseases (also </w:t>
      </w:r>
      <w:r w:rsidRPr="00E47714">
        <w:rPr>
          <w:color w:val="000000" w:themeColor="text1"/>
        </w:rPr>
        <w:t xml:space="preserve">known as chronic or long-term conditions) </w:t>
      </w:r>
      <w:r>
        <w:t>cause</w:t>
      </w:r>
      <w:r w:rsidRPr="00E47714">
        <w:t xml:space="preserve"> most of the health loss in Aotearoa New Zealand. According to the GBD study, the leading condition groups causing health loss in 2021 were cancers</w:t>
      </w:r>
      <w:r w:rsidRPr="00B40272">
        <w:t xml:space="preserve"> </w:t>
      </w:r>
      <w:r>
        <w:t>(</w:t>
      </w:r>
      <w:r w:rsidRPr="00E47714">
        <w:t>neoplasms), cardiovascular diseases, musculoskeletal diseases, mental disorders</w:t>
      </w:r>
      <w:r>
        <w:t>,</w:t>
      </w:r>
      <w:r w:rsidRPr="00E47714">
        <w:t xml:space="preserve"> and neurological disorders.</w:t>
      </w:r>
    </w:p>
    <w:p w14:paraId="5CE65551" w14:textId="77777777" w:rsidR="00C66A54" w:rsidRPr="00E47714" w:rsidRDefault="00C66A54" w:rsidP="00C66A54"/>
    <w:p w14:paraId="1C7879C6" w14:textId="07C30A65" w:rsidR="00C66A54" w:rsidRPr="00E47714" w:rsidRDefault="00C66A54" w:rsidP="00C66A54">
      <w:pPr>
        <w:rPr>
          <w:rFonts w:cs="Segoe UI"/>
        </w:rPr>
      </w:pPr>
      <w:r w:rsidRPr="00E47714">
        <w:fldChar w:fldCharType="begin"/>
      </w:r>
      <w:r w:rsidRPr="00E47714">
        <w:instrText xml:space="preserve"> REF _Ref167521652 \h  \* MERGEFORMAT </w:instrText>
      </w:r>
      <w:r w:rsidRPr="00E47714">
        <w:fldChar w:fldCharType="separate"/>
      </w:r>
      <w:r w:rsidR="009A6F87" w:rsidRPr="00E47714">
        <w:t xml:space="preserve">Figure </w:t>
      </w:r>
      <w:r w:rsidR="009A6F87">
        <w:t>16</w:t>
      </w:r>
      <w:r w:rsidRPr="00E47714">
        <w:fldChar w:fldCharType="end"/>
      </w:r>
      <w:r w:rsidRPr="00E47714">
        <w:t xml:space="preserve"> presents the proportion of DALYs lost according to the 2021 GBD study (showing levels 1 and 2).</w:t>
      </w:r>
      <w:r w:rsidRPr="00E47714">
        <w:rPr>
          <w:rStyle w:val="FootnoteReference"/>
          <w:rFonts w:cs="Segoe UI"/>
        </w:rPr>
        <w:footnoteReference w:id="11"/>
      </w:r>
      <w:r w:rsidRPr="00E47714">
        <w:t xml:space="preserve"> In Aotearoa New Zealand, 85% of all health loss was due to non-communicable diseases, 12% </w:t>
      </w:r>
      <w:r>
        <w:t>was</w:t>
      </w:r>
      <w:r w:rsidRPr="00E47714">
        <w:t xml:space="preserve"> due to injuries and 3% </w:t>
      </w:r>
      <w:r>
        <w:t>was</w:t>
      </w:r>
      <w:r w:rsidRPr="00E47714">
        <w:t xml:space="preserve"> due to communicable, maternal, neonatal</w:t>
      </w:r>
      <w:r>
        <w:t>,</w:t>
      </w:r>
      <w:r w:rsidRPr="00E47714">
        <w:t xml:space="preserve"> and nutritional diseases. </w:t>
      </w:r>
    </w:p>
    <w:p w14:paraId="54E4506F" w14:textId="4D51AAF5" w:rsidR="00C66A54" w:rsidRPr="00E47714" w:rsidRDefault="00C66A54" w:rsidP="00C66A54">
      <w:pPr>
        <w:pStyle w:val="Figure"/>
      </w:pPr>
      <w:bookmarkStart w:id="100" w:name="_Ref167521652"/>
      <w:bookmarkStart w:id="101" w:name="_Toc171330663"/>
      <w:bookmarkStart w:id="102" w:name="_Toc172104699"/>
      <w:r w:rsidRPr="00E47714">
        <w:lastRenderedPageBreak/>
        <w:t xml:space="preserve">Figure </w:t>
      </w:r>
      <w:fldSimple w:instr=" SEQ Figure \* ARABIC ">
        <w:r w:rsidR="009A6F87">
          <w:rPr>
            <w:noProof/>
          </w:rPr>
          <w:t>16</w:t>
        </w:r>
      </w:fldSimple>
      <w:bookmarkEnd w:id="100"/>
      <w:r w:rsidRPr="00E47714">
        <w:t xml:space="preserve">: </w:t>
      </w:r>
      <w:r w:rsidRPr="00E47714">
        <w:rPr>
          <w:rStyle w:val="ui-provider"/>
          <w:rFonts w:eastAsiaTheme="majorEastAsia"/>
        </w:rPr>
        <w:t xml:space="preserve">Proportion of disability-adjusted life years (DALYs) lost by high-level cause (GBD levels 1 </w:t>
      </w:r>
      <w:r>
        <w:rPr>
          <w:rStyle w:val="ui-provider"/>
          <w:rFonts w:eastAsiaTheme="majorEastAsia"/>
        </w:rPr>
        <w:t>and</w:t>
      </w:r>
      <w:r w:rsidRPr="00E47714">
        <w:rPr>
          <w:rStyle w:val="ui-provider"/>
          <w:rFonts w:eastAsiaTheme="majorEastAsia"/>
        </w:rPr>
        <w:t xml:space="preserve"> 2)</w:t>
      </w:r>
      <w:r>
        <w:rPr>
          <w:rStyle w:val="ui-provider"/>
          <w:rFonts w:eastAsiaTheme="majorEastAsia"/>
        </w:rPr>
        <w:t>,</w:t>
      </w:r>
      <w:r w:rsidRPr="00E47714">
        <w:rPr>
          <w:rStyle w:val="ui-provider"/>
          <w:rFonts w:eastAsiaTheme="majorEastAsia"/>
        </w:rPr>
        <w:t xml:space="preserve"> Aotearoa New Zealand, 2021</w:t>
      </w:r>
      <w:bookmarkEnd w:id="101"/>
      <w:bookmarkEnd w:id="102"/>
    </w:p>
    <w:p w14:paraId="55EE924E" w14:textId="77777777" w:rsidR="00C66A54" w:rsidRPr="00963F15" w:rsidRDefault="00C66A54" w:rsidP="00C66A54">
      <w:pPr>
        <w:rPr>
          <w:rFonts w:ascii="Times New Roman" w:hAnsi="Times New Roman"/>
          <w:sz w:val="24"/>
          <w:szCs w:val="24"/>
          <w:lang w:eastAsia="en-NZ"/>
        </w:rPr>
      </w:pPr>
      <w:r w:rsidRPr="00963F15">
        <w:rPr>
          <w:rFonts w:ascii="Times New Roman" w:hAnsi="Times New Roman"/>
          <w:noProof/>
          <w:sz w:val="24"/>
          <w:szCs w:val="24"/>
          <w:lang w:eastAsia="en-NZ"/>
        </w:rPr>
        <w:drawing>
          <wp:inline distT="0" distB="0" distL="0" distR="0" wp14:anchorId="7CF1EB2F" wp14:editId="67D85EE3">
            <wp:extent cx="3690098" cy="6451200"/>
            <wp:effectExtent l="0" t="0" r="5715" b="0"/>
            <wp:docPr id="14" name="Picture 14" descr="This graphic shows that 85% of DALYs in 2021 are attributed to non communicable diseases, which further break down into: 17% cancers, 14% cardiovascular diseases, 11% musculoskeletal disorders, 10% mental disorders, 7% neurological disorders, 6% other non-communicable diseases, 5% chronic respiratory diseases, 4% diabetes and kidney diseases, 3% sense organ diseases, 3% substance use disorders, 2% digestive diseases, and 2% skin and subcutaneous disease. Three percent of health loss comes from communicable, maternal, neonatal and nutritional diseases. And 12% of health loss comes from injuries, which breaks down into: 7% unintentional injuries, 2% self-harm and interpersonal violence, and 2% transport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graphic shows that 85% of DALYs in 2021 are attributed to non communicable diseases, which further break down into: 17% cancers, 14% cardiovascular diseases, 11% musculoskeletal disorders, 10% mental disorders, 7% neurological disorders, 6% other non-communicable diseases, 5% chronic respiratory diseases, 4% diabetes and kidney diseases, 3% sense organ diseases, 3% substance use disorders, 2% digestive diseases, and 2% skin and subcutaneous disease. Three percent of health loss comes from communicable, maternal, neonatal and nutritional diseases. And 12% of health loss comes from injuries, which breaks down into: 7% unintentional injuries, 2% self-harm and interpersonal violence, and 2% transport injuri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90098" cy="6451200"/>
                    </a:xfrm>
                    <a:prstGeom prst="rect">
                      <a:avLst/>
                    </a:prstGeom>
                    <a:noFill/>
                    <a:ln>
                      <a:noFill/>
                    </a:ln>
                  </pic:spPr>
                </pic:pic>
              </a:graphicData>
            </a:graphic>
          </wp:inline>
        </w:drawing>
      </w:r>
    </w:p>
    <w:p w14:paraId="237F86E3" w14:textId="77777777" w:rsidR="00C66A54" w:rsidRPr="00E47714" w:rsidRDefault="00C66A54" w:rsidP="00C66A54">
      <w:pPr>
        <w:pStyle w:val="Source"/>
        <w:rPr>
          <w:b/>
          <w:bCs/>
          <w:lang w:eastAsia="en-NZ"/>
        </w:rPr>
      </w:pPr>
      <w:r w:rsidRPr="00E47714">
        <w:rPr>
          <w:b/>
          <w:bCs/>
          <w:lang w:eastAsia="en-NZ"/>
        </w:rPr>
        <w:t xml:space="preserve">Source: </w:t>
      </w:r>
      <w:r>
        <w:rPr>
          <w:lang w:eastAsia="en-NZ"/>
        </w:rPr>
        <w:fldChar w:fldCharType="begin"/>
      </w:r>
      <w:r>
        <w:rPr>
          <w:lang w:eastAsia="en-NZ"/>
        </w:rPr>
        <w:instrText xml:space="preserve"> ADDIN EN.CITE &lt;EndNote&gt;&lt;Cite AuthorYear="1"&gt;&lt;Author&gt;Institute for Health Metrics and Evaluation&lt;/Author&gt;&lt;Year&gt;2024&lt;/Year&gt;&lt;RecNum&gt;427&lt;/RecNum&gt;&lt;DisplayText&gt;Institute for Health Metrics and Evaluation (2024b)&lt;/DisplayText&gt;&lt;record&gt;&lt;rec-number&gt;427&lt;/rec-number&gt;&lt;foreign-keys&gt;&lt;key app="EN" db-id="aaepvppzs5wtfse95vsp2wahsrtvva2vvdet" timestamp="1716422513"&gt;427&lt;/key&gt;&lt;/foreign-keys&gt;&lt;ref-type name="Web Page"&gt;12&lt;/ref-type&gt;&lt;contributors&gt;&lt;authors&gt;&lt;author&gt;Institute for Health Metrics and Evaluation,&lt;/author&gt;&lt;/authors&gt;&lt;/contributors&gt;&lt;titles&gt;&lt;title&gt;GBD Results&lt;/title&gt;&lt;/titles&gt;&lt;number&gt;23 May 2024&lt;/number&gt;&lt;dates&gt;&lt;year&gt;2024&lt;/year&gt;&lt;/dates&gt;&lt;pub-location&gt;Seattle, WA: Institute for Health Metrics and Evaluation&lt;/pub-location&gt;&lt;urls&gt;&lt;related-urls&gt;&lt;url&gt;vizhub.healthdata.org/gbd-results&lt;/url&gt;&lt;/related-urls&gt;&lt;/urls&gt;&lt;/record&gt;&lt;/Cite&gt;&lt;/EndNote&gt;</w:instrText>
      </w:r>
      <w:r>
        <w:rPr>
          <w:lang w:eastAsia="en-NZ"/>
        </w:rPr>
        <w:fldChar w:fldCharType="separate"/>
      </w:r>
      <w:r>
        <w:rPr>
          <w:noProof/>
          <w:lang w:eastAsia="en-NZ"/>
        </w:rPr>
        <w:t>Institute for Health Metrics and Evaluation (2024b)</w:t>
      </w:r>
      <w:r>
        <w:rPr>
          <w:lang w:eastAsia="en-NZ"/>
        </w:rPr>
        <w:fldChar w:fldCharType="end"/>
      </w:r>
    </w:p>
    <w:p w14:paraId="6E66790B" w14:textId="77777777" w:rsidR="00C66A54" w:rsidRPr="00E47714" w:rsidRDefault="00C66A54" w:rsidP="00C66A54">
      <w:pPr>
        <w:pStyle w:val="Heading3"/>
      </w:pPr>
      <w:r w:rsidRPr="00E47714">
        <w:t>Causes of health loss, early mortality and ill health</w:t>
      </w:r>
    </w:p>
    <w:p w14:paraId="6C3E9F3E" w14:textId="1B63A2E2" w:rsidR="00C66A54" w:rsidRPr="00E47714" w:rsidRDefault="00C66A54" w:rsidP="00C66A54">
      <w:pPr>
        <w:rPr>
          <w:rFonts w:cs="Segoe UI"/>
        </w:rPr>
      </w:pPr>
      <w:r w:rsidRPr="00E47714">
        <w:rPr>
          <w:lang w:eastAsia="en-NZ"/>
        </w:rPr>
        <w:fldChar w:fldCharType="begin"/>
      </w:r>
      <w:r w:rsidRPr="00E47714">
        <w:rPr>
          <w:lang w:eastAsia="en-NZ"/>
        </w:rPr>
        <w:instrText xml:space="preserve"> REF _Ref167524020 \h  \* MERGEFORMAT </w:instrText>
      </w:r>
      <w:r w:rsidRPr="00E47714">
        <w:rPr>
          <w:lang w:eastAsia="en-NZ"/>
        </w:rPr>
      </w:r>
      <w:r w:rsidRPr="00E47714">
        <w:rPr>
          <w:lang w:eastAsia="en-NZ"/>
        </w:rPr>
        <w:fldChar w:fldCharType="separate"/>
      </w:r>
      <w:r w:rsidR="009A6F87" w:rsidRPr="00E47714">
        <w:t xml:space="preserve">Figure </w:t>
      </w:r>
      <w:r w:rsidR="009A6F87">
        <w:t>17</w:t>
      </w:r>
      <w:r w:rsidRPr="00E47714">
        <w:rPr>
          <w:lang w:eastAsia="en-NZ"/>
        </w:rPr>
        <w:fldChar w:fldCharType="end"/>
      </w:r>
      <w:r>
        <w:rPr>
          <w:lang w:eastAsia="en-NZ"/>
        </w:rPr>
        <w:t xml:space="preserve"> presents</w:t>
      </w:r>
      <w:r w:rsidRPr="00E47714">
        <w:rPr>
          <w:lang w:eastAsia="en-NZ"/>
        </w:rPr>
        <w:t xml:space="preserve"> additional detail</w:t>
      </w:r>
      <w:r>
        <w:rPr>
          <w:lang w:eastAsia="en-NZ"/>
        </w:rPr>
        <w:t xml:space="preserve"> f</w:t>
      </w:r>
      <w:r w:rsidRPr="00E47714">
        <w:rPr>
          <w:lang w:eastAsia="en-NZ"/>
        </w:rPr>
        <w:t xml:space="preserve">rom the GBD study </w:t>
      </w:r>
      <w:r>
        <w:rPr>
          <w:lang w:eastAsia="en-NZ"/>
        </w:rPr>
        <w:t>on</w:t>
      </w:r>
      <w:r w:rsidRPr="00E47714">
        <w:rPr>
          <w:lang w:eastAsia="en-NZ"/>
        </w:rPr>
        <w:t xml:space="preserve"> the main conditions (level 3) affecting the wellbeing of New Zealanders. It shows the major</w:t>
      </w:r>
      <w:r w:rsidRPr="00E47714">
        <w:t xml:space="preserve"> impact of cardiovascular diseases (such as ischaemic heart disease and stroke), individual cancers (such as lung, colorectal and breast</w:t>
      </w:r>
      <w:r>
        <w:t xml:space="preserve"> cancers</w:t>
      </w:r>
      <w:r w:rsidRPr="00E47714">
        <w:t xml:space="preserve">) and musculoskeletal disorders (such as low back pain and osteoarthritis). It also shows conditions </w:t>
      </w:r>
      <w:r>
        <w:t xml:space="preserve">that </w:t>
      </w:r>
      <w:r w:rsidRPr="00E47714">
        <w:t>contribut</w:t>
      </w:r>
      <w:r>
        <w:t>e substantially</w:t>
      </w:r>
      <w:r w:rsidRPr="00E47714">
        <w:t xml:space="preserve"> to the burden of disease </w:t>
      </w:r>
      <w:r>
        <w:t>include</w:t>
      </w:r>
      <w:r w:rsidRPr="00E47714">
        <w:t xml:space="preserve"> mental disorders (such as anxiety disorders and </w:t>
      </w:r>
      <w:r w:rsidRPr="00E47714">
        <w:lastRenderedPageBreak/>
        <w:t>depressive disorders), neurological disorders (such as Alzheimer’s disease and headache disorders) and unintentional injuries (falls).</w:t>
      </w:r>
    </w:p>
    <w:p w14:paraId="396FFE4B" w14:textId="440CA31A" w:rsidR="00C66A54" w:rsidRPr="00E47714" w:rsidRDefault="00C66A54" w:rsidP="00C66A54">
      <w:pPr>
        <w:pStyle w:val="Figure"/>
      </w:pPr>
      <w:bookmarkStart w:id="103" w:name="_Ref167524020"/>
      <w:bookmarkStart w:id="104" w:name="_Toc171330664"/>
      <w:bookmarkStart w:id="105" w:name="_Toc172104700"/>
      <w:r w:rsidRPr="00E47714">
        <w:t xml:space="preserve">Figure </w:t>
      </w:r>
      <w:fldSimple w:instr=" SEQ Figure \* ARABIC ">
        <w:r w:rsidR="009A6F87">
          <w:rPr>
            <w:noProof/>
          </w:rPr>
          <w:t>17</w:t>
        </w:r>
      </w:fldSimple>
      <w:bookmarkEnd w:id="103"/>
      <w:r w:rsidRPr="00E47714">
        <w:t>: Top 10 leading causes o</w:t>
      </w:r>
      <w:r>
        <w:t xml:space="preserve">f </w:t>
      </w:r>
      <w:r w:rsidRPr="00E47714">
        <w:t xml:space="preserve">DALYs, </w:t>
      </w:r>
      <w:r>
        <w:t>years of life lost (</w:t>
      </w:r>
      <w:r w:rsidRPr="00E47714">
        <w:t>YLLs</w:t>
      </w:r>
      <w:r>
        <w:t>)</w:t>
      </w:r>
      <w:r w:rsidRPr="00E47714">
        <w:t xml:space="preserve"> and </w:t>
      </w:r>
      <w:r>
        <w:t>years lived with disability (</w:t>
      </w:r>
      <w:r w:rsidRPr="00E47714">
        <w:t>YLDs</w:t>
      </w:r>
      <w:r>
        <w:t>)</w:t>
      </w:r>
      <w:r w:rsidRPr="00E47714">
        <w:t xml:space="preserve"> </w:t>
      </w:r>
      <w:r>
        <w:t>(</w:t>
      </w:r>
      <w:r w:rsidRPr="00E47714">
        <w:t>ranked</w:t>
      </w:r>
      <w:r>
        <w:t>)</w:t>
      </w:r>
      <w:r w:rsidRPr="00E47714">
        <w:t>, GBD level 3, Aotearoa New Zealand, 2021</w:t>
      </w:r>
      <w:bookmarkEnd w:id="104"/>
      <w:bookmarkEnd w:id="105"/>
    </w:p>
    <w:p w14:paraId="187B44F6" w14:textId="77777777" w:rsidR="00C66A54" w:rsidRDefault="00C66A54" w:rsidP="005B127B">
      <w:pPr>
        <w:pStyle w:val="NormalWeb"/>
        <w:spacing w:before="0" w:beforeAutospacing="0"/>
        <w:jc w:val="center"/>
      </w:pPr>
      <w:r>
        <w:rPr>
          <w:noProof/>
        </w:rPr>
        <w:drawing>
          <wp:inline distT="0" distB="0" distL="0" distR="0" wp14:anchorId="72BD0B32" wp14:editId="76972777">
            <wp:extent cx="5124450" cy="6270156"/>
            <wp:effectExtent l="0" t="0" r="0" b="0"/>
            <wp:docPr id="16" name="Picture 16" descr="This graphic shows the 10 leading causes of health loss by DALYs, YLLs, and YLDs for level 3 causes for 2021 in New Zealand. The leading causes of health loss by DALY and percentage of DALYs were 6.7% ischaemic heart disease, 6.3% low back pain, 3.6% falls, 3.5% anxiety disorders, 3.5% stroke, 3.2% lung cancer, 3.1% Alzheimer's disease, 2.9% diabetes, 2.8% chronic obstructive pulmonary disease, and 2.6% depressive disorders. The leading causes of health loss by YLL and percentage of YLLs were 13.4% ischaemic heart disease, 6.5% lunch cancer, 5.7% stroke, 4.9% chronic obstructive pulmonary disease, 4.6% colorectal cancer, 4.4% Alzheimer's disease, 4.2% self-harm, 2.9% breast cancer, 2.8% road injuries, 2.5% chronic kidney disease. The leading causes of health loss by YLD and percentage of YLDs were 12.0% low back pain, 6.7% anxiety disorders, 5.5% falls, 5.1% depressive disorders, 4.5% headache disorders, 4.2% age-related and other hearing loss, 3.8% diabetes, 3.4% oral disorders, 3.2% osteoarthritis, and 3.0% gynaecological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graphic shows the 10 leading causes of health loss by DALYs, YLLs, and YLDs for level 3 causes for 2021 in New Zealand. The leading causes of health loss by DALY and percentage of DALYs were 6.7% ischaemic heart disease, 6.3% low back pain, 3.6% falls, 3.5% anxiety disorders, 3.5% stroke, 3.2% lung cancer, 3.1% Alzheimer's disease, 2.9% diabetes, 2.8% chronic obstructive pulmonary disease, and 2.6% depressive disorders. The leading causes of health loss by YLL and percentage of YLLs were 13.4% ischaemic heart disease, 6.5% lunch cancer, 5.7% stroke, 4.9% chronic obstructive pulmonary disease, 4.6% colorectal cancer, 4.4% Alzheimer's disease, 4.2% self-harm, 2.9% breast cancer, 2.8% road injuries, 2.5% chronic kidney disease. The leading causes of health loss by YLD and percentage of YLDs were 12.0% low back pain, 6.7% anxiety disorders, 5.5% falls, 5.1% depressive disorders, 4.5% headache disorders, 4.2% age-related and other hearing loss, 3.8% diabetes, 3.4% oral disorders, 3.2% osteoarthritis, and 3.0% gynaecological diseas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27298" cy="6273641"/>
                    </a:xfrm>
                    <a:prstGeom prst="rect">
                      <a:avLst/>
                    </a:prstGeom>
                    <a:noFill/>
                    <a:ln>
                      <a:noFill/>
                    </a:ln>
                  </pic:spPr>
                </pic:pic>
              </a:graphicData>
            </a:graphic>
          </wp:inline>
        </w:drawing>
      </w:r>
    </w:p>
    <w:p w14:paraId="4C11504E" w14:textId="77777777" w:rsidR="00C66A54" w:rsidRPr="00E47714" w:rsidRDefault="00C66A54" w:rsidP="00C66A54">
      <w:pPr>
        <w:rPr>
          <w:rFonts w:cs="Segoe UI"/>
          <w:sz w:val="20"/>
          <w:lang w:eastAsia="en-NZ"/>
        </w:rPr>
      </w:pPr>
      <w:r w:rsidRPr="00E47714">
        <w:rPr>
          <w:rFonts w:cs="Segoe UI"/>
          <w:noProof/>
          <w:sz w:val="20"/>
          <w:lang w:eastAsia="en-NZ"/>
        </w:rPr>
        <mc:AlternateContent>
          <mc:Choice Requires="wps">
            <w:drawing>
              <wp:anchor distT="0" distB="0" distL="114300" distR="114300" simplePos="0" relativeHeight="251658240" behindDoc="0" locked="0" layoutInCell="1" allowOverlap="1" wp14:anchorId="55EA9235" wp14:editId="49798208">
                <wp:simplePos x="0" y="0"/>
                <wp:positionH relativeFrom="column">
                  <wp:posOffset>2996842</wp:posOffset>
                </wp:positionH>
                <wp:positionV relativeFrom="paragraph">
                  <wp:posOffset>63500</wp:posOffset>
                </wp:positionV>
                <wp:extent cx="144000" cy="144000"/>
                <wp:effectExtent l="0" t="0" r="8890" b="889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1B83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A5186" id="Rectangle 9" o:spid="_x0000_s1026" alt="&quot;&quot;" style="position:absolute;margin-left:235.95pt;margin-top:5pt;width:11.35pt;height:1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" fillcolor="#1b83a0" stroked="f" strokeweight="2pt"/>
            </w:pict>
          </mc:Fallback>
        </mc:AlternateContent>
      </w:r>
      <w:r w:rsidRPr="00E47714">
        <w:rPr>
          <w:rFonts w:cs="Segoe UI"/>
          <w:noProof/>
          <w:sz w:val="20"/>
          <w:lang w:eastAsia="en-NZ"/>
        </w:rPr>
        <mc:AlternateContent>
          <mc:Choice Requires="wps">
            <w:drawing>
              <wp:anchor distT="45720" distB="45720" distL="114300" distR="114300" simplePos="0" relativeHeight="251658241" behindDoc="0" locked="0" layoutInCell="1" allowOverlap="1" wp14:anchorId="187A6E1C" wp14:editId="2BDEE504">
                <wp:simplePos x="0" y="0"/>
                <wp:positionH relativeFrom="column">
                  <wp:posOffset>3124476</wp:posOffset>
                </wp:positionH>
                <wp:positionV relativeFrom="paragraph">
                  <wp:posOffset>3810</wp:posOffset>
                </wp:positionV>
                <wp:extent cx="1502410" cy="28765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287655"/>
                        </a:xfrm>
                        <a:prstGeom prst="rect">
                          <a:avLst/>
                        </a:prstGeom>
                        <a:noFill/>
                        <a:ln w="9525">
                          <a:noFill/>
                          <a:miter lim="800000"/>
                          <a:headEnd/>
                          <a:tailEnd/>
                        </a:ln>
                      </wps:spPr>
                      <wps:txbx>
                        <w:txbxContent>
                          <w:p w14:paraId="488D1094" w14:textId="77777777" w:rsidR="00FE7A8A" w:rsidRPr="00EB5E53" w:rsidRDefault="00FE7A8A" w:rsidP="00C66A54">
                            <w:pPr>
                              <w:rPr>
                                <w:rFonts w:cs="Segoe UI"/>
                                <w:sz w:val="16"/>
                                <w:szCs w:val="16"/>
                              </w:rPr>
                            </w:pPr>
                            <w:r>
                              <w:rPr>
                                <w:rFonts w:cs="Segoe UI"/>
                                <w:sz w:val="16"/>
                                <w:szCs w:val="16"/>
                              </w:rPr>
                              <w:t>Non-communicable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7A6E1C" id="_x0000_t202" coordsize="21600,21600" o:spt="202" path="m,l,21600r21600,l21600,xe">
                <v:stroke joinstyle="miter"/>
                <v:path gradientshapeok="t" o:connecttype="rect"/>
              </v:shapetype>
              <v:shape id="Text Box 217" o:spid="_x0000_s1026" type="#_x0000_t202" style="position:absolute;margin-left:246pt;margin-top:.3pt;width:118.3pt;height:22.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" filled="f" stroked="f">
                <v:textbox>
                  <w:txbxContent>
                    <w:p w14:paraId="488D1094" w14:textId="77777777" w:rsidR="00FE7A8A" w:rsidRPr="00EB5E53" w:rsidRDefault="00FE7A8A" w:rsidP="00C66A54">
                      <w:pPr>
                        <w:rPr>
                          <w:rFonts w:cs="Segoe UI"/>
                          <w:sz w:val="16"/>
                          <w:szCs w:val="16"/>
                        </w:rPr>
                      </w:pPr>
                      <w:r>
                        <w:rPr>
                          <w:rFonts w:cs="Segoe UI"/>
                          <w:sz w:val="16"/>
                          <w:szCs w:val="16"/>
                        </w:rPr>
                        <w:t>Non-communicable disease</w:t>
                      </w:r>
                    </w:p>
                  </w:txbxContent>
                </v:textbox>
                <w10:wrap type="square"/>
              </v:shape>
            </w:pict>
          </mc:Fallback>
        </mc:AlternateContent>
      </w:r>
      <w:r w:rsidRPr="00E47714">
        <w:rPr>
          <w:rFonts w:cs="Segoe UI"/>
          <w:noProof/>
          <w:sz w:val="20"/>
          <w:lang w:eastAsia="en-NZ"/>
        </w:rPr>
        <mc:AlternateContent>
          <mc:Choice Requires="wps">
            <w:drawing>
              <wp:anchor distT="0" distB="0" distL="114300" distR="114300" simplePos="0" relativeHeight="251658242" behindDoc="0" locked="0" layoutInCell="1" allowOverlap="1" wp14:anchorId="210490D0" wp14:editId="557E38E2">
                <wp:simplePos x="0" y="0"/>
                <wp:positionH relativeFrom="column">
                  <wp:posOffset>4745355</wp:posOffset>
                </wp:positionH>
                <wp:positionV relativeFrom="paragraph">
                  <wp:posOffset>66040</wp:posOffset>
                </wp:positionV>
                <wp:extent cx="144000" cy="144000"/>
                <wp:effectExtent l="0" t="0" r="8890" b="889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1F80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CF8EF" id="Rectangle 13" o:spid="_x0000_s1026" alt="&quot;&quot;" style="position:absolute;margin-left:373.65pt;margin-top:5.2pt;width:11.35pt;height:11.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" fillcolor="#1f806a" stroked="f" strokeweight="2pt"/>
            </w:pict>
          </mc:Fallback>
        </mc:AlternateContent>
      </w:r>
      <w:r w:rsidRPr="00E47714">
        <w:rPr>
          <w:rFonts w:cs="Segoe UI"/>
          <w:noProof/>
          <w:sz w:val="20"/>
          <w:lang w:eastAsia="en-NZ"/>
        </w:rPr>
        <mc:AlternateContent>
          <mc:Choice Requires="wps">
            <w:drawing>
              <wp:anchor distT="45720" distB="45720" distL="114300" distR="114300" simplePos="0" relativeHeight="251658243" behindDoc="0" locked="0" layoutInCell="1" allowOverlap="1" wp14:anchorId="3B365F30" wp14:editId="2FEE9459">
                <wp:simplePos x="0" y="0"/>
                <wp:positionH relativeFrom="column">
                  <wp:posOffset>4857861</wp:posOffset>
                </wp:positionH>
                <wp:positionV relativeFrom="paragraph">
                  <wp:posOffset>4113</wp:posOffset>
                </wp:positionV>
                <wp:extent cx="540385" cy="287655"/>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87655"/>
                        </a:xfrm>
                        <a:prstGeom prst="rect">
                          <a:avLst/>
                        </a:prstGeom>
                        <a:noFill/>
                        <a:ln w="9525">
                          <a:noFill/>
                          <a:miter lim="800000"/>
                          <a:headEnd/>
                          <a:tailEnd/>
                        </a:ln>
                      </wps:spPr>
                      <wps:txbx>
                        <w:txbxContent>
                          <w:p w14:paraId="36259F39" w14:textId="77777777" w:rsidR="00FE7A8A" w:rsidRPr="00EB5E53" w:rsidRDefault="00FE7A8A" w:rsidP="00C66A54">
                            <w:pPr>
                              <w:rPr>
                                <w:rFonts w:cs="Segoe UI"/>
                                <w:sz w:val="16"/>
                                <w:szCs w:val="16"/>
                              </w:rPr>
                            </w:pPr>
                            <w:r>
                              <w:rPr>
                                <w:rFonts w:cs="Segoe UI"/>
                                <w:sz w:val="16"/>
                                <w:szCs w:val="16"/>
                              </w:rPr>
                              <w:t>Injuries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65F30" id="Text Box 24" o:spid="_x0000_s1027" type="#_x0000_t202" style="position:absolute;margin-left:382.5pt;margin-top:.3pt;width:42.55pt;height:22.6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" filled="f" stroked="f">
                <v:textbox>
                  <w:txbxContent>
                    <w:p w14:paraId="36259F39" w14:textId="77777777" w:rsidR="00FE7A8A" w:rsidRPr="00EB5E53" w:rsidRDefault="00FE7A8A" w:rsidP="00C66A54">
                      <w:pPr>
                        <w:rPr>
                          <w:rFonts w:cs="Segoe UI"/>
                          <w:sz w:val="16"/>
                          <w:szCs w:val="16"/>
                        </w:rPr>
                      </w:pPr>
                      <w:r>
                        <w:rPr>
                          <w:rFonts w:cs="Segoe UI"/>
                          <w:sz w:val="16"/>
                          <w:szCs w:val="16"/>
                        </w:rPr>
                        <w:t>Injuries</w:t>
                      </w:r>
                    </w:p>
                  </w:txbxContent>
                </v:textbox>
                <w10:wrap type="square"/>
              </v:shape>
            </w:pict>
          </mc:Fallback>
        </mc:AlternateContent>
      </w:r>
    </w:p>
    <w:p w14:paraId="4C745BBD" w14:textId="77777777" w:rsidR="00C66A54" w:rsidRPr="00E47714" w:rsidRDefault="00C66A54" w:rsidP="00C66A54">
      <w:pPr>
        <w:pStyle w:val="Source"/>
        <w:rPr>
          <w:rFonts w:cs="Segoe UI"/>
          <w:lang w:eastAsia="en-NZ"/>
        </w:rPr>
      </w:pPr>
      <w:r w:rsidRPr="00E47714">
        <w:rPr>
          <w:lang w:eastAsia="en-NZ"/>
        </w:rPr>
        <w:t xml:space="preserve">Note: COPD </w:t>
      </w:r>
      <w:r>
        <w:rPr>
          <w:lang w:eastAsia="en-NZ"/>
        </w:rPr>
        <w:t>=</w:t>
      </w:r>
      <w:r w:rsidRPr="00E47714">
        <w:rPr>
          <w:lang w:eastAsia="en-NZ"/>
        </w:rPr>
        <w:t xml:space="preserve"> chronic obstructive pulmonary disease.</w:t>
      </w:r>
    </w:p>
    <w:p w14:paraId="26F042D8" w14:textId="77777777" w:rsidR="00C66A54" w:rsidRPr="00E47714" w:rsidRDefault="00C66A54" w:rsidP="00C66A54">
      <w:pPr>
        <w:pStyle w:val="Source"/>
        <w:rPr>
          <w:lang w:eastAsia="en-NZ"/>
        </w:rPr>
      </w:pPr>
      <w:r w:rsidRPr="00E47714">
        <w:rPr>
          <w:b/>
          <w:bCs/>
          <w:lang w:eastAsia="en-NZ"/>
        </w:rPr>
        <w:t xml:space="preserve">Source: </w:t>
      </w:r>
      <w:r>
        <w:rPr>
          <w:lang w:eastAsia="en-NZ"/>
        </w:rPr>
        <w:fldChar w:fldCharType="begin"/>
      </w:r>
      <w:r>
        <w:rPr>
          <w:lang w:eastAsia="en-NZ"/>
        </w:rPr>
        <w:instrText xml:space="preserve"> ADDIN EN.CITE &lt;EndNote&gt;&lt;Cite AuthorYear="1"&gt;&lt;Author&gt;Institute for Health Metrics and Evaluation&lt;/Author&gt;&lt;Year&gt;2024&lt;/Year&gt;&lt;RecNum&gt;427&lt;/RecNum&gt;&lt;DisplayText&gt;Institute for Health Metrics and Evaluation (2024b)&lt;/DisplayText&gt;&lt;record&gt;&lt;rec-number&gt;427&lt;/rec-number&gt;&lt;foreign-keys&gt;&lt;key app="EN" db-id="aaepvppzs5wtfse95vsp2wahsrtvva2vvdet" timestamp="1716422513"&gt;427&lt;/key&gt;&lt;/foreign-keys&gt;&lt;ref-type name="Web Page"&gt;12&lt;/ref-type&gt;&lt;contributors&gt;&lt;authors&gt;&lt;author&gt;Institute for Health Metrics and Evaluation,&lt;/author&gt;&lt;/authors&gt;&lt;/contributors&gt;&lt;titles&gt;&lt;title&gt;GBD Results&lt;/title&gt;&lt;/titles&gt;&lt;number&gt;23 May 2024&lt;/number&gt;&lt;dates&gt;&lt;year&gt;2024&lt;/year&gt;&lt;/dates&gt;&lt;pub-location&gt;Seattle, WA: Institute for Health Metrics and Evaluation&lt;/pub-location&gt;&lt;urls&gt;&lt;related-urls&gt;&lt;url&gt;vizhub.healthdata.org/gbd-results&lt;/url&gt;&lt;/related-urls&gt;&lt;/urls&gt;&lt;/record&gt;&lt;/Cite&gt;&lt;/EndNote&gt;</w:instrText>
      </w:r>
      <w:r>
        <w:rPr>
          <w:lang w:eastAsia="en-NZ"/>
        </w:rPr>
        <w:fldChar w:fldCharType="separate"/>
      </w:r>
      <w:r>
        <w:rPr>
          <w:noProof/>
          <w:lang w:eastAsia="en-NZ"/>
        </w:rPr>
        <w:t>Institute for Health Metrics and Evaluation (2024b)</w:t>
      </w:r>
      <w:r>
        <w:rPr>
          <w:lang w:eastAsia="en-NZ"/>
        </w:rPr>
        <w:fldChar w:fldCharType="end"/>
      </w:r>
    </w:p>
    <w:p w14:paraId="1BF191CA" w14:textId="77777777" w:rsidR="00C66A54" w:rsidRDefault="00C66A54" w:rsidP="00C66A54">
      <w:pPr>
        <w:pStyle w:val="Heading3"/>
        <w:sectPr w:rsidR="00C66A54" w:rsidSect="001C7EEF">
          <w:pgSz w:w="11907" w:h="16834" w:code="9"/>
          <w:pgMar w:top="1418" w:right="1701" w:bottom="1134" w:left="1843" w:header="284" w:footer="425" w:gutter="284"/>
          <w:cols w:space="720"/>
        </w:sectPr>
      </w:pPr>
    </w:p>
    <w:p w14:paraId="6A41227F" w14:textId="5FD57B8C" w:rsidR="00C66A54" w:rsidRPr="00E47714" w:rsidRDefault="00C66A54" w:rsidP="00FE7A8A">
      <w:pPr>
        <w:pStyle w:val="Heading3"/>
        <w:spacing w:before="0"/>
      </w:pPr>
      <w:r w:rsidRPr="00E47714">
        <w:lastRenderedPageBreak/>
        <w:t>Health loss across the life course</w:t>
      </w:r>
    </w:p>
    <w:p w14:paraId="5FD54DA8" w14:textId="7044452E" w:rsidR="00C66A54" w:rsidRPr="00E47714" w:rsidRDefault="00C66A54" w:rsidP="00C66A54">
      <w:pPr>
        <w:rPr>
          <w:rStyle w:val="ui-provider"/>
          <w:rFonts w:eastAsiaTheme="majorEastAsia" w:cs="Segoe UI"/>
        </w:rPr>
      </w:pPr>
      <w:r w:rsidRPr="00E47714">
        <w:rPr>
          <w:rStyle w:val="ui-provider"/>
          <w:rFonts w:eastAsiaTheme="majorEastAsia" w:cs="Segoe UI"/>
        </w:rPr>
        <w:t xml:space="preserve">The main contributors to health loss differ across the life course. </w:t>
      </w:r>
      <w:r w:rsidRPr="00E47714">
        <w:rPr>
          <w:rStyle w:val="ui-provider"/>
          <w:rFonts w:eastAsiaTheme="majorEastAsia" w:cs="Segoe UI"/>
        </w:rPr>
        <w:fldChar w:fldCharType="begin"/>
      </w:r>
      <w:r w:rsidRPr="00E47714">
        <w:rPr>
          <w:rStyle w:val="ui-provider"/>
          <w:rFonts w:eastAsiaTheme="majorEastAsia" w:cs="Segoe UI"/>
        </w:rPr>
        <w:instrText xml:space="preserve"> REF _Ref168430971 \h  \* MERGEFORMAT </w:instrText>
      </w:r>
      <w:r w:rsidRPr="00E47714">
        <w:rPr>
          <w:rStyle w:val="ui-provider"/>
          <w:rFonts w:eastAsiaTheme="majorEastAsia" w:cs="Segoe UI"/>
        </w:rPr>
      </w:r>
      <w:r w:rsidRPr="00E47714">
        <w:rPr>
          <w:rStyle w:val="ui-provider"/>
          <w:rFonts w:eastAsiaTheme="majorEastAsia" w:cs="Segoe UI"/>
        </w:rPr>
        <w:fldChar w:fldCharType="separate"/>
      </w:r>
      <w:r w:rsidR="009A6F87" w:rsidRPr="00E47714">
        <w:t xml:space="preserve">Table </w:t>
      </w:r>
      <w:r w:rsidR="009A6F87">
        <w:t>2</w:t>
      </w:r>
      <w:r w:rsidRPr="00E47714">
        <w:rPr>
          <w:rStyle w:val="ui-provider"/>
          <w:rFonts w:eastAsiaTheme="majorEastAsia" w:cs="Segoe UI"/>
        </w:rPr>
        <w:fldChar w:fldCharType="end"/>
      </w:r>
      <w:r w:rsidRPr="00E47714">
        <w:rPr>
          <w:rStyle w:val="ui-provider"/>
          <w:rFonts w:eastAsiaTheme="majorEastAsia" w:cs="Segoe UI"/>
        </w:rPr>
        <w:t xml:space="preserve"> shows the </w:t>
      </w:r>
      <w:r>
        <w:rPr>
          <w:rStyle w:val="ui-provider"/>
          <w:rFonts w:eastAsiaTheme="majorEastAsia" w:cs="Segoe UI"/>
        </w:rPr>
        <w:t>10</w:t>
      </w:r>
      <w:r w:rsidRPr="00E47714">
        <w:rPr>
          <w:rStyle w:val="ui-provider"/>
          <w:rFonts w:eastAsiaTheme="majorEastAsia" w:cs="Segoe UI"/>
        </w:rPr>
        <w:t xml:space="preserve"> leading conditions contributing to health loss </w:t>
      </w:r>
      <w:r>
        <w:rPr>
          <w:rStyle w:val="ui-provider"/>
          <w:rFonts w:eastAsiaTheme="majorEastAsia" w:cs="Segoe UI"/>
        </w:rPr>
        <w:t>for each</w:t>
      </w:r>
      <w:r w:rsidRPr="00E47714">
        <w:rPr>
          <w:rStyle w:val="ui-provider"/>
          <w:rFonts w:eastAsiaTheme="majorEastAsia" w:cs="Segoe UI"/>
        </w:rPr>
        <w:t xml:space="preserve"> age band. </w:t>
      </w:r>
    </w:p>
    <w:p w14:paraId="151118F9" w14:textId="5C704F75" w:rsidR="00C66A54" w:rsidRPr="00E47714" w:rsidRDefault="00C66A54" w:rsidP="00C66A54">
      <w:pPr>
        <w:pStyle w:val="Table"/>
      </w:pPr>
      <w:bookmarkStart w:id="106" w:name="_Ref168430971"/>
      <w:bookmarkStart w:id="107" w:name="_Toc171330690"/>
      <w:bookmarkStart w:id="108" w:name="_Toc172010449"/>
      <w:r w:rsidRPr="00E47714">
        <w:t xml:space="preserve">Table </w:t>
      </w:r>
      <w:fldSimple w:instr=" SEQ Table \* ARABIC ">
        <w:r w:rsidR="009A6F87">
          <w:rPr>
            <w:noProof/>
          </w:rPr>
          <w:t>2</w:t>
        </w:r>
      </w:fldSimple>
      <w:bookmarkEnd w:id="106"/>
      <w:r w:rsidRPr="00E47714">
        <w:t xml:space="preserve">: Top 10 leading causes of </w:t>
      </w:r>
      <w:r>
        <w:t>disability-adjusted life years (</w:t>
      </w:r>
      <w:r w:rsidRPr="00E47714">
        <w:t>DALYs</w:t>
      </w:r>
      <w:r>
        <w:t>)</w:t>
      </w:r>
      <w:r w:rsidRPr="00E47714">
        <w:t xml:space="preserve"> (ranked) by age band, GBD level 3, Aotearoa New Zealand, 2021</w:t>
      </w:r>
      <w:bookmarkEnd w:id="107"/>
      <w:bookmarkEnd w:id="108"/>
    </w:p>
    <w:tbl>
      <w:tblPr>
        <w:tblStyle w:val="ListTable3-Accent3"/>
        <w:tblW w:w="0" w:type="auto"/>
        <w:tblBorders>
          <w:top w:val="single" w:sz="4" w:space="0" w:color="A6A6A6" w:themeColor="background1" w:themeShade="A6"/>
          <w:left w:val="none" w:sz="0" w:space="0" w:color="auto"/>
          <w:bottom w:val="single" w:sz="4" w:space="0" w:color="A6A6A6" w:themeColor="background1" w:themeShade="A6"/>
          <w:right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694"/>
        <w:gridCol w:w="1429"/>
        <w:gridCol w:w="1429"/>
        <w:gridCol w:w="1564"/>
        <w:gridCol w:w="1514"/>
        <w:gridCol w:w="1449"/>
      </w:tblGrid>
      <w:tr w:rsidR="00C66A54" w:rsidRPr="00E47714" w14:paraId="311266E2" w14:textId="77777777" w:rsidTr="005B12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vMerge w:val="restart"/>
            <w:tcBorders>
              <w:top w:val="nil"/>
              <w:right w:val="none" w:sz="0" w:space="0" w:color="auto"/>
            </w:tcBorders>
            <w:shd w:val="clear" w:color="auto" w:fill="D9D9D9" w:themeFill="background1" w:themeFillShade="D9"/>
            <w:vAlign w:val="center"/>
          </w:tcPr>
          <w:p w14:paraId="4BF7D45C" w14:textId="77777777" w:rsidR="00C66A54" w:rsidRPr="00E47714" w:rsidRDefault="00C66A54" w:rsidP="00C66A54">
            <w:pPr>
              <w:pStyle w:val="TableText"/>
              <w:rPr>
                <w:rStyle w:val="ui-provider"/>
                <w:rFonts w:cs="Segoe UI"/>
              </w:rPr>
            </w:pPr>
            <w:r w:rsidRPr="00E47714">
              <w:rPr>
                <w:rStyle w:val="ui-provider"/>
                <w:rFonts w:cs="Segoe UI"/>
                <w:color w:val="auto"/>
              </w:rPr>
              <w:t>Rank</w:t>
            </w:r>
          </w:p>
        </w:tc>
        <w:tc>
          <w:tcPr>
            <w:tcW w:w="0" w:type="dxa"/>
            <w:gridSpan w:val="5"/>
            <w:tcBorders>
              <w:top w:val="nil"/>
              <w:bottom w:val="nil"/>
              <w:right w:val="nil"/>
            </w:tcBorders>
            <w:shd w:val="clear" w:color="auto" w:fill="D9D9D9" w:themeFill="background1" w:themeFillShade="D9"/>
          </w:tcPr>
          <w:p w14:paraId="7D9AA755" w14:textId="77777777" w:rsidR="00C66A54" w:rsidRPr="00E47714" w:rsidRDefault="00C66A54" w:rsidP="00C66A54">
            <w:pPr>
              <w:pStyle w:val="TableText"/>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Age (years)</w:t>
            </w:r>
          </w:p>
        </w:tc>
      </w:tr>
      <w:tr w:rsidR="00C66A54" w:rsidRPr="00E47714" w14:paraId="402B2383" w14:textId="77777777" w:rsidTr="005B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vMerge/>
            <w:tcBorders>
              <w:top w:val="nil"/>
              <w:bottom w:val="nil"/>
              <w:right w:val="none" w:sz="0" w:space="0" w:color="auto"/>
            </w:tcBorders>
            <w:shd w:val="clear" w:color="auto" w:fill="D9D9D9" w:themeFill="background1" w:themeFillShade="D9"/>
          </w:tcPr>
          <w:p w14:paraId="2A01C172" w14:textId="77777777" w:rsidR="00C66A54" w:rsidRPr="00E47714" w:rsidRDefault="00C66A54" w:rsidP="00C66A54">
            <w:pPr>
              <w:pStyle w:val="TableText"/>
              <w:rPr>
                <w:rStyle w:val="ui-provider"/>
                <w:rFonts w:cs="Segoe UI"/>
              </w:rPr>
            </w:pPr>
          </w:p>
        </w:tc>
        <w:tc>
          <w:tcPr>
            <w:tcW w:w="1657" w:type="dxa"/>
            <w:tcBorders>
              <w:top w:val="nil"/>
              <w:bottom w:val="nil"/>
            </w:tcBorders>
            <w:shd w:val="clear" w:color="auto" w:fill="D9D9D9" w:themeFill="background1" w:themeFillShade="D9"/>
          </w:tcPr>
          <w:p w14:paraId="206707FC"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rPr>
            </w:pPr>
            <w:r w:rsidRPr="00E47714">
              <w:t>&lt; 5</w:t>
            </w:r>
          </w:p>
        </w:tc>
        <w:tc>
          <w:tcPr>
            <w:tcW w:w="1658" w:type="dxa"/>
            <w:tcBorders>
              <w:top w:val="nil"/>
              <w:bottom w:val="nil"/>
            </w:tcBorders>
            <w:shd w:val="clear" w:color="auto" w:fill="D9D9D9" w:themeFill="background1" w:themeFillShade="D9"/>
          </w:tcPr>
          <w:p w14:paraId="2BAA12A9"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rPr>
            </w:pPr>
            <w:r w:rsidRPr="00E47714">
              <w:rPr>
                <w:color w:val="000000"/>
              </w:rPr>
              <w:t>5–14</w:t>
            </w:r>
          </w:p>
        </w:tc>
        <w:tc>
          <w:tcPr>
            <w:tcW w:w="1657" w:type="dxa"/>
            <w:tcBorders>
              <w:top w:val="nil"/>
              <w:bottom w:val="nil"/>
            </w:tcBorders>
            <w:shd w:val="clear" w:color="auto" w:fill="D9D9D9" w:themeFill="background1" w:themeFillShade="D9"/>
          </w:tcPr>
          <w:p w14:paraId="369A9524"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rPr>
            </w:pPr>
            <w:r w:rsidRPr="00E47714">
              <w:rPr>
                <w:color w:val="000000"/>
              </w:rPr>
              <w:t>15–49</w:t>
            </w:r>
          </w:p>
        </w:tc>
        <w:tc>
          <w:tcPr>
            <w:tcW w:w="1658" w:type="dxa"/>
            <w:tcBorders>
              <w:top w:val="nil"/>
              <w:bottom w:val="nil"/>
            </w:tcBorders>
            <w:shd w:val="clear" w:color="auto" w:fill="D9D9D9" w:themeFill="background1" w:themeFillShade="D9"/>
          </w:tcPr>
          <w:p w14:paraId="6358654F"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rPr>
            </w:pPr>
            <w:r w:rsidRPr="00E47714">
              <w:rPr>
                <w:color w:val="000000"/>
              </w:rPr>
              <w:t>50–69</w:t>
            </w:r>
          </w:p>
        </w:tc>
        <w:tc>
          <w:tcPr>
            <w:tcW w:w="1658" w:type="dxa"/>
            <w:tcBorders>
              <w:top w:val="nil"/>
              <w:bottom w:val="nil"/>
              <w:right w:val="nil"/>
            </w:tcBorders>
            <w:shd w:val="clear" w:color="auto" w:fill="D9D9D9" w:themeFill="background1" w:themeFillShade="D9"/>
          </w:tcPr>
          <w:p w14:paraId="513382BB"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rPr>
            </w:pPr>
            <w:r w:rsidRPr="00E47714">
              <w:rPr>
                <w:color w:val="000000"/>
              </w:rPr>
              <w:t>70+</w:t>
            </w:r>
          </w:p>
        </w:tc>
      </w:tr>
      <w:tr w:rsidR="00C66A54" w:rsidRPr="00E47714" w14:paraId="0FA99E8C" w14:textId="77777777" w:rsidTr="005B127B">
        <w:tc>
          <w:tcPr>
            <w:cnfStyle w:val="001000000000" w:firstRow="0" w:lastRow="0" w:firstColumn="1" w:lastColumn="0" w:oddVBand="0" w:evenVBand="0" w:oddHBand="0" w:evenHBand="0" w:firstRowFirstColumn="0" w:firstRowLastColumn="0" w:lastRowFirstColumn="0" w:lastRowLastColumn="0"/>
            <w:tcW w:w="728" w:type="dxa"/>
            <w:tcBorders>
              <w:top w:val="nil"/>
              <w:right w:val="none" w:sz="0" w:space="0" w:color="auto"/>
            </w:tcBorders>
            <w:vAlign w:val="center"/>
          </w:tcPr>
          <w:p w14:paraId="51FE41CA" w14:textId="77777777" w:rsidR="00C66A54" w:rsidRPr="00E47714" w:rsidRDefault="00C66A54" w:rsidP="00C66A54">
            <w:pPr>
              <w:pStyle w:val="TableText"/>
              <w:jc w:val="center"/>
              <w:rPr>
                <w:rStyle w:val="ui-provider"/>
                <w:rFonts w:cs="Segoe UI"/>
                <w:szCs w:val="18"/>
              </w:rPr>
            </w:pPr>
            <w:r w:rsidRPr="00E47714">
              <w:rPr>
                <w:color w:val="000000"/>
                <w:szCs w:val="18"/>
              </w:rPr>
              <w:t>1</w:t>
            </w:r>
          </w:p>
        </w:tc>
        <w:tc>
          <w:tcPr>
            <w:tcW w:w="1657" w:type="dxa"/>
            <w:tcBorders>
              <w:top w:val="nil"/>
            </w:tcBorders>
            <w:vAlign w:val="center"/>
          </w:tcPr>
          <w:p w14:paraId="222EBD20"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rFonts w:cs="Segoe UI"/>
                <w:color w:val="000000"/>
                <w:szCs w:val="18"/>
              </w:rPr>
              <w:t>Neonatal disorders (32%)</w:t>
            </w:r>
          </w:p>
        </w:tc>
        <w:tc>
          <w:tcPr>
            <w:tcW w:w="1658" w:type="dxa"/>
            <w:tcBorders>
              <w:top w:val="nil"/>
            </w:tcBorders>
            <w:vAlign w:val="center"/>
          </w:tcPr>
          <w:p w14:paraId="761A26D3"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themeColor="text1"/>
                <w:szCs w:val="18"/>
              </w:rPr>
              <w:t>Anxiety disorders (10%)</w:t>
            </w:r>
          </w:p>
        </w:tc>
        <w:tc>
          <w:tcPr>
            <w:tcW w:w="1657" w:type="dxa"/>
            <w:tcBorders>
              <w:top w:val="nil"/>
            </w:tcBorders>
            <w:vAlign w:val="center"/>
          </w:tcPr>
          <w:p w14:paraId="64506150"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Low back pain (9%)</w:t>
            </w:r>
          </w:p>
        </w:tc>
        <w:tc>
          <w:tcPr>
            <w:tcW w:w="1658" w:type="dxa"/>
            <w:tcBorders>
              <w:top w:val="nil"/>
            </w:tcBorders>
            <w:vAlign w:val="center"/>
          </w:tcPr>
          <w:p w14:paraId="7AB23338"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Low back pain (7%)</w:t>
            </w:r>
          </w:p>
        </w:tc>
        <w:tc>
          <w:tcPr>
            <w:tcW w:w="1658" w:type="dxa"/>
            <w:tcBorders>
              <w:top w:val="nil"/>
              <w:right w:val="nil"/>
            </w:tcBorders>
            <w:vAlign w:val="center"/>
          </w:tcPr>
          <w:p w14:paraId="2163E089"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themeColor="text1"/>
                <w:szCs w:val="18"/>
              </w:rPr>
              <w:t>Isch</w:t>
            </w:r>
            <w:r>
              <w:rPr>
                <w:color w:val="000000" w:themeColor="text1"/>
                <w:szCs w:val="18"/>
              </w:rPr>
              <w:t>a</w:t>
            </w:r>
            <w:r w:rsidRPr="00E47714">
              <w:rPr>
                <w:color w:val="000000" w:themeColor="text1"/>
                <w:szCs w:val="18"/>
              </w:rPr>
              <w:t>emic heart disease (12%)</w:t>
            </w:r>
          </w:p>
        </w:tc>
      </w:tr>
      <w:tr w:rsidR="00C66A54" w:rsidRPr="00E47714" w14:paraId="1D94EA90" w14:textId="77777777" w:rsidTr="005B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none" w:sz="0" w:space="0" w:color="auto"/>
              <w:bottom w:val="none" w:sz="0" w:space="0" w:color="auto"/>
              <w:right w:val="none" w:sz="0" w:space="0" w:color="auto"/>
            </w:tcBorders>
            <w:vAlign w:val="center"/>
          </w:tcPr>
          <w:p w14:paraId="79340BDD" w14:textId="77777777" w:rsidR="00C66A54" w:rsidRPr="00E47714" w:rsidRDefault="00C66A54" w:rsidP="00C66A54">
            <w:pPr>
              <w:pStyle w:val="TableText"/>
              <w:jc w:val="center"/>
              <w:rPr>
                <w:rStyle w:val="ui-provider"/>
                <w:rFonts w:cs="Segoe UI"/>
                <w:szCs w:val="18"/>
              </w:rPr>
            </w:pPr>
            <w:r w:rsidRPr="00E47714">
              <w:rPr>
                <w:color w:val="000000"/>
                <w:szCs w:val="18"/>
              </w:rPr>
              <w:t>2</w:t>
            </w:r>
          </w:p>
        </w:tc>
        <w:tc>
          <w:tcPr>
            <w:tcW w:w="1657" w:type="dxa"/>
            <w:tcBorders>
              <w:top w:val="none" w:sz="0" w:space="0" w:color="auto"/>
              <w:bottom w:val="none" w:sz="0" w:space="0" w:color="auto"/>
            </w:tcBorders>
            <w:vAlign w:val="center"/>
          </w:tcPr>
          <w:p w14:paraId="5CB82787"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rFonts w:cs="Segoe UI"/>
                <w:color w:val="000000"/>
                <w:szCs w:val="18"/>
              </w:rPr>
              <w:t>Congenital birth defects (20%)</w:t>
            </w:r>
          </w:p>
        </w:tc>
        <w:tc>
          <w:tcPr>
            <w:tcW w:w="1658" w:type="dxa"/>
            <w:tcBorders>
              <w:top w:val="none" w:sz="0" w:space="0" w:color="auto"/>
              <w:bottom w:val="none" w:sz="0" w:space="0" w:color="auto"/>
            </w:tcBorders>
            <w:vAlign w:val="center"/>
          </w:tcPr>
          <w:p w14:paraId="1FD144D4"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Asthma (9%)</w:t>
            </w:r>
          </w:p>
        </w:tc>
        <w:tc>
          <w:tcPr>
            <w:tcW w:w="1657" w:type="dxa"/>
            <w:tcBorders>
              <w:top w:val="none" w:sz="0" w:space="0" w:color="auto"/>
              <w:bottom w:val="none" w:sz="0" w:space="0" w:color="auto"/>
            </w:tcBorders>
            <w:vAlign w:val="center"/>
          </w:tcPr>
          <w:p w14:paraId="3A4A4A3D"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Anxiety disorders (8%)</w:t>
            </w:r>
          </w:p>
        </w:tc>
        <w:tc>
          <w:tcPr>
            <w:tcW w:w="1658" w:type="dxa"/>
            <w:tcBorders>
              <w:top w:val="none" w:sz="0" w:space="0" w:color="auto"/>
              <w:bottom w:val="none" w:sz="0" w:space="0" w:color="auto"/>
            </w:tcBorders>
            <w:vAlign w:val="center"/>
          </w:tcPr>
          <w:p w14:paraId="4F0EDC1A"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Isch</w:t>
            </w:r>
            <w:r>
              <w:rPr>
                <w:color w:val="000000"/>
                <w:szCs w:val="18"/>
              </w:rPr>
              <w:t>a</w:t>
            </w:r>
            <w:r w:rsidRPr="00E47714">
              <w:rPr>
                <w:color w:val="000000"/>
                <w:szCs w:val="18"/>
              </w:rPr>
              <w:t>emic heart disease (7%)</w:t>
            </w:r>
          </w:p>
        </w:tc>
        <w:tc>
          <w:tcPr>
            <w:tcW w:w="1658" w:type="dxa"/>
            <w:tcBorders>
              <w:top w:val="none" w:sz="0" w:space="0" w:color="auto"/>
              <w:bottom w:val="none" w:sz="0" w:space="0" w:color="auto"/>
              <w:right w:val="nil"/>
            </w:tcBorders>
            <w:vAlign w:val="center"/>
          </w:tcPr>
          <w:p w14:paraId="081EB867"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Alzheimer's disease and other dementias (8%)</w:t>
            </w:r>
          </w:p>
        </w:tc>
      </w:tr>
      <w:tr w:rsidR="00C66A54" w:rsidRPr="00E47714" w14:paraId="7B5D0352" w14:textId="77777777" w:rsidTr="005B127B">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vAlign w:val="center"/>
          </w:tcPr>
          <w:p w14:paraId="74F7510E" w14:textId="77777777" w:rsidR="00C66A54" w:rsidRPr="00E47714" w:rsidRDefault="00C66A54" w:rsidP="00C66A54">
            <w:pPr>
              <w:pStyle w:val="TableText"/>
              <w:jc w:val="center"/>
              <w:rPr>
                <w:rStyle w:val="ui-provider"/>
                <w:rFonts w:cs="Segoe UI"/>
                <w:szCs w:val="18"/>
              </w:rPr>
            </w:pPr>
            <w:r w:rsidRPr="00E47714">
              <w:rPr>
                <w:color w:val="000000"/>
                <w:szCs w:val="18"/>
              </w:rPr>
              <w:t>3</w:t>
            </w:r>
          </w:p>
        </w:tc>
        <w:tc>
          <w:tcPr>
            <w:tcW w:w="1657" w:type="dxa"/>
            <w:vAlign w:val="center"/>
          </w:tcPr>
          <w:p w14:paraId="4EED6F82"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rFonts w:cs="Segoe UI"/>
                <w:color w:val="000000"/>
                <w:szCs w:val="18"/>
              </w:rPr>
              <w:t>Sudden infant death syndrome (6%)</w:t>
            </w:r>
          </w:p>
        </w:tc>
        <w:tc>
          <w:tcPr>
            <w:tcW w:w="1658" w:type="dxa"/>
            <w:vAlign w:val="center"/>
          </w:tcPr>
          <w:p w14:paraId="05DBBDF3"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Dermatitis (6%)</w:t>
            </w:r>
          </w:p>
        </w:tc>
        <w:tc>
          <w:tcPr>
            <w:tcW w:w="1657" w:type="dxa"/>
            <w:vAlign w:val="center"/>
          </w:tcPr>
          <w:p w14:paraId="5A12C015"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Depressive disorders (6%)</w:t>
            </w:r>
          </w:p>
        </w:tc>
        <w:tc>
          <w:tcPr>
            <w:tcW w:w="1658" w:type="dxa"/>
            <w:vAlign w:val="center"/>
          </w:tcPr>
          <w:p w14:paraId="1C5FD74C"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Tracheal, bronchus and lung cancer (5%)</w:t>
            </w:r>
          </w:p>
        </w:tc>
        <w:tc>
          <w:tcPr>
            <w:tcW w:w="1658" w:type="dxa"/>
            <w:tcBorders>
              <w:right w:val="nil"/>
            </w:tcBorders>
            <w:vAlign w:val="center"/>
          </w:tcPr>
          <w:p w14:paraId="23D34724"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Stroke (7%)</w:t>
            </w:r>
          </w:p>
        </w:tc>
      </w:tr>
      <w:tr w:rsidR="00C66A54" w:rsidRPr="00E47714" w14:paraId="7F69A1B5" w14:textId="77777777" w:rsidTr="005B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none" w:sz="0" w:space="0" w:color="auto"/>
              <w:bottom w:val="none" w:sz="0" w:space="0" w:color="auto"/>
              <w:right w:val="none" w:sz="0" w:space="0" w:color="auto"/>
            </w:tcBorders>
            <w:vAlign w:val="center"/>
          </w:tcPr>
          <w:p w14:paraId="3A55596D" w14:textId="77777777" w:rsidR="00C66A54" w:rsidRPr="00E47714" w:rsidRDefault="00C66A54" w:rsidP="00C66A54">
            <w:pPr>
              <w:pStyle w:val="TableText"/>
              <w:jc w:val="center"/>
              <w:rPr>
                <w:rStyle w:val="ui-provider"/>
                <w:rFonts w:cs="Segoe UI"/>
                <w:szCs w:val="18"/>
              </w:rPr>
            </w:pPr>
            <w:r w:rsidRPr="00E47714">
              <w:rPr>
                <w:color w:val="000000"/>
                <w:szCs w:val="18"/>
              </w:rPr>
              <w:t>4</w:t>
            </w:r>
          </w:p>
        </w:tc>
        <w:tc>
          <w:tcPr>
            <w:tcW w:w="1657" w:type="dxa"/>
            <w:tcBorders>
              <w:top w:val="none" w:sz="0" w:space="0" w:color="auto"/>
              <w:bottom w:val="none" w:sz="0" w:space="0" w:color="auto"/>
            </w:tcBorders>
            <w:vAlign w:val="center"/>
          </w:tcPr>
          <w:p w14:paraId="77546F27"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rFonts w:cs="Segoe UI"/>
                <w:color w:val="000000"/>
                <w:szCs w:val="18"/>
              </w:rPr>
              <w:t>Foreign body (5%)</w:t>
            </w:r>
          </w:p>
        </w:tc>
        <w:tc>
          <w:tcPr>
            <w:tcW w:w="1658" w:type="dxa"/>
            <w:tcBorders>
              <w:top w:val="none" w:sz="0" w:space="0" w:color="auto"/>
              <w:bottom w:val="none" w:sz="0" w:space="0" w:color="auto"/>
            </w:tcBorders>
            <w:vAlign w:val="center"/>
          </w:tcPr>
          <w:p w14:paraId="7D393316"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Conduct disorder (6%)</w:t>
            </w:r>
          </w:p>
        </w:tc>
        <w:tc>
          <w:tcPr>
            <w:tcW w:w="1657" w:type="dxa"/>
            <w:tcBorders>
              <w:top w:val="none" w:sz="0" w:space="0" w:color="auto"/>
              <w:bottom w:val="none" w:sz="0" w:space="0" w:color="auto"/>
            </w:tcBorders>
            <w:vAlign w:val="center"/>
          </w:tcPr>
          <w:p w14:paraId="1669C004"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Self-harm (5%)</w:t>
            </w:r>
          </w:p>
        </w:tc>
        <w:tc>
          <w:tcPr>
            <w:tcW w:w="1658" w:type="dxa"/>
            <w:tcBorders>
              <w:top w:val="none" w:sz="0" w:space="0" w:color="auto"/>
              <w:bottom w:val="none" w:sz="0" w:space="0" w:color="auto"/>
            </w:tcBorders>
            <w:vAlign w:val="center"/>
          </w:tcPr>
          <w:p w14:paraId="71F81804"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Diabetes mellitus (4%)</w:t>
            </w:r>
          </w:p>
        </w:tc>
        <w:tc>
          <w:tcPr>
            <w:tcW w:w="1658" w:type="dxa"/>
            <w:tcBorders>
              <w:top w:val="none" w:sz="0" w:space="0" w:color="auto"/>
              <w:bottom w:val="none" w:sz="0" w:space="0" w:color="auto"/>
              <w:right w:val="nil"/>
            </w:tcBorders>
            <w:vAlign w:val="center"/>
          </w:tcPr>
          <w:p w14:paraId="55BE44FE"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Chronic obstructive pulmonary disease (5%)</w:t>
            </w:r>
          </w:p>
        </w:tc>
      </w:tr>
      <w:tr w:rsidR="00C66A54" w:rsidRPr="00E47714" w14:paraId="3CA20AE8" w14:textId="77777777" w:rsidTr="005B127B">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vAlign w:val="center"/>
          </w:tcPr>
          <w:p w14:paraId="126D8A01" w14:textId="77777777" w:rsidR="00C66A54" w:rsidRPr="00E47714" w:rsidRDefault="00C66A54" w:rsidP="00C66A54">
            <w:pPr>
              <w:pStyle w:val="TableText"/>
              <w:jc w:val="center"/>
              <w:rPr>
                <w:rStyle w:val="ui-provider"/>
                <w:rFonts w:cs="Segoe UI"/>
                <w:szCs w:val="18"/>
              </w:rPr>
            </w:pPr>
            <w:r w:rsidRPr="00E47714">
              <w:rPr>
                <w:color w:val="000000"/>
                <w:szCs w:val="18"/>
              </w:rPr>
              <w:t>5</w:t>
            </w:r>
          </w:p>
        </w:tc>
        <w:tc>
          <w:tcPr>
            <w:tcW w:w="1657" w:type="dxa"/>
            <w:vAlign w:val="center"/>
          </w:tcPr>
          <w:p w14:paraId="0F53F58C"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rFonts w:cs="Segoe UI"/>
                <w:color w:val="000000"/>
                <w:szCs w:val="18"/>
              </w:rPr>
              <w:t>Asthma (3%)</w:t>
            </w:r>
          </w:p>
        </w:tc>
        <w:tc>
          <w:tcPr>
            <w:tcW w:w="1658" w:type="dxa"/>
            <w:vAlign w:val="center"/>
          </w:tcPr>
          <w:p w14:paraId="22FFC3A5"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Falls (5%)</w:t>
            </w:r>
          </w:p>
        </w:tc>
        <w:tc>
          <w:tcPr>
            <w:tcW w:w="1657" w:type="dxa"/>
            <w:vAlign w:val="center"/>
          </w:tcPr>
          <w:p w14:paraId="490144DE"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Headache disorders (5%)</w:t>
            </w:r>
          </w:p>
        </w:tc>
        <w:tc>
          <w:tcPr>
            <w:tcW w:w="1658" w:type="dxa"/>
            <w:vAlign w:val="center"/>
          </w:tcPr>
          <w:p w14:paraId="50BBCDC4"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Colon and rectum cancer (3%)</w:t>
            </w:r>
          </w:p>
        </w:tc>
        <w:tc>
          <w:tcPr>
            <w:tcW w:w="1658" w:type="dxa"/>
            <w:tcBorders>
              <w:right w:val="nil"/>
            </w:tcBorders>
            <w:vAlign w:val="center"/>
          </w:tcPr>
          <w:p w14:paraId="4FD1BF3B"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Falls (4%)</w:t>
            </w:r>
          </w:p>
        </w:tc>
      </w:tr>
      <w:tr w:rsidR="00C66A54" w:rsidRPr="00E47714" w14:paraId="09D601C4" w14:textId="77777777" w:rsidTr="005B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none" w:sz="0" w:space="0" w:color="auto"/>
              <w:bottom w:val="none" w:sz="0" w:space="0" w:color="auto"/>
              <w:right w:val="none" w:sz="0" w:space="0" w:color="auto"/>
            </w:tcBorders>
            <w:vAlign w:val="center"/>
          </w:tcPr>
          <w:p w14:paraId="2F894345" w14:textId="77777777" w:rsidR="00C66A54" w:rsidRPr="00E47714" w:rsidRDefault="00C66A54" w:rsidP="00C66A54">
            <w:pPr>
              <w:pStyle w:val="TableText"/>
              <w:jc w:val="center"/>
              <w:rPr>
                <w:rStyle w:val="ui-provider"/>
                <w:rFonts w:cs="Segoe UI"/>
                <w:szCs w:val="18"/>
              </w:rPr>
            </w:pPr>
            <w:r w:rsidRPr="00E47714">
              <w:rPr>
                <w:color w:val="000000"/>
                <w:szCs w:val="18"/>
              </w:rPr>
              <w:t>6</w:t>
            </w:r>
          </w:p>
        </w:tc>
        <w:tc>
          <w:tcPr>
            <w:tcW w:w="1657" w:type="dxa"/>
            <w:tcBorders>
              <w:top w:val="none" w:sz="0" w:space="0" w:color="auto"/>
              <w:bottom w:val="none" w:sz="0" w:space="0" w:color="auto"/>
            </w:tcBorders>
            <w:vAlign w:val="center"/>
          </w:tcPr>
          <w:p w14:paraId="3FE67181"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rFonts w:cs="Segoe UI"/>
                <w:color w:val="000000"/>
                <w:szCs w:val="18"/>
              </w:rPr>
              <w:t>Dermatitis (3%)</w:t>
            </w:r>
          </w:p>
        </w:tc>
        <w:tc>
          <w:tcPr>
            <w:tcW w:w="1658" w:type="dxa"/>
            <w:tcBorders>
              <w:top w:val="none" w:sz="0" w:space="0" w:color="auto"/>
              <w:bottom w:val="none" w:sz="0" w:space="0" w:color="auto"/>
            </w:tcBorders>
            <w:vAlign w:val="center"/>
          </w:tcPr>
          <w:p w14:paraId="069D27A0"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Autism spectrum disorders (4%)</w:t>
            </w:r>
          </w:p>
        </w:tc>
        <w:tc>
          <w:tcPr>
            <w:tcW w:w="1657" w:type="dxa"/>
            <w:tcBorders>
              <w:top w:val="none" w:sz="0" w:space="0" w:color="auto"/>
              <w:bottom w:val="none" w:sz="0" w:space="0" w:color="auto"/>
            </w:tcBorders>
            <w:vAlign w:val="center"/>
          </w:tcPr>
          <w:p w14:paraId="5605DCB9"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themeColor="text1"/>
                <w:szCs w:val="18"/>
              </w:rPr>
              <w:t>Gynaecological diseases (4%)</w:t>
            </w:r>
          </w:p>
        </w:tc>
        <w:tc>
          <w:tcPr>
            <w:tcW w:w="1658" w:type="dxa"/>
            <w:tcBorders>
              <w:top w:val="none" w:sz="0" w:space="0" w:color="auto"/>
              <w:bottom w:val="none" w:sz="0" w:space="0" w:color="auto"/>
            </w:tcBorders>
            <w:vAlign w:val="center"/>
          </w:tcPr>
          <w:p w14:paraId="39F17681"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Falls (3%)</w:t>
            </w:r>
          </w:p>
        </w:tc>
        <w:tc>
          <w:tcPr>
            <w:tcW w:w="1658" w:type="dxa"/>
            <w:tcBorders>
              <w:top w:val="none" w:sz="0" w:space="0" w:color="auto"/>
              <w:bottom w:val="none" w:sz="0" w:space="0" w:color="auto"/>
              <w:right w:val="nil"/>
            </w:tcBorders>
            <w:vAlign w:val="center"/>
          </w:tcPr>
          <w:p w14:paraId="7F5C0FC5"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Tracheal, bronchus and lung cancer (4%)</w:t>
            </w:r>
          </w:p>
        </w:tc>
      </w:tr>
      <w:tr w:rsidR="00C66A54" w:rsidRPr="00E47714" w14:paraId="33FEB203" w14:textId="77777777" w:rsidTr="005B127B">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vAlign w:val="center"/>
          </w:tcPr>
          <w:p w14:paraId="720E5FCB" w14:textId="77777777" w:rsidR="00C66A54" w:rsidRPr="00E47714" w:rsidRDefault="00C66A54" w:rsidP="00C66A54">
            <w:pPr>
              <w:pStyle w:val="TableText"/>
              <w:jc w:val="center"/>
              <w:rPr>
                <w:rStyle w:val="ui-provider"/>
                <w:rFonts w:cs="Segoe UI"/>
                <w:szCs w:val="18"/>
              </w:rPr>
            </w:pPr>
            <w:r w:rsidRPr="00E47714">
              <w:rPr>
                <w:color w:val="000000"/>
                <w:szCs w:val="18"/>
              </w:rPr>
              <w:t>7</w:t>
            </w:r>
          </w:p>
        </w:tc>
        <w:tc>
          <w:tcPr>
            <w:tcW w:w="1657" w:type="dxa"/>
            <w:vAlign w:val="center"/>
          </w:tcPr>
          <w:p w14:paraId="2C7DD34D" w14:textId="77777777" w:rsidR="00C66A54" w:rsidRPr="00E47714" w:rsidRDefault="00C66A54" w:rsidP="00C66A54">
            <w:pPr>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rFonts w:cs="Segoe UI"/>
                <w:color w:val="000000" w:themeColor="text1"/>
                <w:sz w:val="18"/>
                <w:szCs w:val="18"/>
              </w:rPr>
              <w:t>Autism spectrum disorders (2%)</w:t>
            </w:r>
          </w:p>
        </w:tc>
        <w:tc>
          <w:tcPr>
            <w:tcW w:w="1658" w:type="dxa"/>
            <w:vAlign w:val="center"/>
          </w:tcPr>
          <w:p w14:paraId="722001D1"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Headache disorders (4%)</w:t>
            </w:r>
          </w:p>
        </w:tc>
        <w:tc>
          <w:tcPr>
            <w:tcW w:w="1657" w:type="dxa"/>
            <w:vAlign w:val="center"/>
          </w:tcPr>
          <w:p w14:paraId="50F2AEC1"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Road injuries (4%)</w:t>
            </w:r>
          </w:p>
        </w:tc>
        <w:tc>
          <w:tcPr>
            <w:tcW w:w="1658" w:type="dxa"/>
            <w:vAlign w:val="center"/>
          </w:tcPr>
          <w:p w14:paraId="0926F776"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Chronic obstructive pulmonary disease (3%)</w:t>
            </w:r>
          </w:p>
        </w:tc>
        <w:tc>
          <w:tcPr>
            <w:tcW w:w="1658" w:type="dxa"/>
            <w:tcBorders>
              <w:right w:val="nil"/>
            </w:tcBorders>
            <w:vAlign w:val="center"/>
          </w:tcPr>
          <w:p w14:paraId="36F01913"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Colon and rectum cancer (4%)</w:t>
            </w:r>
          </w:p>
        </w:tc>
      </w:tr>
      <w:tr w:rsidR="00C66A54" w:rsidRPr="00E47714" w14:paraId="02B84E4C" w14:textId="77777777" w:rsidTr="005B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none" w:sz="0" w:space="0" w:color="auto"/>
              <w:bottom w:val="none" w:sz="0" w:space="0" w:color="auto"/>
              <w:right w:val="none" w:sz="0" w:space="0" w:color="auto"/>
            </w:tcBorders>
            <w:vAlign w:val="center"/>
          </w:tcPr>
          <w:p w14:paraId="4CFFFB33" w14:textId="77777777" w:rsidR="00C66A54" w:rsidRPr="00E47714" w:rsidRDefault="00C66A54" w:rsidP="00C66A54">
            <w:pPr>
              <w:pStyle w:val="TableText"/>
              <w:jc w:val="center"/>
              <w:rPr>
                <w:rStyle w:val="ui-provider"/>
                <w:rFonts w:cs="Segoe UI"/>
                <w:szCs w:val="18"/>
              </w:rPr>
            </w:pPr>
            <w:r w:rsidRPr="00E47714">
              <w:rPr>
                <w:color w:val="000000"/>
                <w:szCs w:val="18"/>
              </w:rPr>
              <w:t>8</w:t>
            </w:r>
          </w:p>
        </w:tc>
        <w:tc>
          <w:tcPr>
            <w:tcW w:w="1657" w:type="dxa"/>
            <w:tcBorders>
              <w:top w:val="none" w:sz="0" w:space="0" w:color="auto"/>
              <w:bottom w:val="none" w:sz="0" w:space="0" w:color="auto"/>
            </w:tcBorders>
            <w:vAlign w:val="center"/>
          </w:tcPr>
          <w:p w14:paraId="1354B2C4" w14:textId="77777777" w:rsidR="00C66A54" w:rsidRPr="00E47714" w:rsidRDefault="00C66A54" w:rsidP="00C66A54">
            <w:pPr>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rFonts w:cs="Segoe UI"/>
                <w:color w:val="000000" w:themeColor="text1"/>
                <w:sz w:val="18"/>
                <w:szCs w:val="18"/>
              </w:rPr>
              <w:t>Drowning (2%)</w:t>
            </w:r>
          </w:p>
        </w:tc>
        <w:tc>
          <w:tcPr>
            <w:tcW w:w="1658" w:type="dxa"/>
            <w:tcBorders>
              <w:top w:val="none" w:sz="0" w:space="0" w:color="auto"/>
              <w:bottom w:val="none" w:sz="0" w:space="0" w:color="auto"/>
            </w:tcBorders>
            <w:vAlign w:val="center"/>
          </w:tcPr>
          <w:p w14:paraId="335AB783"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Viral skin diseases (4%)</w:t>
            </w:r>
          </w:p>
        </w:tc>
        <w:tc>
          <w:tcPr>
            <w:tcW w:w="1657" w:type="dxa"/>
            <w:tcBorders>
              <w:top w:val="none" w:sz="0" w:space="0" w:color="auto"/>
              <w:bottom w:val="none" w:sz="0" w:space="0" w:color="auto"/>
            </w:tcBorders>
            <w:vAlign w:val="center"/>
          </w:tcPr>
          <w:p w14:paraId="3A3ED9CF"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Falls (4%)</w:t>
            </w:r>
          </w:p>
        </w:tc>
        <w:tc>
          <w:tcPr>
            <w:tcW w:w="1658" w:type="dxa"/>
            <w:tcBorders>
              <w:top w:val="none" w:sz="0" w:space="0" w:color="auto"/>
              <w:bottom w:val="none" w:sz="0" w:space="0" w:color="auto"/>
            </w:tcBorders>
            <w:vAlign w:val="center"/>
          </w:tcPr>
          <w:p w14:paraId="18369D0A"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Osteoarthritis (3%)</w:t>
            </w:r>
          </w:p>
        </w:tc>
        <w:tc>
          <w:tcPr>
            <w:tcW w:w="1658" w:type="dxa"/>
            <w:tcBorders>
              <w:top w:val="none" w:sz="0" w:space="0" w:color="auto"/>
              <w:bottom w:val="none" w:sz="0" w:space="0" w:color="auto"/>
              <w:right w:val="nil"/>
            </w:tcBorders>
            <w:vAlign w:val="center"/>
          </w:tcPr>
          <w:p w14:paraId="02333D03"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Low back pain (3%)</w:t>
            </w:r>
          </w:p>
        </w:tc>
      </w:tr>
      <w:tr w:rsidR="00C66A54" w:rsidRPr="00E47714" w14:paraId="6FDCCEE4" w14:textId="77777777" w:rsidTr="005B127B">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vAlign w:val="center"/>
          </w:tcPr>
          <w:p w14:paraId="73A0618C" w14:textId="77777777" w:rsidR="00C66A54" w:rsidRPr="00E47714" w:rsidRDefault="00C66A54" w:rsidP="00C66A54">
            <w:pPr>
              <w:pStyle w:val="TableText"/>
              <w:jc w:val="center"/>
              <w:rPr>
                <w:rStyle w:val="ui-provider"/>
                <w:rFonts w:cs="Segoe UI"/>
                <w:szCs w:val="18"/>
              </w:rPr>
            </w:pPr>
            <w:r w:rsidRPr="00E47714">
              <w:rPr>
                <w:color w:val="000000"/>
                <w:szCs w:val="18"/>
              </w:rPr>
              <w:t>9</w:t>
            </w:r>
          </w:p>
        </w:tc>
        <w:tc>
          <w:tcPr>
            <w:tcW w:w="1657" w:type="dxa"/>
            <w:vAlign w:val="center"/>
          </w:tcPr>
          <w:p w14:paraId="6ACB2194" w14:textId="77777777" w:rsidR="00C66A54" w:rsidRPr="00E47714" w:rsidRDefault="00C66A54" w:rsidP="00C66A54">
            <w:pPr>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rFonts w:cs="Segoe UI"/>
                <w:color w:val="000000" w:themeColor="text1"/>
                <w:sz w:val="18"/>
                <w:szCs w:val="18"/>
              </w:rPr>
              <w:t>Lower respiratory infections (2%)</w:t>
            </w:r>
          </w:p>
        </w:tc>
        <w:tc>
          <w:tcPr>
            <w:tcW w:w="1658" w:type="dxa"/>
            <w:vAlign w:val="center"/>
          </w:tcPr>
          <w:p w14:paraId="0DD4085B"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Depressive disorders (4%)</w:t>
            </w:r>
          </w:p>
        </w:tc>
        <w:tc>
          <w:tcPr>
            <w:tcW w:w="1657" w:type="dxa"/>
            <w:vAlign w:val="center"/>
          </w:tcPr>
          <w:p w14:paraId="1A513997"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Alcohol use disorders (3%)</w:t>
            </w:r>
          </w:p>
        </w:tc>
        <w:tc>
          <w:tcPr>
            <w:tcW w:w="1658" w:type="dxa"/>
            <w:vAlign w:val="center"/>
          </w:tcPr>
          <w:p w14:paraId="391B27FA"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Breast cancer (3%)</w:t>
            </w:r>
          </w:p>
        </w:tc>
        <w:tc>
          <w:tcPr>
            <w:tcW w:w="1658" w:type="dxa"/>
            <w:tcBorders>
              <w:right w:val="nil"/>
            </w:tcBorders>
            <w:vAlign w:val="center"/>
          </w:tcPr>
          <w:p w14:paraId="61D97EA8" w14:textId="77777777" w:rsidR="00C66A54" w:rsidRPr="00E47714" w:rsidRDefault="00C66A54" w:rsidP="00C66A54">
            <w:pPr>
              <w:pStyle w:val="TableText"/>
              <w:jc w:val="center"/>
              <w:cnfStyle w:val="000000000000" w:firstRow="0" w:lastRow="0" w:firstColumn="0" w:lastColumn="0" w:oddVBand="0" w:evenVBand="0" w:oddHBand="0" w:evenHBand="0" w:firstRowFirstColumn="0" w:firstRowLastColumn="0" w:lastRowFirstColumn="0" w:lastRowLastColumn="0"/>
              <w:rPr>
                <w:rStyle w:val="ui-provider"/>
                <w:rFonts w:cs="Segoe UI"/>
                <w:szCs w:val="18"/>
              </w:rPr>
            </w:pPr>
            <w:r w:rsidRPr="00E47714">
              <w:rPr>
                <w:color w:val="000000"/>
                <w:szCs w:val="18"/>
              </w:rPr>
              <w:t>Diabetes mellitus (3%)</w:t>
            </w:r>
          </w:p>
        </w:tc>
      </w:tr>
      <w:tr w:rsidR="00C66A54" w:rsidRPr="00E47714" w14:paraId="03D34C88" w14:textId="77777777" w:rsidTr="005B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Borders>
              <w:top w:val="none" w:sz="0" w:space="0" w:color="auto"/>
              <w:bottom w:val="none" w:sz="0" w:space="0" w:color="auto"/>
              <w:right w:val="none" w:sz="0" w:space="0" w:color="auto"/>
            </w:tcBorders>
            <w:vAlign w:val="center"/>
          </w:tcPr>
          <w:p w14:paraId="04F9F532" w14:textId="77777777" w:rsidR="00C66A54" w:rsidRPr="00E47714" w:rsidRDefault="00C66A54" w:rsidP="00C66A54">
            <w:pPr>
              <w:pStyle w:val="TableText"/>
              <w:jc w:val="center"/>
              <w:rPr>
                <w:rStyle w:val="ui-provider"/>
                <w:rFonts w:cs="Segoe UI"/>
                <w:szCs w:val="18"/>
              </w:rPr>
            </w:pPr>
            <w:r w:rsidRPr="00E47714">
              <w:rPr>
                <w:color w:val="000000"/>
                <w:szCs w:val="18"/>
              </w:rPr>
              <w:t>10</w:t>
            </w:r>
          </w:p>
        </w:tc>
        <w:tc>
          <w:tcPr>
            <w:tcW w:w="1657" w:type="dxa"/>
            <w:tcBorders>
              <w:top w:val="none" w:sz="0" w:space="0" w:color="auto"/>
              <w:bottom w:val="none" w:sz="0" w:space="0" w:color="auto"/>
            </w:tcBorders>
            <w:vAlign w:val="center"/>
          </w:tcPr>
          <w:p w14:paraId="04403617"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rFonts w:cs="Segoe UI"/>
                <w:color w:val="000000" w:themeColor="text1"/>
                <w:szCs w:val="18"/>
              </w:rPr>
              <w:t>Upper respiratory infections (2%)</w:t>
            </w:r>
          </w:p>
        </w:tc>
        <w:tc>
          <w:tcPr>
            <w:tcW w:w="1658" w:type="dxa"/>
            <w:tcBorders>
              <w:top w:val="none" w:sz="0" w:space="0" w:color="auto"/>
              <w:bottom w:val="none" w:sz="0" w:space="0" w:color="auto"/>
            </w:tcBorders>
            <w:vAlign w:val="center"/>
          </w:tcPr>
          <w:p w14:paraId="2E67C94D"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Low back pain (4%)</w:t>
            </w:r>
          </w:p>
        </w:tc>
        <w:tc>
          <w:tcPr>
            <w:tcW w:w="1657" w:type="dxa"/>
            <w:tcBorders>
              <w:top w:val="none" w:sz="0" w:space="0" w:color="auto"/>
              <w:bottom w:val="none" w:sz="0" w:space="0" w:color="auto"/>
            </w:tcBorders>
            <w:vAlign w:val="center"/>
          </w:tcPr>
          <w:p w14:paraId="5EA26A9C"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Drug use disorders (3%)</w:t>
            </w:r>
          </w:p>
        </w:tc>
        <w:tc>
          <w:tcPr>
            <w:tcW w:w="1658" w:type="dxa"/>
            <w:tcBorders>
              <w:top w:val="none" w:sz="0" w:space="0" w:color="auto"/>
              <w:bottom w:val="none" w:sz="0" w:space="0" w:color="auto"/>
            </w:tcBorders>
            <w:vAlign w:val="center"/>
          </w:tcPr>
          <w:p w14:paraId="17E0C222"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Stroke (3%)</w:t>
            </w:r>
          </w:p>
        </w:tc>
        <w:tc>
          <w:tcPr>
            <w:tcW w:w="1658" w:type="dxa"/>
            <w:tcBorders>
              <w:top w:val="none" w:sz="0" w:space="0" w:color="auto"/>
              <w:bottom w:val="none" w:sz="0" w:space="0" w:color="auto"/>
              <w:right w:val="nil"/>
            </w:tcBorders>
            <w:vAlign w:val="center"/>
          </w:tcPr>
          <w:p w14:paraId="24845590" w14:textId="77777777" w:rsidR="00C66A54" w:rsidRPr="00E47714" w:rsidRDefault="00C66A54" w:rsidP="00C66A54">
            <w:pPr>
              <w:pStyle w:val="TableText"/>
              <w:jc w:val="center"/>
              <w:cnfStyle w:val="000000100000" w:firstRow="0" w:lastRow="0" w:firstColumn="0" w:lastColumn="0" w:oddVBand="0" w:evenVBand="0" w:oddHBand="1" w:evenHBand="0" w:firstRowFirstColumn="0" w:firstRowLastColumn="0" w:lastRowFirstColumn="0" w:lastRowLastColumn="0"/>
              <w:rPr>
                <w:rStyle w:val="ui-provider"/>
                <w:rFonts w:cs="Segoe UI"/>
                <w:szCs w:val="18"/>
              </w:rPr>
            </w:pPr>
            <w:r w:rsidRPr="00E47714">
              <w:rPr>
                <w:color w:val="000000"/>
                <w:szCs w:val="18"/>
              </w:rPr>
              <w:t>Age-related and other hearing loss (3%)</w:t>
            </w:r>
          </w:p>
        </w:tc>
      </w:tr>
    </w:tbl>
    <w:p w14:paraId="5C2BC15D" w14:textId="77777777" w:rsidR="00C66A54" w:rsidRPr="00E47714" w:rsidRDefault="00C66A54" w:rsidP="00C66A54">
      <w:pPr>
        <w:pStyle w:val="Source"/>
        <w:rPr>
          <w:rStyle w:val="ui-provider"/>
          <w:rFonts w:eastAsiaTheme="majorEastAsia" w:cs="Segoe UI"/>
        </w:rPr>
      </w:pPr>
      <w:r w:rsidRPr="00E47714">
        <w:rPr>
          <w:rStyle w:val="ui-provider"/>
          <w:rFonts w:eastAsiaTheme="majorEastAsia" w:cs="Segoe UI"/>
          <w:b/>
          <w:bCs/>
        </w:rPr>
        <w:t xml:space="preserve">Source: </w:t>
      </w:r>
      <w:r>
        <w:rPr>
          <w:rStyle w:val="ui-provider"/>
          <w:rFonts w:eastAsiaTheme="majorEastAsia" w:cs="Segoe UI"/>
        </w:rPr>
        <w:fldChar w:fldCharType="begin"/>
      </w:r>
      <w:r>
        <w:rPr>
          <w:rStyle w:val="ui-provider"/>
          <w:rFonts w:eastAsiaTheme="majorEastAsia" w:cs="Segoe UI"/>
        </w:rPr>
        <w:instrText xml:space="preserve"> ADDIN EN.CITE &lt;EndNote&gt;&lt;Cite AuthorYear="1"&gt;&lt;Author&gt;Institute for Health Metrics and Evaluation&lt;/Author&gt;&lt;Year&gt;2024&lt;/Year&gt;&lt;RecNum&gt;427&lt;/RecNum&gt;&lt;DisplayText&gt;Institute for Health Metrics and Evaluation (2024b)&lt;/DisplayText&gt;&lt;record&gt;&lt;rec-number&gt;427&lt;/rec-number&gt;&lt;foreign-keys&gt;&lt;key app="EN" db-id="aaepvppzs5wtfse95vsp2wahsrtvva2vvdet" timestamp="1716422513"&gt;427&lt;/key&gt;&lt;/foreign-keys&gt;&lt;ref-type name="Web Page"&gt;12&lt;/ref-type&gt;&lt;contributors&gt;&lt;authors&gt;&lt;author&gt;Institute for Health Metrics and Evaluation,&lt;/author&gt;&lt;/authors&gt;&lt;/contributors&gt;&lt;titles&gt;&lt;title&gt;GBD Results&lt;/title&gt;&lt;/titles&gt;&lt;number&gt;23 May 2024&lt;/number&gt;&lt;dates&gt;&lt;year&gt;2024&lt;/year&gt;&lt;/dates&gt;&lt;pub-location&gt;Seattle, WA: Institute for Health Metrics and Evaluation&lt;/pub-location&gt;&lt;urls&gt;&lt;related-urls&gt;&lt;url&gt;vizhub.healthdata.org/gbd-results&lt;/url&gt;&lt;/related-urls&gt;&lt;/urls&gt;&lt;/record&gt;&lt;/Cite&gt;&lt;/EndNote&gt;</w:instrText>
      </w:r>
      <w:r>
        <w:rPr>
          <w:rStyle w:val="ui-provider"/>
          <w:rFonts w:eastAsiaTheme="majorEastAsia" w:cs="Segoe UI"/>
        </w:rPr>
        <w:fldChar w:fldCharType="separate"/>
      </w:r>
      <w:r>
        <w:rPr>
          <w:rStyle w:val="ui-provider"/>
          <w:rFonts w:eastAsiaTheme="majorEastAsia" w:cs="Segoe UI"/>
          <w:noProof/>
        </w:rPr>
        <w:t>Institute for Health Metrics and Evaluation (2024b)</w:t>
      </w:r>
      <w:r>
        <w:rPr>
          <w:rStyle w:val="ui-provider"/>
          <w:rFonts w:eastAsiaTheme="majorEastAsia" w:cs="Segoe UI"/>
        </w:rPr>
        <w:fldChar w:fldCharType="end"/>
      </w:r>
    </w:p>
    <w:p w14:paraId="1CC0FE0A" w14:textId="77777777" w:rsidR="00FC05FA" w:rsidRDefault="00FC05FA" w:rsidP="00C66A54">
      <w:pPr>
        <w:rPr>
          <w:rStyle w:val="ui-provider"/>
          <w:rFonts w:eastAsiaTheme="majorEastAsia" w:cs="Segoe UI"/>
        </w:rPr>
        <w:sectPr w:rsidR="00FC05FA" w:rsidSect="001C7EEF">
          <w:pgSz w:w="11907" w:h="16834" w:code="9"/>
          <w:pgMar w:top="1418" w:right="1701" w:bottom="1134" w:left="1843" w:header="284" w:footer="425" w:gutter="284"/>
          <w:cols w:space="720"/>
        </w:sectPr>
      </w:pPr>
    </w:p>
    <w:p w14:paraId="15A60353" w14:textId="52C7944A" w:rsidR="00C66A54" w:rsidRPr="00E47714" w:rsidRDefault="00C66A54" w:rsidP="00C66A54">
      <w:pPr>
        <w:rPr>
          <w:rStyle w:val="ui-provider"/>
          <w:rFonts w:eastAsiaTheme="majorEastAsia" w:cs="Segoe UI"/>
        </w:rPr>
      </w:pPr>
      <w:r w:rsidRPr="00E47714">
        <w:rPr>
          <w:rStyle w:val="ui-provider"/>
          <w:rFonts w:eastAsiaTheme="majorEastAsia" w:cs="Segoe UI"/>
        </w:rPr>
        <w:lastRenderedPageBreak/>
        <w:t>Health loss in the population generally increas</w:t>
      </w:r>
      <w:r>
        <w:rPr>
          <w:rStyle w:val="ui-provider"/>
          <w:rFonts w:eastAsiaTheme="majorEastAsia" w:cs="Segoe UI"/>
        </w:rPr>
        <w:t>es</w:t>
      </w:r>
      <w:r w:rsidRPr="00E47714">
        <w:rPr>
          <w:rStyle w:val="ui-provider"/>
          <w:rFonts w:eastAsiaTheme="majorEastAsia" w:cs="Segoe UI"/>
        </w:rPr>
        <w:t xml:space="preserve"> with age. </w:t>
      </w:r>
      <w:r w:rsidRPr="00E47714">
        <w:rPr>
          <w:rStyle w:val="ui-provider"/>
          <w:rFonts w:eastAsiaTheme="majorEastAsia" w:cs="Segoe UI"/>
        </w:rPr>
        <w:fldChar w:fldCharType="begin"/>
      </w:r>
      <w:r w:rsidRPr="00E47714">
        <w:rPr>
          <w:rStyle w:val="ui-provider"/>
          <w:rFonts w:eastAsiaTheme="majorEastAsia" w:cs="Segoe UI"/>
        </w:rPr>
        <w:instrText xml:space="preserve"> REF _Ref167776101 \h  \* MERGEFORMAT </w:instrText>
      </w:r>
      <w:r w:rsidRPr="00E47714">
        <w:rPr>
          <w:rStyle w:val="ui-provider"/>
          <w:rFonts w:eastAsiaTheme="majorEastAsia" w:cs="Segoe UI"/>
        </w:rPr>
      </w:r>
      <w:r w:rsidRPr="00E47714">
        <w:rPr>
          <w:rStyle w:val="ui-provider"/>
          <w:rFonts w:eastAsiaTheme="majorEastAsia" w:cs="Segoe UI"/>
        </w:rPr>
        <w:fldChar w:fldCharType="separate"/>
      </w:r>
      <w:r w:rsidR="009A6F87" w:rsidRPr="00E47714">
        <w:t xml:space="preserve">Figure </w:t>
      </w:r>
      <w:r w:rsidR="009A6F87">
        <w:t>18</w:t>
      </w:r>
      <w:r w:rsidRPr="00E47714">
        <w:rPr>
          <w:rStyle w:val="ui-provider"/>
          <w:rFonts w:eastAsiaTheme="majorEastAsia" w:cs="Segoe UI"/>
        </w:rPr>
        <w:fldChar w:fldCharType="end"/>
      </w:r>
      <w:r w:rsidRPr="00E47714">
        <w:rPr>
          <w:rStyle w:val="ui-provider"/>
          <w:rFonts w:eastAsiaTheme="majorEastAsia" w:cs="Segoe UI"/>
        </w:rPr>
        <w:t xml:space="preserve"> presents the proportion of total health loss measured by DALYs across different age groups. In 2021, children under the age of 15 years made up around 19% of the population but accounted for 5% of total DALYs. People aged 75 and over were 7% of the population but accounted for 26% of DALYs.</w:t>
      </w:r>
    </w:p>
    <w:p w14:paraId="1CDA4844" w14:textId="23C81E2A" w:rsidR="00C66A54" w:rsidRPr="00E47714" w:rsidRDefault="00C66A54" w:rsidP="005B127B">
      <w:pPr>
        <w:pStyle w:val="Figure"/>
      </w:pPr>
      <w:bookmarkStart w:id="109" w:name="_Ref167776101"/>
      <w:bookmarkStart w:id="110" w:name="_Toc171330665"/>
      <w:bookmarkStart w:id="111" w:name="_Toc172104701"/>
      <w:r w:rsidRPr="00E47714">
        <w:t xml:space="preserve">Figure </w:t>
      </w:r>
      <w:fldSimple w:instr=" SEQ Figure \* ARABIC ">
        <w:r w:rsidR="009A6F87">
          <w:rPr>
            <w:noProof/>
          </w:rPr>
          <w:t>18</w:t>
        </w:r>
      </w:fldSimple>
      <w:bookmarkEnd w:id="109"/>
      <w:r w:rsidRPr="00E47714">
        <w:t xml:space="preserve">: Share of total </w:t>
      </w:r>
      <w:r>
        <w:t>disability-adjusted life years (</w:t>
      </w:r>
      <w:r w:rsidRPr="00E47714">
        <w:t>DALYs</w:t>
      </w:r>
      <w:r>
        <w:t>)</w:t>
      </w:r>
      <w:r w:rsidRPr="00E47714">
        <w:t xml:space="preserve"> (2021) compared with share of the 2021 estimated </w:t>
      </w:r>
      <w:r>
        <w:t xml:space="preserve">Aotearoa </w:t>
      </w:r>
      <w:r w:rsidRPr="00E47714">
        <w:t xml:space="preserve">New Zealand resident population (2018-base), by age </w:t>
      </w:r>
      <w:proofErr w:type="gramStart"/>
      <w:r w:rsidRPr="00E47714">
        <w:t>group</w:t>
      </w:r>
      <w:bookmarkEnd w:id="110"/>
      <w:bookmarkEnd w:id="111"/>
      <w:proofErr w:type="gramEnd"/>
    </w:p>
    <w:p w14:paraId="7D132C9F" w14:textId="77777777" w:rsidR="00C66A54" w:rsidRPr="00E47714" w:rsidRDefault="00C66A54" w:rsidP="00C66A54">
      <w:pPr>
        <w:rPr>
          <w:rFonts w:ascii="Times New Roman" w:hAnsi="Times New Roman"/>
          <w:sz w:val="24"/>
          <w:szCs w:val="24"/>
          <w:lang w:eastAsia="en-NZ"/>
        </w:rPr>
      </w:pPr>
      <w:r w:rsidRPr="00E47714">
        <w:rPr>
          <w:rFonts w:cs="Segoe UI"/>
          <w:noProof/>
          <w:sz w:val="20"/>
          <w:lang w:eastAsia="en-NZ"/>
        </w:rPr>
        <w:drawing>
          <wp:inline distT="0" distB="0" distL="0" distR="0" wp14:anchorId="6EBDE0FD" wp14:editId="473BD3A6">
            <wp:extent cx="5148943" cy="2574472"/>
            <wp:effectExtent l="0" t="0" r="0" b="0"/>
            <wp:docPr id="20" name="Picture 20" descr="This bar graph shows that in 2021 in New Zealand, those 75 years and over contributed to 25.8% of the DALYs and made up 6.9% of the population. Those 65-74 contributed 17.2% of DALYs and made up 9.3% of the population. Those 55-64 contributed 15.5% of DALYs and made up 12.2% of the population. Those 45-54 contributed 11.6% of DALYs and made up 12.7% of the population. Those 35-44 contributed 9.0% of DALYs and made up 12.9% of the population. Those 25-34 contributed 9.1% of DALYs and made up 14.6% of the population. Those 15-24 contributed 6.5% of DALYs and made up 12.5% of the population. Those 5-14 contributed 2.7% of DALYs and made up 13.0% of the population. Those under 5 contribute 2.6% of DALYs and made up 6.0% of th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bar graph shows that in 2021 in New Zealand, those 75 years and over contributed to 25.8% of the DALYs and made up 6.9% of the population. Those 65-74 contributed 17.2% of DALYs and made up 9.3% of the population. Those 55-64 contributed 15.5% of DALYs and made up 12.2% of the population. Those 45-54 contributed 11.6% of DALYs and made up 12.7% of the population. Those 35-44 contributed 9.0% of DALYs and made up 12.9% of the population. Those 25-34 contributed 9.1% of DALYs and made up 14.6% of the population. Those 15-24 contributed 6.5% of DALYs and made up 12.5% of the population. Those 5-14 contributed 2.7% of DALYs and made up 13.0% of the population. Those under 5 contribute 2.6% of DALYs and made up 6.0% of the populat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68186" cy="2584094"/>
                    </a:xfrm>
                    <a:prstGeom prst="rect">
                      <a:avLst/>
                    </a:prstGeom>
                    <a:noFill/>
                    <a:ln>
                      <a:noFill/>
                    </a:ln>
                  </pic:spPr>
                </pic:pic>
              </a:graphicData>
            </a:graphic>
          </wp:inline>
        </w:drawing>
      </w:r>
    </w:p>
    <w:p w14:paraId="63A3BA62" w14:textId="77777777" w:rsidR="00C66A54" w:rsidRPr="00E47714" w:rsidRDefault="00C66A54" w:rsidP="00C66A54">
      <w:pPr>
        <w:pStyle w:val="Source"/>
        <w:rPr>
          <w:b/>
        </w:rPr>
      </w:pPr>
      <w:r w:rsidRPr="00E47714">
        <w:rPr>
          <w:b/>
          <w:bCs/>
        </w:rPr>
        <w:t>Source:</w:t>
      </w:r>
      <w:r>
        <w:rPr>
          <w:b/>
          <w:bCs/>
        </w:rPr>
        <w:t xml:space="preserve"> </w:t>
      </w:r>
      <w:r>
        <w:fldChar w:fldCharType="begin"/>
      </w:r>
      <w:r>
        <w:instrText xml:space="preserve"> ADDIN EN.CITE &lt;EndNote&gt;&lt;Cite AuthorYear="1"&gt;&lt;Author&gt;Institute for Health Metrics and Evaluation&lt;/Author&gt;&lt;Year&gt;2024&lt;/Year&gt;&lt;RecNum&gt;427&lt;/RecNum&gt;&lt;DisplayText&gt;Institute for Health Metrics and Evaluation (2024b)&lt;/DisplayText&gt;&lt;record&gt;&lt;rec-number&gt;427&lt;/rec-number&gt;&lt;foreign-keys&gt;&lt;key app="EN" db-id="aaepvppzs5wtfse95vsp2wahsrtvva2vvdet" timestamp="1716422513"&gt;427&lt;/key&gt;&lt;/foreign-keys&gt;&lt;ref-type name="Web Page"&gt;12&lt;/ref-type&gt;&lt;contributors&gt;&lt;authors&gt;&lt;author&gt;Institute for Health Metrics and Evaluation,&lt;/author&gt;&lt;/authors&gt;&lt;/contributors&gt;&lt;titles&gt;&lt;title&gt;GBD Results&lt;/title&gt;&lt;/titles&gt;&lt;number&gt;23 May 2024&lt;/number&gt;&lt;dates&gt;&lt;year&gt;2024&lt;/year&gt;&lt;/dates&gt;&lt;pub-location&gt;Seattle, WA: Institute for Health Metrics and Evaluation&lt;/pub-location&gt;&lt;urls&gt;&lt;related-urls&gt;&lt;url&gt;vizhub.healthdata.org/gbd-results&lt;/url&gt;&lt;/related-urls&gt;&lt;/urls&gt;&lt;/record&gt;&lt;/Cite&gt;&lt;/EndNote&gt;</w:instrText>
      </w:r>
      <w:r>
        <w:fldChar w:fldCharType="separate"/>
      </w:r>
      <w:r>
        <w:rPr>
          <w:noProof/>
        </w:rPr>
        <w:t>Institute for Health Metrics and Evaluation (2024b)</w:t>
      </w:r>
      <w:r>
        <w:fldChar w:fldCharType="end"/>
      </w:r>
      <w:r>
        <w:t>;</w:t>
      </w:r>
      <w:r w:rsidRPr="00E47714">
        <w:t xml:space="preserve"> </w:t>
      </w:r>
      <w:r>
        <w:fldChar w:fldCharType="begin"/>
      </w:r>
      <w:r>
        <w:instrText xml:space="preserve"> ADDIN EN.CITE &lt;EndNote&gt;&lt;Cite AuthorYear="1"&gt;&lt;Author&gt;Stats NZ &lt;/Author&gt;&lt;Year&gt;2024&lt;/Year&gt;&lt;RecNum&gt;521&lt;/RecNum&gt;&lt;DisplayText&gt;Stats NZ (2024e)&lt;/DisplayText&gt;&lt;record&gt;&lt;rec-number&gt;521&lt;/rec-number&gt;&lt;foreign-keys&gt;&lt;key app="EN" db-id="aaepvppzs5wtfse95vsp2wahsrtvva2vvdet" timestamp="1717467921"&gt;521&lt;/key&gt;&lt;/foreign-keys&gt;&lt;ref-type name="Web Page"&gt;12&lt;/ref-type&gt;&lt;contributors&gt;&lt;authors&gt;&lt;author&gt;Stats NZ ,&lt;/author&gt;&lt;/authors&gt;&lt;/contributors&gt;&lt;titles&gt;&lt;title&gt;Estimated Resident Population by Age and Sex (1991+) (Annual-Dec)&lt;/title&gt;&lt;/titles&gt;&lt;number&gt;9 May 2024&lt;/number&gt;&lt;dates&gt;&lt;year&gt;2024&lt;/year&gt;&lt;/dates&gt;&lt;urls&gt;&lt;related-urls&gt;&lt;url&gt;infoshare.stats.govt.nz/Default.aspx&lt;/url&gt;&lt;/related-urls&gt;&lt;/urls&gt;&lt;/record&gt;&lt;/Cite&gt;&lt;/EndNote&gt;</w:instrText>
      </w:r>
      <w:r>
        <w:fldChar w:fldCharType="separate"/>
      </w:r>
      <w:r>
        <w:rPr>
          <w:noProof/>
        </w:rPr>
        <w:t>Stats NZ (2024e)</w:t>
      </w:r>
      <w:r>
        <w:fldChar w:fldCharType="end"/>
      </w:r>
    </w:p>
    <w:p w14:paraId="1B322DBA" w14:textId="77777777" w:rsidR="00C66A54" w:rsidRPr="00E47714" w:rsidRDefault="00C66A54" w:rsidP="00C66A54">
      <w:pPr>
        <w:pStyle w:val="Heading2"/>
      </w:pPr>
      <w:bookmarkStart w:id="112" w:name="_Toc171603267"/>
      <w:bookmarkStart w:id="113" w:name="_Toc171944527"/>
      <w:bookmarkStart w:id="114" w:name="_Toc172104667"/>
      <w:r w:rsidRPr="00E47714">
        <w:t>Cancers (neoplasms)</w:t>
      </w:r>
      <w:bookmarkEnd w:id="112"/>
      <w:bookmarkEnd w:id="113"/>
      <w:bookmarkEnd w:id="114"/>
    </w:p>
    <w:p w14:paraId="6F10F02A" w14:textId="23C1826C" w:rsidR="00C66A54" w:rsidRDefault="00C66A54" w:rsidP="00C66A54">
      <w:r w:rsidRPr="00E47714">
        <w:t>Collectively</w:t>
      </w:r>
      <w:r>
        <w:t>, all kinds of</w:t>
      </w:r>
      <w:r w:rsidRPr="00E47714">
        <w:t xml:space="preserve"> cancers are the leading cause of health loss in Aotearoa New Zealand</w:t>
      </w:r>
      <w:r>
        <w:t>. They</w:t>
      </w:r>
      <w:r w:rsidRPr="00E47714">
        <w:t xml:space="preserve"> account</w:t>
      </w:r>
      <w:r>
        <w:t>ed</w:t>
      </w:r>
      <w:r w:rsidRPr="00E47714">
        <w:t xml:space="preserve"> for 17.4% of health loss (DALYs) in 2021</w:t>
      </w:r>
      <w:r w:rsidR="00152E3D">
        <w:t xml:space="preserve"> </w:t>
      </w:r>
      <w:r>
        <w:fldChar w:fldCharType="begin"/>
      </w:r>
      <w:r>
        <w:instrText xml:space="preserve"> ADDIN EN.CITE &lt;EndNote&gt;&lt;Cite&gt;&lt;Author&gt;Institute for Health Metrics and Evaluation&lt;/Author&gt;&lt;Year&gt;2024&lt;/Year&gt;&lt;RecNum&gt;427&lt;/RecNum&gt;&lt;DisplayText&gt;(Institute for Health Metrics and Evaluation 2024b)&lt;/DisplayText&gt;&lt;record&gt;&lt;rec-number&gt;427&lt;/rec-number&gt;&lt;foreign-keys&gt;&lt;key app="EN" db-id="aaepvppzs5wtfse95vsp2wahsrtvva2vvdet" timestamp="1716422513"&gt;427&lt;/key&gt;&lt;/foreign-keys&gt;&lt;ref-type name="Web Page"&gt;12&lt;/ref-type&gt;&lt;contributors&gt;&lt;authors&gt;&lt;author&gt;Institute for Health Metrics and Evaluation,&lt;/author&gt;&lt;/authors&gt;&lt;/contributors&gt;&lt;titles&gt;&lt;title&gt;GBD Results&lt;/title&gt;&lt;/titles&gt;&lt;number&gt;23 May 2024&lt;/number&gt;&lt;dates&gt;&lt;year&gt;2024&lt;/year&gt;&lt;/dates&gt;&lt;pub-location&gt;Seattle, WA: Institute for Health Metrics and Evaluation&lt;/pub-location&gt;&lt;urls&gt;&lt;related-urls&gt;&lt;url&gt;vizhub.healthdata.org/gbd-results&lt;/url&gt;&lt;/related-urls&gt;&lt;/urls&gt;&lt;/record&gt;&lt;/Cite&gt;&lt;/EndNote&gt;</w:instrText>
      </w:r>
      <w:r>
        <w:fldChar w:fldCharType="separate"/>
      </w:r>
      <w:r>
        <w:rPr>
          <w:noProof/>
        </w:rPr>
        <w:t>(Institute for Health Metrics and Evaluation 2024b)</w:t>
      </w:r>
      <w:r>
        <w:fldChar w:fldCharType="end"/>
      </w:r>
      <w:r w:rsidRPr="00E47714">
        <w:t>. The most diagnosed cancers in Aotearoa New Zealand (excluding non-melanoma skin cancers) are breast, lung, prostate and colorectal (bowel)</w:t>
      </w:r>
      <w:r>
        <w:t xml:space="preserve"> </w:t>
      </w:r>
      <w:r>
        <w:fldChar w:fldCharType="begin"/>
      </w:r>
      <w:r>
        <w:instrText xml:space="preserve"> ADDIN EN.CITE &lt;EndNote&gt;&lt;Cite&gt;&lt;Author&gt;Te Aho o Te Kahu &lt;/Author&gt;&lt;Year&gt;2021&lt;/Year&gt;&lt;RecNum&gt;428&lt;/RecNum&gt;&lt;DisplayText&gt;(Te Aho o Te Kahu 2021)&lt;/DisplayText&gt;&lt;record&gt;&lt;rec-number&gt;428&lt;/rec-number&gt;&lt;foreign-keys&gt;&lt;key app="EN" db-id="aaepvppzs5wtfse95vsp2wahsrtvva2vvdet" timestamp="1716422861"&gt;428&lt;/key&gt;&lt;/foreign-keys&gt;&lt;ref-type name="Generic"&gt;13&lt;/ref-type&gt;&lt;contributors&gt;&lt;authors&gt;&lt;author&gt;Te Aho o Te Kahu ,&lt;/author&gt;&lt;/authors&gt;&lt;/contributors&gt;&lt;titles&gt;&lt;title&gt;&lt;style face="normal" font="default" size="100%"&gt;He P&lt;/style&gt;&lt;style face="normal" font="default" charset="238" size="100%"&gt;ūrongo Mate Pukupuku o Aotearoa 2020: The State of Cancer in New Zealand 2020.&lt;/style&gt;&lt;/title&gt;&lt;/titles&gt;&lt;dates&gt;&lt;year&gt;2021&lt;/year&gt;&lt;/dates&gt;&lt;pub-location&gt;Wellington&lt;/pub-location&gt;&lt;publisher&gt;Te Aho o Te Kahu – Cancer Control Agency&lt;/publisher&gt;&lt;urls&gt;&lt;related-urls&gt;&lt;url&gt;https://teaho.govt.nz/static/reports/state-of-cancer-in-new-zealand-2020%20(revised%20March%202021).pdf&lt;/url&gt;&lt;/related-urls&gt;&lt;/urls&gt;&lt;/record&gt;&lt;/Cite&gt;&lt;/EndNote&gt;</w:instrText>
      </w:r>
      <w:r>
        <w:fldChar w:fldCharType="separate"/>
      </w:r>
      <w:r>
        <w:rPr>
          <w:noProof/>
        </w:rPr>
        <w:t>(Te Aho o Te Kahu 2021)</w:t>
      </w:r>
      <w:r>
        <w:fldChar w:fldCharType="end"/>
      </w:r>
      <w:r w:rsidRPr="00E47714">
        <w:t xml:space="preserve">. </w:t>
      </w:r>
    </w:p>
    <w:p w14:paraId="15902C39" w14:textId="77777777" w:rsidR="005B127B" w:rsidRPr="00E47714" w:rsidRDefault="005B127B" w:rsidP="00C66A54"/>
    <w:p w14:paraId="77DA72EA" w14:textId="77777777" w:rsidR="00C66A54" w:rsidRPr="00E47714" w:rsidRDefault="00C66A54" w:rsidP="00C66A54">
      <w:r w:rsidRPr="00E47714">
        <w:t xml:space="preserve">The </w:t>
      </w:r>
      <w:r w:rsidRPr="00C77EEE">
        <w:rPr>
          <w:i/>
          <w:iCs/>
        </w:rPr>
        <w:t>Cancer Prevention Report</w:t>
      </w:r>
      <w:r w:rsidRPr="00E47714">
        <w:t xml:space="preserve"> </w:t>
      </w:r>
      <w:r>
        <w:fldChar w:fldCharType="begin"/>
      </w:r>
      <w:r>
        <w:instrText xml:space="preserve"> ADDIN EN.CITE &lt;EndNote&gt;&lt;Cite&gt;&lt;Author&gt;Te Aho o Te Kahu &lt;/Author&gt;&lt;Year&gt;2022&lt;/Year&gt;&lt;RecNum&gt;429&lt;/RecNum&gt;&lt;DisplayText&gt;(Te Aho o Te Kahu 2022a)&lt;/DisplayText&gt;&lt;record&gt;&lt;rec-number&gt;429&lt;/rec-number&gt;&lt;foreign-keys&gt;&lt;key app="EN" db-id="aaepvppzs5wtfse95vsp2wahsrtvva2vvdet" timestamp="1716422988"&gt;429&lt;/key&gt;&lt;/foreign-keys&gt;&lt;ref-type name="Generic"&gt;13&lt;/ref-type&gt;&lt;contributors&gt;&lt;authors&gt;&lt;author&gt; Te Aho o Te Kahu ,&lt;/author&gt;&lt;/authors&gt;&lt;/contributors&gt;&lt;titles&gt;&lt;title&gt;&lt;style face="normal" font="default" size="100%"&gt;P&lt;/style&gt;&lt;style face="normal" font="default" charset="238" size="100%"&gt;ūrongo Ārai Mate Pukupuku: Cancer Prevention Report &lt;/style&gt;&lt;/title&gt;&lt;/titles&gt;&lt;dates&gt;&lt;year&gt;2022&lt;/year&gt;&lt;/dates&gt;&lt;pub-location&gt;Wellington&lt;/pub-location&gt;&lt;publisher&gt;Te Aho o Te Kahu – Cancer Control Agency&lt;/publisher&gt;&lt;urls&gt;&lt;related-urls&gt;&lt;url&gt;https://hcmsitesstorage.blob.core.windows.net/cca/assets/Cancer_Prevention_V12_7_April22_05c46c078b.pdf&lt;/url&gt;&lt;/related-urls&gt;&lt;/urls&gt;&lt;/record&gt;&lt;/Cite&gt;&lt;/EndNote&gt;</w:instrText>
      </w:r>
      <w:r>
        <w:fldChar w:fldCharType="separate"/>
      </w:r>
      <w:r>
        <w:rPr>
          <w:noProof/>
        </w:rPr>
        <w:t>(Te Aho o Te Kahu 2022a)</w:t>
      </w:r>
      <w:r>
        <w:fldChar w:fldCharType="end"/>
      </w:r>
      <w:r w:rsidRPr="00E47714">
        <w:t xml:space="preserve"> outlines that, while cancer is incredibly complex, </w:t>
      </w:r>
      <w:r>
        <w:t xml:space="preserve">it is possible to </w:t>
      </w:r>
      <w:r w:rsidRPr="00E47714">
        <w:t>prevent many cancers by reducing everyone’s exposure to cancer risk factors, such as tobacco, alcohol, poor diet, physical inactivity, excess body weight, excessive</w:t>
      </w:r>
      <w:r>
        <w:t xml:space="preserve"> exposure to</w:t>
      </w:r>
      <w:r w:rsidRPr="00E47714">
        <w:t xml:space="preserve"> ultraviolet radiation</w:t>
      </w:r>
      <w:r>
        <w:t>,</w:t>
      </w:r>
      <w:r w:rsidRPr="00E47714">
        <w:t xml:space="preserve"> and chronic infection. Wider determinants of health and environmental factors play a big role in shaping health outcomes generally and cancer outcomes specifically. The </w:t>
      </w:r>
      <w:r w:rsidRPr="00C77EEE">
        <w:rPr>
          <w:i/>
          <w:iCs/>
        </w:rPr>
        <w:t>Cancer Prevention Report</w:t>
      </w:r>
      <w:r w:rsidRPr="00E47714">
        <w:t xml:space="preserve"> focuses on how to improve environments in which people live, work, learn and play, so those environments can help to prevent cancer (and other conditions) for everyone.</w:t>
      </w:r>
    </w:p>
    <w:p w14:paraId="12777E5C" w14:textId="77777777" w:rsidR="00C66A54" w:rsidRPr="00E47714" w:rsidRDefault="00C66A54" w:rsidP="00C66A54">
      <w:pPr>
        <w:pStyle w:val="Heading3"/>
      </w:pPr>
      <w:r w:rsidRPr="00E47714">
        <w:lastRenderedPageBreak/>
        <w:t xml:space="preserve">Cancer incidence </w:t>
      </w:r>
    </w:p>
    <w:p w14:paraId="0D3752F0" w14:textId="56FD3B3B" w:rsidR="00C66A54" w:rsidRDefault="00C66A54" w:rsidP="00C66A54">
      <w:r w:rsidRPr="00E47714">
        <w:t>In 2021 (</w:t>
      </w:r>
      <w:r>
        <w:t xml:space="preserve">the most recent year when </w:t>
      </w:r>
      <w:r w:rsidRPr="00E47714">
        <w:t xml:space="preserve">data </w:t>
      </w:r>
      <w:r>
        <w:t xml:space="preserve">is </w:t>
      </w:r>
      <w:r w:rsidRPr="00E47714">
        <w:t>available)</w:t>
      </w:r>
      <w:r>
        <w:t>,</w:t>
      </w:r>
      <w:r w:rsidRPr="00E47714">
        <w:t xml:space="preserve"> Aotearoa New Zealand</w:t>
      </w:r>
      <w:r>
        <w:t xml:space="preserve"> had</w:t>
      </w:r>
      <w:r w:rsidRPr="00E47714">
        <w:t xml:space="preserve"> 27,869 new cancer registrations</w:t>
      </w:r>
      <w:r>
        <w:t>.</w:t>
      </w:r>
      <w:r w:rsidRPr="00E47714">
        <w:rPr>
          <w:rStyle w:val="FootnoteReference"/>
          <w:rFonts w:cs="Segoe UI"/>
        </w:rPr>
        <w:footnoteReference w:id="12"/>
      </w:r>
      <w:r w:rsidRPr="00E47714">
        <w:t xml:space="preserve"> This equates to around 76 people being diagnosed with cancer every day. The total number of registrations has been steadily increasing over the last 10 years (</w:t>
      </w:r>
      <w:r>
        <w:t xml:space="preserve">because </w:t>
      </w:r>
      <w:r w:rsidRPr="00E47714">
        <w:t>Aotearoa New Zealand’s population is growing and ageing</w:t>
      </w:r>
      <w:r>
        <w:t>,</w:t>
      </w:r>
      <w:r w:rsidRPr="00E47714">
        <w:t xml:space="preserve"> and cancer is more common among older people) </w:t>
      </w:r>
      <w:r>
        <w:fldChar w:fldCharType="begin"/>
      </w:r>
      <w:r>
        <w:instrText xml:space="preserve"> ADDIN EN.CITE &lt;EndNote&gt;&lt;Cite&gt;&lt;Author&gt;Te Aho o Te Kahu &lt;/Author&gt;&lt;Year&gt;(nd)&lt;/Year&gt;&lt;RecNum&gt;431&lt;/RecNum&gt;&lt;DisplayText&gt;(Te Aho o Te Kahu (nd))&lt;/DisplayText&gt;&lt;record&gt;&lt;rec-number&gt;431&lt;/rec-number&gt;&lt;foreign-keys&gt;&lt;key app="EN" db-id="aaepvppzs5wtfse95vsp2wahsrtvva2vvdet" timestamp="1716426156"&gt;431&lt;/key&gt;&lt;/foreign-keys&gt;&lt;ref-type name="Web Page"&gt;12&lt;/ref-type&gt;&lt;contributors&gt;&lt;authors&gt;&lt;author&gt; Te Aho o Te Kahu ,&lt;/author&gt;&lt;/authors&gt;&lt;/contributors&gt;&lt;titles&gt;&lt;title&gt;Cancer in Numbers in Aotearoa New Zealand&lt;/title&gt;&lt;/titles&gt;&lt;number&gt;23 May 2024&lt;/number&gt;&lt;dates&gt;&lt;year&gt;(nd)&lt;/year&gt;&lt;/dates&gt;&lt;urls&gt;&lt;related-urls&gt;&lt;url&gt;teaho.govt.nz/cancer-numbers&lt;/url&gt;&lt;/related-urls&gt;&lt;/urls&gt;&lt;/record&gt;&lt;/Cite&gt;&lt;/EndNote&gt;</w:instrText>
      </w:r>
      <w:r>
        <w:fldChar w:fldCharType="separate"/>
      </w:r>
      <w:r>
        <w:rPr>
          <w:noProof/>
        </w:rPr>
        <w:t>(Te Aho o Te Kahu (nd))</w:t>
      </w:r>
      <w:r>
        <w:fldChar w:fldCharType="end"/>
      </w:r>
      <w:r>
        <w:t>. However,</w:t>
      </w:r>
      <w:r w:rsidRPr="00E47714">
        <w:t xml:space="preserve"> the age-standardised rate has stayed roughly the same.</w:t>
      </w:r>
    </w:p>
    <w:p w14:paraId="4BD62CEF" w14:textId="77777777" w:rsidR="005B127B" w:rsidRPr="00E47714" w:rsidRDefault="005B127B" w:rsidP="00C66A54"/>
    <w:p w14:paraId="1E75678E" w14:textId="391F90FB" w:rsidR="00C66A54" w:rsidRPr="00E47714" w:rsidRDefault="00C66A54" w:rsidP="00C66A54">
      <w:pPr>
        <w:rPr>
          <w:rFonts w:cs="Segoe UI"/>
        </w:rPr>
      </w:pPr>
      <w:r w:rsidRPr="00E47714">
        <w:t>Cancer does not affect all ethnic groups evenly</w:t>
      </w:r>
      <w:r>
        <w:t>.</w:t>
      </w:r>
      <w:r w:rsidRPr="00E47714">
        <w:t xml:space="preserve"> Māori have higher rates of cancer registrations, and Asian </w:t>
      </w:r>
      <w:r>
        <w:t xml:space="preserve">people </w:t>
      </w:r>
      <w:r w:rsidRPr="00E47714">
        <w:t xml:space="preserve">have lower rates, compared </w:t>
      </w:r>
      <w:r>
        <w:t>with</w:t>
      </w:r>
      <w:r w:rsidRPr="00E47714">
        <w:t xml:space="preserve"> European/other</w:t>
      </w:r>
      <w:r>
        <w:t xml:space="preserve"> people</w:t>
      </w:r>
      <w:r w:rsidRPr="00E47714">
        <w:t xml:space="preserve">. </w:t>
      </w:r>
      <w:r w:rsidRPr="00E47714">
        <w:fldChar w:fldCharType="begin"/>
      </w:r>
      <w:r w:rsidRPr="00E47714">
        <w:instrText xml:space="preserve"> REF _Ref167174225 \h  \* MERGEFORMAT </w:instrText>
      </w:r>
      <w:r w:rsidRPr="00E47714">
        <w:fldChar w:fldCharType="separate"/>
      </w:r>
      <w:r w:rsidR="009A6F87" w:rsidRPr="00E47714">
        <w:t xml:space="preserve">Figure </w:t>
      </w:r>
      <w:r w:rsidR="009A6F87">
        <w:t>19</w:t>
      </w:r>
      <w:r w:rsidRPr="00E47714">
        <w:fldChar w:fldCharType="end"/>
      </w:r>
      <w:r w:rsidRPr="00E47714">
        <w:t xml:space="preserve"> shows the age-standardised rate of new cancer registrations by ethnic group between 2012 and 2021. </w:t>
      </w:r>
    </w:p>
    <w:p w14:paraId="19126610" w14:textId="0F803C90" w:rsidR="00C66A54" w:rsidRPr="00E47714" w:rsidRDefault="00C66A54" w:rsidP="005B127B">
      <w:pPr>
        <w:pStyle w:val="Figure"/>
      </w:pPr>
      <w:bookmarkStart w:id="115" w:name="_Ref167174225"/>
      <w:bookmarkStart w:id="116" w:name="_Toc171330666"/>
      <w:bookmarkStart w:id="117" w:name="_Toc172104702"/>
      <w:r w:rsidRPr="00E47714">
        <w:t xml:space="preserve">Figure </w:t>
      </w:r>
      <w:fldSimple w:instr=" SEQ Figure \* ARABIC ">
        <w:r w:rsidR="009A6F87">
          <w:rPr>
            <w:noProof/>
          </w:rPr>
          <w:t>19</w:t>
        </w:r>
      </w:fldSimple>
      <w:bookmarkEnd w:id="115"/>
      <w:r w:rsidRPr="00E47714">
        <w:t>: Age-standardised rate of new cancer registrations, by ethnic group (prioritised ethnicity), 2012</w:t>
      </w:r>
      <w:r>
        <w:t>–</w:t>
      </w:r>
      <w:r w:rsidRPr="00E47714">
        <w:t>2021</w:t>
      </w:r>
      <w:bookmarkEnd w:id="116"/>
      <w:bookmarkEnd w:id="117"/>
    </w:p>
    <w:p w14:paraId="71E2457B" w14:textId="77777777" w:rsidR="00C66A54" w:rsidRPr="00E47714" w:rsidRDefault="00C66A54" w:rsidP="005B127B">
      <w:pPr>
        <w:pStyle w:val="NormalWeb"/>
        <w:spacing w:before="0" w:beforeAutospacing="0" w:after="0" w:afterAutospacing="0"/>
      </w:pPr>
      <w:r>
        <w:rPr>
          <w:noProof/>
        </w:rPr>
        <w:drawing>
          <wp:inline distT="0" distB="0" distL="0" distR="0" wp14:anchorId="48A7DB90" wp14:editId="6FE77EDA">
            <wp:extent cx="5116285" cy="2843441"/>
            <wp:effectExtent l="0" t="0" r="8255" b="0"/>
            <wp:docPr id="1629053452" name="Picture 1629053452" descr="A time-series line chart of the age-standardised rate of new cancer registrations per 100,000 people by prioritised ethnicity from 2012 to 2021. In general the age-standardised rate of new cancer registrations has remained relatively consistent over time. Māori have the highest age-standardised rate of new cancer registrations, followed by Pacific peoples and then European or other. Asian people had the lowest age-standardised rate of new cancer regi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53452" name="Picture 1629053452" descr="A time-series line chart of the age-standardised rate of new cancer registrations per 100,000 people by prioritised ethnicity from 2012 to 2021. In general the age-standardised rate of new cancer registrations has remained relatively consistent over time. Māori have the highest age-standardised rate of new cancer registrations, followed by Pacific peoples and then European or other. Asian people had the lowest age-standardised rate of new cancer registrations."/>
                    <pic:cNvPicPr/>
                  </pic:nvPicPr>
                  <pic:blipFill>
                    <a:blip r:embed="rId57"/>
                    <a:stretch>
                      <a:fillRect/>
                    </a:stretch>
                  </pic:blipFill>
                  <pic:spPr>
                    <a:xfrm>
                      <a:off x="0" y="0"/>
                      <a:ext cx="5155565" cy="2865271"/>
                    </a:xfrm>
                    <a:prstGeom prst="rect">
                      <a:avLst/>
                    </a:prstGeom>
                  </pic:spPr>
                </pic:pic>
              </a:graphicData>
            </a:graphic>
          </wp:inline>
        </w:drawing>
      </w:r>
    </w:p>
    <w:p w14:paraId="10907F71" w14:textId="77777777" w:rsidR="00C66A54" w:rsidRPr="00C77EEE" w:rsidRDefault="00C66A54" w:rsidP="00C66A54">
      <w:pPr>
        <w:pStyle w:val="Source"/>
      </w:pPr>
      <w:r w:rsidRPr="00C77EEE">
        <w:rPr>
          <w:bCs/>
        </w:rPr>
        <w:t xml:space="preserve">Note: </w:t>
      </w:r>
      <w:r w:rsidRPr="00E47714">
        <w:t>Shaded area indicates 95% confidence intervals.</w:t>
      </w:r>
    </w:p>
    <w:p w14:paraId="1275B9FE" w14:textId="77777777" w:rsidR="00C66A54" w:rsidRPr="00E47714" w:rsidRDefault="00C66A54" w:rsidP="00C66A54">
      <w:pPr>
        <w:pStyle w:val="Source"/>
      </w:pPr>
      <w:r w:rsidRPr="00E47714">
        <w:rPr>
          <w:b/>
        </w:rPr>
        <w:t>Source:</w:t>
      </w:r>
      <w:r w:rsidRPr="00E47714">
        <w:t xml:space="preserve"> </w:t>
      </w:r>
      <w:r>
        <w:fldChar w:fldCharType="begin"/>
      </w:r>
      <w:r>
        <w:instrText xml:space="preserve"> ADDIN EN.CITE &lt;EndNote&gt;&lt;Cite AuthorYear="1"&gt;&lt;Author&gt;Health NZ &lt;/Author&gt;&lt;Year&gt;2023&lt;/Year&gt;&lt;RecNum&gt;433&lt;/RecNum&gt;&lt;DisplayText&gt;Health NZ (2023a)&lt;/DisplayText&gt;&lt;record&gt;&lt;rec-number&gt;433&lt;/rec-number&gt;&lt;foreign-keys&gt;&lt;key app="EN" db-id="aaepvppzs5wtfse95vsp2wahsrtvva2vvdet" timestamp="1716426711"&gt;433&lt;/key&gt;&lt;/foreign-keys&gt;&lt;ref-type name="Web Page"&gt;12&lt;/ref-type&gt;&lt;contributors&gt;&lt;authors&gt;&lt;author&gt;Health NZ ,&lt;/author&gt;&lt;/authors&gt;&lt;/contributors&gt;&lt;titles&gt;&lt;title&gt;Cancer web tool&lt;/title&gt;&lt;/titles&gt;&lt;number&gt;23 May 2024&lt;/number&gt;&lt;dates&gt;&lt;year&gt;2023&lt;/year&gt;&lt;/dates&gt;&lt;urls&gt;&lt;related-urls&gt;&lt;url&gt;tewhatuora.shinyapps.io/cancer-web-tool&lt;/url&gt;&lt;/related-urls&gt;&lt;/urls&gt;&lt;/record&gt;&lt;/Cite&gt;&lt;/EndNote&gt;</w:instrText>
      </w:r>
      <w:r>
        <w:fldChar w:fldCharType="separate"/>
      </w:r>
      <w:r>
        <w:rPr>
          <w:noProof/>
        </w:rPr>
        <w:t>Health NZ (2023a)</w:t>
      </w:r>
      <w:r>
        <w:fldChar w:fldCharType="end"/>
      </w:r>
    </w:p>
    <w:p w14:paraId="496CF1A1" w14:textId="77777777" w:rsidR="00C66A54" w:rsidRPr="00E47714" w:rsidRDefault="00C66A54" w:rsidP="00C66A54">
      <w:pPr>
        <w:pStyle w:val="Heading3"/>
      </w:pPr>
      <w:r w:rsidRPr="00E47714">
        <w:t>Route to cancer diagnosis</w:t>
      </w:r>
    </w:p>
    <w:p w14:paraId="737E9BB4" w14:textId="77777777" w:rsidR="00C66A54" w:rsidRPr="00E47714" w:rsidRDefault="00C66A54" w:rsidP="00C66A54">
      <w:proofErr w:type="spellStart"/>
      <w:r w:rsidRPr="00E47714">
        <w:t>Te</w:t>
      </w:r>
      <w:proofErr w:type="spellEnd"/>
      <w:r w:rsidRPr="00E47714">
        <w:t xml:space="preserve"> </w:t>
      </w:r>
      <w:proofErr w:type="spellStart"/>
      <w:r w:rsidRPr="00E47714">
        <w:t>Aho</w:t>
      </w:r>
      <w:proofErr w:type="spellEnd"/>
      <w:r w:rsidRPr="00E47714">
        <w:t xml:space="preserve"> o Kahu </w:t>
      </w:r>
      <w:r>
        <w:t xml:space="preserve">– </w:t>
      </w:r>
      <w:r w:rsidRPr="00E47714">
        <w:t xml:space="preserve">Cancer Control Agency, as part of </w:t>
      </w:r>
      <w:r>
        <w:t>its</w:t>
      </w:r>
      <w:r w:rsidRPr="00E47714">
        <w:t xml:space="preserve"> monitoring and quality improvement programme, </w:t>
      </w:r>
      <w:r>
        <w:t>published</w:t>
      </w:r>
      <w:r w:rsidRPr="00E47714">
        <w:t xml:space="preserve"> a report </w:t>
      </w:r>
      <w:r>
        <w:t>a</w:t>
      </w:r>
      <w:r w:rsidRPr="00E47714">
        <w:t>bout the number of people diagnosed with cancer within 30 days of an emergency or acute (unplanned) hospital admission</w:t>
      </w:r>
      <w:r>
        <w:t xml:space="preserve"> </w:t>
      </w:r>
      <w:r>
        <w:fldChar w:fldCharType="begin"/>
      </w:r>
      <w:r>
        <w:instrText xml:space="preserve"> ADDIN EN.CITE &lt;EndNote&gt;&lt;Cite&gt;&lt;Author&gt;Te Aho o Te Kahu &lt;/Author&gt;&lt;Year&gt;2024&lt;/Year&gt;&lt;RecNum&gt;432&lt;/RecNum&gt;&lt;DisplayText&gt;(Te Aho o Te Kahu 2024)&lt;/DisplayText&gt;&lt;record&gt;&lt;rec-number&gt;432&lt;/rec-number&gt;&lt;foreign-keys&gt;&lt;key app="EN" db-id="aaepvppzs5wtfse95vsp2wahsrtvva2vvdet" timestamp="1716426286"&gt;432&lt;/key&gt;&lt;/foreign-keys&gt;&lt;ref-type name="Generic"&gt;13&lt;/ref-type&gt;&lt;contributors&gt;&lt;authors&gt;&lt;author&gt; Te Aho o Te Kahu ,&lt;/author&gt;&lt;/authors&gt;&lt;/contributors&gt;&lt;titles&gt;&lt;title&gt;Quality Improvement Monitoring Report – Route to diagnosis: People diagnosed with cancer within 30 days of an emergency or acute (unplanned) hospital admission&lt;/title&gt;&lt;/titles&gt;&lt;dates&gt;&lt;year&gt;2024&lt;/year&gt;&lt;/dates&gt;&lt;pub-location&gt;Wellington&lt;/pub-location&gt;&lt;publisher&gt; Te Aho o Te Kahu – Cancer Control Agency&lt;/publisher&gt;&lt;urls&gt;&lt;related-urls&gt;&lt;url&gt;teaho.govt.nz/publications/route-to-cancer-diagnosis&lt;/url&gt;&lt;/related-urls&gt;&lt;/urls&gt;&lt;/record&gt;&lt;/Cite&gt;&lt;/EndNote&gt;</w:instrText>
      </w:r>
      <w:r>
        <w:fldChar w:fldCharType="separate"/>
      </w:r>
      <w:r>
        <w:rPr>
          <w:noProof/>
        </w:rPr>
        <w:t>(Te Aho o Te Kahu 2024)</w:t>
      </w:r>
      <w:r>
        <w:fldChar w:fldCharType="end"/>
      </w:r>
      <w:r w:rsidRPr="00E47714">
        <w:t>. The report outlines the following</w:t>
      </w:r>
      <w:r>
        <w:t xml:space="preserve"> findings.</w:t>
      </w:r>
    </w:p>
    <w:p w14:paraId="5B285002" w14:textId="77777777" w:rsidR="00C66A54" w:rsidRPr="00E47714" w:rsidRDefault="00C66A54" w:rsidP="005B127B">
      <w:pPr>
        <w:pStyle w:val="Bullet"/>
      </w:pPr>
      <w:r w:rsidRPr="00E47714">
        <w:t xml:space="preserve">Aotearoa New Zealand’s performance is poor compared </w:t>
      </w:r>
      <w:r>
        <w:t>with</w:t>
      </w:r>
      <w:r w:rsidRPr="00E47714">
        <w:t xml:space="preserve"> peer</w:t>
      </w:r>
      <w:r w:rsidRPr="00E47714">
        <w:rPr>
          <w:rStyle w:val="FootnoteReference"/>
          <w:rFonts w:cs="Segoe UI"/>
        </w:rPr>
        <w:footnoteReference w:id="13"/>
      </w:r>
      <w:r w:rsidRPr="00E47714">
        <w:t xml:space="preserve"> countries.</w:t>
      </w:r>
    </w:p>
    <w:p w14:paraId="3492543D" w14:textId="77777777" w:rsidR="00C66A54" w:rsidRPr="00E47714" w:rsidRDefault="00C66A54" w:rsidP="005B127B">
      <w:pPr>
        <w:pStyle w:val="Bullet"/>
      </w:pPr>
      <w:r w:rsidRPr="00E47714">
        <w:t xml:space="preserve">People diagnosed through emergency admissions can have poorer survival and other outcomes (such as poorer quality of life and worse patient experience), compared with those diagnosed through established pathways, </w:t>
      </w:r>
      <w:r>
        <w:t>because</w:t>
      </w:r>
      <w:r w:rsidRPr="00E47714">
        <w:t xml:space="preserve"> they can present with more advanced disease.</w:t>
      </w:r>
    </w:p>
    <w:p w14:paraId="6CB67722" w14:textId="77777777" w:rsidR="00C66A54" w:rsidRPr="00E47714" w:rsidRDefault="00C66A54" w:rsidP="005B127B">
      <w:pPr>
        <w:pStyle w:val="Bullet"/>
      </w:pPr>
      <w:r w:rsidRPr="00E47714">
        <w:lastRenderedPageBreak/>
        <w:t xml:space="preserve">Māori </w:t>
      </w:r>
      <w:r>
        <w:t>are</w:t>
      </w:r>
      <w:r w:rsidRPr="00E47714">
        <w:t xml:space="preserve"> more likely to be diagnosed following an emergency admission than the European/other ethnic group. </w:t>
      </w:r>
    </w:p>
    <w:p w14:paraId="2F053E6D" w14:textId="77777777" w:rsidR="00C66A54" w:rsidRPr="00E47714" w:rsidRDefault="00C66A54" w:rsidP="005B127B">
      <w:pPr>
        <w:pStyle w:val="Bullet"/>
      </w:pPr>
      <w:r w:rsidRPr="00E47714">
        <w:t xml:space="preserve">For most cancer types, hospital districts </w:t>
      </w:r>
      <w:r>
        <w:t>vary in their rate of cancer diagnosis following</w:t>
      </w:r>
      <w:r w:rsidRPr="00E47714">
        <w:t xml:space="preserve"> emergency</w:t>
      </w:r>
      <w:r>
        <w:t xml:space="preserve"> / unplanned</w:t>
      </w:r>
      <w:r w:rsidRPr="00E47714">
        <w:t xml:space="preserve"> admissions.</w:t>
      </w:r>
    </w:p>
    <w:p w14:paraId="2070A3F4" w14:textId="77777777" w:rsidR="00FC05FA" w:rsidRDefault="00FC05FA" w:rsidP="00C66A54"/>
    <w:p w14:paraId="7738A4CD" w14:textId="32DE97C1" w:rsidR="00C66A54" w:rsidRPr="00B46806" w:rsidRDefault="00C66A54" w:rsidP="00C66A54">
      <w:r w:rsidRPr="00B46806">
        <w:t xml:space="preserve">The report findings will be used to improve cancer detection and diagnosis processes, </w:t>
      </w:r>
      <w:r>
        <w:t>with the aim of</w:t>
      </w:r>
      <w:r w:rsidRPr="00B46806">
        <w:t xml:space="preserve"> reduc</w:t>
      </w:r>
      <w:r>
        <w:t>ing</w:t>
      </w:r>
      <w:r w:rsidRPr="00B46806">
        <w:t xml:space="preserve"> cancer diagnosis </w:t>
      </w:r>
      <w:r>
        <w:t>through</w:t>
      </w:r>
      <w:r w:rsidRPr="00B46806">
        <w:t xml:space="preserve"> emergency admission</w:t>
      </w:r>
      <w:r>
        <w:t>s</w:t>
      </w:r>
      <w:r w:rsidRPr="00B46806">
        <w:t xml:space="preserve"> in Aotearoa</w:t>
      </w:r>
      <w:r>
        <w:t xml:space="preserve"> New Zealand</w:t>
      </w:r>
      <w:r w:rsidRPr="00B46806">
        <w:t xml:space="preserve"> </w:t>
      </w:r>
      <w:r>
        <w:fldChar w:fldCharType="begin"/>
      </w:r>
      <w:r>
        <w:instrText xml:space="preserve"> ADDIN EN.CITE &lt;EndNote&gt;&lt;Cite&gt;&lt;Author&gt;Te Aho o Te Kahu &lt;/Author&gt;&lt;Year&gt;2024&lt;/Year&gt;&lt;RecNum&gt;432&lt;/RecNum&gt;&lt;DisplayText&gt;(Te Aho o Te Kahu 2024)&lt;/DisplayText&gt;&lt;record&gt;&lt;rec-number&gt;432&lt;/rec-number&gt;&lt;foreign-keys&gt;&lt;key app="EN" db-id="aaepvppzs5wtfse95vsp2wahsrtvva2vvdet" timestamp="1716426286"&gt;432&lt;/key&gt;&lt;/foreign-keys&gt;&lt;ref-type name="Generic"&gt;13&lt;/ref-type&gt;&lt;contributors&gt;&lt;authors&gt;&lt;author&gt; Te Aho o Te Kahu ,&lt;/author&gt;&lt;/authors&gt;&lt;/contributors&gt;&lt;titles&gt;&lt;title&gt;Quality Improvement Monitoring Report – Route to diagnosis: People diagnosed with cancer within 30 days of an emergency or acute (unplanned) hospital admission&lt;/title&gt;&lt;/titles&gt;&lt;dates&gt;&lt;year&gt;2024&lt;/year&gt;&lt;/dates&gt;&lt;pub-location&gt;Wellington&lt;/pub-location&gt;&lt;publisher&gt; Te Aho o Te Kahu – Cancer Control Agency&lt;/publisher&gt;&lt;urls&gt;&lt;related-urls&gt;&lt;url&gt;teaho.govt.nz/publications/route-to-cancer-diagnosis&lt;/url&gt;&lt;/related-urls&gt;&lt;/urls&gt;&lt;/record&gt;&lt;/Cite&gt;&lt;/EndNote&gt;</w:instrText>
      </w:r>
      <w:r>
        <w:fldChar w:fldCharType="separate"/>
      </w:r>
      <w:r>
        <w:rPr>
          <w:noProof/>
        </w:rPr>
        <w:t>(Te Aho o Te Kahu 2024)</w:t>
      </w:r>
      <w:r>
        <w:fldChar w:fldCharType="end"/>
      </w:r>
      <w:r w:rsidRPr="00B46806">
        <w:t>.</w:t>
      </w:r>
    </w:p>
    <w:p w14:paraId="53173812" w14:textId="77777777" w:rsidR="00C66A54" w:rsidRPr="00E47714" w:rsidRDefault="00C66A54" w:rsidP="00C66A54">
      <w:pPr>
        <w:pStyle w:val="Heading3"/>
      </w:pPr>
      <w:r w:rsidRPr="00E47714">
        <w:t>Cancer survival</w:t>
      </w:r>
    </w:p>
    <w:p w14:paraId="3CCEDE16" w14:textId="6E08E32E" w:rsidR="00C66A54" w:rsidRDefault="00C66A54" w:rsidP="00C66A54">
      <w:r w:rsidRPr="00E47714">
        <w:t xml:space="preserve">The </w:t>
      </w:r>
      <w:r>
        <w:t>five</w:t>
      </w:r>
      <w:r w:rsidRPr="00E47714">
        <w:t xml:space="preserve">-year net survival rate for cancer has improved for some cancers over time. </w:t>
      </w:r>
      <w:r w:rsidRPr="00E47714">
        <w:fldChar w:fldCharType="begin"/>
      </w:r>
      <w:r w:rsidRPr="00E47714">
        <w:instrText xml:space="preserve"> REF _Ref167776985 \h  \* MERGEFORMAT </w:instrText>
      </w:r>
      <w:r w:rsidRPr="00E47714">
        <w:fldChar w:fldCharType="separate"/>
      </w:r>
      <w:r w:rsidR="009A6F87" w:rsidRPr="00E47714">
        <w:t xml:space="preserve">Figure </w:t>
      </w:r>
      <w:r w:rsidR="009A6F87">
        <w:t>20</w:t>
      </w:r>
      <w:r w:rsidRPr="00E47714">
        <w:fldChar w:fldCharType="end"/>
      </w:r>
      <w:r w:rsidRPr="00E47714">
        <w:t xml:space="preserve"> shows the change in net </w:t>
      </w:r>
      <w:r>
        <w:t>five</w:t>
      </w:r>
      <w:r w:rsidRPr="00E47714">
        <w:t xml:space="preserve">-year cancer survival for the </w:t>
      </w:r>
      <w:r>
        <w:t>eight</w:t>
      </w:r>
      <w:r w:rsidRPr="00E47714">
        <w:t xml:space="preserve"> most diagnosed cancers (</w:t>
      </w:r>
      <w:r>
        <w:t>that is, the cancers with the</w:t>
      </w:r>
      <w:r w:rsidRPr="00E47714">
        <w:t xml:space="preserve"> highest registration/incidence rate)</w:t>
      </w:r>
      <w:r>
        <w:t>. Survival rates are shown using two years of combined data for</w:t>
      </w:r>
      <w:r w:rsidRPr="00E47714">
        <w:t xml:space="preserve"> 1998</w:t>
      </w:r>
      <w:r>
        <w:t>-</w:t>
      </w:r>
      <w:r w:rsidRPr="00E47714">
        <w:t>99 and 2020</w:t>
      </w:r>
      <w:r>
        <w:t>-</w:t>
      </w:r>
      <w:r w:rsidRPr="00E47714">
        <w:t xml:space="preserve">21. </w:t>
      </w:r>
      <w:r>
        <w:t>The graph also</w:t>
      </w:r>
      <w:r w:rsidRPr="00E47714">
        <w:t xml:space="preserve"> shows the improvement in net </w:t>
      </w:r>
      <w:r>
        <w:t>five</w:t>
      </w:r>
      <w:r w:rsidRPr="00E47714">
        <w:t xml:space="preserve">-year survival for total cancer, which is up from 58.0% </w:t>
      </w:r>
      <w:r>
        <w:t>for the combined years of</w:t>
      </w:r>
      <w:r w:rsidRPr="00E47714">
        <w:t xml:space="preserve"> 1998</w:t>
      </w:r>
      <w:r>
        <w:t>-</w:t>
      </w:r>
      <w:r w:rsidRPr="00E47714">
        <w:t>99 to 67.6% in 2020</w:t>
      </w:r>
      <w:r>
        <w:t>-</w:t>
      </w:r>
      <w:r w:rsidRPr="00E47714">
        <w:t>21.</w:t>
      </w:r>
    </w:p>
    <w:p w14:paraId="097E2090" w14:textId="77777777" w:rsidR="005B127B" w:rsidRPr="00E47714" w:rsidRDefault="005B127B" w:rsidP="00C66A54"/>
    <w:p w14:paraId="672AB9C5" w14:textId="77777777" w:rsidR="00C66A54" w:rsidRPr="00E47714" w:rsidRDefault="00C66A54" w:rsidP="00C66A54">
      <w:pPr>
        <w:rPr>
          <w:rFonts w:cs="Segoe UI"/>
        </w:rPr>
      </w:pPr>
      <w:r w:rsidRPr="00E47714">
        <w:t xml:space="preserve">Cancer survival improved markedly for people with leukaemia, </w:t>
      </w:r>
      <w:r>
        <w:t>rising</w:t>
      </w:r>
      <w:r w:rsidRPr="00E47714">
        <w:t xml:space="preserve"> from 37.6% net </w:t>
      </w:r>
      <w:r>
        <w:t>five</w:t>
      </w:r>
      <w:r w:rsidRPr="00E47714">
        <w:t>-year survival in 1998</w:t>
      </w:r>
      <w:r>
        <w:t>-</w:t>
      </w:r>
      <w:r w:rsidRPr="00E47714">
        <w:t>99 to 57.7% in 2020</w:t>
      </w:r>
      <w:r>
        <w:t>-</w:t>
      </w:r>
      <w:r w:rsidRPr="00E47714">
        <w:t>21</w:t>
      </w:r>
      <w:r>
        <w:t>. Likewise, survival</w:t>
      </w:r>
      <w:r w:rsidRPr="00E47714">
        <w:t xml:space="preserve"> for people with non-Hodgkin’s lymphoma</w:t>
      </w:r>
      <w:r>
        <w:t xml:space="preserve"> increased</w:t>
      </w:r>
      <w:r w:rsidRPr="00E47714">
        <w:t xml:space="preserve"> from 47.9% net </w:t>
      </w:r>
      <w:r>
        <w:t>five</w:t>
      </w:r>
      <w:r w:rsidRPr="00E47714">
        <w:t>-year survival in 1998</w:t>
      </w:r>
      <w:r>
        <w:t>-</w:t>
      </w:r>
      <w:r w:rsidRPr="00E47714">
        <w:t>99 to 68.4% in 2020</w:t>
      </w:r>
      <w:r>
        <w:t>-</w:t>
      </w:r>
      <w:r w:rsidRPr="00E47714">
        <w:t xml:space="preserve">21. </w:t>
      </w:r>
    </w:p>
    <w:p w14:paraId="6D25BB37" w14:textId="7172323A" w:rsidR="00C66A54" w:rsidRPr="00E47714" w:rsidRDefault="00C66A54" w:rsidP="005B127B">
      <w:pPr>
        <w:pStyle w:val="Figure"/>
      </w:pPr>
      <w:bookmarkStart w:id="118" w:name="_Ref167776985"/>
      <w:bookmarkStart w:id="119" w:name="_Toc171330667"/>
      <w:bookmarkStart w:id="120" w:name="_Toc172104703"/>
      <w:r w:rsidRPr="00E47714">
        <w:t xml:space="preserve">Figure </w:t>
      </w:r>
      <w:fldSimple w:instr=" SEQ Figure \* ARABIC ">
        <w:r w:rsidR="009A6F87">
          <w:rPr>
            <w:noProof/>
          </w:rPr>
          <w:t>20</w:t>
        </w:r>
      </w:fldSimple>
      <w:bookmarkEnd w:id="118"/>
      <w:r w:rsidRPr="00E47714">
        <w:t xml:space="preserve">: Changes in the net </w:t>
      </w:r>
      <w:r>
        <w:t>five</w:t>
      </w:r>
      <w:r w:rsidRPr="00E47714">
        <w:t xml:space="preserve">-year survival for the </w:t>
      </w:r>
      <w:r>
        <w:t>eight</w:t>
      </w:r>
      <w:r w:rsidRPr="00E47714">
        <w:t xml:space="preserve"> most diagnosed cancers, 1998</w:t>
      </w:r>
      <w:r>
        <w:t>-</w:t>
      </w:r>
      <w:r w:rsidRPr="00E47714">
        <w:t>99 to 2020</w:t>
      </w:r>
      <w:r>
        <w:t>-</w:t>
      </w:r>
      <w:r w:rsidRPr="00E47714">
        <w:t>21</w:t>
      </w:r>
      <w:bookmarkEnd w:id="119"/>
      <w:bookmarkEnd w:id="120"/>
    </w:p>
    <w:p w14:paraId="5B8C2876" w14:textId="77777777" w:rsidR="00C66A54" w:rsidRPr="00E47714" w:rsidRDefault="00C66A54" w:rsidP="005B127B">
      <w:pPr>
        <w:pStyle w:val="NormalWeb"/>
        <w:spacing w:before="0" w:beforeAutospacing="0" w:after="0" w:afterAutospacing="0"/>
      </w:pPr>
      <w:r>
        <w:rPr>
          <w:noProof/>
        </w:rPr>
        <w:drawing>
          <wp:inline distT="0" distB="0" distL="0" distR="0" wp14:anchorId="6DDBCFF0" wp14:editId="3D80D50A">
            <wp:extent cx="5105400" cy="3139261"/>
            <wp:effectExtent l="0" t="0" r="0" b="4445"/>
            <wp:docPr id="12" name="Picture 12" descr="This chart shows changes in 5-year survival rates from 1998–1999 to 2020–2021 for the eight most diagnosed cancer types. Survival rates improved for all ten 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chart shows changes in 5-year survival rates from 1998–1999 to 2020–2021 for the eight most diagnosed cancer types. Survival rates improved for all ten cancer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19442" cy="3147895"/>
                    </a:xfrm>
                    <a:prstGeom prst="rect">
                      <a:avLst/>
                    </a:prstGeom>
                    <a:noFill/>
                    <a:ln>
                      <a:noFill/>
                    </a:ln>
                  </pic:spPr>
                </pic:pic>
              </a:graphicData>
            </a:graphic>
          </wp:inline>
        </w:drawing>
      </w:r>
    </w:p>
    <w:p w14:paraId="6DAC9D51" w14:textId="7B9838BB" w:rsidR="00374C42" w:rsidRDefault="00374C42" w:rsidP="00C66A54">
      <w:pPr>
        <w:pStyle w:val="Source"/>
        <w:rPr>
          <w:bCs/>
        </w:rPr>
      </w:pPr>
      <w:r>
        <w:rPr>
          <w:bCs/>
        </w:rPr>
        <w:t xml:space="preserve">Note: </w:t>
      </w:r>
      <w:r w:rsidRPr="00374C42">
        <w:rPr>
          <w:bCs/>
        </w:rPr>
        <w:t>Net survival (</w:t>
      </w:r>
      <w:proofErr w:type="spellStart"/>
      <w:r w:rsidRPr="00374C42">
        <w:rPr>
          <w:bCs/>
        </w:rPr>
        <w:t>Pohar-Perme</w:t>
      </w:r>
      <w:proofErr w:type="spellEnd"/>
      <w:r w:rsidRPr="00374C42">
        <w:rPr>
          <w:bCs/>
        </w:rPr>
        <w:t>) using period method and ethnic specific life tables.</w:t>
      </w:r>
    </w:p>
    <w:p w14:paraId="2AF91DE5" w14:textId="427716A5" w:rsidR="00C66A54" w:rsidRPr="00E47714" w:rsidRDefault="00C66A54" w:rsidP="00C66A54">
      <w:pPr>
        <w:pStyle w:val="Source"/>
      </w:pPr>
      <w:r w:rsidRPr="00E47714">
        <w:rPr>
          <w:b/>
        </w:rPr>
        <w:t xml:space="preserve">Source: </w:t>
      </w:r>
      <w:proofErr w:type="spellStart"/>
      <w:r w:rsidRPr="00E47714">
        <w:t>Te</w:t>
      </w:r>
      <w:proofErr w:type="spellEnd"/>
      <w:r w:rsidRPr="00E47714">
        <w:t xml:space="preserve"> </w:t>
      </w:r>
      <w:proofErr w:type="spellStart"/>
      <w:r w:rsidRPr="00E47714">
        <w:t>Aho</w:t>
      </w:r>
      <w:proofErr w:type="spellEnd"/>
      <w:r w:rsidRPr="00E47714">
        <w:t xml:space="preserve"> o </w:t>
      </w:r>
      <w:proofErr w:type="spellStart"/>
      <w:r w:rsidRPr="00E47714">
        <w:t>Te</w:t>
      </w:r>
      <w:proofErr w:type="spellEnd"/>
      <w:r w:rsidRPr="00E47714">
        <w:t xml:space="preserve"> Kahu unpublished data (2024)</w:t>
      </w:r>
    </w:p>
    <w:p w14:paraId="31FCAAAA" w14:textId="77777777" w:rsidR="00C66A54" w:rsidRPr="00E47714" w:rsidRDefault="00C66A54" w:rsidP="00C66A54">
      <w:pPr>
        <w:pStyle w:val="Heading3"/>
      </w:pPr>
      <w:r w:rsidRPr="00E47714">
        <w:lastRenderedPageBreak/>
        <w:t>Cancer mortality</w:t>
      </w:r>
    </w:p>
    <w:p w14:paraId="452C18BE" w14:textId="1279A412" w:rsidR="00C66A54" w:rsidRDefault="00C66A54" w:rsidP="00C66A54">
      <w:r w:rsidRPr="00E47714">
        <w:t>In 2021</w:t>
      </w:r>
      <w:r>
        <w:t>,</w:t>
      </w:r>
      <w:r w:rsidRPr="00E47714">
        <w:rPr>
          <w:rStyle w:val="FootnoteReference"/>
          <w:rFonts w:cs="Segoe UI"/>
        </w:rPr>
        <w:footnoteReference w:id="14"/>
      </w:r>
      <w:r w:rsidRPr="00E47714">
        <w:t xml:space="preserve"> there were 10,488 cancer deaths in Aotearoa New Zealand</w:t>
      </w:r>
      <w:r>
        <w:t>.</w:t>
      </w:r>
      <w:r w:rsidRPr="00E47714">
        <w:t xml:space="preserve"> </w:t>
      </w:r>
      <w:r>
        <w:t>T</w:t>
      </w:r>
      <w:r w:rsidRPr="00E47714">
        <w:t>his equates to around 29 people dying every day from cancer. The overall age</w:t>
      </w:r>
      <w:r>
        <w:t>-</w:t>
      </w:r>
      <w:r w:rsidRPr="00E47714">
        <w:t xml:space="preserve">standardised death rate was 110.8 deaths per 100,000 population. </w:t>
      </w:r>
    </w:p>
    <w:p w14:paraId="5F980C4C" w14:textId="77777777" w:rsidR="005B127B" w:rsidRPr="00E47714" w:rsidRDefault="005B127B" w:rsidP="00C66A54"/>
    <w:p w14:paraId="47BE1AD2" w14:textId="6CD91FE0" w:rsidR="00C66A54" w:rsidRDefault="00C66A54" w:rsidP="00C66A54">
      <w:r w:rsidRPr="00E47714">
        <w:t xml:space="preserve">In 2021, the age-standardised total cancer mortality rate for Māori was 167.0 deaths per 100,000 population, and the rate for Pacific peoples was 149.8 deaths per 100,000. This compares </w:t>
      </w:r>
      <w:r>
        <w:t>with</w:t>
      </w:r>
      <w:r w:rsidRPr="00E47714">
        <w:t xml:space="preserve"> 106.4 deaths per 100,000 for European/other and 57.5 per 100,000 for Asian </w:t>
      </w:r>
      <w:r>
        <w:t>people</w:t>
      </w:r>
      <w:r w:rsidRPr="00E47714">
        <w:t xml:space="preserve"> </w:t>
      </w:r>
      <w:r>
        <w:fldChar w:fldCharType="begin"/>
      </w:r>
      <w:r>
        <w:instrText xml:space="preserve"> ADDIN EN.CITE &lt;EndNote&gt;&lt;Cite&gt;&lt;Author&gt;Health NZ &lt;/Author&gt;&lt;Year&gt;2023&lt;/Year&gt;&lt;RecNum&gt;433&lt;/RecNum&gt;&lt;DisplayText&gt;(Health NZ 2023a)&lt;/DisplayText&gt;&lt;record&gt;&lt;rec-number&gt;433&lt;/rec-number&gt;&lt;foreign-keys&gt;&lt;key app="EN" db-id="aaepvppzs5wtfse95vsp2wahsrtvva2vvdet" timestamp="1716426711"&gt;433&lt;/key&gt;&lt;/foreign-keys&gt;&lt;ref-type name="Web Page"&gt;12&lt;/ref-type&gt;&lt;contributors&gt;&lt;authors&gt;&lt;author&gt;Health NZ ,&lt;/author&gt;&lt;/authors&gt;&lt;/contributors&gt;&lt;titles&gt;&lt;title&gt;Cancer web tool&lt;/title&gt;&lt;/titles&gt;&lt;number&gt;23 May 2024&lt;/number&gt;&lt;dates&gt;&lt;year&gt;2023&lt;/year&gt;&lt;/dates&gt;&lt;urls&gt;&lt;related-urls&gt;&lt;url&gt;tewhatuora.shinyapps.io/cancer-web-tool&lt;/url&gt;&lt;/related-urls&gt;&lt;/urls&gt;&lt;/record&gt;&lt;/Cite&gt;&lt;Cite&gt;&lt;Author&gt;Health NZ &lt;/Author&gt;&lt;Year&gt;2023&lt;/Year&gt;&lt;RecNum&gt;433&lt;/RecNum&gt;&lt;record&gt;&lt;rec-number&gt;433&lt;/rec-number&gt;&lt;foreign-keys&gt;&lt;key app="EN" db-id="aaepvppzs5wtfse95vsp2wahsrtvva2vvdet" timestamp="1716426711"&gt;433&lt;/key&gt;&lt;/foreign-keys&gt;&lt;ref-type name="Web Page"&gt;12&lt;/ref-type&gt;&lt;contributors&gt;&lt;authors&gt;&lt;author&gt;Health NZ ,&lt;/author&gt;&lt;/authors&gt;&lt;/contributors&gt;&lt;titles&gt;&lt;title&gt;Cancer web tool&lt;/title&gt;&lt;/titles&gt;&lt;number&gt;23 May 2024&lt;/number&gt;&lt;dates&gt;&lt;year&gt;2023&lt;/year&gt;&lt;/dates&gt;&lt;urls&gt;&lt;related-urls&gt;&lt;url&gt;tewhatuora.shinyapps.io/cancer-web-tool&lt;/url&gt;&lt;/related-urls&gt;&lt;/urls&gt;&lt;/record&gt;&lt;/Cite&gt;&lt;/EndNote&gt;</w:instrText>
      </w:r>
      <w:r>
        <w:fldChar w:fldCharType="separate"/>
      </w:r>
      <w:r>
        <w:rPr>
          <w:noProof/>
        </w:rPr>
        <w:t>(Health NZ 2023a)</w:t>
      </w:r>
      <w:r>
        <w:fldChar w:fldCharType="end"/>
      </w:r>
      <w:r w:rsidR="005B127B">
        <w:t>.</w:t>
      </w:r>
    </w:p>
    <w:p w14:paraId="60A8D852" w14:textId="77777777" w:rsidR="005B127B" w:rsidRPr="00E47714" w:rsidRDefault="005B127B" w:rsidP="00C66A54"/>
    <w:p w14:paraId="6317D669" w14:textId="7F26CEB5" w:rsidR="00C66A54" w:rsidRDefault="00C66A54" w:rsidP="00C66A54">
      <w:pPr>
        <w:rPr>
          <w:rFonts w:cs="Segoe UI"/>
        </w:rPr>
      </w:pPr>
      <w:r w:rsidRPr="00E47714">
        <w:fldChar w:fldCharType="begin"/>
      </w:r>
      <w:r w:rsidRPr="00E47714">
        <w:instrText xml:space="preserve"> REF _Ref167102034 \h  \* MERGEFORMAT </w:instrText>
      </w:r>
      <w:r w:rsidRPr="00E47714">
        <w:fldChar w:fldCharType="separate"/>
      </w:r>
      <w:r w:rsidR="009A6F87" w:rsidRPr="00E47714">
        <w:t xml:space="preserve">Figure </w:t>
      </w:r>
      <w:r w:rsidR="009A6F87">
        <w:t>12</w:t>
      </w:r>
      <w:r w:rsidRPr="00E47714">
        <w:fldChar w:fldCharType="end"/>
      </w:r>
      <w:r w:rsidRPr="00E47714">
        <w:t xml:space="preserve"> in the </w:t>
      </w:r>
      <w:r>
        <w:t>‘</w:t>
      </w:r>
      <w:r w:rsidRPr="00E47714">
        <w:t>Mortality</w:t>
      </w:r>
      <w:r>
        <w:t>’</w:t>
      </w:r>
      <w:r w:rsidRPr="00E47714">
        <w:t xml:space="preserve"> section shows that rates of cancer deaths decreased between 1990 and 2021. It also shows the gap between the rates for Māori and non-Māori reduced during this time </w:t>
      </w:r>
      <w:r>
        <w:fldChar w:fldCharType="begin"/>
      </w:r>
      <w:r>
        <w:instrText xml:space="preserve"> ADDIN EN.CITE &lt;EndNote&gt;&lt;Cite&gt;&lt;Author&gt;Health NZ &lt;/Author&gt;&lt;Year&gt;2023&lt;/Year&gt;&lt;RecNum&gt;424&lt;/RecNum&gt;&lt;DisplayText&gt;(Health NZ 2023c)&lt;/DisplayText&gt;&lt;record&gt;&lt;rec-number&gt;424&lt;/rec-number&gt;&lt;foreign-keys&gt;&lt;key app="EN" db-id="aaepvppzs5wtfse95vsp2wahsrtvva2vvdet" timestamp="1716421709"&gt;424&lt;/key&gt;&lt;/foreign-keys&gt;&lt;ref-type name="Web Page"&gt;12&lt;/ref-type&gt;&lt;contributors&gt;&lt;authors&gt;&lt;author&gt;Health NZ ,&lt;/author&gt;&lt;/authors&gt;&lt;/contributors&gt;&lt;titles&gt;&lt;title&gt;Mortality web tool&lt;/title&gt;&lt;/titles&gt;&lt;number&gt;23 May 2024&lt;/number&gt;&lt;dates&gt;&lt;year&gt;2023&lt;/year&gt;&lt;/dates&gt;&lt;urls&gt;&lt;related-urls&gt;&lt;url&gt;tewhatuora.shinyapps.io/mortality-web-tool&lt;/url&gt;&lt;/related-urls&gt;&lt;/urls&gt;&lt;/record&gt;&lt;/Cite&gt;&lt;/EndNote&gt;</w:instrText>
      </w:r>
      <w:r>
        <w:fldChar w:fldCharType="separate"/>
      </w:r>
      <w:r>
        <w:rPr>
          <w:noProof/>
        </w:rPr>
        <w:t>(Health NZ 2023c)</w:t>
      </w:r>
      <w:r>
        <w:fldChar w:fldCharType="end"/>
      </w:r>
      <w:r w:rsidRPr="00E47714">
        <w:t>.</w:t>
      </w:r>
      <w:r w:rsidRPr="00E47714">
        <w:rPr>
          <w:rStyle w:val="FootnoteReference"/>
          <w:rFonts w:cs="Segoe UI"/>
        </w:rPr>
        <w:t xml:space="preserve"> </w:t>
      </w:r>
    </w:p>
    <w:p w14:paraId="6784477B" w14:textId="77777777" w:rsidR="005B127B" w:rsidRPr="00E47714" w:rsidRDefault="005B127B" w:rsidP="00C66A54"/>
    <w:p w14:paraId="2489581B" w14:textId="48C7F13C" w:rsidR="00C66A54" w:rsidRPr="00E47714" w:rsidRDefault="00C66A54" w:rsidP="00C66A54">
      <w:r w:rsidRPr="00E47714">
        <w:t xml:space="preserve">Older people have higher rates of cancer mortality. </w:t>
      </w:r>
      <w:r w:rsidRPr="00E47714">
        <w:fldChar w:fldCharType="begin"/>
      </w:r>
      <w:r w:rsidRPr="00E47714">
        <w:instrText xml:space="preserve"> REF _Ref165469281 \h  \* MERGEFORMAT </w:instrText>
      </w:r>
      <w:r w:rsidRPr="00E47714">
        <w:fldChar w:fldCharType="separate"/>
      </w:r>
      <w:r w:rsidR="009A6F87" w:rsidRPr="00E47714">
        <w:t xml:space="preserve">Figure </w:t>
      </w:r>
      <w:r w:rsidR="009A6F87">
        <w:t>21</w:t>
      </w:r>
      <w:r w:rsidRPr="00E47714">
        <w:fldChar w:fldCharType="end"/>
      </w:r>
      <w:r w:rsidRPr="00E47714">
        <w:t xml:space="preserve"> shows the rate of cancer deaths in 2021 by age group. The rate of cancer deaths for people</w:t>
      </w:r>
      <w:r>
        <w:t xml:space="preserve"> aged</w:t>
      </w:r>
      <w:r w:rsidRPr="00E47714">
        <w:t xml:space="preserve"> 85 years and over was 2,516.9 per 100,000 population, compared with 1,515.5 for those </w:t>
      </w:r>
      <w:r>
        <w:t>aged</w:t>
      </w:r>
      <w:r w:rsidRPr="00E47714">
        <w:t xml:space="preserve"> 80</w:t>
      </w:r>
      <w:r w:rsidRPr="00E47714">
        <w:rPr>
          <w:rStyle w:val="normaltextrun"/>
          <w:rFonts w:ascii="Calibri" w:hAnsi="Calibri" w:cs="Calibri"/>
          <w:color w:val="000000"/>
          <w:bdr w:val="none" w:sz="0" w:space="0" w:color="auto" w:frame="1"/>
        </w:rPr>
        <w:t>–</w:t>
      </w:r>
      <w:r w:rsidRPr="00E47714">
        <w:t>84</w:t>
      </w:r>
      <w:r>
        <w:t xml:space="preserve"> years</w:t>
      </w:r>
      <w:r w:rsidRPr="00E47714">
        <w:t>, 1,028.0 for people aged 75</w:t>
      </w:r>
      <w:r w:rsidRPr="00E47714">
        <w:rPr>
          <w:rStyle w:val="normaltextrun"/>
          <w:rFonts w:ascii="Calibri" w:hAnsi="Calibri" w:cs="Calibri"/>
          <w:color w:val="000000"/>
          <w:bdr w:val="none" w:sz="0" w:space="0" w:color="auto" w:frame="1"/>
        </w:rPr>
        <w:t>–</w:t>
      </w:r>
      <w:r w:rsidRPr="00E47714">
        <w:t xml:space="preserve">79 years, 684.4 for </w:t>
      </w:r>
      <w:r>
        <w:t xml:space="preserve">those aged </w:t>
      </w:r>
      <w:r w:rsidRPr="00E47714">
        <w:t>70</w:t>
      </w:r>
      <w:r w:rsidRPr="00E47714">
        <w:rPr>
          <w:rStyle w:val="normaltextrun"/>
          <w:rFonts w:ascii="Calibri" w:hAnsi="Calibri" w:cs="Calibri"/>
          <w:color w:val="000000"/>
          <w:bdr w:val="none" w:sz="0" w:space="0" w:color="auto" w:frame="1"/>
        </w:rPr>
        <w:t>–</w:t>
      </w:r>
      <w:r w:rsidRPr="00E47714">
        <w:t>74 years and 455.7 deaths per 100,000 for people 65</w:t>
      </w:r>
      <w:r w:rsidRPr="00E47714">
        <w:rPr>
          <w:rStyle w:val="normaltextrun"/>
          <w:rFonts w:ascii="Calibri" w:hAnsi="Calibri" w:cs="Calibri"/>
          <w:color w:val="000000"/>
          <w:bdr w:val="none" w:sz="0" w:space="0" w:color="auto" w:frame="1"/>
        </w:rPr>
        <w:t>–</w:t>
      </w:r>
      <w:r w:rsidRPr="00E47714">
        <w:t>69 years of ag</w:t>
      </w:r>
      <w:r>
        <w:t xml:space="preserve">e </w:t>
      </w:r>
      <w:r>
        <w:fldChar w:fldCharType="begin"/>
      </w:r>
      <w:r>
        <w:instrText xml:space="preserve"> ADDIN EN.CITE &lt;EndNote&gt;&lt;Cite&gt;&lt;Author&gt;Health NZ &lt;/Author&gt;&lt;Year&gt;2023&lt;/Year&gt;&lt;RecNum&gt;433&lt;/RecNum&gt;&lt;DisplayText&gt;(Health NZ 2023a)&lt;/DisplayText&gt;&lt;record&gt;&lt;rec-number&gt;433&lt;/rec-number&gt;&lt;foreign-keys&gt;&lt;key app="EN" db-id="aaepvppzs5wtfse95vsp2wahsrtvva2vvdet" timestamp="1716426711"&gt;433&lt;/key&gt;&lt;/foreign-keys&gt;&lt;ref-type name="Web Page"&gt;12&lt;/ref-type&gt;&lt;contributors&gt;&lt;authors&gt;&lt;author&gt;Health NZ ,&lt;/author&gt;&lt;/authors&gt;&lt;/contributors&gt;&lt;titles&gt;&lt;title&gt;Cancer web tool&lt;/title&gt;&lt;/titles&gt;&lt;number&gt;23 May 2024&lt;/number&gt;&lt;dates&gt;&lt;year&gt;2023&lt;/year&gt;&lt;/dates&gt;&lt;urls&gt;&lt;related-urls&gt;&lt;url&gt;tewhatuora.shinyapps.io/cancer-web-tool&lt;/url&gt;&lt;/related-urls&gt;&lt;/urls&gt;&lt;/record&gt;&lt;/Cite&gt;&lt;/EndNote&gt;</w:instrText>
      </w:r>
      <w:r>
        <w:fldChar w:fldCharType="separate"/>
      </w:r>
      <w:r>
        <w:rPr>
          <w:noProof/>
        </w:rPr>
        <w:t>(Health NZ 2023a)</w:t>
      </w:r>
      <w:r>
        <w:fldChar w:fldCharType="end"/>
      </w:r>
      <w:r w:rsidRPr="00E47714">
        <w:t>.</w:t>
      </w:r>
    </w:p>
    <w:p w14:paraId="4405D51B" w14:textId="30B8E36D" w:rsidR="00C66A54" w:rsidRPr="00E47714" w:rsidRDefault="00C66A54" w:rsidP="005B127B">
      <w:pPr>
        <w:pStyle w:val="Figure"/>
      </w:pPr>
      <w:bookmarkStart w:id="121" w:name="_Ref165469281"/>
      <w:bookmarkStart w:id="122" w:name="_Toc171330668"/>
      <w:bookmarkStart w:id="123" w:name="_Toc172104704"/>
      <w:r w:rsidRPr="00E47714">
        <w:t xml:space="preserve">Figure </w:t>
      </w:r>
      <w:fldSimple w:instr=" SEQ Figure \* ARABIC ">
        <w:r w:rsidR="009A6F87">
          <w:rPr>
            <w:noProof/>
          </w:rPr>
          <w:t>21</w:t>
        </w:r>
      </w:fldSimple>
      <w:bookmarkEnd w:id="121"/>
      <w:r w:rsidRPr="00E47714">
        <w:t>: Rate of all cancer deaths by age group</w:t>
      </w:r>
      <w:r>
        <w:t xml:space="preserve"> (years)</w:t>
      </w:r>
      <w:r w:rsidRPr="00E47714">
        <w:t>, 2021</w:t>
      </w:r>
      <w:bookmarkEnd w:id="122"/>
      <w:bookmarkEnd w:id="123"/>
    </w:p>
    <w:p w14:paraId="2ECD49B9" w14:textId="77777777" w:rsidR="00C66A54" w:rsidRPr="00E47714" w:rsidRDefault="00C66A54" w:rsidP="00C66A54">
      <w:r w:rsidRPr="00E47714">
        <w:rPr>
          <w:noProof/>
        </w:rPr>
        <w:drawing>
          <wp:inline distT="0" distB="0" distL="0" distR="0" wp14:anchorId="362127BE" wp14:editId="5A49FCBA">
            <wp:extent cx="5094514" cy="2831350"/>
            <wp:effectExtent l="0" t="0" r="0" b="7620"/>
            <wp:docPr id="1286808679" name="Picture 1286808679" descr="This chart shows the rate of cancer deaths by 5 year age groups from 2021. Rates of cancer deaths are lowest among the youngest age groups and increase at an exponential rate as age increases up to 2,517 per 100,000 people in those aged 85 years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08679" name="Picture 1286808679" descr="This chart shows the rate of cancer deaths by 5 year age groups from 2021. Rates of cancer deaths are lowest among the youngest age groups and increase at an exponential rate as age increases up to 2,517 per 100,000 people in those aged 85 years and older."/>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107677" cy="2838665"/>
                    </a:xfrm>
                    <a:prstGeom prst="rect">
                      <a:avLst/>
                    </a:prstGeom>
                    <a:noFill/>
                    <a:ln>
                      <a:noFill/>
                    </a:ln>
                  </pic:spPr>
                </pic:pic>
              </a:graphicData>
            </a:graphic>
          </wp:inline>
        </w:drawing>
      </w:r>
    </w:p>
    <w:p w14:paraId="1491FAAD" w14:textId="77777777" w:rsidR="00C66A54" w:rsidRDefault="00C66A54" w:rsidP="00C66A54">
      <w:pPr>
        <w:pStyle w:val="Source"/>
        <w:rPr>
          <w:b/>
          <w:bCs/>
        </w:rPr>
      </w:pPr>
      <w:r w:rsidRPr="00C77EEE">
        <w:t>Note:</w:t>
      </w:r>
      <w:r>
        <w:rPr>
          <w:b/>
          <w:bCs/>
        </w:rPr>
        <w:t xml:space="preserve"> </w:t>
      </w:r>
      <w:r w:rsidRPr="00E47714">
        <w:t>Error bars indicate 95% confidence intervals.</w:t>
      </w:r>
    </w:p>
    <w:p w14:paraId="0FADEEB6" w14:textId="77777777" w:rsidR="005B127B" w:rsidRDefault="00C66A54" w:rsidP="00C66A54">
      <w:pPr>
        <w:pStyle w:val="Source"/>
      </w:pPr>
      <w:r w:rsidRPr="00E47714">
        <w:rPr>
          <w:b/>
          <w:bCs/>
        </w:rPr>
        <w:t>Source:</w:t>
      </w:r>
      <w:r w:rsidRPr="00E47714">
        <w:t xml:space="preserve"> </w:t>
      </w:r>
      <w:r>
        <w:fldChar w:fldCharType="begin"/>
      </w:r>
      <w:r>
        <w:instrText xml:space="preserve"> ADDIN EN.CITE &lt;EndNote&gt;&lt;Cite AuthorYear="1"&gt;&lt;Author&gt;Health NZ &lt;/Author&gt;&lt;Year&gt;2023&lt;/Year&gt;&lt;RecNum&gt;433&lt;/RecNum&gt;&lt;DisplayText&gt;Health NZ (2023a)&lt;/DisplayText&gt;&lt;record&gt;&lt;rec-number&gt;433&lt;/rec-number&gt;&lt;foreign-keys&gt;&lt;key app="EN" db-id="aaepvppzs5wtfse95vsp2wahsrtvva2vvdet" timestamp="1716426711"&gt;433&lt;/key&gt;&lt;/foreign-keys&gt;&lt;ref-type name="Web Page"&gt;12&lt;/ref-type&gt;&lt;contributors&gt;&lt;authors&gt;&lt;author&gt;Health NZ ,&lt;/author&gt;&lt;/authors&gt;&lt;/contributors&gt;&lt;titles&gt;&lt;title&gt;Cancer web tool&lt;/title&gt;&lt;/titles&gt;&lt;number&gt;23 May 2024&lt;/number&gt;&lt;dates&gt;&lt;year&gt;2023&lt;/year&gt;&lt;/dates&gt;&lt;urls&gt;&lt;related-urls&gt;&lt;url&gt;tewhatuora.shinyapps.io/cancer-web-tool&lt;/url&gt;&lt;/related-urls&gt;&lt;/urls&gt;&lt;/record&gt;&lt;/Cite&gt;&lt;/EndNote&gt;</w:instrText>
      </w:r>
      <w:r>
        <w:fldChar w:fldCharType="separate"/>
      </w:r>
      <w:r>
        <w:rPr>
          <w:noProof/>
        </w:rPr>
        <w:t>Health NZ (2023a)</w:t>
      </w:r>
      <w:r>
        <w:fldChar w:fldCharType="end"/>
      </w:r>
    </w:p>
    <w:p w14:paraId="296C2528" w14:textId="77777777" w:rsidR="00C66A54" w:rsidRPr="00E47714" w:rsidRDefault="00C66A54" w:rsidP="00C66A54">
      <w:pPr>
        <w:pStyle w:val="Heading3"/>
      </w:pPr>
      <w:r w:rsidRPr="00E47714">
        <w:t>Cancer screening</w:t>
      </w:r>
    </w:p>
    <w:p w14:paraId="34DA445A" w14:textId="77777777" w:rsidR="00C66A54" w:rsidRPr="00E47714" w:rsidRDefault="00C66A54" w:rsidP="00C66A54">
      <w:pPr>
        <w:rPr>
          <w:rFonts w:cs="Segoe UI"/>
        </w:rPr>
      </w:pPr>
      <w:r w:rsidRPr="00E47714">
        <w:t>Cancer screening (part of</w:t>
      </w:r>
      <w:r>
        <w:t xml:space="preserve"> the</w:t>
      </w:r>
      <w:r w:rsidRPr="00E47714">
        <w:t xml:space="preserve"> National Public Health Service Prevention Directorate) aims to increase early diagnosis and treatment of cancer, which increases the options for treatment and</w:t>
      </w:r>
      <w:r>
        <w:t xml:space="preserve"> improves the</w:t>
      </w:r>
      <w:r w:rsidRPr="00E47714">
        <w:t xml:space="preserve"> chances for cancer survival </w:t>
      </w:r>
      <w:r>
        <w:fldChar w:fldCharType="begin"/>
      </w:r>
      <w:r>
        <w:instrText xml:space="preserve"> ADDIN EN.CITE &lt;EndNote&gt;&lt;Cite&gt;&lt;Author&gt;Health NZ&lt;/Author&gt;&lt;Year&gt;2024&lt;/Year&gt;&lt;RecNum&gt;414&lt;/RecNum&gt;&lt;DisplayText&gt;(Health NZ 2024a)&lt;/DisplayText&gt;&lt;record&gt;&lt;rec-number&gt;414&lt;/rec-number&gt;&lt;foreign-keys&gt;&lt;key app="EN" db-id="aaepvppzs5wtfse95vsp2wahsrtvva2vvdet" timestamp="1716416868"&gt;414&lt;/key&gt;&lt;/foreign-keys&gt;&lt;ref-type name="Generic"&gt;13&lt;/ref-type&gt;&lt;contributors&gt;&lt;authors&gt;&lt;author&gt;Health NZ,&lt;/author&gt;&lt;/authors&gt;&lt;/contributors&gt;&lt;titles&gt;&lt;title&gt;Aotearoa New Zealand Health Status Report 2023 &lt;/title&gt;&lt;/titles&gt;&lt;dates&gt;&lt;year&gt;2024&lt;/year&gt;&lt;/dates&gt;&lt;pub-location&gt;Wellington&lt;/pub-location&gt;&lt;publisher&gt;Health New Zealand&lt;/publisher&gt;&lt;urls&gt;&lt;/urls&gt;&lt;/record&gt;&lt;/Cite&gt;&lt;/EndNote&gt;</w:instrText>
      </w:r>
      <w:r>
        <w:fldChar w:fldCharType="separate"/>
      </w:r>
      <w:r>
        <w:rPr>
          <w:noProof/>
        </w:rPr>
        <w:t>(Health NZ 2024a)</w:t>
      </w:r>
      <w:r>
        <w:fldChar w:fldCharType="end"/>
      </w:r>
      <w:r w:rsidRPr="00E47714">
        <w:t xml:space="preserve">. Currently, </w:t>
      </w:r>
      <w:r>
        <w:t xml:space="preserve">Aotearoa New Zealand has </w:t>
      </w:r>
      <w:r w:rsidRPr="00E47714">
        <w:t>population-based cancer screening programmes for breast, cervical and bowel (colorectal) cancer.</w:t>
      </w:r>
    </w:p>
    <w:p w14:paraId="347CFBD9" w14:textId="77777777" w:rsidR="00C66A54" w:rsidRPr="00E47714" w:rsidRDefault="00C66A54" w:rsidP="00C66A54">
      <w:pPr>
        <w:pStyle w:val="Heading4"/>
      </w:pPr>
      <w:r w:rsidRPr="00E47714">
        <w:lastRenderedPageBreak/>
        <w:t>Breast screening</w:t>
      </w:r>
    </w:p>
    <w:p w14:paraId="39D694CA" w14:textId="65CC79A6" w:rsidR="00C66A54" w:rsidRDefault="00C66A54" w:rsidP="00C66A54">
      <w:pPr>
        <w:rPr>
          <w:rFonts w:eastAsia="Segoe UI"/>
          <w:color w:val="000000" w:themeColor="text1"/>
        </w:rPr>
      </w:pPr>
      <w:r w:rsidRPr="00E47714">
        <w:t xml:space="preserve">Breast cancer is the most common cancer affecting women in Aotearoa New Zealand. Breast screening is offered every </w:t>
      </w:r>
      <w:r>
        <w:t>two</w:t>
      </w:r>
      <w:r w:rsidRPr="00E47714">
        <w:t xml:space="preserve"> years to eligible woman aged 45 to 69 years. It aims to save lives by finding breast cancer early before it spreads. </w:t>
      </w:r>
      <w:r w:rsidRPr="00E47714">
        <w:rPr>
          <w:rFonts w:eastAsia="Segoe UI"/>
          <w:color w:val="000000" w:themeColor="text1"/>
        </w:rPr>
        <w:t xml:space="preserve">The breast screening coverage target is for at least 70% of eligible women in </w:t>
      </w:r>
      <w:r w:rsidRPr="00E47714">
        <w:t xml:space="preserve">Aotearoa </w:t>
      </w:r>
      <w:r w:rsidRPr="00E47714">
        <w:rPr>
          <w:rFonts w:eastAsia="Segoe UI"/>
          <w:color w:val="000000" w:themeColor="text1"/>
        </w:rPr>
        <w:t xml:space="preserve">New Zealand to be screened every </w:t>
      </w:r>
      <w:r>
        <w:rPr>
          <w:rFonts w:eastAsia="Segoe UI"/>
          <w:color w:val="000000" w:themeColor="text1"/>
        </w:rPr>
        <w:t>two</w:t>
      </w:r>
      <w:r w:rsidRPr="00E47714">
        <w:rPr>
          <w:rFonts w:eastAsia="Segoe UI"/>
          <w:color w:val="000000" w:themeColor="text1"/>
        </w:rPr>
        <w:t xml:space="preserve"> years. As at December 2023, the overall </w:t>
      </w:r>
      <w:r>
        <w:rPr>
          <w:rFonts w:eastAsia="Segoe UI"/>
          <w:color w:val="000000" w:themeColor="text1"/>
        </w:rPr>
        <w:t>two</w:t>
      </w:r>
      <w:r w:rsidRPr="00E47714">
        <w:rPr>
          <w:rFonts w:eastAsia="Segoe UI"/>
          <w:color w:val="000000" w:themeColor="text1"/>
        </w:rPr>
        <w:t xml:space="preserve">-year breast screening coverage was 67.7% </w:t>
      </w:r>
      <w:r>
        <w:rPr>
          <w:rFonts w:eastAsia="Segoe UI"/>
          <w:color w:val="000000" w:themeColor="text1"/>
        </w:rPr>
        <w:fldChar w:fldCharType="begin"/>
      </w:r>
      <w:r>
        <w:rPr>
          <w:rFonts w:eastAsia="Segoe UI"/>
          <w:color w:val="000000" w:themeColor="text1"/>
        </w:rPr>
        <w:instrText xml:space="preserve"> ADDIN EN.CITE &lt;EndNote&gt;&lt;Cite&gt;&lt;Author&gt;Health NZ&lt;/Author&gt;&lt;Year&gt;2024&lt;/Year&gt;&lt;RecNum&gt;434&lt;/RecNum&gt;&lt;DisplayText&gt;(Health NZ 2024b)&lt;/DisplayText&gt;&lt;record&gt;&lt;rec-number&gt;434&lt;/rec-number&gt;&lt;foreign-keys&gt;&lt;key app="EN" db-id="aaepvppzs5wtfse95vsp2wahsrtvva2vvdet" timestamp="1716427224"&gt;434&lt;/key&gt;&lt;/foreign-keys&gt;&lt;ref-type name="Web Page"&gt;12&lt;/ref-type&gt;&lt;contributors&gt;&lt;authors&gt;&lt;author&gt;Health NZ,&lt;/author&gt;&lt;/authors&gt;&lt;/contributors&gt;&lt;titles&gt;&lt;title&gt;BreastScreen Aotearoa Coverage Report&lt;/title&gt;&lt;/titles&gt;&lt;number&gt;21 May 2024&lt;/number&gt;&lt;dates&gt;&lt;year&gt;2024&lt;/year&gt;&lt;/dates&gt;&lt;urls&gt;&lt;related-urls&gt;&lt;url&gt;tewhatuora.shinyapps.io/nsu-bsa-coverage&lt;/url&gt;&lt;/related-urls&gt;&lt;/urls&gt;&lt;/record&gt;&lt;/Cite&gt;&lt;/EndNote&gt;</w:instrText>
      </w:r>
      <w:r>
        <w:rPr>
          <w:rFonts w:eastAsia="Segoe UI"/>
          <w:color w:val="000000" w:themeColor="text1"/>
        </w:rPr>
        <w:fldChar w:fldCharType="separate"/>
      </w:r>
      <w:r>
        <w:rPr>
          <w:rFonts w:eastAsia="Segoe UI"/>
          <w:noProof/>
          <w:color w:val="000000" w:themeColor="text1"/>
        </w:rPr>
        <w:t>(Health NZ 2024b)</w:t>
      </w:r>
      <w:r>
        <w:rPr>
          <w:rFonts w:eastAsia="Segoe UI"/>
          <w:color w:val="000000" w:themeColor="text1"/>
        </w:rPr>
        <w:fldChar w:fldCharType="end"/>
      </w:r>
      <w:r w:rsidRPr="00E47714">
        <w:rPr>
          <w:rFonts w:eastAsia="Segoe UI"/>
          <w:color w:val="000000" w:themeColor="text1"/>
        </w:rPr>
        <w:t>.</w:t>
      </w:r>
    </w:p>
    <w:p w14:paraId="7FFC58F4" w14:textId="77777777" w:rsidR="005B127B" w:rsidRPr="00E47714" w:rsidRDefault="005B127B" w:rsidP="00C66A54">
      <w:pPr>
        <w:rPr>
          <w:rFonts w:eastAsia="Segoe UI" w:cs="Segoe UI"/>
          <w:color w:val="000000" w:themeColor="text1"/>
        </w:rPr>
      </w:pPr>
    </w:p>
    <w:p w14:paraId="7816E4DE" w14:textId="4F81DC86" w:rsidR="00C66A54" w:rsidRDefault="00C66A54" w:rsidP="00C66A54">
      <w:r w:rsidRPr="00E47714">
        <w:t xml:space="preserve">As </w:t>
      </w:r>
      <w:r w:rsidRPr="00E47714">
        <w:fldChar w:fldCharType="begin"/>
      </w:r>
      <w:r w:rsidRPr="00E47714">
        <w:instrText xml:space="preserve"> REF _Ref165273457 \h  \* MERGEFORMAT </w:instrText>
      </w:r>
      <w:r w:rsidRPr="00E47714">
        <w:fldChar w:fldCharType="separate"/>
      </w:r>
      <w:r w:rsidR="009A6F87" w:rsidRPr="00E47714">
        <w:t xml:space="preserve">Figure </w:t>
      </w:r>
      <w:r w:rsidR="009A6F87">
        <w:t>22</w:t>
      </w:r>
      <w:r w:rsidRPr="00E47714">
        <w:fldChar w:fldCharType="end"/>
      </w:r>
      <w:r w:rsidRPr="00E47714">
        <w:t xml:space="preserve"> shows, in December 2023 breast screening coverage remains lowest for Māori at 60.7%</w:t>
      </w:r>
      <w:r>
        <w:t xml:space="preserve"> and second lowest</w:t>
      </w:r>
      <w:r w:rsidRPr="00E47714">
        <w:t xml:space="preserve"> for Pacific peoples at 64.7%. The coverage for Asian </w:t>
      </w:r>
      <w:r>
        <w:t>people</w:t>
      </w:r>
      <w:r w:rsidRPr="00E47714">
        <w:t xml:space="preserve"> was 63.5% and for European/other 70.1%. </w:t>
      </w:r>
    </w:p>
    <w:p w14:paraId="4A56F040" w14:textId="77777777" w:rsidR="005B127B" w:rsidRPr="00E47714" w:rsidRDefault="005B127B" w:rsidP="00C66A54">
      <w:pPr>
        <w:rPr>
          <w:rFonts w:eastAsia="Segoe UI" w:cs="Segoe UI"/>
        </w:rPr>
      </w:pPr>
    </w:p>
    <w:p w14:paraId="21571089" w14:textId="199F4DCC" w:rsidR="00C66A54" w:rsidRPr="00E47714" w:rsidRDefault="00C66A54" w:rsidP="00C66A54">
      <w:pPr>
        <w:rPr>
          <w:rFonts w:eastAsia="Segoe UI"/>
        </w:rPr>
      </w:pPr>
      <w:r w:rsidRPr="00E47714">
        <w:t xml:space="preserve">The graph shows that </w:t>
      </w:r>
      <w:r>
        <w:t xml:space="preserve">the </w:t>
      </w:r>
      <w:r w:rsidRPr="00E47714">
        <w:t>COVID-19</w:t>
      </w:r>
      <w:r>
        <w:t xml:space="preserve"> restrictions had a significant impact</w:t>
      </w:r>
      <w:r w:rsidRPr="00E47714">
        <w:t xml:space="preserve"> on the breast screening programme, </w:t>
      </w:r>
      <w:r>
        <w:t>reducing its</w:t>
      </w:r>
      <w:r w:rsidRPr="00E47714">
        <w:t xml:space="preserve"> coverage rates. The disproportionate impact on Pacific and Asian ethnic groups is thought to be related to the geographic distribution of these communities </w:t>
      </w:r>
      <w:r>
        <w:t>in that they lived in</w:t>
      </w:r>
      <w:r w:rsidRPr="00E47714">
        <w:t xml:space="preserve"> areas most impacted by public health restrictions </w:t>
      </w:r>
      <w:r>
        <w:fldChar w:fldCharType="begin"/>
      </w:r>
      <w:r>
        <w:instrText xml:space="preserve"> ADDIN EN.CITE &lt;EndNote&gt;&lt;Cite&gt;&lt;Author&gt;National Screening Unit&lt;/Author&gt;&lt;Year&gt;2022&lt;/Year&gt;&lt;RecNum&gt;538&lt;/RecNum&gt;&lt;DisplayText&gt;(National Screening Unit 2022)&lt;/DisplayText&gt;&lt;record&gt;&lt;rec-number&gt;538&lt;/rec-number&gt;&lt;foreign-keys&gt;&lt;key app="EN" db-id="aaepvppzs5wtfse95vsp2wahsrtvva2vvdet" timestamp="1717715520"&gt;538&lt;/key&gt;&lt;/foreign-keys&gt;&lt;ref-type name="Generic"&gt;13&lt;/ref-type&gt;&lt;contributors&gt;&lt;authors&gt;&lt;author&gt;National Screening Unit,&lt;/author&gt;&lt;/authors&gt;&lt;/contributors&gt;&lt;titles&gt;&lt;title&gt;Quality Improvement Review of Clinical Quality and Safety for Breast Screening Aotearoa&lt;/title&gt;&lt;/titles&gt;&lt;dates&gt;&lt;year&gt;2022&lt;/year&gt;&lt;/dates&gt;&lt;pub-location&gt;Wellington&lt;/pub-location&gt;&lt;publisher&gt;National Screening Unit&lt;/publisher&gt;&lt;urls&gt;&lt;related-urls&gt;&lt;url&gt;nsu.govt.nz/publications/quality-improvement-review-clinical-quality-and-safety-breast-screening-aotearoa&lt;/url&gt;&lt;/related-urls&gt;&lt;/urls&gt;&lt;/record&gt;&lt;/Cite&gt;&lt;/EndNote&gt;</w:instrText>
      </w:r>
      <w:r>
        <w:fldChar w:fldCharType="separate"/>
      </w:r>
      <w:r>
        <w:rPr>
          <w:noProof/>
        </w:rPr>
        <w:t>(National Screening Unit 2022)</w:t>
      </w:r>
      <w:r>
        <w:fldChar w:fldCharType="end"/>
      </w:r>
      <w:r w:rsidRPr="00E47714">
        <w:t>. I</w:t>
      </w:r>
      <w:r w:rsidRPr="00E47714">
        <w:rPr>
          <w:rFonts w:eastAsia="Segoe UI"/>
        </w:rPr>
        <w:t>n 2020, coverage rates did reduce for all ethnic groups</w:t>
      </w:r>
      <w:r>
        <w:rPr>
          <w:rFonts w:eastAsia="Segoe UI"/>
        </w:rPr>
        <w:t>, as</w:t>
      </w:r>
      <w:r w:rsidRPr="00E47714">
        <w:rPr>
          <w:rFonts w:eastAsia="Segoe UI"/>
        </w:rPr>
        <w:t xml:space="preserve"> </w:t>
      </w:r>
      <w:r w:rsidRPr="00E47714">
        <w:rPr>
          <w:rFonts w:eastAsia="Segoe UI"/>
        </w:rPr>
        <w:fldChar w:fldCharType="begin"/>
      </w:r>
      <w:r w:rsidRPr="00E47714">
        <w:rPr>
          <w:rFonts w:eastAsia="Segoe UI"/>
        </w:rPr>
        <w:instrText xml:space="preserve"> REF _Ref165279696 \h  \* MERGEFORMAT </w:instrText>
      </w:r>
      <w:r w:rsidRPr="00E47714">
        <w:rPr>
          <w:rFonts w:eastAsia="Segoe UI"/>
        </w:rPr>
      </w:r>
      <w:r w:rsidRPr="00E47714">
        <w:rPr>
          <w:rFonts w:eastAsia="Segoe UI"/>
        </w:rPr>
        <w:fldChar w:fldCharType="separate"/>
      </w:r>
      <w:r w:rsidR="009A6F87" w:rsidRPr="00E47714">
        <w:t xml:space="preserve">Figure </w:t>
      </w:r>
      <w:r w:rsidR="009A6F87">
        <w:t>24</w:t>
      </w:r>
      <w:r w:rsidRPr="00E47714">
        <w:rPr>
          <w:rFonts w:eastAsia="Segoe UI"/>
        </w:rPr>
        <w:fldChar w:fldCharType="end"/>
      </w:r>
      <w:r>
        <w:rPr>
          <w:rFonts w:eastAsia="Segoe UI"/>
        </w:rPr>
        <w:t xml:space="preserve"> shows in more detail</w:t>
      </w:r>
      <w:r w:rsidRPr="00E47714">
        <w:rPr>
          <w:rFonts w:eastAsia="Segoe UI"/>
        </w:rPr>
        <w:t>.</w:t>
      </w:r>
    </w:p>
    <w:p w14:paraId="24222339" w14:textId="7D54FA21" w:rsidR="00C66A54" w:rsidRPr="00E47714" w:rsidRDefault="00C66A54" w:rsidP="005B127B">
      <w:pPr>
        <w:pStyle w:val="Figure"/>
      </w:pPr>
      <w:bookmarkStart w:id="124" w:name="_Ref165273457"/>
      <w:bookmarkStart w:id="125" w:name="_Toc171330669"/>
      <w:bookmarkStart w:id="126" w:name="_Toc172104705"/>
      <w:r w:rsidRPr="00E47714">
        <w:t xml:space="preserve">Figure </w:t>
      </w:r>
      <w:fldSimple w:instr=" SEQ Figure \* ARABIC ">
        <w:r w:rsidR="009A6F87">
          <w:rPr>
            <w:noProof/>
          </w:rPr>
          <w:t>22</w:t>
        </w:r>
      </w:fldSimple>
      <w:bookmarkEnd w:id="124"/>
      <w:r w:rsidRPr="00E47714">
        <w:t xml:space="preserve">: </w:t>
      </w:r>
      <w:r>
        <w:rPr>
          <w:rFonts w:eastAsia="Segoe UI"/>
        </w:rPr>
        <w:t>Two</w:t>
      </w:r>
      <w:r w:rsidRPr="00E47714">
        <w:rPr>
          <w:rFonts w:eastAsia="Segoe UI"/>
        </w:rPr>
        <w:t>-year breast screening coverage rates for women aged 45</w:t>
      </w:r>
      <w:r>
        <w:rPr>
          <w:rFonts w:eastAsia="Segoe UI"/>
        </w:rPr>
        <w:t>–</w:t>
      </w:r>
      <w:r w:rsidRPr="00E47714">
        <w:rPr>
          <w:rFonts w:eastAsia="Segoe UI"/>
        </w:rPr>
        <w:t xml:space="preserve">69 years, by ethnic group (prioritised ethnicity), </w:t>
      </w:r>
      <w:r w:rsidRPr="00E47714">
        <w:t>2010–</w:t>
      </w:r>
      <w:proofErr w:type="gramStart"/>
      <w:r w:rsidRPr="00E47714">
        <w:t>2023</w:t>
      </w:r>
      <w:bookmarkEnd w:id="125"/>
      <w:bookmarkEnd w:id="126"/>
      <w:proofErr w:type="gramEnd"/>
    </w:p>
    <w:p w14:paraId="4CAE182D" w14:textId="77777777" w:rsidR="00C66A54" w:rsidRPr="00E47714" w:rsidRDefault="00C66A54" w:rsidP="005B127B">
      <w:pPr>
        <w:pStyle w:val="NormalWeb"/>
        <w:spacing w:before="0" w:beforeAutospacing="0" w:after="0" w:afterAutospacing="0"/>
      </w:pPr>
      <w:r w:rsidRPr="00E47714">
        <w:rPr>
          <w:noProof/>
        </w:rPr>
        <w:drawing>
          <wp:inline distT="0" distB="0" distL="0" distR="0" wp14:anchorId="2A16282A" wp14:editId="59A58C45">
            <wp:extent cx="5105400" cy="4376499"/>
            <wp:effectExtent l="0" t="0" r="0" b="5080"/>
            <wp:docPr id="1286808687" name="Picture 1286808687" descr="A timeseries line chart showing 2-year breast screening coverage rates by ethnic group between 2010 and 2023. Across the time series, Māori and Asian ethnic groups have the lowest rates. Rates of 2-year breast screening coverage decreased among all ethnic groups in 2020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08687" name="Picture 1286808687" descr="A timeseries line chart showing 2-year breast screening coverage rates by ethnic group between 2010 and 2023. Across the time series, Māori and Asian ethnic groups have the lowest rates. Rates of 2-year breast screening coverage decreased among all ethnic groups in 2020 and 2021."/>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111850" cy="4382028"/>
                    </a:xfrm>
                    <a:prstGeom prst="rect">
                      <a:avLst/>
                    </a:prstGeom>
                    <a:noFill/>
                    <a:ln>
                      <a:noFill/>
                    </a:ln>
                  </pic:spPr>
                </pic:pic>
              </a:graphicData>
            </a:graphic>
          </wp:inline>
        </w:drawing>
      </w:r>
    </w:p>
    <w:p w14:paraId="4DE2415A" w14:textId="77777777" w:rsidR="00C66A54" w:rsidRPr="00E47714" w:rsidRDefault="00C66A54" w:rsidP="00C66A54">
      <w:pPr>
        <w:pStyle w:val="Source"/>
        <w:rPr>
          <w:color w:val="365F91" w:themeColor="accent1" w:themeShade="BF"/>
          <w:sz w:val="22"/>
        </w:rPr>
      </w:pPr>
      <w:r w:rsidRPr="00E47714">
        <w:rPr>
          <w:b/>
          <w:bCs/>
        </w:rPr>
        <w:t>Source:</w:t>
      </w:r>
      <w:r w:rsidRPr="00E47714">
        <w:rPr>
          <w:color w:val="365F91" w:themeColor="accent1" w:themeShade="BF"/>
          <w:sz w:val="22"/>
        </w:rPr>
        <w:t xml:space="preserve"> </w:t>
      </w:r>
      <w:r>
        <w:fldChar w:fldCharType="begin"/>
      </w:r>
      <w:r>
        <w:instrText xml:space="preserve"> ADDIN EN.CITE &lt;EndNote&gt;&lt;Cite AuthorYear="1"&gt;&lt;Author&gt;Health NZ&lt;/Author&gt;&lt;Year&gt;2024&lt;/Year&gt;&lt;RecNum&gt;434&lt;/RecNum&gt;&lt;DisplayText&gt;Health NZ (2024b)&lt;/DisplayText&gt;&lt;record&gt;&lt;rec-number&gt;434&lt;/rec-number&gt;&lt;foreign-keys&gt;&lt;key app="EN" db-id="aaepvppzs5wtfse95vsp2wahsrtvva2vvdet" timestamp="1716427224"&gt;434&lt;/key&gt;&lt;/foreign-keys&gt;&lt;ref-type name="Web Page"&gt;12&lt;/ref-type&gt;&lt;contributors&gt;&lt;authors&gt;&lt;author&gt;Health NZ,&lt;/author&gt;&lt;/authors&gt;&lt;/contributors&gt;&lt;titles&gt;&lt;title&gt;BreastScreen Aotearoa Coverage Report&lt;/title&gt;&lt;/titles&gt;&lt;number&gt;21 May 2024&lt;/number&gt;&lt;dates&gt;&lt;year&gt;2024&lt;/year&gt;&lt;/dates&gt;&lt;urls&gt;&lt;related-urls&gt;&lt;url&gt;tewhatuora.shinyapps.io/nsu-bsa-coverage&lt;/url&gt;&lt;/related-urls&gt;&lt;/urls&gt;&lt;/record&gt;&lt;/Cite&gt;&lt;/EndNote&gt;</w:instrText>
      </w:r>
      <w:r>
        <w:fldChar w:fldCharType="separate"/>
      </w:r>
      <w:r>
        <w:rPr>
          <w:noProof/>
        </w:rPr>
        <w:t>Health NZ (2024b)</w:t>
      </w:r>
      <w:r>
        <w:fldChar w:fldCharType="end"/>
      </w:r>
    </w:p>
    <w:p w14:paraId="7BF1ECB6" w14:textId="77777777" w:rsidR="00C66A54" w:rsidRPr="00E47714" w:rsidRDefault="00C66A54" w:rsidP="00C66A54">
      <w:pPr>
        <w:pStyle w:val="Heading4"/>
      </w:pPr>
      <w:r w:rsidRPr="00E47714">
        <w:lastRenderedPageBreak/>
        <w:t>Cervical screening</w:t>
      </w:r>
    </w:p>
    <w:p w14:paraId="0B130C37" w14:textId="777C64C2" w:rsidR="00C66A54" w:rsidRDefault="00C66A54" w:rsidP="00C66A54">
      <w:pPr>
        <w:rPr>
          <w:lang w:eastAsia="en-NZ"/>
        </w:rPr>
      </w:pPr>
      <w:r w:rsidRPr="00E47714">
        <w:t xml:space="preserve">Cervical cancer is one of the most preventable cancers if pre-cancerous changes are detected early and managed effectively. In August 2020, the World Health Assembly adopted a global strategy </w:t>
      </w:r>
      <w:r>
        <w:t>to eliminate</w:t>
      </w:r>
      <w:r w:rsidRPr="00E47714">
        <w:t xml:space="preserve"> cervical cancer. </w:t>
      </w:r>
      <w:r>
        <w:t xml:space="preserve">That strategy requires </w:t>
      </w:r>
      <w:r w:rsidRPr="00E47714">
        <w:t xml:space="preserve">all countries </w:t>
      </w:r>
      <w:r>
        <w:t xml:space="preserve">to </w:t>
      </w:r>
      <w:r w:rsidRPr="00E47714">
        <w:t xml:space="preserve">reach and maintain an incidence rate of below 4 per 100,000 women. Achieving that </w:t>
      </w:r>
      <w:r>
        <w:t>rate</w:t>
      </w:r>
      <w:r w:rsidRPr="00E47714">
        <w:t xml:space="preserve"> rests on </w:t>
      </w:r>
      <w:r>
        <w:t>three</w:t>
      </w:r>
      <w:r w:rsidRPr="00E47714">
        <w:t xml:space="preserve"> key pillars</w:t>
      </w:r>
      <w:r>
        <w:t>:</w:t>
      </w:r>
      <w:r w:rsidRPr="00E47714">
        <w:t xml:space="preserve"> </w:t>
      </w:r>
      <w:r w:rsidRPr="00E47714">
        <w:rPr>
          <w:lang w:eastAsia="en-NZ"/>
        </w:rPr>
        <w:t xml:space="preserve">vaccination with the </w:t>
      </w:r>
      <w:r w:rsidRPr="00E47714">
        <w:rPr>
          <w:rFonts w:eastAsia="Segoe UI"/>
          <w:color w:val="000000" w:themeColor="text1"/>
        </w:rPr>
        <w:t>human papillomavirus</w:t>
      </w:r>
      <w:r w:rsidRPr="00E47714">
        <w:rPr>
          <w:lang w:eastAsia="en-NZ"/>
        </w:rPr>
        <w:t xml:space="preserve"> (HPV) vaccine</w:t>
      </w:r>
      <w:r>
        <w:rPr>
          <w:lang w:eastAsia="en-NZ"/>
        </w:rPr>
        <w:t>;</w:t>
      </w:r>
      <w:r w:rsidRPr="00E47714">
        <w:rPr>
          <w:lang w:eastAsia="en-NZ"/>
        </w:rPr>
        <w:t xml:space="preserve"> cervical cancer screening</w:t>
      </w:r>
      <w:r>
        <w:rPr>
          <w:lang w:eastAsia="en-NZ"/>
        </w:rPr>
        <w:t>;</w:t>
      </w:r>
      <w:r w:rsidRPr="00E47714">
        <w:rPr>
          <w:lang w:eastAsia="en-NZ"/>
        </w:rPr>
        <w:t xml:space="preserve"> and treatment </w:t>
      </w:r>
      <w:r>
        <w:rPr>
          <w:lang w:eastAsia="en-NZ"/>
        </w:rPr>
        <w:fldChar w:fldCharType="begin"/>
      </w:r>
      <w:r>
        <w:rPr>
          <w:lang w:eastAsia="en-NZ"/>
        </w:rPr>
        <w:instrText xml:space="preserve"> ADDIN EN.CITE &lt;EndNote&gt;&lt;Cite&gt;&lt;Author&gt;WHO&lt;/Author&gt;&lt;Year&gt;(nd)&lt;/Year&gt;&lt;RecNum&gt;435&lt;/RecNum&gt;&lt;DisplayText&gt;(WHO (nd)-a)&lt;/DisplayText&gt;&lt;record&gt;&lt;rec-number&gt;435&lt;/rec-number&gt;&lt;foreign-keys&gt;&lt;key app="EN" db-id="aaepvppzs5wtfse95vsp2wahsrtvva2vvdet" timestamp="1716427431"&gt;435&lt;/key&gt;&lt;/foreign-keys&gt;&lt;ref-type name="Web Page"&gt;12&lt;/ref-type&gt;&lt;contributors&gt;&lt;authors&gt;&lt;author&gt;WHO&lt;/author&gt;&lt;/authors&gt;&lt;/contributors&gt;&lt;titles&gt;&lt;title&gt;Cervical Cancer Elimination Initiative&lt;/title&gt;&lt;/titles&gt;&lt;number&gt;23 May 2024&lt;/number&gt;&lt;dates&gt;&lt;year&gt;(nd)&lt;/year&gt;&lt;/dates&gt;&lt;urls&gt;&lt;related-urls&gt;&lt;url&gt;who.int/initiatives/cervical-cancer-elimination-initiative#cms&lt;/url&gt;&lt;/related-urls&gt;&lt;/urls&gt;&lt;/record&gt;&lt;/Cite&gt;&lt;/EndNote&gt;</w:instrText>
      </w:r>
      <w:r>
        <w:rPr>
          <w:lang w:eastAsia="en-NZ"/>
        </w:rPr>
        <w:fldChar w:fldCharType="separate"/>
      </w:r>
      <w:r>
        <w:rPr>
          <w:noProof/>
          <w:lang w:eastAsia="en-NZ"/>
        </w:rPr>
        <w:t>(WHO (nd)-a)</w:t>
      </w:r>
      <w:r>
        <w:rPr>
          <w:lang w:eastAsia="en-NZ"/>
        </w:rPr>
        <w:fldChar w:fldCharType="end"/>
      </w:r>
      <w:r w:rsidRPr="00E47714">
        <w:rPr>
          <w:lang w:eastAsia="en-NZ"/>
        </w:rPr>
        <w:t>.</w:t>
      </w:r>
    </w:p>
    <w:p w14:paraId="7A325358" w14:textId="77777777" w:rsidR="007C188A" w:rsidRPr="00E47714" w:rsidRDefault="007C188A" w:rsidP="00C66A54"/>
    <w:p w14:paraId="74C84476" w14:textId="77777777" w:rsidR="00C66A54" w:rsidRPr="00E47714" w:rsidRDefault="00C66A54" w:rsidP="00C66A54">
      <w:pPr>
        <w:rPr>
          <w:color w:val="000000" w:themeColor="text1"/>
        </w:rPr>
      </w:pPr>
      <w:r w:rsidRPr="00E47714">
        <w:t xml:space="preserve">The National Cervical Screening Programme allows for early detection, follow-up testing, and treatment. It is offered to women and people with a cervix aged 25 to 69 years. On 12 September 2023, </w:t>
      </w:r>
      <w:r w:rsidRPr="00E47714">
        <w:rPr>
          <w:rFonts w:eastAsia="Segoe UI"/>
          <w:color w:val="000000" w:themeColor="text1"/>
        </w:rPr>
        <w:t>Aotearoa New Zealand changed from cytology-based screening to HPV Primary Screening. HPV screening looks for the human papillomavirus, which causes cell changes that may lead to cervical cancer. The</w:t>
      </w:r>
      <w:r>
        <w:rPr>
          <w:rFonts w:eastAsia="Segoe UI"/>
          <w:color w:val="000000" w:themeColor="text1"/>
        </w:rPr>
        <w:t xml:space="preserve"> two </w:t>
      </w:r>
      <w:r w:rsidRPr="00E47714">
        <w:rPr>
          <w:rFonts w:eastAsia="Segoe UI"/>
          <w:color w:val="000000" w:themeColor="text1"/>
        </w:rPr>
        <w:t>options for cervical screening</w:t>
      </w:r>
      <w:r>
        <w:rPr>
          <w:rFonts w:eastAsia="Segoe UI"/>
          <w:color w:val="000000" w:themeColor="text1"/>
        </w:rPr>
        <w:t xml:space="preserve"> are</w:t>
      </w:r>
      <w:r w:rsidRPr="00E47714">
        <w:rPr>
          <w:rFonts w:eastAsia="Segoe UI"/>
          <w:color w:val="000000" w:themeColor="text1"/>
        </w:rPr>
        <w:t>:</w:t>
      </w:r>
    </w:p>
    <w:p w14:paraId="41F762B2" w14:textId="77777777" w:rsidR="00C66A54" w:rsidRPr="00E47714" w:rsidRDefault="00C66A54" w:rsidP="005B127B">
      <w:pPr>
        <w:pStyle w:val="Bullet"/>
      </w:pPr>
      <w:r>
        <w:t xml:space="preserve">an </w:t>
      </w:r>
      <w:r w:rsidRPr="00E47714">
        <w:t xml:space="preserve">HPV vaginal swab test, </w:t>
      </w:r>
      <w:r>
        <w:t xml:space="preserve">undertaken </w:t>
      </w:r>
      <w:r w:rsidRPr="00E47714">
        <w:t xml:space="preserve">either </w:t>
      </w:r>
      <w:r>
        <w:t xml:space="preserve">as </w:t>
      </w:r>
      <w:r w:rsidRPr="00E47714">
        <w:t xml:space="preserve">a self-test or </w:t>
      </w:r>
      <w:r>
        <w:t xml:space="preserve">with the help of </w:t>
      </w:r>
      <w:r w:rsidRPr="00E47714">
        <w:t xml:space="preserve">a health </w:t>
      </w:r>
      <w:proofErr w:type="gramStart"/>
      <w:r w:rsidRPr="00E47714">
        <w:t>professional</w:t>
      </w:r>
      <w:proofErr w:type="gramEnd"/>
    </w:p>
    <w:p w14:paraId="4A921C02" w14:textId="77777777" w:rsidR="00C66A54" w:rsidRPr="00E47714" w:rsidRDefault="00C66A54" w:rsidP="005B127B">
      <w:pPr>
        <w:pStyle w:val="Bullet"/>
      </w:pPr>
      <w:r>
        <w:t>a</w:t>
      </w:r>
      <w:r w:rsidRPr="00E47714">
        <w:t xml:space="preserve"> liquid-based cytology sample</w:t>
      </w:r>
      <w:r>
        <w:t>,</w:t>
      </w:r>
      <w:r w:rsidRPr="00E47714">
        <w:t xml:space="preserve"> </w:t>
      </w:r>
      <w:r>
        <w:t>which</w:t>
      </w:r>
      <w:r w:rsidRPr="00E47714">
        <w:t xml:space="preserve"> a health professional</w:t>
      </w:r>
      <w:r>
        <w:t xml:space="preserve"> </w:t>
      </w:r>
      <w:proofErr w:type="gramStart"/>
      <w:r>
        <w:t>takes</w:t>
      </w:r>
      <w:proofErr w:type="gramEnd"/>
      <w:r w:rsidRPr="00E47714">
        <w:t xml:space="preserve"> </w:t>
      </w:r>
      <w:r>
        <w:t>and which</w:t>
      </w:r>
      <w:r w:rsidRPr="00E47714">
        <w:t xml:space="preserve"> is </w:t>
      </w:r>
      <w:r>
        <w:t xml:space="preserve">then </w:t>
      </w:r>
      <w:r w:rsidRPr="00E47714">
        <w:t>tested for HPV</w:t>
      </w:r>
      <w:r>
        <w:t xml:space="preserve"> (</w:t>
      </w:r>
      <w:r w:rsidRPr="00E47714">
        <w:t>previously referred to as a smear test</w:t>
      </w:r>
      <w:r>
        <w:t>)</w:t>
      </w:r>
      <w:r w:rsidRPr="00E47714">
        <w:t>.</w:t>
      </w:r>
    </w:p>
    <w:p w14:paraId="371457C9" w14:textId="77777777" w:rsidR="005B127B" w:rsidRDefault="005B127B" w:rsidP="00C66A54"/>
    <w:p w14:paraId="62494E4B" w14:textId="22787A29" w:rsidR="00C66A54" w:rsidRDefault="00C66A54" w:rsidP="00C66A54">
      <w:r w:rsidRPr="00E47714">
        <w:t xml:space="preserve">The cervical screening coverage target is </w:t>
      </w:r>
      <w:r>
        <w:t>to screen</w:t>
      </w:r>
      <w:r w:rsidRPr="00E47714">
        <w:t xml:space="preserve"> at least 80% of the eligible population, including </w:t>
      </w:r>
      <w:r>
        <w:t>80% within each of the ethnic groups of</w:t>
      </w:r>
      <w:r w:rsidRPr="00E47714">
        <w:t xml:space="preserve"> Māori, Pacific peoples, Asian and European/other. In the cytology-based programme, coverage was defined as the proportion eligible for screening who have been screened in the previous </w:t>
      </w:r>
      <w:r>
        <w:t>three</w:t>
      </w:r>
      <w:r w:rsidRPr="00E47714">
        <w:t xml:space="preserve"> years. However, this definition changed following the shift from cytology-based screening every </w:t>
      </w:r>
      <w:r>
        <w:t>three</w:t>
      </w:r>
      <w:r w:rsidRPr="00E47714">
        <w:t xml:space="preserve"> years to HPV primary screening every </w:t>
      </w:r>
      <w:r>
        <w:t>five</w:t>
      </w:r>
      <w:r w:rsidRPr="00E47714">
        <w:t xml:space="preserve"> years</w:t>
      </w:r>
      <w:r>
        <w:t>.</w:t>
      </w:r>
      <w:r w:rsidRPr="00E47714">
        <w:rPr>
          <w:rStyle w:val="FootnoteReference"/>
          <w:rFonts w:eastAsia="Segoe UI" w:cs="Segoe UI"/>
          <w:color w:val="000000" w:themeColor="text1"/>
        </w:rPr>
        <w:footnoteReference w:id="15"/>
      </w:r>
    </w:p>
    <w:p w14:paraId="02F33CF5" w14:textId="77777777" w:rsidR="005B127B" w:rsidRPr="00E47714" w:rsidRDefault="005B127B" w:rsidP="00C66A54"/>
    <w:p w14:paraId="314D7DB8" w14:textId="2B464452" w:rsidR="00C66A54" w:rsidRPr="00E47714" w:rsidRDefault="00C66A54" w:rsidP="00C66A54">
      <w:r w:rsidRPr="00E47714">
        <w:t xml:space="preserve">As of December 2023, the overall coverage for cervical screening was 69.7%. </w:t>
      </w:r>
      <w:r w:rsidRPr="00E47714">
        <w:fldChar w:fldCharType="begin"/>
      </w:r>
      <w:r w:rsidRPr="00E47714">
        <w:instrText xml:space="preserve"> REF _Ref165277197 \h  \* MERGEFORMAT </w:instrText>
      </w:r>
      <w:r w:rsidRPr="00E47714">
        <w:fldChar w:fldCharType="separate"/>
      </w:r>
      <w:r w:rsidR="009A6F87" w:rsidRPr="00E47714">
        <w:t xml:space="preserve">Figure </w:t>
      </w:r>
      <w:r w:rsidR="009A6F87">
        <w:t>23</w:t>
      </w:r>
      <w:r w:rsidRPr="00E47714">
        <w:fldChar w:fldCharType="end"/>
      </w:r>
      <w:r w:rsidRPr="00E47714">
        <w:t xml:space="preserve"> shows inequities in coverage among ethnic groups. Cervical screening coverage was 57.9% for Māori and 58.4% for Pacific peoples</w:t>
      </w:r>
      <w:r>
        <w:t>, compared with</w:t>
      </w:r>
      <w:r w:rsidRPr="00E47714">
        <w:t xml:space="preserve"> 64.7% for Asian and 75.6% for European/other</w:t>
      </w:r>
      <w:r>
        <w:t xml:space="preserve"> ethnic groups</w:t>
      </w:r>
      <w:r w:rsidRPr="00E47714">
        <w:t xml:space="preserve"> </w:t>
      </w:r>
      <w:r>
        <w:fldChar w:fldCharType="begin"/>
      </w:r>
      <w:r>
        <w:instrText xml:space="preserve"> ADDIN EN.CITE &lt;EndNote&gt;&lt;Cite&gt;&lt;Author&gt;Health NZ&lt;/Author&gt;&lt;Year&gt;2023&lt;/Year&gt;&lt;RecNum&gt;436&lt;/RecNum&gt;&lt;DisplayText&gt;(Health NZ 2023d)&lt;/DisplayText&gt;&lt;record&gt;&lt;rec-number&gt;436&lt;/rec-number&gt;&lt;foreign-keys&gt;&lt;key app="EN" db-id="aaepvppzs5wtfse95vsp2wahsrtvva2vvdet" timestamp="1716427566"&gt;436&lt;/key&gt;&lt;/foreign-keys&gt;&lt;ref-type name="Web Page"&gt;12&lt;/ref-type&gt;&lt;contributors&gt;&lt;authors&gt;&lt;author&gt;Health NZ,&lt;/author&gt;&lt;/authors&gt;&lt;/contributors&gt;&lt;titles&gt;&lt;title&gt;National Cervical Screening Programme Coverage Report&lt;/title&gt;&lt;/titles&gt;&lt;number&gt;23 May 2024&lt;/number&gt;&lt;dates&gt;&lt;year&gt;2023&lt;/year&gt;&lt;/dates&gt;&lt;urls&gt;&lt;related-urls&gt;&lt;url&gt;tewhatuora.shinyapps.io/nsu-ncsp-coverage&lt;/url&gt;&lt;/related-urls&gt;&lt;/urls&gt;&lt;/record&gt;&lt;/Cite&gt;&lt;/EndNote&gt;</w:instrText>
      </w:r>
      <w:r>
        <w:fldChar w:fldCharType="separate"/>
      </w:r>
      <w:r>
        <w:rPr>
          <w:noProof/>
        </w:rPr>
        <w:t>(Health NZ 2023d)</w:t>
      </w:r>
      <w:r>
        <w:fldChar w:fldCharType="end"/>
      </w:r>
      <w:r w:rsidRPr="00E47714">
        <w:t>. The</w:t>
      </w:r>
      <w:r w:rsidRPr="00C1316F">
        <w:t xml:space="preserve"> </w:t>
      </w:r>
      <w:r w:rsidRPr="00E47714">
        <w:t>graph</w:t>
      </w:r>
      <w:r>
        <w:t xml:space="preserve"> also highlights the</w:t>
      </w:r>
      <w:r w:rsidRPr="00E47714">
        <w:t xml:space="preserve"> impact of COVID-19 on cervical screening coverage</w:t>
      </w:r>
      <w:r>
        <w:t>:</w:t>
      </w:r>
      <w:r w:rsidRPr="00E47714">
        <w:t xml:space="preserve"> in 2020, coverage rates dropped for all ethnic groups. </w:t>
      </w:r>
      <w:r w:rsidRPr="00E47714">
        <w:fldChar w:fldCharType="begin"/>
      </w:r>
      <w:r w:rsidRPr="00E47714">
        <w:instrText xml:space="preserve"> REF _Ref165279696 \h  \* MERGEFORMAT </w:instrText>
      </w:r>
      <w:r w:rsidRPr="00E47714">
        <w:fldChar w:fldCharType="separate"/>
      </w:r>
      <w:r w:rsidR="009A6F87" w:rsidRPr="00E47714">
        <w:t xml:space="preserve">Figure </w:t>
      </w:r>
      <w:r w:rsidR="009A6F87">
        <w:t>24</w:t>
      </w:r>
      <w:r w:rsidRPr="00E47714">
        <w:fldChar w:fldCharType="end"/>
      </w:r>
      <w:r w:rsidRPr="00C1316F">
        <w:t xml:space="preserve"> </w:t>
      </w:r>
      <w:r w:rsidRPr="00E47714">
        <w:t>show</w:t>
      </w:r>
      <w:r>
        <w:t>s</w:t>
      </w:r>
      <w:r w:rsidRPr="00E47714">
        <w:t xml:space="preserve"> </w:t>
      </w:r>
      <w:r>
        <w:t>t</w:t>
      </w:r>
      <w:r w:rsidRPr="00E47714">
        <w:t>hese changes in more detail.</w:t>
      </w:r>
    </w:p>
    <w:p w14:paraId="04DCD9F5" w14:textId="098338DE" w:rsidR="00C66A54" w:rsidRPr="00E47714" w:rsidRDefault="00C66A54" w:rsidP="005B127B">
      <w:pPr>
        <w:pStyle w:val="Figure"/>
      </w:pPr>
      <w:bookmarkStart w:id="127" w:name="_Ref165277197"/>
      <w:bookmarkStart w:id="128" w:name="_Toc171330670"/>
      <w:bookmarkStart w:id="129" w:name="_Toc172104706"/>
      <w:r w:rsidRPr="00E47714">
        <w:lastRenderedPageBreak/>
        <w:t xml:space="preserve">Figure </w:t>
      </w:r>
      <w:fldSimple w:instr=" SEQ Figure \* ARABIC ">
        <w:r w:rsidR="009A6F87">
          <w:rPr>
            <w:noProof/>
          </w:rPr>
          <w:t>23</w:t>
        </w:r>
      </w:fldSimple>
      <w:bookmarkEnd w:id="127"/>
      <w:r w:rsidRPr="00E47714">
        <w:t>: Cervical screening coverage, up to date, by ethnic group (prioritised ethnicity), 2009–2023</w:t>
      </w:r>
      <w:bookmarkEnd w:id="128"/>
      <w:bookmarkEnd w:id="129"/>
    </w:p>
    <w:p w14:paraId="27A244E0" w14:textId="77777777" w:rsidR="00C66A54" w:rsidRPr="00E47714" w:rsidRDefault="00C66A54" w:rsidP="005B127B">
      <w:pPr>
        <w:pStyle w:val="NormalWeb"/>
        <w:spacing w:before="0" w:beforeAutospacing="0" w:after="0" w:afterAutospacing="0"/>
      </w:pPr>
      <w:r w:rsidRPr="00E47714">
        <w:rPr>
          <w:noProof/>
        </w:rPr>
        <w:drawing>
          <wp:inline distT="0" distB="0" distL="0" distR="0" wp14:anchorId="02D2FEE9" wp14:editId="14B73C0F">
            <wp:extent cx="5144568" cy="4410075"/>
            <wp:effectExtent l="0" t="0" r="0" b="0"/>
            <wp:docPr id="1286808686" name="Picture 1286808686" descr="A timeseries line chart showing cervical screening rates between 2009 and 2023. Throughout the series, screening rates were highest for European/other ethnic group between approximately 80% and 75%. Screening rates for Māori and Pacific peoples have declined between 2009 to 2023 from approximately 75-85% to 55-60%. Screening rates for Asian people fluctuate between approximately 65% and 60% between 2009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08686" name="Picture 1286808686" descr="A timeseries line chart showing cervical screening rates between 2009 and 2023. Throughout the series, screening rates were highest for European/other ethnic group between approximately 80% and 75%. Screening rates for Māori and Pacific peoples have declined between 2009 to 2023 from approximately 75-85% to 55-60%. Screening rates for Asian people fluctuate between approximately 65% and 60% between 2009 to 202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151867" cy="4416332"/>
                    </a:xfrm>
                    <a:prstGeom prst="rect">
                      <a:avLst/>
                    </a:prstGeom>
                    <a:noFill/>
                    <a:ln>
                      <a:noFill/>
                    </a:ln>
                  </pic:spPr>
                </pic:pic>
              </a:graphicData>
            </a:graphic>
          </wp:inline>
        </w:drawing>
      </w:r>
    </w:p>
    <w:p w14:paraId="17391A0C" w14:textId="77B45452" w:rsidR="00C66A54" w:rsidRDefault="00C66A54" w:rsidP="00C66A54">
      <w:pPr>
        <w:pStyle w:val="Source"/>
      </w:pPr>
      <w:r w:rsidRPr="00E47714">
        <w:rPr>
          <w:b/>
          <w:bCs/>
        </w:rPr>
        <w:t>Source:</w:t>
      </w:r>
      <w:r w:rsidRPr="00E47714">
        <w:t xml:space="preserve"> </w:t>
      </w:r>
      <w:r>
        <w:fldChar w:fldCharType="begin"/>
      </w:r>
      <w:r>
        <w:instrText xml:space="preserve"> ADDIN EN.CITE &lt;EndNote&gt;&lt;Cite AuthorYear="1"&gt;&lt;Author&gt;Health NZ&lt;/Author&gt;&lt;Year&gt;2023&lt;/Year&gt;&lt;RecNum&gt;436&lt;/RecNum&gt;&lt;DisplayText&gt;Health NZ (2023d)&lt;/DisplayText&gt;&lt;record&gt;&lt;rec-number&gt;436&lt;/rec-number&gt;&lt;foreign-keys&gt;&lt;key app="EN" db-id="aaepvppzs5wtfse95vsp2wahsrtvva2vvdet" timestamp="1716427566"&gt;436&lt;/key&gt;&lt;/foreign-keys&gt;&lt;ref-type name="Web Page"&gt;12&lt;/ref-type&gt;&lt;contributors&gt;&lt;authors&gt;&lt;author&gt;Health NZ,&lt;/author&gt;&lt;/authors&gt;&lt;/contributors&gt;&lt;titles&gt;&lt;title&gt;National Cervical Screening Programme Coverage Report&lt;/title&gt;&lt;/titles&gt;&lt;number&gt;23 May 2024&lt;/number&gt;&lt;dates&gt;&lt;year&gt;2023&lt;/year&gt;&lt;/dates&gt;&lt;urls&gt;&lt;related-urls&gt;&lt;url&gt;tewhatuora.shinyapps.io/nsu-ncsp-coverage&lt;/url&gt;&lt;/related-urls&gt;&lt;/urls&gt;&lt;/record&gt;&lt;/Cite&gt;&lt;/EndNote&gt;</w:instrText>
      </w:r>
      <w:r>
        <w:fldChar w:fldCharType="separate"/>
      </w:r>
      <w:r>
        <w:rPr>
          <w:noProof/>
        </w:rPr>
        <w:t>Health NZ (2023d)</w:t>
      </w:r>
      <w:r>
        <w:fldChar w:fldCharType="end"/>
      </w:r>
    </w:p>
    <w:p w14:paraId="5C13C9A5" w14:textId="77777777" w:rsidR="007C188A" w:rsidRPr="007C188A" w:rsidRDefault="007C188A" w:rsidP="007C188A"/>
    <w:p w14:paraId="04A8FB94" w14:textId="77777777" w:rsidR="00C66A54" w:rsidRPr="00E47714" w:rsidRDefault="00C66A54" w:rsidP="00C66A54">
      <w:pPr>
        <w:pStyle w:val="Heading5"/>
      </w:pPr>
      <w:r w:rsidRPr="00E47714">
        <w:t xml:space="preserve">Impact of COVID-19 </w:t>
      </w:r>
      <w:r>
        <w:t xml:space="preserve">restrictions </w:t>
      </w:r>
      <w:r w:rsidRPr="00E47714">
        <w:t>on breast and cervical screening programmes</w:t>
      </w:r>
    </w:p>
    <w:p w14:paraId="61C81F9A" w14:textId="05EA235F" w:rsidR="00C66A54" w:rsidRPr="00E47714" w:rsidRDefault="00C66A54" w:rsidP="00C66A54">
      <w:r w:rsidRPr="00E47714">
        <w:fldChar w:fldCharType="begin"/>
      </w:r>
      <w:r w:rsidRPr="00E47714">
        <w:instrText xml:space="preserve"> REF _Ref165279696 \h  \* MERGEFORMAT </w:instrText>
      </w:r>
      <w:r w:rsidRPr="00E47714">
        <w:fldChar w:fldCharType="separate"/>
      </w:r>
      <w:r w:rsidR="009A6F87" w:rsidRPr="00E47714">
        <w:t xml:space="preserve">Figure </w:t>
      </w:r>
      <w:r w:rsidR="009A6F87">
        <w:t>24</w:t>
      </w:r>
      <w:r w:rsidRPr="00E47714">
        <w:fldChar w:fldCharType="end"/>
      </w:r>
      <w:r w:rsidRPr="00E47714">
        <w:t xml:space="preserve"> shows the impact of COVID-19</w:t>
      </w:r>
      <w:r>
        <w:t xml:space="preserve"> restrictions</w:t>
      </w:r>
      <w:r w:rsidRPr="00E47714">
        <w:t xml:space="preserve"> on breast screening and cervical screening coverage rates. Rates dropped for most ethnic groups following the start of COVID-19 public health restrictions (March 2020) in Aotearoa New Zealand. </w:t>
      </w:r>
      <w:r>
        <w:t>Coverage</w:t>
      </w:r>
      <w:r w:rsidRPr="00E47714">
        <w:t xml:space="preserve"> has improve</w:t>
      </w:r>
      <w:r>
        <w:t>d somewhat</w:t>
      </w:r>
      <w:r w:rsidRPr="00E47714">
        <w:t xml:space="preserve"> for all ethnic groups during 2023, but inequities persist.</w:t>
      </w:r>
    </w:p>
    <w:p w14:paraId="557131AF" w14:textId="45AFA9B2" w:rsidR="00C66A54" w:rsidRPr="00E47714" w:rsidRDefault="00C66A54" w:rsidP="005B127B">
      <w:pPr>
        <w:pStyle w:val="Figure"/>
      </w:pPr>
      <w:bookmarkStart w:id="130" w:name="_Ref165279696"/>
      <w:bookmarkStart w:id="131" w:name="_Toc171330671"/>
      <w:bookmarkStart w:id="132" w:name="_Toc172104707"/>
      <w:r w:rsidRPr="00E47714">
        <w:lastRenderedPageBreak/>
        <w:t xml:space="preserve">Figure </w:t>
      </w:r>
      <w:fldSimple w:instr=" SEQ Figure \* ARABIC ">
        <w:r w:rsidR="009A6F87">
          <w:rPr>
            <w:noProof/>
          </w:rPr>
          <w:t>24</w:t>
        </w:r>
      </w:fldSimple>
      <w:bookmarkEnd w:id="130"/>
      <w:r w:rsidRPr="00E47714">
        <w:t>: Difference (%) in breast and cervical cancer screening coverage from March 2020</w:t>
      </w:r>
      <w:r>
        <w:t xml:space="preserve"> (beginning of COVID-19 public health restrictions)</w:t>
      </w:r>
      <w:r w:rsidRPr="00E47714">
        <w:t>, by ethnic group (prioritised ethnicity), 2012–</w:t>
      </w:r>
      <w:proofErr w:type="gramStart"/>
      <w:r w:rsidRPr="00E47714">
        <w:t>2024</w:t>
      </w:r>
      <w:bookmarkEnd w:id="131"/>
      <w:bookmarkEnd w:id="132"/>
      <w:proofErr w:type="gramEnd"/>
    </w:p>
    <w:p w14:paraId="728BDF23" w14:textId="77777777" w:rsidR="00C66A54" w:rsidRPr="00E47714" w:rsidRDefault="00C66A54" w:rsidP="005B127B">
      <w:pPr>
        <w:pStyle w:val="NormalWeb"/>
        <w:spacing w:before="0" w:beforeAutospacing="0" w:after="0" w:afterAutospacing="0"/>
      </w:pPr>
      <w:r w:rsidRPr="00E47714">
        <w:rPr>
          <w:noProof/>
        </w:rPr>
        <w:drawing>
          <wp:inline distT="0" distB="0" distL="0" distR="0" wp14:anchorId="0CCD61C2" wp14:editId="6AEF2A62">
            <wp:extent cx="5105400" cy="4204896"/>
            <wp:effectExtent l="0" t="0" r="0" b="5715"/>
            <wp:docPr id="1286808678" name="Picture 1286808678" descr="A series of two timeseries line charts showing the difference in screening coverage between March 2011 and March 2024 from March 2020 by ethnic group for breast cancer screening and for cervical cancer screening. The chart shows that breast cancer screening coverage was lower following March 2020 for all ethnic groups and reaches baseline by March 2024 only for Asian people. For cervical cancer, the screening coverage rate was higher prior to March 2020 for all ethnic groups. The cervical cancer screening coverage rate was lower for Māori and Pacific peoples after March 2020 and higher for Asi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08678" name="Picture 1286808678" descr="A series of two timeseries line charts showing the difference in screening coverage between March 2011 and March 2024 from March 2020 by ethnic group for breast cancer screening and for cervical cancer screening. The chart shows that breast cancer screening coverage was lower following March 2020 for all ethnic groups and reaches baseline by March 2024 only for Asian people. For cervical cancer, the screening coverage rate was higher prior to March 2020 for all ethnic groups. The cervical cancer screening coverage rate was lower for Māori and Pacific peoples after March 2020 and higher for Asian peopl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117588" cy="4214934"/>
                    </a:xfrm>
                    <a:prstGeom prst="rect">
                      <a:avLst/>
                    </a:prstGeom>
                    <a:noFill/>
                    <a:ln>
                      <a:noFill/>
                    </a:ln>
                  </pic:spPr>
                </pic:pic>
              </a:graphicData>
            </a:graphic>
          </wp:inline>
        </w:drawing>
      </w:r>
    </w:p>
    <w:p w14:paraId="7AFC3660" w14:textId="77777777" w:rsidR="00C66A54" w:rsidRPr="00E47714" w:rsidRDefault="00C66A54" w:rsidP="00C66A54">
      <w:pPr>
        <w:pStyle w:val="Source"/>
      </w:pPr>
      <w:r w:rsidRPr="00E47714">
        <w:rPr>
          <w:b/>
        </w:rPr>
        <w:t>Source:</w:t>
      </w:r>
      <w:r w:rsidRPr="00E47714">
        <w:t xml:space="preserve"> </w:t>
      </w:r>
      <w:r>
        <w:fldChar w:fldCharType="begin"/>
      </w:r>
      <w:r>
        <w:instrText xml:space="preserve"> ADDIN EN.CITE &lt;EndNote&gt;&lt;Cite AuthorYear="1"&gt;&lt;Author&gt;Health NZ&lt;/Author&gt;&lt;Year&gt;2023&lt;/Year&gt;&lt;RecNum&gt;436&lt;/RecNum&gt;&lt;DisplayText&gt;Health NZ (2023d)&lt;/DisplayText&gt;&lt;record&gt;&lt;rec-number&gt;436&lt;/rec-number&gt;&lt;foreign-keys&gt;&lt;key app="EN" db-id="aaepvppzs5wtfse95vsp2wahsrtvva2vvdet" timestamp="1716427566"&gt;436&lt;/key&gt;&lt;/foreign-keys&gt;&lt;ref-type name="Web Page"&gt;12&lt;/ref-type&gt;&lt;contributors&gt;&lt;authors&gt;&lt;author&gt;Health NZ,&lt;/author&gt;&lt;/authors&gt;&lt;/contributors&gt;&lt;titles&gt;&lt;title&gt;National Cervical Screening Programme Coverage Report&lt;/title&gt;&lt;/titles&gt;&lt;number&gt;23 May 2024&lt;/number&gt;&lt;dates&gt;&lt;year&gt;2023&lt;/year&gt;&lt;/dates&gt;&lt;urls&gt;&lt;related-urls&gt;&lt;url&gt;tewhatuora.shinyapps.io/nsu-ncsp-coverage&lt;/url&gt;&lt;/related-urls&gt;&lt;/urls&gt;&lt;/record&gt;&lt;/Cite&gt;&lt;/EndNote&gt;</w:instrText>
      </w:r>
      <w:r>
        <w:fldChar w:fldCharType="separate"/>
      </w:r>
      <w:r>
        <w:rPr>
          <w:noProof/>
        </w:rPr>
        <w:t>Health NZ (2023d)</w:t>
      </w:r>
      <w:r>
        <w:fldChar w:fldCharType="end"/>
      </w:r>
      <w:r>
        <w:t xml:space="preserve">, </w:t>
      </w:r>
      <w:r>
        <w:fldChar w:fldCharType="begin"/>
      </w:r>
      <w:r>
        <w:instrText xml:space="preserve"> ADDIN EN.CITE &lt;EndNote&gt;&lt;Cite AuthorYear="1"&gt;&lt;Author&gt;Health NZ&lt;/Author&gt;&lt;Year&gt;2024&lt;/Year&gt;&lt;RecNum&gt;434&lt;/RecNum&gt;&lt;DisplayText&gt;Health NZ (2024b)&lt;/DisplayText&gt;&lt;record&gt;&lt;rec-number&gt;434&lt;/rec-number&gt;&lt;foreign-keys&gt;&lt;key app="EN" db-id="aaepvppzs5wtfse95vsp2wahsrtvva2vvdet" timestamp="1716427224"&gt;434&lt;/key&gt;&lt;/foreign-keys&gt;&lt;ref-type name="Web Page"&gt;12&lt;/ref-type&gt;&lt;contributors&gt;&lt;authors&gt;&lt;author&gt;Health NZ,&lt;/author&gt;&lt;/authors&gt;&lt;/contributors&gt;&lt;titles&gt;&lt;title&gt;BreastScreen Aotearoa Coverage Report&lt;/title&gt;&lt;/titles&gt;&lt;number&gt;21 May 2024&lt;/number&gt;&lt;dates&gt;&lt;year&gt;2024&lt;/year&gt;&lt;/dates&gt;&lt;urls&gt;&lt;related-urls&gt;&lt;url&gt;tewhatuora.shinyapps.io/nsu-bsa-coverage&lt;/url&gt;&lt;/related-urls&gt;&lt;/urls&gt;&lt;/record&gt;&lt;/Cite&gt;&lt;/EndNote&gt;</w:instrText>
      </w:r>
      <w:r>
        <w:fldChar w:fldCharType="separate"/>
      </w:r>
      <w:r>
        <w:rPr>
          <w:noProof/>
        </w:rPr>
        <w:t>Health NZ (2024b)</w:t>
      </w:r>
      <w:r>
        <w:fldChar w:fldCharType="end"/>
      </w:r>
    </w:p>
    <w:p w14:paraId="38BEFA09" w14:textId="77777777" w:rsidR="00C66A54" w:rsidRPr="00E47714" w:rsidRDefault="00C66A54" w:rsidP="00C66A54">
      <w:pPr>
        <w:pStyle w:val="Heading4"/>
      </w:pPr>
      <w:r w:rsidRPr="00E47714">
        <w:t>Bowel screening</w:t>
      </w:r>
    </w:p>
    <w:p w14:paraId="118AFA2C" w14:textId="7439EE81" w:rsidR="00C66A54" w:rsidRDefault="00C66A54" w:rsidP="00C66A54">
      <w:r w:rsidRPr="00E47714">
        <w:t xml:space="preserve">The National Bowel Screening Programme (NBSP) is a free programme to help detect bowel cancer. It is offered every </w:t>
      </w:r>
      <w:r>
        <w:t>two</w:t>
      </w:r>
      <w:r w:rsidRPr="00E47714">
        <w:t xml:space="preserve"> years to eligible people aged 60</w:t>
      </w:r>
      <w:r>
        <w:t>–</w:t>
      </w:r>
      <w:r w:rsidRPr="00E47714">
        <w:t>74 years. The programme is exploring alternative delivery options, including adjust</w:t>
      </w:r>
      <w:r>
        <w:t>ing</w:t>
      </w:r>
      <w:r w:rsidRPr="00E47714">
        <w:t xml:space="preserve"> the eligibility age. Bowel screening every </w:t>
      </w:r>
      <w:r>
        <w:t>two</w:t>
      </w:r>
      <w:r w:rsidRPr="00E47714">
        <w:t xml:space="preserve"> years is designed to help save lives by finding bowel cancer at an early stage, when it can often be successfully treated </w:t>
      </w:r>
      <w:r>
        <w:fldChar w:fldCharType="begin"/>
      </w:r>
      <w:r>
        <w:instrText xml:space="preserve"> ADDIN EN.CITE &lt;EndNote&gt;&lt;Cite&gt;&lt;Author&gt;Time to screen&lt;/Author&gt;&lt;Year&gt;(nd)&lt;/Year&gt;&lt;RecNum&gt;437&lt;/RecNum&gt;&lt;DisplayText&gt;(Time to screen (nd))&lt;/DisplayText&gt;&lt;record&gt;&lt;rec-number&gt;437&lt;/rec-number&gt;&lt;foreign-keys&gt;&lt;key app="EN" db-id="aaepvppzs5wtfse95vsp2wahsrtvva2vvdet" timestamp="1716430491"&gt;437&lt;/key&gt;&lt;/foreign-keys&gt;&lt;ref-type name="Web Page"&gt;12&lt;/ref-type&gt;&lt;contributors&gt;&lt;authors&gt;&lt;author&gt;Time to screen,&lt;/author&gt;&lt;/authors&gt;&lt;/contributors&gt;&lt;titles&gt;&lt;title&gt;About bowel screening&lt;/title&gt;&lt;/titles&gt;&lt;number&gt;23 May 2024&lt;/number&gt;&lt;dates&gt;&lt;year&gt;(nd)&lt;/year&gt;&lt;/dates&gt;&lt;urls&gt;&lt;related-urls&gt;&lt;url&gt;timetoscreen.nz/bowel-screening/about-the-national-bowel-screening-programme&lt;/url&gt;&lt;/related-urls&gt;&lt;/urls&gt;&lt;/record&gt;&lt;/Cite&gt;&lt;/EndNote&gt;</w:instrText>
      </w:r>
      <w:r>
        <w:fldChar w:fldCharType="separate"/>
      </w:r>
      <w:r>
        <w:rPr>
          <w:noProof/>
        </w:rPr>
        <w:t>(Time to screen (nd))</w:t>
      </w:r>
      <w:r>
        <w:fldChar w:fldCharType="end"/>
      </w:r>
      <w:r w:rsidRPr="00E47714">
        <w:t>.</w:t>
      </w:r>
    </w:p>
    <w:p w14:paraId="6D7FC345" w14:textId="77777777" w:rsidR="005B127B" w:rsidRPr="00E47714" w:rsidRDefault="005B127B" w:rsidP="00C66A54"/>
    <w:p w14:paraId="1BAC27BA" w14:textId="59732A5F" w:rsidR="00C66A54" w:rsidRDefault="00C66A54" w:rsidP="00C66A54">
      <w:r w:rsidRPr="00E47714">
        <w:t xml:space="preserve">The national rollout of the programme began in July 2017 within </w:t>
      </w:r>
      <w:r>
        <w:t>two</w:t>
      </w:r>
      <w:r w:rsidRPr="00E47714">
        <w:t xml:space="preserve"> districts and was completed in May 2022 when the final district (Hauora a Toi Bay of Plenty) went live. The NBSP has a participation target of 60% for eligible people invited to screen during each </w:t>
      </w:r>
      <w:r>
        <w:t>two</w:t>
      </w:r>
      <w:r w:rsidRPr="00E47714">
        <w:t xml:space="preserve">-year period. There is a </w:t>
      </w:r>
      <w:r>
        <w:t>six</w:t>
      </w:r>
      <w:r w:rsidRPr="00E47714">
        <w:t xml:space="preserve">-month lag on reporting to allow participants time to complete and return their kit. </w:t>
      </w:r>
    </w:p>
    <w:p w14:paraId="322D658A" w14:textId="77777777" w:rsidR="005B127B" w:rsidRPr="00E47714" w:rsidRDefault="005B127B" w:rsidP="00C66A54"/>
    <w:p w14:paraId="367CD7D3" w14:textId="76DE8310" w:rsidR="00C66A54" w:rsidRPr="00E47714" w:rsidRDefault="00C66A54" w:rsidP="00C66A54">
      <w:r w:rsidRPr="00E47714">
        <w:rPr>
          <w:rFonts w:eastAsiaTheme="majorEastAsia"/>
        </w:rPr>
        <w:fldChar w:fldCharType="begin"/>
      </w:r>
      <w:r w:rsidRPr="00E47714">
        <w:rPr>
          <w:rFonts w:eastAsiaTheme="majorEastAsia"/>
        </w:rPr>
        <w:instrText xml:space="preserve"> REF _Ref167523014 \h  \* MERGEFORMAT </w:instrText>
      </w:r>
      <w:r w:rsidRPr="00E47714">
        <w:rPr>
          <w:rFonts w:eastAsiaTheme="majorEastAsia"/>
        </w:rPr>
      </w:r>
      <w:r w:rsidRPr="00E47714">
        <w:rPr>
          <w:rFonts w:eastAsiaTheme="majorEastAsia"/>
        </w:rPr>
        <w:fldChar w:fldCharType="separate"/>
      </w:r>
      <w:r w:rsidR="009A6F87" w:rsidRPr="00E47714">
        <w:t xml:space="preserve">Figure </w:t>
      </w:r>
      <w:r w:rsidR="009A6F87">
        <w:t>25</w:t>
      </w:r>
      <w:r w:rsidRPr="00E47714">
        <w:rPr>
          <w:rFonts w:eastAsiaTheme="majorEastAsia"/>
        </w:rPr>
        <w:fldChar w:fldCharType="end"/>
      </w:r>
      <w:r w:rsidRPr="00E47714">
        <w:rPr>
          <w:rFonts w:eastAsiaTheme="majorEastAsia"/>
        </w:rPr>
        <w:t xml:space="preserve"> shows </w:t>
      </w:r>
      <w:r>
        <w:rPr>
          <w:rFonts w:eastAsiaTheme="majorEastAsia"/>
        </w:rPr>
        <w:t xml:space="preserve">the level of </w:t>
      </w:r>
      <w:r w:rsidRPr="00E47714">
        <w:rPr>
          <w:rFonts w:eastAsiaTheme="majorEastAsia"/>
        </w:rPr>
        <w:t xml:space="preserve">participation at the end of December 2023 was 48.7% for Māori, 37.4% for Pacific </w:t>
      </w:r>
      <w:r w:rsidRPr="00E47714">
        <w:t>p</w:t>
      </w:r>
      <w:r w:rsidRPr="00E47714">
        <w:rPr>
          <w:rFonts w:eastAsiaTheme="majorEastAsia"/>
        </w:rPr>
        <w:t xml:space="preserve">eoples and 44.1% for Asian participants, compared </w:t>
      </w:r>
      <w:r>
        <w:rPr>
          <w:rFonts w:eastAsiaTheme="majorEastAsia"/>
        </w:rPr>
        <w:t>with</w:t>
      </w:r>
      <w:r w:rsidRPr="00E47714">
        <w:rPr>
          <w:rFonts w:eastAsiaTheme="majorEastAsia"/>
        </w:rPr>
        <w:t xml:space="preserve"> 61.3% for European/other</w:t>
      </w:r>
      <w:r w:rsidRPr="00E47714">
        <w:t xml:space="preserve"> (</w:t>
      </w:r>
      <w:r w:rsidRPr="00E47714">
        <w:rPr>
          <w:rFonts w:eastAsiaTheme="majorEastAsia"/>
        </w:rPr>
        <w:t xml:space="preserve">non-Māori, non-Pacific, </w:t>
      </w:r>
      <w:proofErr w:type="spellStart"/>
      <w:r w:rsidRPr="00E47714">
        <w:rPr>
          <w:rFonts w:eastAsiaTheme="majorEastAsia"/>
        </w:rPr>
        <w:t>non-Asian</w:t>
      </w:r>
      <w:proofErr w:type="spellEnd"/>
      <w:r w:rsidRPr="00E47714">
        <w:t>) participants</w:t>
      </w:r>
      <w:r w:rsidRPr="00E47714">
        <w:rPr>
          <w:rFonts w:eastAsiaTheme="majorEastAsia"/>
        </w:rPr>
        <w:t xml:space="preserve">. </w:t>
      </w:r>
      <w:r>
        <w:rPr>
          <w:rFonts w:eastAsiaTheme="majorEastAsia"/>
        </w:rPr>
        <w:t>It is evident that t</w:t>
      </w:r>
      <w:r w:rsidRPr="00E47714">
        <w:t>he current programme is not achieving equitable access or equitable benefit for Māori, Pacific peoples and Asian participants. Addressing this</w:t>
      </w:r>
      <w:r>
        <w:t xml:space="preserve"> inequity</w:t>
      </w:r>
      <w:r w:rsidRPr="00E47714">
        <w:t xml:space="preserve"> is an ongoing priority. </w:t>
      </w:r>
    </w:p>
    <w:p w14:paraId="6E70778A" w14:textId="740B98EE" w:rsidR="00C66A54" w:rsidRPr="00E47714" w:rsidRDefault="00C66A54" w:rsidP="005B127B">
      <w:pPr>
        <w:pStyle w:val="Figure"/>
      </w:pPr>
      <w:bookmarkStart w:id="133" w:name="_Ref167523014"/>
      <w:bookmarkStart w:id="134" w:name="_Toc171330672"/>
      <w:bookmarkStart w:id="135" w:name="_Toc172104708"/>
      <w:r w:rsidRPr="00E47714">
        <w:lastRenderedPageBreak/>
        <w:t xml:space="preserve">Figure </w:t>
      </w:r>
      <w:fldSimple w:instr=" SEQ Figure \* ARABIC ">
        <w:r w:rsidR="009A6F87">
          <w:rPr>
            <w:noProof/>
          </w:rPr>
          <w:t>25</w:t>
        </w:r>
      </w:fldSimple>
      <w:bookmarkEnd w:id="133"/>
      <w:r w:rsidRPr="00E47714">
        <w:t>: Bowel screening coverage by ethnic group (prioritised ethnicity), 20</w:t>
      </w:r>
      <w:r>
        <w:t xml:space="preserve">19 </w:t>
      </w:r>
      <w:r w:rsidRPr="00E47714">
        <w:t>–</w:t>
      </w:r>
      <w:r>
        <w:t xml:space="preserve"> </w:t>
      </w:r>
      <w:r w:rsidRPr="00E47714">
        <w:t>2023</w:t>
      </w:r>
      <w:bookmarkEnd w:id="134"/>
      <w:bookmarkEnd w:id="135"/>
    </w:p>
    <w:p w14:paraId="6BA6EAAE" w14:textId="77777777" w:rsidR="00C66A54" w:rsidRPr="00E47714" w:rsidRDefault="00C66A54" w:rsidP="007C188A">
      <w:pPr>
        <w:pStyle w:val="NormalWeb"/>
        <w:spacing w:before="0" w:beforeAutospacing="0"/>
      </w:pPr>
      <w:r w:rsidRPr="00E47714">
        <w:rPr>
          <w:noProof/>
        </w:rPr>
        <w:drawing>
          <wp:inline distT="0" distB="0" distL="0" distR="0" wp14:anchorId="39409EE6" wp14:editId="2F4BC516">
            <wp:extent cx="5089011" cy="4362450"/>
            <wp:effectExtent l="0" t="0" r="0" b="0"/>
            <wp:docPr id="1286808685" name="Picture 1286808685" descr="A timeseries line chart showing bowel screening rates by ethnic group between 2019 and 2023. Throughout the series, screening rates were highest for European/other, followed by Māori, Asian, and then Pacific peoples. There has been a decline in bowel screening coverage rates among all ethnic groups from 2019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08685" name="Picture 1286808685" descr="A timeseries line chart showing bowel screening rates by ethnic group between 2019 and 2023. Throughout the series, screening rates were highest for European/other, followed by Māori, Asian, and then Pacific peoples. There has been a decline in bowel screening coverage rates among all ethnic groups from 2019 to 2023."/>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097105" cy="4369389"/>
                    </a:xfrm>
                    <a:prstGeom prst="rect">
                      <a:avLst/>
                    </a:prstGeom>
                    <a:noFill/>
                    <a:ln>
                      <a:noFill/>
                    </a:ln>
                  </pic:spPr>
                </pic:pic>
              </a:graphicData>
            </a:graphic>
          </wp:inline>
        </w:drawing>
      </w:r>
    </w:p>
    <w:p w14:paraId="7D8617A8" w14:textId="141A7D34" w:rsidR="00C66A54" w:rsidRDefault="00C66A54" w:rsidP="00C66A54">
      <w:pPr>
        <w:pStyle w:val="Source"/>
      </w:pPr>
      <w:r w:rsidRPr="00E47714">
        <w:rPr>
          <w:b/>
          <w:bCs/>
        </w:rPr>
        <w:t>Source:</w:t>
      </w:r>
      <w:r w:rsidRPr="00E47714">
        <w:t xml:space="preserve"> Health NZ unpublished data (2024)</w:t>
      </w:r>
    </w:p>
    <w:p w14:paraId="5A43E7C4" w14:textId="77777777" w:rsidR="00C66A54" w:rsidRPr="00E47714" w:rsidRDefault="00C66A54" w:rsidP="00C66A54">
      <w:pPr>
        <w:pStyle w:val="Heading2"/>
      </w:pPr>
      <w:bookmarkStart w:id="136" w:name="_Toc171603268"/>
      <w:bookmarkStart w:id="137" w:name="_Toc171944528"/>
      <w:bookmarkStart w:id="138" w:name="_Toc172104668"/>
      <w:r w:rsidRPr="00E47714">
        <w:rPr>
          <w:rStyle w:val="Heading2Char"/>
          <w:b/>
        </w:rPr>
        <w:t>Cardiovascular and cerebrovascular diseases</w:t>
      </w:r>
      <w:bookmarkEnd w:id="136"/>
      <w:bookmarkEnd w:id="137"/>
      <w:bookmarkEnd w:id="138"/>
      <w:r w:rsidRPr="00E47714">
        <w:t xml:space="preserve"> </w:t>
      </w:r>
    </w:p>
    <w:p w14:paraId="7A1F2683" w14:textId="2247E942" w:rsidR="00C66A54" w:rsidRDefault="00C66A54" w:rsidP="00C66A54">
      <w:r w:rsidRPr="00E47714">
        <w:t>Cardiovascular diseases and cerebrovascular diseases are a group of disorders of the heart, blood flow and blood vessels. Collectively, these accounted for 14.0% of health loss (DALYs) in 2021</w:t>
      </w:r>
      <w:r>
        <w:t xml:space="preserve"> </w:t>
      </w:r>
      <w:r>
        <w:fldChar w:fldCharType="begin"/>
      </w:r>
      <w:r>
        <w:instrText xml:space="preserve"> ADDIN EN.CITE &lt;EndNote&gt;&lt;Cite&gt;&lt;Author&gt;Institute for Health Metrics and Evaluation&lt;/Author&gt;&lt;Year&gt;2024&lt;/Year&gt;&lt;RecNum&gt;427&lt;/RecNum&gt;&lt;DisplayText&gt;(Institute for Health Metrics and Evaluation 2024b)&lt;/DisplayText&gt;&lt;record&gt;&lt;rec-number&gt;427&lt;/rec-number&gt;&lt;foreign-keys&gt;&lt;key app="EN" db-id="aaepvppzs5wtfse95vsp2wahsrtvva2vvdet" timestamp="1716422513"&gt;427&lt;/key&gt;&lt;/foreign-keys&gt;&lt;ref-type name="Web Page"&gt;12&lt;/ref-type&gt;&lt;contributors&gt;&lt;authors&gt;&lt;author&gt;Institute for Health Metrics and Evaluation,&lt;/author&gt;&lt;/authors&gt;&lt;/contributors&gt;&lt;titles&gt;&lt;title&gt;GBD Results&lt;/title&gt;&lt;/titles&gt;&lt;number&gt;23 May 2024&lt;/number&gt;&lt;dates&gt;&lt;year&gt;2024&lt;/year&gt;&lt;/dates&gt;&lt;pub-location&gt;Seattle, WA: Institute for Health Metrics and Evaluation&lt;/pub-location&gt;&lt;urls&gt;&lt;related-urls&gt;&lt;url&gt;vizhub.healthdata.org/gbd-results&lt;/url&gt;&lt;/related-urls&gt;&lt;/urls&gt;&lt;/record&gt;&lt;/Cite&gt;&lt;/EndNote&gt;</w:instrText>
      </w:r>
      <w:r>
        <w:fldChar w:fldCharType="separate"/>
      </w:r>
      <w:r>
        <w:rPr>
          <w:noProof/>
        </w:rPr>
        <w:t>(Institute for Health Metrics and Evaluation 2024b)</w:t>
      </w:r>
      <w:r>
        <w:fldChar w:fldCharType="end"/>
      </w:r>
      <w:r w:rsidRPr="00E47714">
        <w:t>. Within this group of diseases, isch</w:t>
      </w:r>
      <w:r>
        <w:t>a</w:t>
      </w:r>
      <w:r w:rsidRPr="00E47714">
        <w:t>emic heart disease accounted for almost half of the cardiovascular and cerebrovascular disease DALYs (</w:t>
      </w:r>
      <w:r>
        <w:t xml:space="preserve">or </w:t>
      </w:r>
      <w:r w:rsidRPr="00E47714">
        <w:t>6.7%</w:t>
      </w:r>
      <w:r>
        <w:t xml:space="preserve"> of the total health loss</w:t>
      </w:r>
      <w:r w:rsidRPr="00E47714">
        <w:t>) and stroke accounted for 3.4%</w:t>
      </w:r>
      <w:r>
        <w:t xml:space="preserve"> of total health loss</w:t>
      </w:r>
      <w:r w:rsidRPr="00E47714">
        <w:t>.</w:t>
      </w:r>
    </w:p>
    <w:p w14:paraId="3BCC56E7" w14:textId="77777777" w:rsidR="007C188A" w:rsidRPr="00E47714" w:rsidRDefault="007C188A" w:rsidP="00C66A54"/>
    <w:p w14:paraId="18156767" w14:textId="603BA171" w:rsidR="00C66A54" w:rsidRDefault="00C66A54" w:rsidP="00C66A54">
      <w:r w:rsidRPr="00E47714">
        <w:rPr>
          <w:shd w:val="clear" w:color="auto" w:fill="FFFFFF"/>
        </w:rPr>
        <w:t>Modifiable risk factors for cardiovascular</w:t>
      </w:r>
      <w:r>
        <w:rPr>
          <w:shd w:val="clear" w:color="auto" w:fill="FFFFFF"/>
        </w:rPr>
        <w:t xml:space="preserve"> and cerebrovascular </w:t>
      </w:r>
      <w:r w:rsidRPr="00E47714">
        <w:rPr>
          <w:shd w:val="clear" w:color="auto" w:fill="FFFFFF"/>
        </w:rPr>
        <w:t xml:space="preserve">diseases include an unhealthy diet, physical inactivity, tobacco use and alcohol use. The effects of these risk factors may show up in individuals as raised blood pressure, raised blood glucose, raised blood lipids, and overweight and obesity </w:t>
      </w:r>
      <w:r>
        <w:rPr>
          <w:shd w:val="clear" w:color="auto" w:fill="FFFFFF"/>
        </w:rPr>
        <w:fldChar w:fldCharType="begin"/>
      </w:r>
      <w:r>
        <w:rPr>
          <w:shd w:val="clear" w:color="auto" w:fill="FFFFFF"/>
        </w:rPr>
        <w:instrText xml:space="preserve"> ADDIN EN.CITE &lt;EndNote&gt;&lt;Cite&gt;&lt;Author&gt;WHO&lt;/Author&gt;&lt;Year&gt;2021&lt;/Year&gt;&lt;RecNum&gt;438&lt;/RecNum&gt;&lt;DisplayText&gt;(WHO 2021)&lt;/DisplayText&gt;&lt;record&gt;&lt;rec-number&gt;438&lt;/rec-number&gt;&lt;foreign-keys&gt;&lt;key app="EN" db-id="aaepvppzs5wtfse95vsp2wahsrtvva2vvdet" timestamp="1716430751"&gt;438&lt;/key&gt;&lt;/foreign-keys&gt;&lt;ref-type name="Web Page"&gt;12&lt;/ref-type&gt;&lt;contributors&gt;&lt;authors&gt;&lt;author&gt;WHO,&lt;/author&gt;&lt;/authors&gt;&lt;/contributors&gt;&lt;titles&gt;&lt;title&gt;Cardiovascular diseases (CVDs)&lt;/title&gt;&lt;/titles&gt;&lt;number&gt;23 May 2024&lt;/number&gt;&lt;dates&gt;&lt;year&gt;2021&lt;/year&gt;&lt;/dates&gt;&lt;urls&gt;&lt;related-urls&gt;&lt;url&gt;who.int/news-room/fact-sheets/detail/cardiovascular-diseases-(cvds)&lt;/url&gt;&lt;/related-urls&gt;&lt;/urls&gt;&lt;/record&gt;&lt;/Cite&gt;&lt;/EndNote&gt;</w:instrText>
      </w:r>
      <w:r>
        <w:rPr>
          <w:shd w:val="clear" w:color="auto" w:fill="FFFFFF"/>
        </w:rPr>
        <w:fldChar w:fldCharType="separate"/>
      </w:r>
      <w:r>
        <w:rPr>
          <w:noProof/>
          <w:shd w:val="clear" w:color="auto" w:fill="FFFFFF"/>
        </w:rPr>
        <w:t>(WHO 2021)</w:t>
      </w:r>
      <w:r>
        <w:rPr>
          <w:shd w:val="clear" w:color="auto" w:fill="FFFFFF"/>
        </w:rPr>
        <w:fldChar w:fldCharType="end"/>
      </w:r>
      <w:r w:rsidRPr="00E47714">
        <w:rPr>
          <w:shd w:val="clear" w:color="auto" w:fill="FFFFFF"/>
        </w:rPr>
        <w:t xml:space="preserve">. </w:t>
      </w:r>
      <w:r>
        <w:t>T</w:t>
      </w:r>
      <w:r w:rsidRPr="00E47714">
        <w:t xml:space="preserve">he determinants of health and wellbeing section </w:t>
      </w:r>
      <w:r>
        <w:t>discusses risk factors in more detail</w:t>
      </w:r>
      <w:r w:rsidRPr="00E47714">
        <w:t xml:space="preserve">. </w:t>
      </w:r>
    </w:p>
    <w:p w14:paraId="6AAD4EBB" w14:textId="77777777" w:rsidR="007C188A" w:rsidRPr="00E47714" w:rsidRDefault="007C188A" w:rsidP="00C66A54"/>
    <w:p w14:paraId="082C9EFB" w14:textId="15B23E3E" w:rsidR="00C66A54" w:rsidRDefault="00C66A54" w:rsidP="00C66A54">
      <w:r w:rsidRPr="00E47714">
        <w:t>In mortality data from 2021 (</w:t>
      </w:r>
      <w:r>
        <w:t>the most recent year when</w:t>
      </w:r>
      <w:r w:rsidRPr="00E47714">
        <w:t xml:space="preserve"> information </w:t>
      </w:r>
      <w:r>
        <w:t xml:space="preserve">is </w:t>
      </w:r>
      <w:r w:rsidRPr="00E47714">
        <w:t>available), ischaemic heart disease accounted for 4,594 deaths in Aotearoa New Zealand, an age-</w:t>
      </w:r>
      <w:r w:rsidRPr="00E47714">
        <w:lastRenderedPageBreak/>
        <w:t xml:space="preserve">standardised rate of 42.9 deaths per 100,000 population </w:t>
      </w:r>
      <w:r>
        <w:fldChar w:fldCharType="begin"/>
      </w:r>
      <w:r>
        <w:instrText xml:space="preserve"> ADDIN EN.CITE &lt;EndNote&gt;&lt;Cite&gt;&lt;Author&gt;Health NZ &lt;/Author&gt;&lt;Year&gt;2023&lt;/Year&gt;&lt;RecNum&gt;424&lt;/RecNum&gt;&lt;DisplayText&gt;(Health NZ 2023c)&lt;/DisplayText&gt;&lt;record&gt;&lt;rec-number&gt;424&lt;/rec-number&gt;&lt;foreign-keys&gt;&lt;key app="EN" db-id="aaepvppzs5wtfse95vsp2wahsrtvva2vvdet" timestamp="1716421709"&gt;424&lt;/key&gt;&lt;/foreign-keys&gt;&lt;ref-type name="Web Page"&gt;12&lt;/ref-type&gt;&lt;contributors&gt;&lt;authors&gt;&lt;author&gt;Health NZ ,&lt;/author&gt;&lt;/authors&gt;&lt;/contributors&gt;&lt;titles&gt;&lt;title&gt;Mortality web tool&lt;/title&gt;&lt;/titles&gt;&lt;number&gt;23 May 2024&lt;/number&gt;&lt;dates&gt;&lt;year&gt;2023&lt;/year&gt;&lt;/dates&gt;&lt;urls&gt;&lt;related-urls&gt;&lt;url&gt;tewhatuora.shinyapps.io/mortality-web-tool&lt;/url&gt;&lt;/related-urls&gt;&lt;/urls&gt;&lt;/record&gt;&lt;/Cite&gt;&lt;/EndNote&gt;</w:instrText>
      </w:r>
      <w:r>
        <w:fldChar w:fldCharType="separate"/>
      </w:r>
      <w:r>
        <w:rPr>
          <w:noProof/>
        </w:rPr>
        <w:t>(Health NZ 2023c)</w:t>
      </w:r>
      <w:r>
        <w:fldChar w:fldCharType="end"/>
      </w:r>
      <w:r w:rsidRPr="00E47714">
        <w:t xml:space="preserve">. Within total deaths from this disease, the rate for Māori was 72.0 deaths per 100,000 population, compared </w:t>
      </w:r>
      <w:r>
        <w:t>with</w:t>
      </w:r>
      <w:r w:rsidRPr="00E47714">
        <w:t xml:space="preserve"> 39.4 deaths per 100,000 for non-Māori.  </w:t>
      </w:r>
    </w:p>
    <w:p w14:paraId="720A8FFC" w14:textId="77777777" w:rsidR="007C188A" w:rsidRPr="00E47714" w:rsidRDefault="007C188A" w:rsidP="00C66A54"/>
    <w:p w14:paraId="32DBBE61" w14:textId="1A42B0FB" w:rsidR="00C66A54" w:rsidRDefault="00C66A54" w:rsidP="00C66A54">
      <w:r w:rsidRPr="00E47714">
        <w:t>Stroke and other cerebrovascular diseases (conditions that affect blood flow and blood vessels in the brain) accounted for 2,149 deaths</w:t>
      </w:r>
      <w:r>
        <w:t xml:space="preserve"> in 2021. This produces</w:t>
      </w:r>
      <w:r w:rsidRPr="00E47714">
        <w:t xml:space="preserve"> an age-standardised rate of 19.2 deaths per 100,000 people. </w:t>
      </w:r>
    </w:p>
    <w:p w14:paraId="0B8C5F89" w14:textId="77777777" w:rsidR="007C188A" w:rsidRPr="00E47714" w:rsidRDefault="007C188A" w:rsidP="00C66A54"/>
    <w:p w14:paraId="332355BF" w14:textId="3ABA4A9A" w:rsidR="00C66A54" w:rsidRDefault="00C66A54" w:rsidP="00C66A54">
      <w:r w:rsidRPr="00E47714">
        <w:t xml:space="preserve">The mortality rates for ischaemic heart disease and cerebrovascular diseases have </w:t>
      </w:r>
      <w:r>
        <w:t>reduced</w:t>
      </w:r>
      <w:r w:rsidRPr="00E47714">
        <w:t xml:space="preserve"> over time. </w:t>
      </w:r>
      <w:r w:rsidRPr="00E47714">
        <w:fldChar w:fldCharType="begin"/>
      </w:r>
      <w:r w:rsidRPr="00E47714">
        <w:instrText xml:space="preserve"> REF _Ref167102034 \h  \* MERGEFORMAT </w:instrText>
      </w:r>
      <w:r w:rsidRPr="00E47714">
        <w:fldChar w:fldCharType="separate"/>
      </w:r>
      <w:r w:rsidR="009A6F87" w:rsidRPr="00E47714">
        <w:t xml:space="preserve">Figure </w:t>
      </w:r>
      <w:r w:rsidR="009A6F87">
        <w:t>12</w:t>
      </w:r>
      <w:r w:rsidRPr="00E47714">
        <w:fldChar w:fldCharType="end"/>
      </w:r>
      <w:r w:rsidRPr="00E47714">
        <w:t xml:space="preserve"> </w:t>
      </w:r>
      <w:r>
        <w:t>in</w:t>
      </w:r>
      <w:r w:rsidRPr="00E47714">
        <w:t xml:space="preserve"> the Mortality section shows </w:t>
      </w:r>
      <w:r>
        <w:t>that i</w:t>
      </w:r>
      <w:r w:rsidRPr="00E47714">
        <w:t xml:space="preserve">n 1996, 127.5 people per 100,000 population died of ischaemic heart disease and 48.2 people per 100,000 died of cerebrovascular diseases in Aotearoa New Zealand. </w:t>
      </w:r>
      <w:r>
        <w:t>Improvements in</w:t>
      </w:r>
      <w:r w:rsidRPr="00E47714">
        <w:t xml:space="preserve"> both prevention and treatment</w:t>
      </w:r>
      <w:r>
        <w:t xml:space="preserve"> have contributed to the decline</w:t>
      </w:r>
      <w:r w:rsidRPr="00E47714">
        <w:t xml:space="preserve">, including declines in cigarette smoking, improvements in hypertension treatment, use of statins to lower cholesterol and the use of thrombolysis and stents </w:t>
      </w:r>
      <w:r>
        <w:fldChar w:fldCharType="begin"/>
      </w:r>
      <w:r>
        <w:instrText xml:space="preserve"> ADDIN EN.CITE &lt;EndNote&gt;&lt;Cite&gt;&lt;Author&gt;Mensah&lt;/Author&gt;&lt;Year&gt;2017&lt;/Year&gt;&lt;RecNum&gt;439&lt;/RecNum&gt;&lt;DisplayText&gt;(Mensah et al 2017)&lt;/DisplayText&gt;&lt;record&gt;&lt;rec-number&gt;439&lt;/rec-number&gt;&lt;foreign-keys&gt;&lt;key app="EN" db-id="aaepvppzs5wtfse95vsp2wahsrtvva2vvdet" timestamp="1716430895"&gt;439&lt;/key&gt;&lt;/foreign-keys&gt;&lt;ref-type name="Journal Article"&gt;17&lt;/ref-type&gt;&lt;contributors&gt;&lt;authors&gt;&lt;author&gt;Mensah, George A&lt;/author&gt;&lt;author&gt;Wei, Gina S&lt;/author&gt;&lt;author&gt;Sorlie, Paul D&lt;/author&gt;&lt;author&gt;Fine, Lawrence J&lt;/author&gt;&lt;author&gt;Rosenberg, Yves&lt;/author&gt;&lt;author&gt;Kaufmann, Peter G&lt;/author&gt;&lt;author&gt;Mussolino, Michael E&lt;/author&gt;&lt;author&gt;Hsu, Lucy L&lt;/author&gt;&lt;author&gt;Addou, Ebyan&lt;/author&gt;&lt;author&gt;Engelgau, Michael M&lt;/author&gt;&lt;/authors&gt;&lt;/contributors&gt;&lt;titles&gt;&lt;title&gt;Decline in cardiovascular mortality: possible causes and implications&lt;/title&gt;&lt;secondary-title&gt;Circulation Research&lt;/secondary-title&gt;&lt;/titles&gt;&lt;periodical&gt;&lt;full-title&gt;Circulation research&lt;/full-title&gt;&lt;/periodical&gt;&lt;pages&gt;366–380&lt;/pages&gt;&lt;volume&gt;120&lt;/volume&gt;&lt;number&gt;2&lt;/number&gt;&lt;dates&gt;&lt;year&gt;2017&lt;/year&gt;&lt;/dates&gt;&lt;isbn&gt;0009-7330&lt;/isbn&gt;&lt;urls&gt;&lt;/urls&gt;&lt;/record&gt;&lt;/Cite&gt;&lt;/EndNote&gt;</w:instrText>
      </w:r>
      <w:r>
        <w:fldChar w:fldCharType="separate"/>
      </w:r>
      <w:r>
        <w:rPr>
          <w:noProof/>
        </w:rPr>
        <w:t>(Mensah et al 2017)</w:t>
      </w:r>
      <w:r>
        <w:fldChar w:fldCharType="end"/>
      </w:r>
      <w:r w:rsidRPr="00E47714">
        <w:t>.</w:t>
      </w:r>
    </w:p>
    <w:p w14:paraId="482B19C9" w14:textId="77777777" w:rsidR="00C66A54" w:rsidRPr="00E47714" w:rsidRDefault="00C66A54" w:rsidP="00C66A54">
      <w:pPr>
        <w:pStyle w:val="Heading2"/>
        <w:rPr>
          <w:rStyle w:val="Heading2Char"/>
          <w:rFonts w:cs="Segoe UI"/>
          <w:szCs w:val="48"/>
        </w:rPr>
      </w:pPr>
      <w:bookmarkStart w:id="139" w:name="_Toc171603269"/>
      <w:bookmarkStart w:id="140" w:name="_Toc171944529"/>
      <w:bookmarkStart w:id="141" w:name="_Toc172104669"/>
      <w:r w:rsidRPr="00E47714">
        <w:rPr>
          <w:rStyle w:val="Heading2Char"/>
          <w:b/>
        </w:rPr>
        <w:t>Musculoskeletal</w:t>
      </w:r>
      <w:r w:rsidRPr="00E47714">
        <w:rPr>
          <w:rStyle w:val="Heading2Char"/>
          <w:rFonts w:cs="Segoe UI"/>
          <w:szCs w:val="48"/>
        </w:rPr>
        <w:t xml:space="preserve"> </w:t>
      </w:r>
      <w:r w:rsidRPr="00E47714">
        <w:rPr>
          <w:rStyle w:val="Heading2Char"/>
          <w:b/>
        </w:rPr>
        <w:t>conditions</w:t>
      </w:r>
      <w:bookmarkEnd w:id="139"/>
      <w:bookmarkEnd w:id="140"/>
      <w:bookmarkEnd w:id="141"/>
    </w:p>
    <w:p w14:paraId="388914C1" w14:textId="6853B3B2" w:rsidR="00C66A54" w:rsidRDefault="00C66A54" w:rsidP="00C66A54">
      <w:r w:rsidRPr="00E47714">
        <w:t xml:space="preserve">Collectively, musculoskeletal conditions accounted for 11% of health loss (DALYs) in 2021 </w:t>
      </w:r>
      <w:r>
        <w:fldChar w:fldCharType="begin"/>
      </w:r>
      <w:r>
        <w:instrText xml:space="preserve"> ADDIN EN.CITE &lt;EndNote&gt;&lt;Cite&gt;&lt;Author&gt;Institute for Health Metrics and Evaluation&lt;/Author&gt;&lt;Year&gt;2024&lt;/Year&gt;&lt;RecNum&gt;427&lt;/RecNum&gt;&lt;DisplayText&gt;(Institute for Health Metrics and Evaluation 2024b)&lt;/DisplayText&gt;&lt;record&gt;&lt;rec-number&gt;427&lt;/rec-number&gt;&lt;foreign-keys&gt;&lt;key app="EN" db-id="aaepvppzs5wtfse95vsp2wahsrtvva2vvdet" timestamp="1716422513"&gt;427&lt;/key&gt;&lt;/foreign-keys&gt;&lt;ref-type name="Web Page"&gt;12&lt;/ref-type&gt;&lt;contributors&gt;&lt;authors&gt;&lt;author&gt;Institute for Health Metrics and Evaluation,&lt;/author&gt;&lt;/authors&gt;&lt;/contributors&gt;&lt;titles&gt;&lt;title&gt;GBD Results&lt;/title&gt;&lt;/titles&gt;&lt;number&gt;23 May 2024&lt;/number&gt;&lt;dates&gt;&lt;year&gt;2024&lt;/year&gt;&lt;/dates&gt;&lt;pub-location&gt;Seattle, WA: Institute for Health Metrics and Evaluation&lt;/pub-location&gt;&lt;urls&gt;&lt;related-urls&gt;&lt;url&gt;vizhub.healthdata.org/gbd-results&lt;/url&gt;&lt;/related-urls&gt;&lt;/urls&gt;&lt;/record&gt;&lt;/Cite&gt;&lt;/EndNote&gt;</w:instrText>
      </w:r>
      <w:r>
        <w:fldChar w:fldCharType="separate"/>
      </w:r>
      <w:r>
        <w:rPr>
          <w:noProof/>
        </w:rPr>
        <w:t>(Institute for Health Metrics and Evaluation 2024b)</w:t>
      </w:r>
      <w:r>
        <w:fldChar w:fldCharType="end"/>
      </w:r>
      <w:r w:rsidRPr="00E47714">
        <w:t>. Lower back pain accounted for more than half of DALY loss within this group of conditions (</w:t>
      </w:r>
      <w:r>
        <w:t xml:space="preserve">or </w:t>
      </w:r>
      <w:r w:rsidRPr="00E47714">
        <w:t>6.2%</w:t>
      </w:r>
      <w:r>
        <w:t xml:space="preserve"> of total health loss</w:t>
      </w:r>
      <w:r w:rsidRPr="00E47714">
        <w:t xml:space="preserve">). </w:t>
      </w:r>
    </w:p>
    <w:p w14:paraId="6E219AEA" w14:textId="77777777" w:rsidR="007C188A" w:rsidRPr="00E47714" w:rsidRDefault="007C188A" w:rsidP="00C66A54"/>
    <w:p w14:paraId="7DEDF6B1" w14:textId="2F13BB49" w:rsidR="00C66A54" w:rsidRDefault="00C66A54" w:rsidP="00C66A54">
      <w:r w:rsidRPr="00E47714">
        <w:t xml:space="preserve">As one of the leading causes of disability and non-fatal health loss in Aotearoa New Zealand, musculoskeletal conditions </w:t>
      </w:r>
      <w:r>
        <w:t>place</w:t>
      </w:r>
      <w:r w:rsidRPr="00E47714">
        <w:t xml:space="preserve"> a significant health, social and economic strain on both individual quality of life and health system costs. Research indicates that </w:t>
      </w:r>
      <w:r>
        <w:t>one</w:t>
      </w:r>
      <w:r w:rsidRPr="00E47714">
        <w:t xml:space="preserve"> in every </w:t>
      </w:r>
      <w:r>
        <w:t>four</w:t>
      </w:r>
      <w:r w:rsidRPr="00E47714">
        <w:t xml:space="preserve"> adults </w:t>
      </w:r>
      <w:r>
        <w:t>experiences</w:t>
      </w:r>
      <w:r w:rsidRPr="00E47714">
        <w:t xml:space="preserve"> musculoskeletal conditions, including arthritis, osteoporosis, lower back pain and spinal disorders </w:t>
      </w:r>
      <w:r>
        <w:fldChar w:fldCharType="begin"/>
      </w:r>
      <w:r>
        <w:instrText xml:space="preserve"> ADDIN EN.CITE &lt;EndNote&gt;&lt;Cite&gt;&lt;Author&gt;Allen + Clarke&lt;/Author&gt;&lt;Year&gt;2021&lt;/Year&gt;&lt;RecNum&gt;440&lt;/RecNum&gt;&lt;DisplayText&gt;(Allen + Clarke 2021)&lt;/DisplayText&gt;&lt;record&gt;&lt;rec-number&gt;440&lt;/rec-number&gt;&lt;foreign-keys&gt;&lt;key app="EN" db-id="aaepvppzs5wtfse95vsp2wahsrtvva2vvdet" timestamp="1716431406"&gt;440&lt;/key&gt;&lt;/foreign-keys&gt;&lt;ref-type name="Government Document"&gt;46&lt;/ref-type&gt;&lt;contributors&gt;&lt;authors&gt;&lt;author&gt;Allen + Clarke, &lt;/author&gt;&lt;/authors&gt;&lt;/contributors&gt;&lt;titles&gt;&lt;title&gt;Evaluation of the Mobility Action Programme (MAP): Cycle 2 Final Report&lt;/title&gt;&lt;/titles&gt;&lt;dates&gt;&lt;year&gt;2021&lt;/year&gt;&lt;/dates&gt;&lt;pub-location&gt;Wellington&lt;/pub-location&gt;&lt;publisher&gt; Ministry of Health&lt;/publisher&gt;&lt;urls&gt;&lt;/urls&gt;&lt;/record&gt;&lt;/Cite&gt;&lt;/EndNote&gt;</w:instrText>
      </w:r>
      <w:r>
        <w:fldChar w:fldCharType="separate"/>
      </w:r>
      <w:r>
        <w:rPr>
          <w:noProof/>
        </w:rPr>
        <w:t>(Allen + Clarke 2021)</w:t>
      </w:r>
      <w:r>
        <w:fldChar w:fldCharType="end"/>
      </w:r>
      <w:r w:rsidRPr="00E47714">
        <w:t>.</w:t>
      </w:r>
    </w:p>
    <w:p w14:paraId="2304BCF5" w14:textId="77777777" w:rsidR="007C188A" w:rsidRPr="00E47714" w:rsidRDefault="007C188A" w:rsidP="00C66A54"/>
    <w:p w14:paraId="2D1DE88D" w14:textId="07D1C9E4" w:rsidR="00C66A54" w:rsidRDefault="00C66A54" w:rsidP="00C66A54">
      <w:r>
        <w:t>People with m</w:t>
      </w:r>
      <w:r w:rsidRPr="00E47714">
        <w:t xml:space="preserve">usculoskeletal conditions typically </w:t>
      </w:r>
      <w:r>
        <w:t>experience</w:t>
      </w:r>
      <w:r w:rsidRPr="00E47714">
        <w:t xml:space="preserve"> pain (often persistent) and </w:t>
      </w:r>
      <w:r>
        <w:t xml:space="preserve">face </w:t>
      </w:r>
      <w:r w:rsidRPr="00E47714">
        <w:t xml:space="preserve">limitations </w:t>
      </w:r>
      <w:r>
        <w:t>to their</w:t>
      </w:r>
      <w:r w:rsidRPr="00E47714">
        <w:t xml:space="preserve"> mobility and dexterity, reducing </w:t>
      </w:r>
      <w:r>
        <w:t>their</w:t>
      </w:r>
      <w:r w:rsidRPr="00E47714">
        <w:t xml:space="preserve"> ability to work and participate in society. Pain in musculoskeletal structures is the most common form of non-cancer pain.</w:t>
      </w:r>
    </w:p>
    <w:p w14:paraId="163ADCDD" w14:textId="77777777" w:rsidR="007C188A" w:rsidRPr="00E47714" w:rsidRDefault="007C188A" w:rsidP="00C66A54"/>
    <w:p w14:paraId="6F6F33A0" w14:textId="6B37C421" w:rsidR="00C66A54" w:rsidRDefault="00C66A54" w:rsidP="00C66A54">
      <w:r w:rsidRPr="00E47714">
        <w:t>Musculoskeletal conditions are relevant across the life</w:t>
      </w:r>
      <w:r>
        <w:t xml:space="preserve"> </w:t>
      </w:r>
      <w:r w:rsidRPr="00E47714">
        <w:t>course – from childhood to older age. They range from those conditions that arise suddenly and are short-lived (such as fractures, sprains and strains, associated with pain and limitations in functioning) though to long-term conditions such as chronic primary low</w:t>
      </w:r>
      <w:r>
        <w:t>er</w:t>
      </w:r>
      <w:r w:rsidRPr="00E47714">
        <w:t xml:space="preserve"> back pain and osteoarthritis </w:t>
      </w:r>
      <w:r>
        <w:fldChar w:fldCharType="begin"/>
      </w:r>
      <w:r>
        <w:instrText xml:space="preserve"> ADDIN EN.CITE &lt;EndNote&gt;&lt;Cite&gt;&lt;Author&gt;WHO&lt;/Author&gt;&lt;Year&gt;2022&lt;/Year&gt;&lt;RecNum&gt;441&lt;/RecNum&gt;&lt;DisplayText&gt;(WHO 2022c)&lt;/DisplayText&gt;&lt;record&gt;&lt;rec-number&gt;441&lt;/rec-number&gt;&lt;foreign-keys&gt;&lt;key app="EN" db-id="aaepvppzs5wtfse95vsp2wahsrtvva2vvdet" timestamp="1716433314"&gt;441&lt;/key&gt;&lt;/foreign-keys&gt;&lt;ref-type name="Web Page"&gt;12&lt;/ref-type&gt;&lt;contributors&gt;&lt;authors&gt;&lt;author&gt;WHO&lt;/author&gt;&lt;/authors&gt;&lt;/contributors&gt;&lt;titles&gt;&lt;title&gt;Musculoskeletal health&lt;/title&gt;&lt;/titles&gt;&lt;number&gt;23 May 2024&lt;/number&gt;&lt;dates&gt;&lt;year&gt;2022&lt;/year&gt;&lt;/dates&gt;&lt;urls&gt;&lt;related-urls&gt;&lt;url&gt;who.int/news-room/fact-sheets/detail/musculoskeletal-conditions&lt;/url&gt;&lt;/related-urls&gt;&lt;/urls&gt;&lt;/record&gt;&lt;/Cite&gt;&lt;/EndNote&gt;</w:instrText>
      </w:r>
      <w:r>
        <w:fldChar w:fldCharType="separate"/>
      </w:r>
      <w:r>
        <w:rPr>
          <w:noProof/>
        </w:rPr>
        <w:t>(WHO 2022c)</w:t>
      </w:r>
      <w:r>
        <w:fldChar w:fldCharType="end"/>
      </w:r>
      <w:r w:rsidRPr="00E47714">
        <w:t>.</w:t>
      </w:r>
    </w:p>
    <w:p w14:paraId="556C0885" w14:textId="77777777" w:rsidR="007C188A" w:rsidRPr="00E47714" w:rsidRDefault="007C188A" w:rsidP="00C66A54"/>
    <w:p w14:paraId="181C6921" w14:textId="77777777" w:rsidR="00C66A54" w:rsidRPr="00E47714" w:rsidRDefault="00C66A54" w:rsidP="00C66A54">
      <w:r w:rsidRPr="00E47714">
        <w:t>Arthritis is one of the musculoskeletal conditions included in the Health Survey. In 2022/23</w:t>
      </w:r>
      <w:r>
        <w:t>,</w:t>
      </w:r>
      <w:r w:rsidRPr="00E47714">
        <w:t xml:space="preserve"> </w:t>
      </w:r>
      <w:r>
        <w:t xml:space="preserve">the </w:t>
      </w:r>
      <w:r>
        <w:fldChar w:fldCharType="begin"/>
      </w:r>
      <w:r>
        <w:instrText xml:space="preserve"> ADDIN EN.CITE &lt;EndNote&gt;&lt;Cite AuthorYear="1"&gt;&lt;Author&gt;Ministry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r>
        <w:t xml:space="preserve"> </w:t>
      </w:r>
      <w:r w:rsidRPr="00E47714">
        <w:t>reported the following</w:t>
      </w:r>
      <w:r w:rsidRPr="00055946">
        <w:t xml:space="preserve"> </w:t>
      </w:r>
      <w:r w:rsidRPr="00E47714">
        <w:t>information</w:t>
      </w:r>
      <w:r>
        <w:t xml:space="preserve"> about the </w:t>
      </w:r>
      <w:r w:rsidRPr="00E47714">
        <w:t xml:space="preserve">prevalence </w:t>
      </w:r>
      <w:r>
        <w:t>of</w:t>
      </w:r>
      <w:r w:rsidRPr="00E47714">
        <w:t xml:space="preserve"> arthritis</w:t>
      </w:r>
      <w:r>
        <w:t>.</w:t>
      </w:r>
    </w:p>
    <w:p w14:paraId="14F9CEF6" w14:textId="77777777" w:rsidR="00C66A54" w:rsidRPr="00E47714" w:rsidRDefault="00C66A54" w:rsidP="007C188A">
      <w:pPr>
        <w:pStyle w:val="Bullet"/>
      </w:pPr>
      <w:r w:rsidRPr="00E47714">
        <w:t>Arthritis</w:t>
      </w:r>
      <w:r>
        <w:t xml:space="preserve"> (all types)</w:t>
      </w:r>
      <w:r w:rsidRPr="00E47714">
        <w:t xml:space="preserve">: 17.8% of adults (approximately 746,000 people) have been diagnosed with arthritis, up from 15.1% in 2011/12. </w:t>
      </w:r>
      <w:r>
        <w:t>People are more likely to</w:t>
      </w:r>
      <w:r w:rsidRPr="00E47714">
        <w:t xml:space="preserve"> be diagnosed with arthritis as </w:t>
      </w:r>
      <w:r>
        <w:t xml:space="preserve">they </w:t>
      </w:r>
      <w:r w:rsidRPr="00E47714">
        <w:t>age</w:t>
      </w:r>
      <w:r>
        <w:t>:</w:t>
      </w:r>
      <w:r w:rsidRPr="00E47714">
        <w:t xml:space="preserve"> 50.0% of people </w:t>
      </w:r>
      <w:r>
        <w:t xml:space="preserve">aged </w:t>
      </w:r>
      <w:r w:rsidRPr="00E47714">
        <w:t>75 years and over and 42.5% of people aged 65</w:t>
      </w:r>
      <w:r w:rsidRPr="00E47714">
        <w:rPr>
          <w:rStyle w:val="normaltextrun"/>
          <w:rFonts w:ascii="Calibri" w:hAnsi="Calibri" w:cs="Calibri"/>
          <w:color w:val="000000"/>
          <w:bdr w:val="none" w:sz="0" w:space="0" w:color="auto" w:frame="1"/>
        </w:rPr>
        <w:t>–</w:t>
      </w:r>
      <w:r w:rsidRPr="00E47714">
        <w:t>74 years</w:t>
      </w:r>
      <w:r w:rsidRPr="00055946">
        <w:t xml:space="preserve"> </w:t>
      </w:r>
      <w:r>
        <w:t xml:space="preserve">have been </w:t>
      </w:r>
      <w:r w:rsidRPr="00E47714">
        <w:t xml:space="preserve">diagnosed with arthritis. </w:t>
      </w:r>
    </w:p>
    <w:p w14:paraId="4E858124" w14:textId="77777777" w:rsidR="00C66A54" w:rsidRPr="00E47714" w:rsidRDefault="00C66A54" w:rsidP="007C188A">
      <w:pPr>
        <w:pStyle w:val="Bullet"/>
      </w:pPr>
      <w:r w:rsidRPr="00E47714">
        <w:t>Gout: 1.8% of adults have been diagnosed with gout.</w:t>
      </w:r>
    </w:p>
    <w:p w14:paraId="72B830BF" w14:textId="77777777" w:rsidR="00C66A54" w:rsidRPr="00E47714" w:rsidRDefault="00C66A54" w:rsidP="007C188A">
      <w:pPr>
        <w:pStyle w:val="Bullet"/>
      </w:pPr>
      <w:r w:rsidRPr="00E47714">
        <w:lastRenderedPageBreak/>
        <w:t>Rheumatoid arthritis: 3.2% of adults have been diagnosed with rheumatoid arthritis.</w:t>
      </w:r>
    </w:p>
    <w:p w14:paraId="1F32F418" w14:textId="1E96C984" w:rsidR="00C66A54" w:rsidRDefault="00C66A54" w:rsidP="007C188A">
      <w:pPr>
        <w:pStyle w:val="Bullet"/>
      </w:pPr>
      <w:r w:rsidRPr="00E47714">
        <w:t>Osteoarthritis was the most common type of arthritis, affecting 11.4% of adults in 2022/23, up from 10.7% in 2021/22.</w:t>
      </w:r>
    </w:p>
    <w:p w14:paraId="05257790" w14:textId="2D9BF74D" w:rsidR="00C66A54" w:rsidRPr="00E47714" w:rsidRDefault="00C66A54" w:rsidP="007C188A">
      <w:pPr>
        <w:pStyle w:val="Heading2"/>
      </w:pPr>
      <w:bookmarkStart w:id="142" w:name="_Toc171603270"/>
      <w:bookmarkStart w:id="143" w:name="_Toc171944530"/>
      <w:bookmarkStart w:id="144" w:name="_Toc172104670"/>
      <w:r w:rsidRPr="00E47714">
        <w:t>Mental health</w:t>
      </w:r>
      <w:bookmarkEnd w:id="142"/>
      <w:bookmarkEnd w:id="143"/>
      <w:bookmarkEnd w:id="144"/>
    </w:p>
    <w:p w14:paraId="09688724" w14:textId="0C823BCA" w:rsidR="00C66A54" w:rsidRDefault="00C66A54" w:rsidP="00C66A54">
      <w:r w:rsidRPr="00E47714">
        <w:t xml:space="preserve">Mental disorders accounted for 11% of health loss (DALYs) in Aotearoa New Zealand in 2021. </w:t>
      </w:r>
      <w:r>
        <w:t>C</w:t>
      </w:r>
      <w:r w:rsidRPr="00E47714">
        <w:t>onditions contributing</w:t>
      </w:r>
      <w:r>
        <w:t xml:space="preserve"> substantially</w:t>
      </w:r>
      <w:r w:rsidRPr="00E47714">
        <w:t xml:space="preserve"> to the burden of disease for mental health disorders included anxiety disorders (3.5% of total DALYs) and depressive disorders (2.6% of total DALYs) </w:t>
      </w:r>
      <w:r>
        <w:fldChar w:fldCharType="begin"/>
      </w:r>
      <w:r>
        <w:instrText xml:space="preserve"> ADDIN EN.CITE &lt;EndNote&gt;&lt;Cite&gt;&lt;Author&gt;Institute for Health Metrics and Evaluation&lt;/Author&gt;&lt;Year&gt;2024&lt;/Year&gt;&lt;RecNum&gt;427&lt;/RecNum&gt;&lt;DisplayText&gt;(Institute for Health Metrics and Evaluation 2024b)&lt;/DisplayText&gt;&lt;record&gt;&lt;rec-number&gt;427&lt;/rec-number&gt;&lt;foreign-keys&gt;&lt;key app="EN" db-id="aaepvppzs5wtfse95vsp2wahsrtvva2vvdet" timestamp="1716422513"&gt;427&lt;/key&gt;&lt;/foreign-keys&gt;&lt;ref-type name="Web Page"&gt;12&lt;/ref-type&gt;&lt;contributors&gt;&lt;authors&gt;&lt;author&gt;Institute for Health Metrics and Evaluation,&lt;/author&gt;&lt;/authors&gt;&lt;/contributors&gt;&lt;titles&gt;&lt;title&gt;GBD Results&lt;/title&gt;&lt;/titles&gt;&lt;number&gt;23 May 2024&lt;/number&gt;&lt;dates&gt;&lt;year&gt;2024&lt;/year&gt;&lt;/dates&gt;&lt;pub-location&gt;Seattle, WA: Institute for Health Metrics and Evaluation&lt;/pub-location&gt;&lt;urls&gt;&lt;related-urls&gt;&lt;url&gt;vizhub.healthdata.org/gbd-results&lt;/url&gt;&lt;/related-urls&gt;&lt;/urls&gt;&lt;/record&gt;&lt;/Cite&gt;&lt;/EndNote&gt;</w:instrText>
      </w:r>
      <w:r>
        <w:fldChar w:fldCharType="separate"/>
      </w:r>
      <w:r>
        <w:rPr>
          <w:noProof/>
        </w:rPr>
        <w:t>(Institute for Health Metrics and Evaluation 2024b)</w:t>
      </w:r>
      <w:r>
        <w:fldChar w:fldCharType="end"/>
      </w:r>
      <w:r w:rsidRPr="00E47714">
        <w:t>.</w:t>
      </w:r>
    </w:p>
    <w:p w14:paraId="7B3C6934" w14:textId="77777777" w:rsidR="007C188A" w:rsidRPr="00E47714" w:rsidRDefault="007C188A" w:rsidP="00C66A54"/>
    <w:p w14:paraId="0A15150E" w14:textId="579CF244" w:rsidR="00C66A54" w:rsidRDefault="00C66A54" w:rsidP="00C66A54">
      <w:r w:rsidRPr="00E47714">
        <w:t>The W</w:t>
      </w:r>
      <w:r>
        <w:t>HO</w:t>
      </w:r>
      <w:r w:rsidRPr="00E47714">
        <w:t xml:space="preserve"> defines mental health </w:t>
      </w:r>
      <w:r>
        <w:t>as</w:t>
      </w:r>
      <w:r w:rsidRPr="00E47714">
        <w:t xml:space="preserve"> a state of mental wellbeing that enables people to cope with the stresses of life, realise their abilities, learn well and work well, and contribute to their community. Mental health is more than the absence of mental disorders</w:t>
      </w:r>
      <w:r>
        <w:t xml:space="preserve"> </w:t>
      </w:r>
      <w:r>
        <w:fldChar w:fldCharType="begin"/>
      </w:r>
      <w:r>
        <w:instrText xml:space="preserve"> ADDIN EN.CITE &lt;EndNote&gt;&lt;Cite&gt;&lt;Author&gt;WHO&lt;/Author&gt;&lt;Year&gt;2022&lt;/Year&gt;&lt;RecNum&gt;442&lt;/RecNum&gt;&lt;DisplayText&gt;(WHO 2022b)&lt;/DisplayText&gt;&lt;record&gt;&lt;rec-number&gt;442&lt;/rec-number&gt;&lt;foreign-keys&gt;&lt;key app="EN" db-id="aaepvppzs5wtfse95vsp2wahsrtvva2vvdet" timestamp="1716433472"&gt;442&lt;/key&gt;&lt;/foreign-keys&gt;&lt;ref-type name="Web Page"&gt;12&lt;/ref-type&gt;&lt;contributors&gt;&lt;authors&gt;&lt;author&gt;WHO&lt;/author&gt;&lt;/authors&gt;&lt;/contributors&gt;&lt;titles&gt;&lt;title&gt;Mental health&lt;/title&gt;&lt;/titles&gt;&lt;number&gt;23 May 2024&lt;/number&gt;&lt;dates&gt;&lt;year&gt;2022&lt;/year&gt;&lt;/dates&gt;&lt;urls&gt;&lt;related-urls&gt;&lt;url&gt;who.int/news-room/fact-sheets/detail/mental-health-strengthening-our-response&lt;/url&gt;&lt;/related-urls&gt;&lt;/urls&gt;&lt;/record&gt;&lt;/Cite&gt;&lt;/EndNote&gt;</w:instrText>
      </w:r>
      <w:r>
        <w:fldChar w:fldCharType="separate"/>
      </w:r>
      <w:r>
        <w:rPr>
          <w:noProof/>
        </w:rPr>
        <w:t>(WHO 2022b)</w:t>
      </w:r>
      <w:r>
        <w:fldChar w:fldCharType="end"/>
      </w:r>
      <w:r w:rsidRPr="00E47714">
        <w:t>.</w:t>
      </w:r>
    </w:p>
    <w:p w14:paraId="3B06F6A4" w14:textId="77777777" w:rsidR="007C188A" w:rsidRPr="00E47714" w:rsidRDefault="007C188A" w:rsidP="00C66A54"/>
    <w:p w14:paraId="65D56B4B" w14:textId="1530C68D" w:rsidR="00C66A54" w:rsidRDefault="00C66A54" w:rsidP="00C66A54">
      <w:r w:rsidRPr="00E47714">
        <w:t>According to the 2018 Government Inquiry into Mental Health and Addiction, 50–80% of New Zealanders will experience mental distress or addiction challenges</w:t>
      </w:r>
      <w:r>
        <w:t>,</w:t>
      </w:r>
      <w:r w:rsidRPr="00E47714">
        <w:t xml:space="preserve"> or both</w:t>
      </w:r>
      <w:r>
        <w:t>,</w:t>
      </w:r>
      <w:r w:rsidRPr="00E47714">
        <w:t xml:space="preserve"> in their lifetime, </w:t>
      </w:r>
      <w:r>
        <w:t>and</w:t>
      </w:r>
      <w:r w:rsidRPr="00E47714">
        <w:t xml:space="preserve"> some people </w:t>
      </w:r>
      <w:r>
        <w:t xml:space="preserve">are </w:t>
      </w:r>
      <w:r w:rsidRPr="00E47714">
        <w:t xml:space="preserve">at </w:t>
      </w:r>
      <w:r>
        <w:t xml:space="preserve">greater </w:t>
      </w:r>
      <w:r w:rsidRPr="00E47714">
        <w:t xml:space="preserve">risk. A range of social determinants </w:t>
      </w:r>
      <w:r>
        <w:t>increases the</w:t>
      </w:r>
      <w:r w:rsidRPr="00E47714">
        <w:t xml:space="preserve"> risk </w:t>
      </w:r>
      <w:r>
        <w:t xml:space="preserve">of </w:t>
      </w:r>
      <w:r w:rsidRPr="00E47714">
        <w:t>poor mental health: poverty, lack of affordable housing, unemployment and low-paid work, abuse and neglect, family violence and other trauma, loneliness, social isolation (especially in the elderly and rural populations) and, for Māori, deprivation and cultural alienation</w:t>
      </w:r>
      <w:r>
        <w:t xml:space="preserve"> </w:t>
      </w:r>
      <w:r>
        <w:fldChar w:fldCharType="begin"/>
      </w:r>
      <w:r>
        <w:instrText xml:space="preserve"> ADDIN EN.CITE &lt;EndNote&gt;&lt;Cite&gt;&lt;Author&gt;Mental Health and Addiction Inquiry&lt;/Author&gt;&lt;Year&gt;2018&lt;/Year&gt;&lt;RecNum&gt;443&lt;/RecNum&gt;&lt;DisplayText&gt;(Mental Health and Addiction Inquiry 2018)&lt;/DisplayText&gt;&lt;record&gt;&lt;rec-number&gt;443&lt;/rec-number&gt;&lt;foreign-keys&gt;&lt;key app="EN" db-id="aaepvppzs5wtfse95vsp2wahsrtvva2vvdet" timestamp="1716433814"&gt;443&lt;/key&gt;&lt;/foreign-keys&gt;&lt;ref-type name="Generic"&gt;13&lt;/ref-type&gt;&lt;contributors&gt;&lt;authors&gt;&lt;author&gt;Mental Health and Addiction Inquiry,&lt;/author&gt;&lt;/authors&gt;&lt;/contributors&gt;&lt;titles&gt;&lt;title&gt;He Ara Oranga: Report of the Government Inquiry into Mental Health and Addiction&lt;/title&gt;&lt;/titles&gt;&lt;dates&gt;&lt;year&gt;2018&lt;/year&gt;&lt;/dates&gt;&lt;publisher&gt;Mental Health and Addiction Inquiry&lt;/publisher&gt;&lt;urls&gt;&lt;/urls&gt;&lt;/record&gt;&lt;/Cite&gt;&lt;/EndNote&gt;</w:instrText>
      </w:r>
      <w:r>
        <w:fldChar w:fldCharType="separate"/>
      </w:r>
      <w:r>
        <w:rPr>
          <w:noProof/>
        </w:rPr>
        <w:t>(Mental Health and Addiction Inquiry 2018)</w:t>
      </w:r>
      <w:r>
        <w:fldChar w:fldCharType="end"/>
      </w:r>
      <w:r w:rsidRPr="00E47714">
        <w:t>.</w:t>
      </w:r>
    </w:p>
    <w:p w14:paraId="0B3DC1F4" w14:textId="77777777" w:rsidR="007C188A" w:rsidRPr="00E47714" w:rsidRDefault="007C188A" w:rsidP="00C66A54"/>
    <w:p w14:paraId="47820AE5" w14:textId="77777777" w:rsidR="00C66A54" w:rsidRPr="00E47714" w:rsidRDefault="00C66A54" w:rsidP="00C66A54">
      <w:pPr>
        <w:rPr>
          <w:rFonts w:cs="Segoe UI"/>
        </w:rPr>
      </w:pPr>
      <w:r w:rsidRPr="00E47714">
        <w:t xml:space="preserve">The New Zealand Health Survey included a module on mental health and problematic substance use in 2016/17, 2021/22 and 2022/23. </w:t>
      </w:r>
      <w:r>
        <w:t>Because</w:t>
      </w:r>
      <w:r w:rsidRPr="00E47714">
        <w:t xml:space="preserve"> sample sizes</w:t>
      </w:r>
      <w:r w:rsidRPr="002C60D4">
        <w:t xml:space="preserve"> </w:t>
      </w:r>
      <w:r>
        <w:t xml:space="preserve">were </w:t>
      </w:r>
      <w:r w:rsidRPr="00E47714">
        <w:t xml:space="preserve">smaller in 2021/22 and 2022/23, data from these years was pooled for the purpose of analysis. See the </w:t>
      </w:r>
      <w:hyperlink r:id="rId64" w:history="1">
        <w:r w:rsidRPr="00E47714">
          <w:rPr>
            <w:rStyle w:val="Hyperlink"/>
            <w:rFonts w:cs="Segoe UI"/>
          </w:rPr>
          <w:t>Mental Health and Problematic Substance Use Report 2021</w:t>
        </w:r>
        <w:r>
          <w:rPr>
            <w:rStyle w:val="Hyperlink"/>
            <w:rFonts w:cs="Segoe UI"/>
          </w:rPr>
          <w:t>–</w:t>
        </w:r>
        <w:r w:rsidRPr="00E47714">
          <w:rPr>
            <w:rStyle w:val="Hyperlink"/>
            <w:rFonts w:cs="Segoe UI"/>
          </w:rPr>
          <w:t>23: New Zealand Health Survey</w:t>
        </w:r>
      </w:hyperlink>
      <w:r>
        <w:rPr>
          <w:rStyle w:val="Hyperlink"/>
          <w:rFonts w:cs="Segoe UI"/>
        </w:rPr>
        <w:t xml:space="preserve"> </w:t>
      </w:r>
      <w:r w:rsidRPr="0075027F">
        <w:fldChar w:fldCharType="begin"/>
      </w:r>
      <w:r>
        <w:instrText xml:space="preserve"> ADDIN EN.CITE &lt;EndNote&gt;&lt;Cite&gt;&lt;Author&gt;Ministry of Health &lt;/Author&gt;&lt;Year&gt;2024&lt;/Year&gt;&lt;RecNum&gt;515&lt;/RecNum&gt;&lt;DisplayText&gt;(Ministry of Health 2024e)&lt;/DisplayText&gt;&lt;record&gt;&lt;rec-number&gt;515&lt;/rec-number&gt;&lt;foreign-keys&gt;&lt;key app="EN" db-id="aaepvppzs5wtfse95vsp2wahsrtvva2vvdet" timestamp="1717125797"&gt;515&lt;/key&gt;&lt;/foreign-keys&gt;&lt;ref-type name="Generic"&gt;13&lt;/ref-type&gt;&lt;contributors&gt;&lt;authors&gt;&lt;author&gt;Ministry of Health ,&lt;/author&gt;&lt;/authors&gt;&lt;/contributors&gt;&lt;titles&gt;&lt;title&gt;Mental Health and Problematic Substance Use Report 2021-23: New Zealand Health Survey&lt;/title&gt;&lt;/titles&gt;&lt;number&gt;June 10 2024&lt;/number&gt;&lt;dates&gt;&lt;year&gt;2024&lt;/year&gt;&lt;/dates&gt;&lt;pub-location&gt;Wellington&lt;/pub-location&gt;&lt;publisher&gt;Ministry of Health&lt;/publisher&gt;&lt;urls&gt;&lt;related-urls&gt;&lt;url&gt;health.govt.nz/publication/mental-health-and-problematic-substance-use&lt;/url&gt;&lt;/related-urls&gt;&lt;/urls&gt;&lt;/record&gt;&lt;/Cite&gt;&lt;/EndNote&gt;</w:instrText>
      </w:r>
      <w:r w:rsidRPr="0075027F">
        <w:fldChar w:fldCharType="separate"/>
      </w:r>
      <w:r w:rsidRPr="0075027F">
        <w:rPr>
          <w:noProof/>
        </w:rPr>
        <w:t>(Ministry of Health 2024e)</w:t>
      </w:r>
      <w:r w:rsidRPr="0075027F">
        <w:fldChar w:fldCharType="end"/>
      </w:r>
      <w:r>
        <w:t xml:space="preserve"> </w:t>
      </w:r>
      <w:r w:rsidRPr="00E47714">
        <w:t xml:space="preserve">and the </w:t>
      </w:r>
      <w:hyperlink r:id="rId65" w:history="1">
        <w:r w:rsidRPr="00E47714">
          <w:rPr>
            <w:rStyle w:val="Hyperlink"/>
            <w:rFonts w:cs="Segoe UI"/>
          </w:rPr>
          <w:t>Mental Health and Problematic Substance Use Data Explorer</w:t>
        </w:r>
      </w:hyperlink>
      <w:r w:rsidRPr="00E47714">
        <w:t xml:space="preserve"> </w:t>
      </w:r>
      <w:r>
        <w:fldChar w:fldCharType="begin"/>
      </w:r>
      <w:r>
        <w:instrText xml:space="preserve"> ADDIN EN.CITE &lt;EndNote&gt;&lt;Cite&gt;&lt;Author&gt;Ministry of Health &lt;/Author&gt;&lt;Year&gt;2024&lt;/Year&gt;&lt;RecNum&gt;516&lt;/RecNum&gt;&lt;DisplayText&gt;(Ministry of Health 2024d)&lt;/DisplayText&gt;&lt;record&gt;&lt;rec-number&gt;516&lt;/rec-number&gt;&lt;foreign-keys&gt;&lt;key app="EN" db-id="aaepvppzs5wtfse95vsp2wahsrtvva2vvdet" timestamp="1717126105"&gt;516&lt;/key&gt;&lt;/foreign-keys&gt;&lt;ref-type name="Web Page"&gt;12&lt;/ref-type&gt;&lt;contributors&gt;&lt;authors&gt;&lt;author&gt;Ministry of Health ,&lt;/author&gt;&lt;/authors&gt;&lt;/contributors&gt;&lt;titles&gt;&lt;title&gt;Mental Health and Problematic Substance Use Data Explorer&lt;/title&gt;&lt;/titles&gt;&lt;number&gt;10 June 2024&lt;/number&gt;&lt;dates&gt;&lt;year&gt;2024&lt;/year&gt;&lt;/dates&gt;&lt;urls&gt;&lt;related-urls&gt;&lt;url&gt;minhealthnz.shinyapps.io/nz-health-survey-2022-23-mental-health-data-explorer&lt;/url&gt;&lt;/related-urls&gt;&lt;/urls&gt;&lt;/record&gt;&lt;/Cite&gt;&lt;/EndNote&gt;</w:instrText>
      </w:r>
      <w:r>
        <w:fldChar w:fldCharType="separate"/>
      </w:r>
      <w:r>
        <w:rPr>
          <w:noProof/>
        </w:rPr>
        <w:t>(Ministry of Health 2024d)</w:t>
      </w:r>
      <w:r>
        <w:fldChar w:fldCharType="end"/>
      </w:r>
      <w:r>
        <w:t xml:space="preserve"> </w:t>
      </w:r>
      <w:r w:rsidRPr="00E47714">
        <w:t>for details.</w:t>
      </w:r>
    </w:p>
    <w:p w14:paraId="62E8DFC3" w14:textId="77777777" w:rsidR="00C66A54" w:rsidRPr="00E47714" w:rsidRDefault="00C66A54" w:rsidP="00C66A54">
      <w:pPr>
        <w:pStyle w:val="Heading3"/>
      </w:pPr>
      <w:r w:rsidRPr="00E47714">
        <w:t>Anxiety and depression symptoms</w:t>
      </w:r>
    </w:p>
    <w:p w14:paraId="1ADD1D40" w14:textId="5B465FFE" w:rsidR="00C66A54" w:rsidRDefault="00C66A54" w:rsidP="00C66A54">
      <w:r>
        <w:t>T</w:t>
      </w:r>
      <w:r w:rsidRPr="00E47714">
        <w:t>he Health Survey</w:t>
      </w:r>
      <w:r>
        <w:t xml:space="preserve"> assesses</w:t>
      </w:r>
      <w:r w:rsidRPr="00E47714">
        <w:t xml:space="preserve"> anxiety and depression for adults using the Generalized Anxiety Disorder scale and Patient Health Questionnaire. </w:t>
      </w:r>
      <w:r>
        <w:t>In addition to assessing each condition individually, it produces a</w:t>
      </w:r>
      <w:r w:rsidRPr="00E47714">
        <w:t xml:space="preserve"> composite measure of anxiety and/or depression symptoms based on the individual’s severity scores from both questionnaires. </w:t>
      </w:r>
    </w:p>
    <w:p w14:paraId="35DD6F83" w14:textId="77777777" w:rsidR="007C188A" w:rsidRPr="00E47714" w:rsidRDefault="007C188A" w:rsidP="00C66A54"/>
    <w:p w14:paraId="2FB7D8D2" w14:textId="0B0BBF12" w:rsidR="00C66A54" w:rsidRDefault="00C66A54" w:rsidP="00C66A54">
      <w:r w:rsidRPr="00E47714">
        <w:t>In 2021–</w:t>
      </w:r>
      <w:r>
        <w:t>20</w:t>
      </w:r>
      <w:r w:rsidRPr="00E47714">
        <w:t xml:space="preserve">23, in the two weeks before participating in the survey, 26.6% of adults experienced mild or greater symptoms of anxiety and 29.0% of adults experienced mild or greater symptoms of depression. </w:t>
      </w:r>
      <w:r>
        <w:t>The</w:t>
      </w:r>
      <w:r w:rsidRPr="00E47714">
        <w:t xml:space="preserve"> prevalence </w:t>
      </w:r>
      <w:r>
        <w:t xml:space="preserve">of each condition </w:t>
      </w:r>
      <w:r w:rsidRPr="00E47714">
        <w:t>ha</w:t>
      </w:r>
      <w:r>
        <w:t>s</w:t>
      </w:r>
      <w:r w:rsidRPr="00E47714">
        <w:t xml:space="preserve"> increased since 2016/17 (</w:t>
      </w:r>
      <w:r>
        <w:t>when</w:t>
      </w:r>
      <w:r w:rsidRPr="00E47714">
        <w:t xml:space="preserve"> 18.5%</w:t>
      </w:r>
      <w:r>
        <w:t xml:space="preserve"> of adults experienced </w:t>
      </w:r>
      <w:r w:rsidRPr="00E47714">
        <w:t>anxiety</w:t>
      </w:r>
      <w:r>
        <w:t xml:space="preserve"> and </w:t>
      </w:r>
      <w:r w:rsidRPr="00E47714">
        <w:t xml:space="preserve">19.9% </w:t>
      </w:r>
      <w:r>
        <w:t xml:space="preserve">experienced </w:t>
      </w:r>
      <w:r w:rsidRPr="00E47714">
        <w:t>depression).</w:t>
      </w:r>
    </w:p>
    <w:p w14:paraId="5CADDE25" w14:textId="77777777" w:rsidR="007C188A" w:rsidRPr="00E47714" w:rsidRDefault="007C188A" w:rsidP="00C66A54"/>
    <w:p w14:paraId="3B05CF73" w14:textId="77777777" w:rsidR="00C66A54" w:rsidRPr="00E47714" w:rsidRDefault="00C66A54" w:rsidP="00C66A54">
      <w:r w:rsidRPr="00E47714">
        <w:t xml:space="preserve">Anxiety and depression often co-occur </w:t>
      </w:r>
      <w:r>
        <w:fldChar w:fldCharType="begin"/>
      </w:r>
      <w:r>
        <w:instrText xml:space="preserve"> ADDIN EN.CITE &lt;EndNote&gt;&lt;Cite&gt;&lt;Author&gt;Kalin N H&lt;/Author&gt;&lt;Year&gt;2020&lt;/Year&gt;&lt;RecNum&gt;539&lt;/RecNum&gt;&lt;DisplayText&gt;(Kalin N H 2020)&lt;/DisplayText&gt;&lt;record&gt;&lt;rec-number&gt;539&lt;/rec-number&gt;&lt;foreign-keys&gt;&lt;key app="EN" db-id="aaepvppzs5wtfse95vsp2wahsrtvva2vvdet" timestamp="1719366936"&gt;539&lt;/key&gt;&lt;/foreign-keys&gt;&lt;ref-type name="Generic"&gt;13&lt;/ref-type&gt;&lt;contributors&gt;&lt;authors&gt;&lt;author&gt;Kalin N H,&lt;/author&gt;&lt;/authors&gt;&lt;/contributors&gt;&lt;titles&gt;&lt;title&gt;The critical relationship between anxiety and depression&lt;/title&gt;&lt;/titles&gt;&lt;pages&gt;365-367&lt;/pages&gt;&lt;volume&gt;177&lt;/volume&gt;&lt;number&gt;5&lt;/number&gt;&lt;dates&gt;&lt;year&gt;2020&lt;/year&gt;&lt;/dates&gt;&lt;publisher&gt;American Journal of Psychiatry&lt;/publisher&gt;&lt;isbn&gt;0002-953X&lt;/isbn&gt;&lt;urls&gt;&lt;/urls&gt;&lt;/record&gt;&lt;/Cite&gt;&lt;/EndNote&gt;</w:instrText>
      </w:r>
      <w:r>
        <w:fldChar w:fldCharType="separate"/>
      </w:r>
      <w:r>
        <w:rPr>
          <w:noProof/>
        </w:rPr>
        <w:t>(Kalin N H 2020)</w:t>
      </w:r>
      <w:r>
        <w:fldChar w:fldCharType="end"/>
      </w:r>
      <w:r w:rsidRPr="00E47714">
        <w:t>. In 2021–</w:t>
      </w:r>
      <w:r>
        <w:t>20</w:t>
      </w:r>
      <w:r w:rsidRPr="00E47714">
        <w:t>23, 34.8% of adults experienced mild or greater symptoms of anxiety and/or</w:t>
      </w:r>
      <w:r w:rsidRPr="00E47714">
        <w:rPr>
          <w:b/>
          <w:bCs/>
        </w:rPr>
        <w:t xml:space="preserve"> </w:t>
      </w:r>
      <w:r w:rsidRPr="00E47714">
        <w:t xml:space="preserve">depression in the two weeks before participating in the survey. This is an increase from 25.0% in 2016/17. </w:t>
      </w:r>
    </w:p>
    <w:p w14:paraId="68F43C7A" w14:textId="77777777" w:rsidR="00C66A54" w:rsidRPr="00E47714" w:rsidRDefault="00C66A54" w:rsidP="00C66A54">
      <w:pPr>
        <w:rPr>
          <w:rFonts w:cs="Segoe UI"/>
        </w:rPr>
      </w:pPr>
      <w:r>
        <w:lastRenderedPageBreak/>
        <w:t>Among</w:t>
      </w:r>
      <w:r w:rsidRPr="00E47714">
        <w:t xml:space="preserve"> disabled adults, 61.5% experienced mild or greater symptoms of anxiety and/or depression in the two weeks before participating in the survey, compared </w:t>
      </w:r>
      <w:r>
        <w:t>with</w:t>
      </w:r>
      <w:r w:rsidRPr="00E47714">
        <w:t xml:space="preserve"> 32.2% </w:t>
      </w:r>
      <w:r>
        <w:t>of</w:t>
      </w:r>
      <w:r w:rsidRPr="00E47714">
        <w:t xml:space="preserve"> non-disabled adults </w:t>
      </w:r>
      <w:r>
        <w:fldChar w:fldCharType="begin"/>
      </w:r>
      <w:r>
        <w:instrText xml:space="preserve"> ADDIN EN.CITE &lt;EndNote&gt;&lt;Cite&gt;&lt;Author&gt;Ministry of Health &lt;/Author&gt;&lt;Year&gt;2024&lt;/Year&gt;&lt;RecNum&gt;516&lt;/RecNum&gt;&lt;DisplayText&gt;(Ministry of Health 2024d)&lt;/DisplayText&gt;&lt;record&gt;&lt;rec-number&gt;516&lt;/rec-number&gt;&lt;foreign-keys&gt;&lt;key app="EN" db-id="aaepvppzs5wtfse95vsp2wahsrtvva2vvdet" timestamp="1717126105"&gt;516&lt;/key&gt;&lt;/foreign-keys&gt;&lt;ref-type name="Web Page"&gt;12&lt;/ref-type&gt;&lt;contributors&gt;&lt;authors&gt;&lt;author&gt;Ministry of Health ,&lt;/author&gt;&lt;/authors&gt;&lt;/contributors&gt;&lt;titles&gt;&lt;title&gt;Mental Health and Problematic Substance Use Data Explorer&lt;/title&gt;&lt;/titles&gt;&lt;number&gt;10 June 2024&lt;/number&gt;&lt;dates&gt;&lt;year&gt;2024&lt;/year&gt;&lt;/dates&gt;&lt;urls&gt;&lt;related-urls&gt;&lt;url&gt;minhealthnz.shinyapps.io/nz-health-survey-2022-23-mental-health-data-explorer&lt;/url&gt;&lt;/related-urls&gt;&lt;/urls&gt;&lt;/record&gt;&lt;/Cite&gt;&lt;/EndNote&gt;</w:instrText>
      </w:r>
      <w:r>
        <w:fldChar w:fldCharType="separate"/>
      </w:r>
      <w:r>
        <w:rPr>
          <w:noProof/>
        </w:rPr>
        <w:t>(Ministry of Health 2024d)</w:t>
      </w:r>
      <w:r>
        <w:fldChar w:fldCharType="end"/>
      </w:r>
      <w:r w:rsidRPr="00E47714">
        <w:t xml:space="preserve">. </w:t>
      </w:r>
    </w:p>
    <w:p w14:paraId="7CC0FC05" w14:textId="77777777" w:rsidR="00C66A54" w:rsidRPr="00E47714" w:rsidRDefault="00C66A54" w:rsidP="00C66A54">
      <w:pPr>
        <w:pStyle w:val="Heading3"/>
      </w:pPr>
      <w:r w:rsidRPr="00E47714">
        <w:t>Problematic substance use</w:t>
      </w:r>
    </w:p>
    <w:p w14:paraId="129134A5" w14:textId="15300BA8" w:rsidR="00C66A54" w:rsidRDefault="00C66A54" w:rsidP="00C66A54">
      <w:r>
        <w:t>The Health Survey assessed an individual’s r</w:t>
      </w:r>
      <w:r w:rsidRPr="00E47714">
        <w:t xml:space="preserve">isk of problematic substance use </w:t>
      </w:r>
      <w:r>
        <w:t>with</w:t>
      </w:r>
      <w:r w:rsidRPr="00E47714">
        <w:t xml:space="preserve"> the W</w:t>
      </w:r>
      <w:r>
        <w:t>HO</w:t>
      </w:r>
      <w:r w:rsidRPr="00E47714">
        <w:t xml:space="preserve">’s Alcohol, Smoking and Substance Involvement Screening Test (ASSIST). </w:t>
      </w:r>
    </w:p>
    <w:p w14:paraId="6F3BFA2E" w14:textId="77777777" w:rsidR="007C188A" w:rsidRPr="00E47714" w:rsidRDefault="007C188A" w:rsidP="00C66A54"/>
    <w:p w14:paraId="679D55E9" w14:textId="77777777" w:rsidR="00C66A54" w:rsidRPr="00E47714" w:rsidRDefault="00C66A54" w:rsidP="00C66A54">
      <w:pPr>
        <w:rPr>
          <w:rFonts w:cs="Segoe UI"/>
        </w:rPr>
      </w:pPr>
      <w:r w:rsidRPr="00E47714">
        <w:rPr>
          <w:rStyle w:val="cf01"/>
          <w:sz w:val="22"/>
          <w:szCs w:val="22"/>
        </w:rPr>
        <w:t>The prevalence of moderate or high risk of problematic substance use (</w:t>
      </w:r>
      <w:r w:rsidRPr="00E47714">
        <w:t>across all substances, including tobacco, alcohol</w:t>
      </w:r>
      <w:r>
        <w:t>,</w:t>
      </w:r>
      <w:r w:rsidRPr="00E47714">
        <w:t xml:space="preserve"> and illicit substances)</w:t>
      </w:r>
      <w:r w:rsidRPr="00E47714">
        <w:rPr>
          <w:rStyle w:val="cf01"/>
          <w:sz w:val="22"/>
          <w:szCs w:val="22"/>
        </w:rPr>
        <w:t xml:space="preserve"> decreased between 2016/17 and 2021–</w:t>
      </w:r>
      <w:r>
        <w:rPr>
          <w:rStyle w:val="cf01"/>
          <w:sz w:val="22"/>
          <w:szCs w:val="22"/>
        </w:rPr>
        <w:t>20</w:t>
      </w:r>
      <w:r w:rsidRPr="00E47714">
        <w:rPr>
          <w:rStyle w:val="cf01"/>
          <w:sz w:val="22"/>
          <w:szCs w:val="22"/>
        </w:rPr>
        <w:t>23 (from 32.6% to 27.0%). Th</w:t>
      </w:r>
      <w:r>
        <w:rPr>
          <w:rStyle w:val="cf01"/>
          <w:sz w:val="22"/>
          <w:szCs w:val="22"/>
        </w:rPr>
        <w:t>e main changes contributing to that decrease</w:t>
      </w:r>
      <w:r w:rsidRPr="00E47714">
        <w:rPr>
          <w:rStyle w:val="cf01"/>
          <w:sz w:val="22"/>
          <w:szCs w:val="22"/>
        </w:rPr>
        <w:t xml:space="preserve"> </w:t>
      </w:r>
      <w:r>
        <w:rPr>
          <w:rStyle w:val="cf01"/>
          <w:sz w:val="22"/>
          <w:szCs w:val="22"/>
        </w:rPr>
        <w:t xml:space="preserve">were </w:t>
      </w:r>
      <w:r w:rsidRPr="00E47714">
        <w:rPr>
          <w:rStyle w:val="cf01"/>
          <w:sz w:val="22"/>
          <w:szCs w:val="22"/>
        </w:rPr>
        <w:t>a decreased risk of moderate or high problematic use of both tobacco and alcohol between 2016/17 and 2021–</w:t>
      </w:r>
      <w:r>
        <w:rPr>
          <w:rStyle w:val="cf01"/>
          <w:sz w:val="22"/>
          <w:szCs w:val="22"/>
        </w:rPr>
        <w:t>20</w:t>
      </w:r>
      <w:r w:rsidRPr="00E47714">
        <w:rPr>
          <w:rStyle w:val="cf01"/>
          <w:sz w:val="22"/>
          <w:szCs w:val="22"/>
        </w:rPr>
        <w:t>23 (</w:t>
      </w:r>
      <w:r>
        <w:rPr>
          <w:rStyle w:val="cf01"/>
          <w:sz w:val="22"/>
          <w:szCs w:val="22"/>
        </w:rPr>
        <w:t xml:space="preserve">falling </w:t>
      </w:r>
      <w:r w:rsidRPr="00E47714">
        <w:rPr>
          <w:rStyle w:val="cf01"/>
          <w:sz w:val="22"/>
          <w:szCs w:val="22"/>
        </w:rPr>
        <w:t>from 20.7% to 14.6% for tobacco and 15.8% to 13.0% for alcohol). However, the prevalence of moderate or high risk of problematic use of illicit substances increased over the same period (from 10.1% to 11.2%).</w:t>
      </w:r>
    </w:p>
    <w:p w14:paraId="19F5BFC9" w14:textId="77777777" w:rsidR="00C66A54" w:rsidRPr="00E47714" w:rsidRDefault="00C66A54" w:rsidP="00C66A54">
      <w:pPr>
        <w:pStyle w:val="Heading3"/>
      </w:pPr>
      <w:r w:rsidRPr="00E47714">
        <w:t>Emotional and/or behavioural problems (children)</w:t>
      </w:r>
    </w:p>
    <w:p w14:paraId="03CB4A54" w14:textId="6AF9A1DB" w:rsidR="00C66A54" w:rsidRDefault="00C66A54" w:rsidP="00C66A54">
      <w:r w:rsidRPr="00E47714">
        <w:t xml:space="preserve">In the Health Survey, child respondents (aged 2–14 years) are categorised as being ‘likely to have emotional and/or behavioural problems’ if they have a ‘total difficulties’ score of 16 or more for ages 2–4 years, </w:t>
      </w:r>
      <w:r>
        <w:t>or a score of</w:t>
      </w:r>
      <w:r w:rsidRPr="00E47714">
        <w:t xml:space="preserve"> 17 or more for ages 5–14 years on the Strengths and Difficulties Questionnaire (SDQ). These scores indicate a risk of experiencing substantial difficulties in the </w:t>
      </w:r>
      <w:r>
        <w:t>four</w:t>
      </w:r>
      <w:r w:rsidRPr="00E47714">
        <w:t xml:space="preserve"> aspects of development (subscales): </w:t>
      </w:r>
      <w:r>
        <w:t>e</w:t>
      </w:r>
      <w:r w:rsidRPr="00E47714">
        <w:t xml:space="preserve">motional symptoms, </w:t>
      </w:r>
      <w:r>
        <w:t>c</w:t>
      </w:r>
      <w:r w:rsidRPr="00E47714">
        <w:t xml:space="preserve">onduct problems, </w:t>
      </w:r>
      <w:r>
        <w:t>h</w:t>
      </w:r>
      <w:r w:rsidRPr="00E47714">
        <w:t>yperactivity</w:t>
      </w:r>
      <w:r>
        <w:t xml:space="preserve"> and</w:t>
      </w:r>
      <w:r w:rsidRPr="00E47714">
        <w:t xml:space="preserve"> </w:t>
      </w:r>
      <w:r>
        <w:t>p</w:t>
      </w:r>
      <w:r w:rsidRPr="00E47714">
        <w:t>eer problems.</w:t>
      </w:r>
    </w:p>
    <w:p w14:paraId="05C3452D" w14:textId="77777777" w:rsidR="007C188A" w:rsidRPr="00E47714" w:rsidRDefault="007C188A" w:rsidP="00C66A54"/>
    <w:p w14:paraId="28EF36DC" w14:textId="77777777" w:rsidR="00C66A54" w:rsidRPr="00E47714" w:rsidRDefault="00C66A54" w:rsidP="00C66A54">
      <w:r w:rsidRPr="00E47714">
        <w:t>In 2021–</w:t>
      </w:r>
      <w:r>
        <w:t>20</w:t>
      </w:r>
      <w:r w:rsidRPr="00E47714">
        <w:t>23, 10.3% of children (aged 2–14 years) have emotional and/or behavioural problems</w:t>
      </w:r>
      <w:r>
        <w:t>.</w:t>
      </w:r>
      <w:r w:rsidRPr="00E47714">
        <w:t xml:space="preserve"> This rate has increased since 2016/17 (</w:t>
      </w:r>
      <w:r>
        <w:t xml:space="preserve">when it was </w:t>
      </w:r>
      <w:r w:rsidRPr="00E47714">
        <w:t>9.0%). Rates of emotional and/or behavioural problems differed by population group</w:t>
      </w:r>
      <w:r>
        <w:t>, as the following findings f</w:t>
      </w:r>
      <w:r w:rsidRPr="00E47714">
        <w:t>or 2021–</w:t>
      </w:r>
      <w:r>
        <w:t>20</w:t>
      </w:r>
      <w:r w:rsidRPr="00E47714">
        <w:t>23</w:t>
      </w:r>
      <w:r>
        <w:t xml:space="preserve"> indicate.</w:t>
      </w:r>
    </w:p>
    <w:p w14:paraId="7C184E31" w14:textId="77777777" w:rsidR="00C66A54" w:rsidRPr="00E47714" w:rsidRDefault="00C66A54" w:rsidP="007C188A">
      <w:pPr>
        <w:pStyle w:val="Bullet"/>
      </w:pPr>
      <w:r w:rsidRPr="00E47714">
        <w:t>The rate of emotional and/or behavioural problems</w:t>
      </w:r>
      <w:r w:rsidRPr="00DE6160">
        <w:t xml:space="preserve"> </w:t>
      </w:r>
      <w:r w:rsidRPr="00E47714">
        <w:t>was higher for boys (12.2%) than for girls (8.3%).</w:t>
      </w:r>
    </w:p>
    <w:p w14:paraId="4B7C9773" w14:textId="77777777" w:rsidR="00C66A54" w:rsidRPr="00E47714" w:rsidRDefault="00C66A54" w:rsidP="007C188A">
      <w:pPr>
        <w:pStyle w:val="Bullet"/>
      </w:pPr>
      <w:r w:rsidRPr="00E47714">
        <w:t>By ethnic group, the highest rate</w:t>
      </w:r>
      <w:r w:rsidRPr="00DE6160">
        <w:t xml:space="preserve"> </w:t>
      </w:r>
      <w:r w:rsidRPr="00E47714">
        <w:t>of emotional and/or behavioural problems was recorded for Māori children (14.2%)</w:t>
      </w:r>
      <w:r>
        <w:t xml:space="preserve"> and the second highest for</w:t>
      </w:r>
      <w:r w:rsidRPr="00E47714">
        <w:t xml:space="preserve"> Pacific children (12.0%). The rate was lower for Asian children (6.6%) and for European/other children (10.2%). </w:t>
      </w:r>
    </w:p>
    <w:p w14:paraId="05CAF51E" w14:textId="77777777" w:rsidR="00C66A54" w:rsidRPr="00C27D2B" w:rsidRDefault="00C66A54" w:rsidP="007C188A">
      <w:pPr>
        <w:pStyle w:val="Bullet"/>
      </w:pPr>
      <w:r w:rsidRPr="00C27D2B">
        <w:t>Children living in the most deprived neighbourhoods (13.9%) had higher rates</w:t>
      </w:r>
      <w:r w:rsidRPr="00DE6160">
        <w:t xml:space="preserve"> </w:t>
      </w:r>
      <w:r w:rsidRPr="00E47714">
        <w:t>of emotional and/or behavioural problems</w:t>
      </w:r>
      <w:r w:rsidRPr="00C27D2B">
        <w:t xml:space="preserve"> than children living in the least deprived neighbourhoods (9.0%) </w:t>
      </w:r>
      <w:r>
        <w:fldChar w:fldCharType="begin"/>
      </w:r>
      <w:r>
        <w:instrText xml:space="preserve"> ADDIN EN.CITE &lt;EndNote&gt;&lt;Cite&gt;&lt;Author&gt;Ministry of Health &lt;/Author&gt;&lt;Year&gt;2024&lt;/Year&gt;&lt;RecNum&gt;516&lt;/RecNum&gt;&lt;DisplayText&gt;(Ministry of Health 2024d)&lt;/DisplayText&gt;&lt;record&gt;&lt;rec-number&gt;516&lt;/rec-number&gt;&lt;foreign-keys&gt;&lt;key app="EN" db-id="aaepvppzs5wtfse95vsp2wahsrtvva2vvdet" timestamp="1717126105"&gt;516&lt;/key&gt;&lt;/foreign-keys&gt;&lt;ref-type name="Web Page"&gt;12&lt;/ref-type&gt;&lt;contributors&gt;&lt;authors&gt;&lt;author&gt;Ministry of Health ,&lt;/author&gt;&lt;/authors&gt;&lt;/contributors&gt;&lt;titles&gt;&lt;title&gt;Mental Health and Problematic Substance Use Data Explorer&lt;/title&gt;&lt;/titles&gt;&lt;number&gt;10 June 2024&lt;/number&gt;&lt;dates&gt;&lt;year&gt;2024&lt;/year&gt;&lt;/dates&gt;&lt;urls&gt;&lt;related-urls&gt;&lt;url&gt;minhealthnz.shinyapps.io/nz-health-survey-2022-23-mental-health-data-explorer&lt;/url&gt;&lt;/related-urls&gt;&lt;/urls&gt;&lt;/record&gt;&lt;/Cite&gt;&lt;/EndNote&gt;</w:instrText>
      </w:r>
      <w:r>
        <w:fldChar w:fldCharType="separate"/>
      </w:r>
      <w:r>
        <w:rPr>
          <w:noProof/>
        </w:rPr>
        <w:t>(Ministry of Health 2024d)</w:t>
      </w:r>
      <w:r>
        <w:fldChar w:fldCharType="end"/>
      </w:r>
      <w:r w:rsidRPr="00C27D2B">
        <w:t>.</w:t>
      </w:r>
    </w:p>
    <w:p w14:paraId="562A274F" w14:textId="77777777" w:rsidR="00C66A54" w:rsidRPr="00E47714" w:rsidRDefault="00C66A54" w:rsidP="00C66A54">
      <w:pPr>
        <w:pStyle w:val="Heading3"/>
      </w:pPr>
      <w:r w:rsidRPr="00E47714">
        <w:t>Service use and support</w:t>
      </w:r>
    </w:p>
    <w:p w14:paraId="2A32F05F" w14:textId="2F417124" w:rsidR="00C66A54" w:rsidRDefault="00C66A54" w:rsidP="00C66A54">
      <w:r w:rsidRPr="00E47714">
        <w:t>In 2021–</w:t>
      </w:r>
      <w:r>
        <w:t>20</w:t>
      </w:r>
      <w:r w:rsidRPr="00E47714">
        <w:t>23, 41.1% of adults used some type of service or support for concerns about their emotions, stress, mental health</w:t>
      </w:r>
      <w:r>
        <w:t>,</w:t>
      </w:r>
      <w:r w:rsidRPr="00E47714">
        <w:t xml:space="preserve"> or substance use in the 12 months before they completed the Health Survey </w:t>
      </w:r>
      <w:r>
        <w:fldChar w:fldCharType="begin"/>
      </w:r>
      <w:r>
        <w:instrText xml:space="preserve"> ADDIN EN.CITE &lt;EndNote&gt;&lt;Cite&gt;&lt;Author&gt;Ministry of Health &lt;/Author&gt;&lt;Year&gt;2024&lt;/Year&gt;&lt;RecNum&gt;516&lt;/RecNum&gt;&lt;DisplayText&gt;(Ministry of Health 2024d)&lt;/DisplayText&gt;&lt;record&gt;&lt;rec-number&gt;516&lt;/rec-number&gt;&lt;foreign-keys&gt;&lt;key app="EN" db-id="aaepvppzs5wtfse95vsp2wahsrtvva2vvdet" timestamp="1717126105"&gt;516&lt;/key&gt;&lt;/foreign-keys&gt;&lt;ref-type name="Web Page"&gt;12&lt;/ref-type&gt;&lt;contributors&gt;&lt;authors&gt;&lt;author&gt;Ministry of Health ,&lt;/author&gt;&lt;/authors&gt;&lt;/contributors&gt;&lt;titles&gt;&lt;title&gt;Mental Health and Problematic Substance Use Data Explorer&lt;/title&gt;&lt;/titles&gt;&lt;number&gt;10 June 2024&lt;/number&gt;&lt;dates&gt;&lt;year&gt;2024&lt;/year&gt;&lt;/dates&gt;&lt;urls&gt;&lt;related-urls&gt;&lt;url&gt;minhealthnz.shinyapps.io/nz-health-survey-2022-23-mental-health-data-explorer&lt;/url&gt;&lt;/related-urls&gt;&lt;/urls&gt;&lt;/record&gt;&lt;/Cite&gt;&lt;/EndNote&gt;</w:instrText>
      </w:r>
      <w:r>
        <w:fldChar w:fldCharType="separate"/>
      </w:r>
      <w:r>
        <w:rPr>
          <w:noProof/>
        </w:rPr>
        <w:t>(Ministry of Health 2024d)</w:t>
      </w:r>
      <w:r>
        <w:fldChar w:fldCharType="end"/>
      </w:r>
      <w:r w:rsidRPr="00E47714">
        <w:t xml:space="preserve">. This is an increase from 35.3% </w:t>
      </w:r>
      <w:r w:rsidRPr="00E47714">
        <w:lastRenderedPageBreak/>
        <w:t>in 2016/17</w:t>
      </w:r>
      <w:r>
        <w:t>.</w:t>
      </w:r>
      <w:r w:rsidRPr="00E47714">
        <w:t xml:space="preserve"> </w:t>
      </w:r>
      <w:r>
        <w:t>In contrast,</w:t>
      </w:r>
      <w:r w:rsidRPr="00E47714">
        <w:t xml:space="preserve"> child access remained relatively unchanged (2016/17: 29.0%</w:t>
      </w:r>
      <w:r>
        <w:t>;</w:t>
      </w:r>
      <w:r w:rsidRPr="00E47714">
        <w:t xml:space="preserve"> 2021–</w:t>
      </w:r>
      <w:r>
        <w:t>20</w:t>
      </w:r>
      <w:r w:rsidRPr="00E47714">
        <w:t xml:space="preserve">23: 28.8%). </w:t>
      </w:r>
    </w:p>
    <w:p w14:paraId="7C9E48D7" w14:textId="77777777" w:rsidR="007C188A" w:rsidRPr="00E47714" w:rsidRDefault="007C188A" w:rsidP="00C66A54"/>
    <w:p w14:paraId="7F3C2AD9" w14:textId="77777777" w:rsidR="00C66A54" w:rsidRPr="00E47714" w:rsidRDefault="00C66A54" w:rsidP="00C66A54">
      <w:pPr>
        <w:rPr>
          <w:rFonts w:cs="Segoe UI"/>
        </w:rPr>
      </w:pPr>
      <w:r w:rsidRPr="00E47714">
        <w:t>The most common service or support</w:t>
      </w:r>
      <w:r w:rsidRPr="00C27D2B">
        <w:t xml:space="preserve"> </w:t>
      </w:r>
      <w:r w:rsidRPr="00E47714">
        <w:t>both adults and children used in 2021–</w:t>
      </w:r>
      <w:r>
        <w:t>20</w:t>
      </w:r>
      <w:r w:rsidRPr="00E47714">
        <w:t xml:space="preserve">23 was complementary and/or alternative therapy (which includes, but is not limited to, massage, exercise or movement therapy, herbal medicine, </w:t>
      </w:r>
      <w:proofErr w:type="spellStart"/>
      <w:r w:rsidRPr="00E47714">
        <w:t>rongoā</w:t>
      </w:r>
      <w:proofErr w:type="spellEnd"/>
      <w:r w:rsidRPr="00E47714">
        <w:t xml:space="preserve"> Māori, mirimiri or other traditional Māori healing, and traditional Pacific healing). Help from the primary sector (which includes general practitioners (GPs), nurses</w:t>
      </w:r>
      <w:r>
        <w:t>,</w:t>
      </w:r>
      <w:r w:rsidRPr="00E47714">
        <w:t xml:space="preserve"> and medication</w:t>
      </w:r>
      <w:r>
        <w:t xml:space="preserve"> for emotion, stress, mental health, or substance use</w:t>
      </w:r>
      <w:r w:rsidRPr="00E47714">
        <w:t xml:space="preserve">) was the second most common type of service and support. </w:t>
      </w:r>
    </w:p>
    <w:p w14:paraId="4244CBD4" w14:textId="77777777" w:rsidR="00C66A54" w:rsidRPr="00E47714" w:rsidRDefault="00C66A54" w:rsidP="00C66A54">
      <w:pPr>
        <w:pStyle w:val="Heading3"/>
      </w:pPr>
      <w:r w:rsidRPr="00E47714">
        <w:t xml:space="preserve">Unmet need for professional help for mental health </w:t>
      </w:r>
    </w:p>
    <w:p w14:paraId="644C6DBD" w14:textId="5F5D6D58" w:rsidR="00C66A54" w:rsidRDefault="00C66A54" w:rsidP="00C66A54">
      <w:r>
        <w:t>Having an u</w:t>
      </w:r>
      <w:r w:rsidRPr="00E47714">
        <w:t xml:space="preserve">nmet need mental health or addiction services is defined as </w:t>
      </w:r>
      <w:r>
        <w:t xml:space="preserve">where an individual </w:t>
      </w:r>
      <w:r w:rsidRPr="00E47714">
        <w:t>feel</w:t>
      </w:r>
      <w:r>
        <w:t>s</w:t>
      </w:r>
      <w:r w:rsidRPr="00E47714">
        <w:t xml:space="preserve"> like </w:t>
      </w:r>
      <w:r>
        <w:t xml:space="preserve">they </w:t>
      </w:r>
      <w:r w:rsidRPr="00E47714">
        <w:t xml:space="preserve">need professional help </w:t>
      </w:r>
      <w:r>
        <w:t>with</w:t>
      </w:r>
      <w:r w:rsidRPr="00E47714">
        <w:t xml:space="preserve"> emotions, stress, mental health or substance use in the past 12 months but </w:t>
      </w:r>
      <w:r>
        <w:t xml:space="preserve">does </w:t>
      </w:r>
      <w:r w:rsidRPr="00E47714">
        <w:t>not receiv</w:t>
      </w:r>
      <w:r>
        <w:t>e</w:t>
      </w:r>
      <w:r w:rsidRPr="00E47714">
        <w:t xml:space="preserve"> that help. </w:t>
      </w:r>
      <w:r>
        <w:t>P</w:t>
      </w:r>
      <w:r w:rsidRPr="00E47714">
        <w:t xml:space="preserve">ossible reasons for not accessing mental health and addiction services include wanting to handle </w:t>
      </w:r>
      <w:r>
        <w:t>the issue</w:t>
      </w:r>
      <w:r w:rsidRPr="00E47714">
        <w:t xml:space="preserve"> alone and/or with the support of family, whānau and friends, costs of services, and time taken to get an appointment </w:t>
      </w:r>
      <w:r>
        <w:fldChar w:fldCharType="begin"/>
      </w:r>
      <w:r>
        <w:instrText xml:space="preserve"> ADDIN EN.CITE &lt;EndNote&gt;&lt;Cite&gt;&lt;Author&gt;Ministry of Health &lt;/Author&gt;&lt;Year&gt;2024&lt;/Year&gt;&lt;RecNum&gt;516&lt;/RecNum&gt;&lt;DisplayText&gt;(Ministry of Health 2024d)&lt;/DisplayText&gt;&lt;record&gt;&lt;rec-number&gt;516&lt;/rec-number&gt;&lt;foreign-keys&gt;&lt;key app="EN" db-id="aaepvppzs5wtfse95vsp2wahsrtvva2vvdet" timestamp="1717126105"&gt;516&lt;/key&gt;&lt;/foreign-keys&gt;&lt;ref-type name="Web Page"&gt;12&lt;/ref-type&gt;&lt;contributors&gt;&lt;authors&gt;&lt;author&gt;Ministry of Health ,&lt;/author&gt;&lt;/authors&gt;&lt;/contributors&gt;&lt;titles&gt;&lt;title&gt;Mental Health and Problematic Substance Use Data Explorer&lt;/title&gt;&lt;/titles&gt;&lt;number&gt;10 June 2024&lt;/number&gt;&lt;dates&gt;&lt;year&gt;2024&lt;/year&gt;&lt;/dates&gt;&lt;urls&gt;&lt;related-urls&gt;&lt;url&gt;minhealthnz.shinyapps.io/nz-health-survey-2022-23-mental-health-data-explorer&lt;/url&gt;&lt;/related-urls&gt;&lt;/urls&gt;&lt;/record&gt;&lt;/Cite&gt;&lt;/EndNote&gt;</w:instrText>
      </w:r>
      <w:r>
        <w:fldChar w:fldCharType="separate"/>
      </w:r>
      <w:r>
        <w:rPr>
          <w:noProof/>
        </w:rPr>
        <w:t>(Ministry of Health 2024d)</w:t>
      </w:r>
      <w:r>
        <w:fldChar w:fldCharType="end"/>
      </w:r>
      <w:r w:rsidRPr="00E47714">
        <w:t>.</w:t>
      </w:r>
    </w:p>
    <w:p w14:paraId="1E38B1F2" w14:textId="77777777" w:rsidR="007C188A" w:rsidRPr="00E47714" w:rsidRDefault="007C188A" w:rsidP="00C66A54"/>
    <w:p w14:paraId="631AD0D0" w14:textId="000F56C0" w:rsidR="00C66A54" w:rsidRDefault="00C66A54" w:rsidP="00C66A54">
      <w:r w:rsidRPr="00E47714">
        <w:t>Unmet need for mental health and addiction services has increased between 2016/17 and 2021–</w:t>
      </w:r>
      <w:r>
        <w:t>20</w:t>
      </w:r>
      <w:r w:rsidRPr="00E47714">
        <w:t>23 for both adults (</w:t>
      </w:r>
      <w:r>
        <w:t xml:space="preserve">rising from </w:t>
      </w:r>
      <w:r w:rsidRPr="00E47714">
        <w:t>4.9% to 8.4%) and children (</w:t>
      </w:r>
      <w:r>
        <w:t xml:space="preserve">rising from </w:t>
      </w:r>
      <w:r w:rsidRPr="00E47714">
        <w:t xml:space="preserve">4.8% to 6.8%). The </w:t>
      </w:r>
      <w:r>
        <w:t>percentage of</w:t>
      </w:r>
      <w:r w:rsidRPr="00E47714">
        <w:t xml:space="preserve"> </w:t>
      </w:r>
      <w:r>
        <w:t>people reporting</w:t>
      </w:r>
      <w:r w:rsidRPr="00E47714">
        <w:t xml:space="preserve"> being unable to access mental health addiction services ha</w:t>
      </w:r>
      <w:r>
        <w:t>s</w:t>
      </w:r>
      <w:r w:rsidRPr="00E47714">
        <w:t xml:space="preserve"> also increased over that time period</w:t>
      </w:r>
      <w:r>
        <w:t>.</w:t>
      </w:r>
      <w:r w:rsidRPr="00E47714">
        <w:t xml:space="preserve"> </w:t>
      </w:r>
      <w:r>
        <w:t>F</w:t>
      </w:r>
      <w:r w:rsidRPr="00E47714">
        <w:t>or details</w:t>
      </w:r>
      <w:r>
        <w:t>,</w:t>
      </w:r>
      <w:r w:rsidRPr="00E47714">
        <w:t xml:space="preserve"> see the </w:t>
      </w:r>
      <w:hyperlink r:id="rId66" w:anchor="!/home" w:history="1">
        <w:r w:rsidRPr="00E47714">
          <w:rPr>
            <w:rStyle w:val="Hyperlink"/>
            <w:rFonts w:cs="Segoe UI"/>
          </w:rPr>
          <w:t>Mental Health and Problematic Substance Use Data Explorer</w:t>
        </w:r>
      </w:hyperlink>
      <w:r>
        <w:t xml:space="preserve"> </w:t>
      </w:r>
      <w:r>
        <w:fldChar w:fldCharType="begin"/>
      </w:r>
      <w:r>
        <w:instrText xml:space="preserve"> ADDIN EN.CITE &lt;EndNote&gt;&lt;Cite&gt;&lt;Author&gt;Ministry of Health &lt;/Author&gt;&lt;Year&gt;2024&lt;/Year&gt;&lt;RecNum&gt;516&lt;/RecNum&gt;&lt;DisplayText&gt;(Ministry of Health 2024d)&lt;/DisplayText&gt;&lt;record&gt;&lt;rec-number&gt;516&lt;/rec-number&gt;&lt;foreign-keys&gt;&lt;key app="EN" db-id="aaepvppzs5wtfse95vsp2wahsrtvva2vvdet" timestamp="1717126105"&gt;516&lt;/key&gt;&lt;/foreign-keys&gt;&lt;ref-type name="Web Page"&gt;12&lt;/ref-type&gt;&lt;contributors&gt;&lt;authors&gt;&lt;author&gt;Ministry of Health ,&lt;/author&gt;&lt;/authors&gt;&lt;/contributors&gt;&lt;titles&gt;&lt;title&gt;Mental Health and Problematic Substance Use Data Explorer&lt;/title&gt;&lt;/titles&gt;&lt;number&gt;10 June 2024&lt;/number&gt;&lt;dates&gt;&lt;year&gt;2024&lt;/year&gt;&lt;/dates&gt;&lt;urls&gt;&lt;related-urls&gt;&lt;url&gt;minhealthnz.shinyapps.io/nz-health-survey-2022-23-mental-health-data-explorer&lt;/url&gt;&lt;/related-urls&gt;&lt;/urls&gt;&lt;/record&gt;&lt;/Cite&gt;&lt;/EndNote&gt;</w:instrText>
      </w:r>
      <w:r>
        <w:fldChar w:fldCharType="separate"/>
      </w:r>
      <w:r>
        <w:rPr>
          <w:noProof/>
        </w:rPr>
        <w:t>(Ministry of Health 2024d)</w:t>
      </w:r>
      <w:r>
        <w:fldChar w:fldCharType="end"/>
      </w:r>
      <w:r w:rsidRPr="00E47714">
        <w:t>.</w:t>
      </w:r>
    </w:p>
    <w:p w14:paraId="677FC250" w14:textId="77777777" w:rsidR="007C188A" w:rsidRPr="00E47714" w:rsidRDefault="007C188A" w:rsidP="00C66A54"/>
    <w:p w14:paraId="16C99DA5" w14:textId="77777777" w:rsidR="00C66A54" w:rsidRPr="00E47714" w:rsidRDefault="00C66A54" w:rsidP="00C66A54">
      <w:r w:rsidRPr="00E47714">
        <w:t>For 2021–</w:t>
      </w:r>
      <w:r>
        <w:t>20</w:t>
      </w:r>
      <w:r w:rsidRPr="00E47714">
        <w:t>23, the Health Survey found the following rates of unmet need for mental health or addiction services.</w:t>
      </w:r>
    </w:p>
    <w:p w14:paraId="4FB193DD" w14:textId="77777777" w:rsidR="00C66A54" w:rsidRPr="007C188A" w:rsidRDefault="00C66A54" w:rsidP="007C188A">
      <w:pPr>
        <w:pStyle w:val="Bullet"/>
        <w:rPr>
          <w:rFonts w:eastAsiaTheme="minorHAnsi"/>
        </w:rPr>
      </w:pPr>
      <w:r w:rsidRPr="007C188A">
        <w:rPr>
          <w:rFonts w:eastAsiaTheme="minorHAnsi"/>
        </w:rPr>
        <w:t>Women (10.1%) had higher rates of unmet need than men (6.4%).</w:t>
      </w:r>
    </w:p>
    <w:p w14:paraId="6A8265B7" w14:textId="77777777" w:rsidR="00C66A54" w:rsidRPr="007C188A" w:rsidRDefault="00C66A54" w:rsidP="007C188A">
      <w:pPr>
        <w:pStyle w:val="Bullet"/>
        <w:rPr>
          <w:rFonts w:eastAsiaTheme="minorHAnsi"/>
        </w:rPr>
      </w:pPr>
      <w:r w:rsidRPr="007C188A">
        <w:rPr>
          <w:rFonts w:eastAsiaTheme="minorHAnsi"/>
        </w:rPr>
        <w:t>Māori adults (11.7%) and European/other adults (9.1%) had higher rates of unmet need than Pacific adults (8.8%) and Asian adults (5.8%). Children followed the same pattern, with more Māori (9.4%) and European/other (7.6%) children having unmet need than Pacific (4.5%) and Asian (3.6%) children.</w:t>
      </w:r>
    </w:p>
    <w:p w14:paraId="278514EB" w14:textId="77777777" w:rsidR="00C66A54" w:rsidRPr="007C188A" w:rsidRDefault="00C66A54" w:rsidP="007C188A">
      <w:pPr>
        <w:pStyle w:val="Bullet"/>
        <w:rPr>
          <w:rFonts w:eastAsiaTheme="minorHAnsi"/>
        </w:rPr>
      </w:pPr>
      <w:r w:rsidRPr="007C188A">
        <w:rPr>
          <w:rFonts w:eastAsiaTheme="minorHAnsi"/>
        </w:rPr>
        <w:t>Disabled adults (18.9%) had higher rates of unmet need than non-disabled adults (7.4%).</w:t>
      </w:r>
    </w:p>
    <w:p w14:paraId="37804361" w14:textId="77777777" w:rsidR="00C66A54" w:rsidRPr="007C188A" w:rsidRDefault="00C66A54" w:rsidP="007C188A">
      <w:pPr>
        <w:pStyle w:val="Bullet"/>
      </w:pPr>
      <w:r w:rsidRPr="007C188A">
        <w:t xml:space="preserve">People living in the most deprived areas (adults: 9.6%; children: 7.2%) had higher rates of unmet need than people living in the least deprived areas (adults: 6.1%; children: 6.3%) </w:t>
      </w:r>
      <w:r w:rsidRPr="007C188A">
        <w:fldChar w:fldCharType="begin"/>
      </w:r>
      <w:r w:rsidRPr="007C188A">
        <w:instrText xml:space="preserve"> ADDIN EN.CITE &lt;EndNote&gt;&lt;Cite&gt;&lt;Author&gt;Ministry of Health &lt;/Author&gt;&lt;Year&gt;2024&lt;/Year&gt;&lt;RecNum&gt;516&lt;/RecNum&gt;&lt;DisplayText&gt;(Ministry of Health 2024d)&lt;/DisplayText&gt;&lt;record&gt;&lt;rec-number&gt;516&lt;/rec-number&gt;&lt;foreign-keys&gt;&lt;key app="EN" db-id="aaepvppzs5wtfse95vsp2wahsrtvva2vvdet" timestamp="1717126105"&gt;516&lt;/key&gt;&lt;/foreign-keys&gt;&lt;ref-type name="Web Page"&gt;12&lt;/ref-type&gt;&lt;contributors&gt;&lt;authors&gt;&lt;author&gt;Ministry of Health ,&lt;/author&gt;&lt;/authors&gt;&lt;/contributors&gt;&lt;titles&gt;&lt;title&gt;Mental Health and Problematic Substance Use Data Explorer&lt;/title&gt;&lt;/titles&gt;&lt;number&gt;10 June 2024&lt;/number&gt;&lt;dates&gt;&lt;year&gt;2024&lt;/year&gt;&lt;/dates&gt;&lt;urls&gt;&lt;related-urls&gt;&lt;url&gt;minhealthnz.shinyapps.io/nz-health-survey-2022-23-mental-health-data-explorer&lt;/url&gt;&lt;/related-urls&gt;&lt;/urls&gt;&lt;/record&gt;&lt;/Cite&gt;&lt;/EndNote&gt;</w:instrText>
      </w:r>
      <w:r w:rsidRPr="007C188A">
        <w:fldChar w:fldCharType="separate"/>
      </w:r>
      <w:r w:rsidRPr="007C188A">
        <w:t>(Ministry of Health 2024d)</w:t>
      </w:r>
      <w:r w:rsidRPr="007C188A">
        <w:fldChar w:fldCharType="end"/>
      </w:r>
      <w:r w:rsidRPr="007C188A">
        <w:t>.</w:t>
      </w:r>
    </w:p>
    <w:p w14:paraId="4EA5A911" w14:textId="77777777" w:rsidR="00C66A54" w:rsidRPr="00E47714" w:rsidRDefault="00C66A54" w:rsidP="00C66A54">
      <w:pPr>
        <w:pStyle w:val="Heading3"/>
        <w:rPr>
          <w:rFonts w:eastAsiaTheme="minorHAnsi"/>
        </w:rPr>
      </w:pPr>
      <w:r w:rsidRPr="00E47714">
        <w:rPr>
          <w:rFonts w:eastAsiaTheme="minorHAnsi"/>
        </w:rPr>
        <w:t>Suicide</w:t>
      </w:r>
    </w:p>
    <w:p w14:paraId="4453E04B" w14:textId="2B4E6A9B" w:rsidR="00C66A54" w:rsidRDefault="00C66A54" w:rsidP="00C66A54">
      <w:r>
        <w:t>This section reports</w:t>
      </w:r>
      <w:r w:rsidRPr="00E47714">
        <w:t xml:space="preserve"> the annual rate of suspected self-inflicted death (suspected suicide)</w:t>
      </w:r>
      <w:r>
        <w:t>. However</w:t>
      </w:r>
      <w:r w:rsidRPr="00E47714">
        <w:t xml:space="preserve">, it is important not to conflate mental illness with suicide or </w:t>
      </w:r>
      <w:r>
        <w:t xml:space="preserve">to </w:t>
      </w:r>
      <w:r w:rsidRPr="00E47714">
        <w:t xml:space="preserve">equate these figures with some measure of the performance of the mental health system. People who die by suicide are almost always acutely distressed but do not necessarily have a mental health diagnosis. Some individuals may have a mental health diagnosis with suicidal distress and interact with the mental health system. The reasons </w:t>
      </w:r>
      <w:r w:rsidRPr="00E47714">
        <w:lastRenderedPageBreak/>
        <w:t xml:space="preserve">that people take their own lives are complex and factors </w:t>
      </w:r>
      <w:r>
        <w:t>contributing to a death by suicide</w:t>
      </w:r>
      <w:r w:rsidRPr="00E47714">
        <w:t xml:space="preserve"> accumulate over time. </w:t>
      </w:r>
    </w:p>
    <w:p w14:paraId="7A5C80DD" w14:textId="77777777" w:rsidR="007C188A" w:rsidRPr="00E47714" w:rsidRDefault="007C188A" w:rsidP="00C66A54"/>
    <w:p w14:paraId="60D08565" w14:textId="77777777" w:rsidR="00C66A54" w:rsidRPr="00E47714" w:rsidRDefault="00C66A54" w:rsidP="00C66A54">
      <w:pPr>
        <w:rPr>
          <w:vertAlign w:val="superscript"/>
        </w:rPr>
      </w:pPr>
      <w:r w:rsidRPr="00E47714">
        <w:t>In the year ending 30 June 2023, there were 565 suspected self-inflicted deaths in Aotearoa New Zealand. The age-standardised rate of suspected self-inflicted deaths was 10.6 per 100,000 population. This rate was 9.2% lower than the average rate of suspected self-inflicted deaths over the last 14 financial years</w:t>
      </w:r>
      <w:r>
        <w:t>.</w:t>
      </w:r>
      <w:r w:rsidRPr="00E47714">
        <w:t xml:space="preserve"> </w:t>
      </w:r>
      <w:r>
        <w:t>H</w:t>
      </w:r>
      <w:r w:rsidRPr="00E47714">
        <w:t>owever, th</w:t>
      </w:r>
      <w:r>
        <w:t>e</w:t>
      </w:r>
      <w:r w:rsidRPr="00E47714">
        <w:t xml:space="preserve"> difference was not statistically significant as suicide rates are highly variable </w:t>
      </w:r>
      <w:r>
        <w:fldChar w:fldCharType="begin"/>
      </w:r>
      <w:r>
        <w:instrText xml:space="preserve"> ADDIN EN.CITE &lt;EndNote&gt;&lt;Cite&gt;&lt;Author&gt;Health NZ&lt;/Author&gt;&lt;Year&gt;2024&lt;/Year&gt;&lt;RecNum&gt;446&lt;/RecNum&gt;&lt;DisplayText&gt;(Health NZ 2024p)&lt;/DisplayText&gt;&lt;record&gt;&lt;rec-number&gt;446&lt;/rec-number&gt;&lt;foreign-keys&gt;&lt;key app="EN" db-id="aaepvppzs5wtfse95vsp2wahsrtvva2vvdet" timestamp="1716435617"&gt;446&lt;/key&gt;&lt;/foreign-keys&gt;&lt;ref-type name="Web Page"&gt;12&lt;/ref-type&gt;&lt;contributors&gt;&lt;authors&gt;&lt;author&gt;Health NZ,&lt;/author&gt;&lt;/authors&gt;&lt;/contributors&gt;&lt;titles&gt;&lt;title&gt;Suicide data web tool&lt;/title&gt;&lt;/titles&gt;&lt;number&gt;23 May 2024&lt;/number&gt;&lt;dates&gt;&lt;year&gt;2024&lt;/year&gt;&lt;/dates&gt;&lt;urls&gt;&lt;related-urls&gt;&lt;url&gt;tewhatuora.shinyapps.io/suicide-web-tool&lt;/url&gt;&lt;/related-urls&gt;&lt;/urls&gt;&lt;/record&gt;&lt;/Cite&gt;&lt;/EndNote&gt;</w:instrText>
      </w:r>
      <w:r>
        <w:fldChar w:fldCharType="separate"/>
      </w:r>
      <w:r>
        <w:rPr>
          <w:noProof/>
        </w:rPr>
        <w:t>(Health NZ 2024p)</w:t>
      </w:r>
      <w:r>
        <w:fldChar w:fldCharType="end"/>
      </w:r>
      <w:r w:rsidRPr="00E47714">
        <w:t>.</w:t>
      </w:r>
    </w:p>
    <w:p w14:paraId="4F604C43" w14:textId="77777777" w:rsidR="00C66A54" w:rsidRPr="00E47714" w:rsidRDefault="00C66A54" w:rsidP="00C66A54">
      <w:pPr>
        <w:pStyle w:val="Heading2"/>
        <w:rPr>
          <w:rStyle w:val="Heading2Char"/>
          <w:b/>
        </w:rPr>
      </w:pPr>
      <w:bookmarkStart w:id="145" w:name="_Toc171603271"/>
      <w:bookmarkStart w:id="146" w:name="_Toc171944531"/>
      <w:bookmarkStart w:id="147" w:name="_Toc172104671"/>
      <w:r w:rsidRPr="00E47714">
        <w:rPr>
          <w:rStyle w:val="Heading2Char"/>
          <w:b/>
        </w:rPr>
        <w:t>Neurological conditions</w:t>
      </w:r>
      <w:bookmarkEnd w:id="145"/>
      <w:bookmarkEnd w:id="146"/>
      <w:bookmarkEnd w:id="147"/>
    </w:p>
    <w:p w14:paraId="3C5A95C2" w14:textId="3FBE6E0E" w:rsidR="00C66A54" w:rsidRDefault="00C66A54" w:rsidP="00C66A54">
      <w:r w:rsidRPr="00E47714">
        <w:t>Neurological conditions accounted for 7% of health loss (DALYs) in Aotearoa New Zealand in 2021</w:t>
      </w:r>
      <w:r>
        <w:t>.</w:t>
      </w:r>
      <w:r w:rsidRPr="00E47714">
        <w:t xml:space="preserve"> Alzheimer’s disease mak</w:t>
      </w:r>
      <w:r>
        <w:t>es</w:t>
      </w:r>
      <w:r w:rsidRPr="00E47714">
        <w:t xml:space="preserve"> up almost half of the total DALYs for this group (3.1%</w:t>
      </w:r>
      <w:r>
        <w:t xml:space="preserve"> of total DALYs</w:t>
      </w:r>
      <w:r w:rsidRPr="00E47714">
        <w:t xml:space="preserve">) </w:t>
      </w:r>
      <w:r>
        <w:fldChar w:fldCharType="begin"/>
      </w:r>
      <w:r>
        <w:instrText xml:space="preserve"> ADDIN EN.CITE &lt;EndNote&gt;&lt;Cite&gt;&lt;Author&gt;Institute for Health Metrics and Evaluation&lt;/Author&gt;&lt;Year&gt;2024&lt;/Year&gt;&lt;RecNum&gt;427&lt;/RecNum&gt;&lt;DisplayText&gt;(Institute for Health Metrics and Evaluation 2024b)&lt;/DisplayText&gt;&lt;record&gt;&lt;rec-number&gt;427&lt;/rec-number&gt;&lt;foreign-keys&gt;&lt;key app="EN" db-id="aaepvppzs5wtfse95vsp2wahsrtvva2vvdet" timestamp="1716422513"&gt;427&lt;/key&gt;&lt;/foreign-keys&gt;&lt;ref-type name="Web Page"&gt;12&lt;/ref-type&gt;&lt;contributors&gt;&lt;authors&gt;&lt;author&gt;Institute for Health Metrics and Evaluation,&lt;/author&gt;&lt;/authors&gt;&lt;/contributors&gt;&lt;titles&gt;&lt;title&gt;GBD Results&lt;/title&gt;&lt;/titles&gt;&lt;number&gt;23 May 2024&lt;/number&gt;&lt;dates&gt;&lt;year&gt;2024&lt;/year&gt;&lt;/dates&gt;&lt;pub-location&gt;Seattle, WA: Institute for Health Metrics and Evaluation&lt;/pub-location&gt;&lt;urls&gt;&lt;related-urls&gt;&lt;url&gt;vizhub.healthdata.org/gbd-results&lt;/url&gt;&lt;/related-urls&gt;&lt;/urls&gt;&lt;/record&gt;&lt;/Cite&gt;&lt;/EndNote&gt;</w:instrText>
      </w:r>
      <w:r>
        <w:fldChar w:fldCharType="separate"/>
      </w:r>
      <w:r>
        <w:rPr>
          <w:noProof/>
        </w:rPr>
        <w:t>(Institute for Health Metrics and Evaluation 2024b)</w:t>
      </w:r>
      <w:r>
        <w:fldChar w:fldCharType="end"/>
      </w:r>
      <w:r w:rsidRPr="00E47714">
        <w:t xml:space="preserve">. </w:t>
      </w:r>
    </w:p>
    <w:p w14:paraId="0790D4B3" w14:textId="77777777" w:rsidR="007C188A" w:rsidRPr="00E47714" w:rsidRDefault="007C188A" w:rsidP="00C66A54"/>
    <w:p w14:paraId="7A301122" w14:textId="4ED5597B" w:rsidR="00C66A54" w:rsidRDefault="00C66A54" w:rsidP="00C66A54">
      <w:r w:rsidRPr="00E47714">
        <w:t>Disorders affecting the nervous system are diverse</w:t>
      </w:r>
      <w:r>
        <w:t>. They</w:t>
      </w:r>
      <w:r w:rsidRPr="00E47714">
        <w:t xml:space="preserve"> include neurodevelopmental disorders, late-life neurodegeneration</w:t>
      </w:r>
      <w:r>
        <w:t>,</w:t>
      </w:r>
      <w:r w:rsidRPr="00E47714">
        <w:t xml:space="preserve"> and newly emergent conditions, such as cognitive impairment following COVID-19.</w:t>
      </w:r>
    </w:p>
    <w:p w14:paraId="69D6AD8E" w14:textId="77777777" w:rsidR="007C188A" w:rsidRPr="00E47714" w:rsidRDefault="007C188A" w:rsidP="00C66A54"/>
    <w:p w14:paraId="3578ADB0" w14:textId="7022BBEE" w:rsidR="007C188A" w:rsidRPr="007C188A" w:rsidRDefault="00C66A54" w:rsidP="00C66A54">
      <w:r w:rsidRPr="00E47714">
        <w:rPr>
          <w:color w:val="000000"/>
          <w:shd w:val="clear" w:color="auto" w:fill="FFFEFC"/>
        </w:rPr>
        <w:t xml:space="preserve">Globally, the number of people living with, or dying from, neurological conditions resulting from stroke, Alzheimer's disease and other dementias, and meningitis has risen substantially over the past 30 years. In part, </w:t>
      </w:r>
      <w:r>
        <w:rPr>
          <w:color w:val="000000"/>
          <w:shd w:val="clear" w:color="auto" w:fill="FFFEFC"/>
        </w:rPr>
        <w:t>this trend has occurred because</w:t>
      </w:r>
      <w:r w:rsidRPr="00E47714">
        <w:rPr>
          <w:color w:val="000000"/>
          <w:shd w:val="clear" w:color="auto" w:fill="FFFEFC"/>
        </w:rPr>
        <w:t xml:space="preserve"> the global population</w:t>
      </w:r>
      <w:r>
        <w:rPr>
          <w:color w:val="000000"/>
          <w:shd w:val="clear" w:color="auto" w:fill="FFFEFC"/>
        </w:rPr>
        <w:t xml:space="preserve"> is growing and ageing. Other reasons are people’s </w:t>
      </w:r>
      <w:r w:rsidRPr="00E47714">
        <w:rPr>
          <w:color w:val="000000"/>
          <w:shd w:val="clear" w:color="auto" w:fill="FFFEFC"/>
        </w:rPr>
        <w:t>increased exposure to environmental, metabolic and lifestyle risk factors</w:t>
      </w:r>
      <w:r w:rsidRPr="00E47714">
        <w:rPr>
          <w:rFonts w:ascii="Arial" w:hAnsi="Arial" w:cs="Arial"/>
          <w:color w:val="000000"/>
          <w:sz w:val="27"/>
          <w:szCs w:val="27"/>
          <w:shd w:val="clear" w:color="auto" w:fill="FFFEFC"/>
        </w:rPr>
        <w:t>.</w:t>
      </w:r>
    </w:p>
    <w:p w14:paraId="7F908A13" w14:textId="77777777" w:rsidR="007C188A" w:rsidRPr="00C77EEE" w:rsidRDefault="007C188A" w:rsidP="00C66A54"/>
    <w:p w14:paraId="3BD9E6F9" w14:textId="77777777" w:rsidR="00C66A54" w:rsidRPr="00E47714" w:rsidRDefault="00C66A54" w:rsidP="00C66A54">
      <w:r w:rsidRPr="00E47714">
        <w:rPr>
          <w:color w:val="000000"/>
          <w:shd w:val="clear" w:color="auto" w:fill="FFFEFC"/>
        </w:rPr>
        <w:t xml:space="preserve">Globally in 2021, the top 10 contributors to neurological health loss were stroke, neonatal encephalopathy (brain injury), migraine, Alzheimer’s disease and other dementias, diabetic neuropathy (nerve damage), meningitis, epilepsy, neurological complications from preterm birth, autism spectrum disorder and nervous system cancers </w:t>
      </w:r>
      <w:r>
        <w:rPr>
          <w:color w:val="000000"/>
          <w:shd w:val="clear" w:color="auto" w:fill="FFFEFC"/>
        </w:rPr>
        <w:fldChar w:fldCharType="begin"/>
      </w:r>
      <w:r>
        <w:rPr>
          <w:color w:val="000000"/>
          <w:shd w:val="clear" w:color="auto" w:fill="FFFEFC"/>
        </w:rPr>
        <w:instrText xml:space="preserve"> ADDIN EN.CITE &lt;EndNote&gt;&lt;Cite&gt;&lt;Author&gt;Institute for Health Metrics and Evaluation&lt;/Author&gt;&lt;Year&gt;2024&lt;/Year&gt;&lt;RecNum&gt;447&lt;/RecNum&gt;&lt;DisplayText&gt;(Institute for Health Metrics and Evaluation 2024c)&lt;/DisplayText&gt;&lt;record&gt;&lt;rec-number&gt;447&lt;/rec-number&gt;&lt;foreign-keys&gt;&lt;key app="EN" db-id="aaepvppzs5wtfse95vsp2wahsrtvva2vvdet" timestamp="1716435795"&gt;447&lt;/key&gt;&lt;/foreign-keys&gt;&lt;ref-type name="Web Page"&gt;12&lt;/ref-type&gt;&lt;contributors&gt;&lt;authors&gt;&lt;author&gt;Institute for Health Metrics and Evaluation,&lt;/author&gt;&lt;/authors&gt;&lt;/contributors&gt;&lt;titles&gt;&lt;title&gt;The Lancet Neurology: Neurological conditions now leading cause of ill health and disability globally, affecting 3.4 billion people worldwide&lt;/title&gt;&lt;/titles&gt;&lt;number&gt;23 May 2024&lt;/number&gt;&lt;dates&gt;&lt;year&gt;2024&lt;/year&gt;&lt;/dates&gt;&lt;urls&gt;&lt;related-urls&gt;&lt;url&gt;healthdata.org/news-events/newsroom/news-releases/lancet-neurology-neurological-conditions-now-leading-cause-ill&lt;/url&gt;&lt;/related-urls&gt;&lt;/urls&gt;&lt;/record&gt;&lt;/Cite&gt;&lt;/EndNote&gt;</w:instrText>
      </w:r>
      <w:r>
        <w:rPr>
          <w:color w:val="000000"/>
          <w:shd w:val="clear" w:color="auto" w:fill="FFFEFC"/>
        </w:rPr>
        <w:fldChar w:fldCharType="separate"/>
      </w:r>
      <w:r>
        <w:rPr>
          <w:noProof/>
          <w:color w:val="000000"/>
          <w:shd w:val="clear" w:color="auto" w:fill="FFFEFC"/>
        </w:rPr>
        <w:t>(Institute for Health Metrics and Evaluation 2024c)</w:t>
      </w:r>
      <w:r>
        <w:rPr>
          <w:color w:val="000000"/>
          <w:shd w:val="clear" w:color="auto" w:fill="FFFEFC"/>
        </w:rPr>
        <w:fldChar w:fldCharType="end"/>
      </w:r>
      <w:r w:rsidRPr="00E47714">
        <w:rPr>
          <w:color w:val="000000"/>
          <w:shd w:val="clear" w:color="auto" w:fill="FFFEFC"/>
        </w:rPr>
        <w:t>.</w:t>
      </w:r>
      <w:r w:rsidRPr="00E47714">
        <w:rPr>
          <w:rStyle w:val="FootnoteReference"/>
          <w:rFonts w:ascii="Arial" w:hAnsi="Arial" w:cs="Arial"/>
          <w:color w:val="000000"/>
          <w:sz w:val="27"/>
          <w:szCs w:val="27"/>
          <w:shd w:val="clear" w:color="auto" w:fill="FFFEFC"/>
        </w:rPr>
        <w:t xml:space="preserve"> </w:t>
      </w:r>
    </w:p>
    <w:p w14:paraId="61DC1689" w14:textId="77777777" w:rsidR="00C66A54" w:rsidRPr="00E47714" w:rsidRDefault="00C66A54" w:rsidP="00C66A54">
      <w:pPr>
        <w:pStyle w:val="Heading2"/>
      </w:pPr>
      <w:bookmarkStart w:id="148" w:name="_Toc171603272"/>
      <w:bookmarkStart w:id="149" w:name="_Toc171944532"/>
      <w:bookmarkStart w:id="150" w:name="_Toc172104672"/>
      <w:r w:rsidRPr="00E47714">
        <w:t>Respiratory diseases</w:t>
      </w:r>
      <w:bookmarkEnd w:id="148"/>
      <w:bookmarkEnd w:id="149"/>
      <w:bookmarkEnd w:id="150"/>
    </w:p>
    <w:p w14:paraId="5359696C" w14:textId="78B4EDAA" w:rsidR="00C66A54" w:rsidRDefault="00C66A54" w:rsidP="00C66A54">
      <w:r w:rsidRPr="00E47714">
        <w:t xml:space="preserve">Chronic respiratory diseases affect the airways and other structures of the lungs. Some of the most common are chronic obstructive pulmonary disease (COPD), asthma, occupational lung diseases and pulmonary hypertension. COPD accounted for 2.8% of health loss (DALYs) in Aotearoa New Zealand in 2021 </w:t>
      </w:r>
      <w:r>
        <w:fldChar w:fldCharType="begin"/>
      </w:r>
      <w:r>
        <w:instrText xml:space="preserve"> ADDIN EN.CITE &lt;EndNote&gt;&lt;Cite&gt;&lt;Author&gt;Institute for Health Metrics and Evaluation&lt;/Author&gt;&lt;Year&gt;2024&lt;/Year&gt;&lt;RecNum&gt;427&lt;/RecNum&gt;&lt;DisplayText&gt;(Institute for Health Metrics and Evaluation 2024b)&lt;/DisplayText&gt;&lt;record&gt;&lt;rec-number&gt;427&lt;/rec-number&gt;&lt;foreign-keys&gt;&lt;key app="EN" db-id="aaepvppzs5wtfse95vsp2wahsrtvva2vvdet" timestamp="1716422513"&gt;427&lt;/key&gt;&lt;/foreign-keys&gt;&lt;ref-type name="Web Page"&gt;12&lt;/ref-type&gt;&lt;contributors&gt;&lt;authors&gt;&lt;author&gt;Institute for Health Metrics and Evaluation,&lt;/author&gt;&lt;/authors&gt;&lt;/contributors&gt;&lt;titles&gt;&lt;title&gt;GBD Results&lt;/title&gt;&lt;/titles&gt;&lt;number&gt;23 May 2024&lt;/number&gt;&lt;dates&gt;&lt;year&gt;2024&lt;/year&gt;&lt;/dates&gt;&lt;pub-location&gt;Seattle, WA: Institute for Health Metrics and Evaluation&lt;/pub-location&gt;&lt;urls&gt;&lt;related-urls&gt;&lt;url&gt;vizhub.healthdata.org/gbd-results&lt;/url&gt;&lt;/related-urls&gt;&lt;/urls&gt;&lt;/record&gt;&lt;/Cite&gt;&lt;/EndNote&gt;</w:instrText>
      </w:r>
      <w:r>
        <w:fldChar w:fldCharType="separate"/>
      </w:r>
      <w:r>
        <w:rPr>
          <w:noProof/>
        </w:rPr>
        <w:t>(Institute for Health Metrics and Evaluation 2024b)</w:t>
      </w:r>
      <w:r>
        <w:fldChar w:fldCharType="end"/>
      </w:r>
      <w:r w:rsidRPr="00E47714">
        <w:t xml:space="preserve">. </w:t>
      </w:r>
    </w:p>
    <w:p w14:paraId="500E853F" w14:textId="77777777" w:rsidR="007C188A" w:rsidRPr="00E47714" w:rsidRDefault="007C188A" w:rsidP="00C66A54"/>
    <w:p w14:paraId="282E4467" w14:textId="581AB0B4" w:rsidR="00C66A54" w:rsidRDefault="00C66A54" w:rsidP="00C66A54">
      <w:r w:rsidRPr="00E47714">
        <w:t>Risk factors for respiratory diseases include tobacco smoke, air pollution, occupational chemicals and dusts, and frequent lower respiratory infections during childhood</w:t>
      </w:r>
      <w:r>
        <w:t xml:space="preserve"> </w:t>
      </w:r>
      <w:r>
        <w:fldChar w:fldCharType="begin"/>
      </w:r>
      <w:r>
        <w:instrText xml:space="preserve"> ADDIN EN.CITE &lt;EndNote&gt;&lt;Cite&gt;&lt;Author&gt;WHO&lt;/Author&gt;&lt;Year&gt;(nd)&lt;/Year&gt;&lt;RecNum&gt;448&lt;/RecNum&gt;&lt;DisplayText&gt;(WHO (nd)-b)&lt;/DisplayText&gt;&lt;record&gt;&lt;rec-number&gt;448&lt;/rec-number&gt;&lt;foreign-keys&gt;&lt;key app="EN" db-id="aaepvppzs5wtfse95vsp2wahsrtvva2vvdet" timestamp="1716436120"&gt;448&lt;/key&gt;&lt;/foreign-keys&gt;&lt;ref-type name="Web Page"&gt;12&lt;/ref-type&gt;&lt;contributors&gt;&lt;authors&gt;&lt;author&gt;WHO&lt;/author&gt;&lt;/authors&gt;&lt;/contributors&gt;&lt;titles&gt;&lt;title&gt;Chronic respiratory diseases&lt;/title&gt;&lt;/titles&gt;&lt;number&gt;23 May 2024&lt;/number&gt;&lt;dates&gt;&lt;year&gt;(nd)&lt;/year&gt;&lt;/dates&gt;&lt;urls&gt;&lt;related-urls&gt;&lt;url&gt;who.int/health-topics/chronic-respiratory-diseases&lt;/url&gt;&lt;/related-urls&gt;&lt;/urls&gt;&lt;/record&gt;&lt;/Cite&gt;&lt;/EndNote&gt;</w:instrText>
      </w:r>
      <w:r>
        <w:fldChar w:fldCharType="separate"/>
      </w:r>
      <w:r>
        <w:rPr>
          <w:noProof/>
        </w:rPr>
        <w:t>(WHO (nd)-b)</w:t>
      </w:r>
      <w:r>
        <w:fldChar w:fldCharType="end"/>
      </w:r>
      <w:r w:rsidRPr="00E47714">
        <w:t>.</w:t>
      </w:r>
    </w:p>
    <w:p w14:paraId="12F9DC09" w14:textId="77777777" w:rsidR="007C188A" w:rsidRPr="00E47714" w:rsidRDefault="007C188A" w:rsidP="00C66A54"/>
    <w:p w14:paraId="1202FA0A" w14:textId="77777777" w:rsidR="00C66A54" w:rsidRPr="00E47714" w:rsidRDefault="00C66A54" w:rsidP="00C66A54">
      <w:r w:rsidRPr="00E47714">
        <w:t>In mortality data from 2021 (</w:t>
      </w:r>
      <w:r>
        <w:t>the most recent year for which</w:t>
      </w:r>
      <w:r w:rsidRPr="00E47714">
        <w:t xml:space="preserve"> information </w:t>
      </w:r>
      <w:r>
        <w:t xml:space="preserve">is </w:t>
      </w:r>
      <w:r w:rsidRPr="00E47714">
        <w:t>available), respiratory disease accounted for 2,656 deaths in Aotearoa New Zealand</w:t>
      </w:r>
      <w:r>
        <w:t>. This equates to</w:t>
      </w:r>
      <w:r w:rsidRPr="00E47714">
        <w:t xml:space="preserve"> an age-standardised rate of 24.6 deaths per 100,000 population </w:t>
      </w:r>
      <w:r>
        <w:fldChar w:fldCharType="begin"/>
      </w:r>
      <w:r>
        <w:instrText xml:space="preserve"> ADDIN EN.CITE &lt;EndNote&gt;&lt;Cite&gt;&lt;Author&gt;Health NZ &lt;/Author&gt;&lt;Year&gt;2023&lt;/Year&gt;&lt;RecNum&gt;424&lt;/RecNum&gt;&lt;DisplayText&gt;(Health NZ 2023c)&lt;/DisplayText&gt;&lt;record&gt;&lt;rec-number&gt;424&lt;/rec-number&gt;&lt;foreign-keys&gt;&lt;key app="EN" db-id="aaepvppzs5wtfse95vsp2wahsrtvva2vvdet" timestamp="1716421709"&gt;424&lt;/key&gt;&lt;/foreign-keys&gt;&lt;ref-type name="Web Page"&gt;12&lt;/ref-type&gt;&lt;contributors&gt;&lt;authors&gt;&lt;author&gt;Health NZ ,&lt;/author&gt;&lt;/authors&gt;&lt;/contributors&gt;&lt;titles&gt;&lt;title&gt;Mortality web tool&lt;/title&gt;&lt;/titles&gt;&lt;number&gt;23 May 2024&lt;/number&gt;&lt;dates&gt;&lt;year&gt;2023&lt;/year&gt;&lt;/dates&gt;&lt;urls&gt;&lt;related-urls&gt;&lt;url&gt;tewhatuora.shinyapps.io/mortality-web-tool&lt;/url&gt;&lt;/related-urls&gt;&lt;/urls&gt;&lt;/record&gt;&lt;/Cite&gt;&lt;/EndNote&gt;</w:instrText>
      </w:r>
      <w:r>
        <w:fldChar w:fldCharType="separate"/>
      </w:r>
      <w:r>
        <w:rPr>
          <w:noProof/>
        </w:rPr>
        <w:t>(Health NZ 2023c)</w:t>
      </w:r>
      <w:r>
        <w:fldChar w:fldCharType="end"/>
      </w:r>
      <w:r w:rsidRPr="00E47714">
        <w:t xml:space="preserve">. </w:t>
      </w:r>
      <w:r w:rsidRPr="00E47714">
        <w:lastRenderedPageBreak/>
        <w:t xml:space="preserve">The age-standardised rate was 44.5 deaths per 100,000 population for Māori, compared </w:t>
      </w:r>
      <w:r>
        <w:t>with</w:t>
      </w:r>
      <w:r w:rsidRPr="00E47714">
        <w:t xml:space="preserve"> 22.4 deaths per 100,000 for non-Māori.  </w:t>
      </w:r>
    </w:p>
    <w:p w14:paraId="173F0436" w14:textId="77777777" w:rsidR="00C66A54" w:rsidRPr="00E47714" w:rsidRDefault="00C66A54" w:rsidP="00C66A54">
      <w:pPr>
        <w:pStyle w:val="Heading2"/>
      </w:pPr>
      <w:bookmarkStart w:id="151" w:name="_Toc171603273"/>
      <w:bookmarkStart w:id="152" w:name="_Toc171944533"/>
      <w:bookmarkStart w:id="153" w:name="_Toc172104673"/>
      <w:r w:rsidRPr="00E47714">
        <w:t>Diabetes and chronic kidney disease</w:t>
      </w:r>
      <w:bookmarkEnd w:id="151"/>
      <w:bookmarkEnd w:id="152"/>
      <w:bookmarkEnd w:id="153"/>
    </w:p>
    <w:p w14:paraId="67915665" w14:textId="167AF54D" w:rsidR="00C66A54" w:rsidRDefault="00C66A54" w:rsidP="00C66A54">
      <w:r w:rsidRPr="00E47714">
        <w:t>In 2021, diabetes accounted for 970 deaths,</w:t>
      </w:r>
      <w:r>
        <w:t xml:space="preserve"> which equates to</w:t>
      </w:r>
      <w:r w:rsidRPr="00E47714">
        <w:t xml:space="preserve"> a rate of 10.3 deaths per 100,000 population. Within the total deaths from this disease, the age-standardised rate for Māori was 30.1 per 100,000 population, compared </w:t>
      </w:r>
      <w:r>
        <w:t>with</w:t>
      </w:r>
      <w:r w:rsidRPr="00E47714">
        <w:t xml:space="preserve"> 8.3 deaths per 100,000 population for non-Māori </w:t>
      </w:r>
      <w:r>
        <w:fldChar w:fldCharType="begin"/>
      </w:r>
      <w:r>
        <w:instrText xml:space="preserve"> ADDIN EN.CITE &lt;EndNote&gt;&lt;Cite&gt;&lt;Author&gt;Health NZ &lt;/Author&gt;&lt;Year&gt;2023&lt;/Year&gt;&lt;RecNum&gt;424&lt;/RecNum&gt;&lt;DisplayText&gt;(Health NZ 2023c)&lt;/DisplayText&gt;&lt;record&gt;&lt;rec-number&gt;424&lt;/rec-number&gt;&lt;foreign-keys&gt;&lt;key app="EN" db-id="aaepvppzs5wtfse95vsp2wahsrtvva2vvdet" timestamp="1716421709"&gt;424&lt;/key&gt;&lt;/foreign-keys&gt;&lt;ref-type name="Web Page"&gt;12&lt;/ref-type&gt;&lt;contributors&gt;&lt;authors&gt;&lt;author&gt;Health NZ ,&lt;/author&gt;&lt;/authors&gt;&lt;/contributors&gt;&lt;titles&gt;&lt;title&gt;Mortality web tool&lt;/title&gt;&lt;/titles&gt;&lt;number&gt;23 May 2024&lt;/number&gt;&lt;dates&gt;&lt;year&gt;2023&lt;/year&gt;&lt;/dates&gt;&lt;urls&gt;&lt;related-urls&gt;&lt;url&gt;tewhatuora.shinyapps.io/mortality-web-tool&lt;/url&gt;&lt;/related-urls&gt;&lt;/urls&gt;&lt;/record&gt;&lt;/Cite&gt;&lt;/EndNote&gt;</w:instrText>
      </w:r>
      <w:r>
        <w:fldChar w:fldCharType="separate"/>
      </w:r>
      <w:r>
        <w:rPr>
          <w:noProof/>
        </w:rPr>
        <w:t>(Health NZ 2023c)</w:t>
      </w:r>
      <w:r>
        <w:fldChar w:fldCharType="end"/>
      </w:r>
      <w:r w:rsidRPr="00E47714">
        <w:t>.</w:t>
      </w:r>
    </w:p>
    <w:p w14:paraId="06214F03" w14:textId="77777777" w:rsidR="007C188A" w:rsidRPr="00E47714" w:rsidRDefault="007C188A" w:rsidP="00C66A54"/>
    <w:p w14:paraId="4DAC452B" w14:textId="77777777" w:rsidR="00C66A54" w:rsidRPr="00E47714" w:rsidRDefault="00C66A54" w:rsidP="00C66A54">
      <w:r>
        <w:t>A</w:t>
      </w:r>
      <w:r w:rsidRPr="00E47714">
        <w:t xml:space="preserve">n estimated 307,400 Aotearoa New Zealanders </w:t>
      </w:r>
      <w:r>
        <w:t xml:space="preserve">were </w:t>
      </w:r>
      <w:r w:rsidRPr="00E47714">
        <w:t>living with diabetes in 2022</w:t>
      </w:r>
      <w:r>
        <w:t>. This equates to</w:t>
      </w:r>
      <w:r w:rsidRPr="00E47714">
        <w:t xml:space="preserve"> an age-standardised rate of 43.1 people per 1,000 population)</w:t>
      </w:r>
      <w:r>
        <w:t xml:space="preserve"> </w:t>
      </w:r>
      <w:r>
        <w:fldChar w:fldCharType="begin"/>
      </w:r>
      <w:r>
        <w:instrText xml:space="preserve"> ADDIN EN.CITE &lt;EndNote&gt;&lt;Cite&gt;&lt;Author&gt;Health NZ &lt;/Author&gt;&lt;Year&gt;2023&lt;/Year&gt;&lt;RecNum&gt;449&lt;/RecNum&gt;&lt;DisplayText&gt;(Health NZ 2023f)&lt;/DisplayText&gt;&lt;record&gt;&lt;rec-number&gt;449&lt;/rec-number&gt;&lt;foreign-keys&gt;&lt;key app="EN" db-id="aaepvppzs5wtfse95vsp2wahsrtvva2vvdet" timestamp="1716438218"&gt;449&lt;/key&gt;&lt;/foreign-keys&gt;&lt;ref-type name="Web Page"&gt;12&lt;/ref-type&gt;&lt;contributors&gt;&lt;authors&gt;&lt;author&gt;Health NZ ,&lt;/author&gt;&lt;/authors&gt;&lt;/contributors&gt;&lt;titles&gt;&lt;title&gt;Virtual Diabetes Register web tool&lt;/title&gt;&lt;/titles&gt;&lt;number&gt;23 May 2024&lt;/number&gt;&lt;dates&gt;&lt;year&gt;2023&lt;/year&gt;&lt;/dates&gt;&lt;urls&gt;&lt;related-urls&gt;&lt;url&gt;tewhatuora.shinyapps.io/virtual-diabetes-register-web-tool&lt;/url&gt;&lt;/related-urls&gt;&lt;/urls&gt;&lt;/record&gt;&lt;/Cite&gt;&lt;/EndNote&gt;</w:instrText>
      </w:r>
      <w:r>
        <w:fldChar w:fldCharType="separate"/>
      </w:r>
      <w:r>
        <w:rPr>
          <w:noProof/>
        </w:rPr>
        <w:t>(Health NZ 2023f)</w:t>
      </w:r>
      <w:r>
        <w:fldChar w:fldCharType="end"/>
      </w:r>
      <w:r w:rsidRPr="00E47714">
        <w:t xml:space="preserve">. </w:t>
      </w:r>
    </w:p>
    <w:p w14:paraId="64E672B6" w14:textId="77777777" w:rsidR="00C66A54" w:rsidRPr="00E47714" w:rsidRDefault="00C66A54" w:rsidP="007C188A">
      <w:pPr>
        <w:pStyle w:val="Bullet"/>
      </w:pPr>
      <w:r w:rsidRPr="00E47714">
        <w:t>Over the last 10 years, the estimated rate of diabetes</w:t>
      </w:r>
      <w:r w:rsidRPr="00935019">
        <w:t xml:space="preserve"> </w:t>
      </w:r>
      <w:r w:rsidRPr="00E47714">
        <w:t>per 1</w:t>
      </w:r>
      <w:r>
        <w:t>,</w:t>
      </w:r>
      <w:r w:rsidRPr="00E47714">
        <w:t>000 population</w:t>
      </w:r>
      <w:r w:rsidRPr="00E05E80">
        <w:t xml:space="preserve"> </w:t>
      </w:r>
      <w:r w:rsidRPr="00E47714">
        <w:t>increase</w:t>
      </w:r>
      <w:r>
        <w:t>d</w:t>
      </w:r>
      <w:r w:rsidRPr="00E47714">
        <w:t xml:space="preserve"> from 36.6 in 2013 to 43.1 in 2022.</w:t>
      </w:r>
    </w:p>
    <w:p w14:paraId="77CBA620" w14:textId="77777777" w:rsidR="00C66A54" w:rsidRPr="00E47714" w:rsidRDefault="00C66A54" w:rsidP="007C188A">
      <w:pPr>
        <w:pStyle w:val="Bullet"/>
      </w:pPr>
      <w:r w:rsidRPr="00E47714">
        <w:t xml:space="preserve">In 2022, Pacific </w:t>
      </w:r>
      <w:r>
        <w:t xml:space="preserve">peoples </w:t>
      </w:r>
      <w:r w:rsidRPr="00E47714">
        <w:t xml:space="preserve">had the highest estimated rate of diabetes (122.7 people per 1,000 </w:t>
      </w:r>
      <w:r>
        <w:t>population</w:t>
      </w:r>
      <w:r w:rsidRPr="00E47714">
        <w:t>)</w:t>
      </w:r>
      <w:r>
        <w:t>. The next highest rates were for</w:t>
      </w:r>
      <w:r w:rsidRPr="00E47714">
        <w:t xml:space="preserve"> the Indian population (103.1 people per 1,000 population) and Māori (71.2 people per 1,000 population).</w:t>
      </w:r>
    </w:p>
    <w:p w14:paraId="5AB11D0C" w14:textId="77777777" w:rsidR="00C66A54" w:rsidRPr="00E47714" w:rsidRDefault="00C66A54" w:rsidP="007C188A">
      <w:pPr>
        <w:pStyle w:val="Bullet"/>
      </w:pPr>
      <w:r>
        <w:t>The rate of diabetes among t</w:t>
      </w:r>
      <w:r w:rsidRPr="00E47714">
        <w:t xml:space="preserve">hose living in the most deprived areas </w:t>
      </w:r>
      <w:r>
        <w:t>was</w:t>
      </w:r>
      <w:r w:rsidRPr="00E47714">
        <w:t xml:space="preserve"> 2.7 times higher than</w:t>
      </w:r>
      <w:r>
        <w:t xml:space="preserve"> among</w:t>
      </w:r>
      <w:r w:rsidRPr="00E47714">
        <w:t xml:space="preserve"> those living in the least deprived areas.</w:t>
      </w:r>
    </w:p>
    <w:p w14:paraId="3A9FE601" w14:textId="77777777" w:rsidR="007C188A" w:rsidRDefault="007C188A" w:rsidP="00C66A54"/>
    <w:p w14:paraId="57B44646" w14:textId="46E0D6DE" w:rsidR="00C66A54" w:rsidRPr="00E47714" w:rsidRDefault="00C66A54" w:rsidP="00C66A54">
      <w:r w:rsidRPr="00E47714">
        <w:t xml:space="preserve">Chronic kidney disease (CKD) means a person’s kidneys are not functioning properly and are unlikely to get better. CKD can lead to kidney failure, which is fatal if not treated by either dialysis or a kidney transplant. The main causes of CKD are diabetes (about </w:t>
      </w:r>
      <w:r>
        <w:t>one</w:t>
      </w:r>
      <w:r w:rsidRPr="00E47714">
        <w:t xml:space="preserve"> in </w:t>
      </w:r>
      <w:r>
        <w:t>three</w:t>
      </w:r>
      <w:r w:rsidRPr="00E47714">
        <w:t xml:space="preserve"> people with diabetes will end up with some kidney damage) and/or high blood pressure. Other risk factors include unhealthy weight, family history of kidney disease, and tobacco use </w:t>
      </w:r>
      <w:r>
        <w:fldChar w:fldCharType="begin"/>
      </w:r>
      <w:r>
        <w:instrText xml:space="preserve"> ADDIN EN.CITE &lt;EndNote&gt;&lt;Cite&gt;&lt;Author&gt;Health NZ&lt;/Author&gt;&lt;Year&gt;2024&lt;/Year&gt;&lt;RecNum&gt;450&lt;/RecNum&gt;&lt;DisplayText&gt;(Health NZ 2024c)&lt;/DisplayText&gt;&lt;record&gt;&lt;rec-number&gt;450&lt;/rec-number&gt;&lt;foreign-keys&gt;&lt;key app="EN" db-id="aaepvppzs5wtfse95vsp2wahsrtvva2vvdet" timestamp="1716438796"&gt;450&lt;/key&gt;&lt;/foreign-keys&gt;&lt;ref-type name="Web Page"&gt;12&lt;/ref-type&gt;&lt;contributors&gt;&lt;authors&gt;&lt;author&gt;Health NZ,&lt;/author&gt;&lt;/authors&gt;&lt;/contributors&gt;&lt;titles&gt;&lt;title&gt;Chronic kidney disease&lt;/title&gt;&lt;/titles&gt;&lt;number&gt;23 May 2024&lt;/number&gt;&lt;dates&gt;&lt;year&gt;2024&lt;/year&gt;&lt;/dates&gt;&lt;urls&gt;&lt;related-urls&gt;&lt;url&gt;info.health.nz/conditions-treatments/bladder-kidney-and-urinary-system/chronic-kidney-disease&lt;/url&gt;&lt;/related-urls&gt;&lt;/urls&gt;&lt;/record&gt;&lt;/Cite&gt;&lt;/EndNote&gt;</w:instrText>
      </w:r>
      <w:r>
        <w:fldChar w:fldCharType="separate"/>
      </w:r>
      <w:r>
        <w:rPr>
          <w:noProof/>
        </w:rPr>
        <w:t>(Health NZ 2024c)</w:t>
      </w:r>
      <w:r>
        <w:fldChar w:fldCharType="end"/>
      </w:r>
      <w:r w:rsidRPr="00E47714">
        <w:t>.</w:t>
      </w:r>
    </w:p>
    <w:p w14:paraId="39F8E15E" w14:textId="77777777" w:rsidR="00C66A54" w:rsidRPr="00E47714" w:rsidRDefault="00C66A54" w:rsidP="00C66A54">
      <w:pPr>
        <w:pStyle w:val="Heading2"/>
      </w:pPr>
      <w:bookmarkStart w:id="154" w:name="_Toc171603274"/>
      <w:bookmarkStart w:id="155" w:name="_Toc171944534"/>
      <w:bookmarkStart w:id="156" w:name="_Toc172104674"/>
      <w:r w:rsidRPr="00E47714">
        <w:t>Oral health</w:t>
      </w:r>
      <w:bookmarkEnd w:id="154"/>
      <w:bookmarkEnd w:id="155"/>
      <w:bookmarkEnd w:id="156"/>
    </w:p>
    <w:p w14:paraId="1BEAA93E" w14:textId="234788A9" w:rsidR="00C66A54" w:rsidRDefault="00C66A54" w:rsidP="00C66A54">
      <w:pPr>
        <w:rPr>
          <w:shd w:val="clear" w:color="auto" w:fill="FFFFFF"/>
        </w:rPr>
      </w:pPr>
      <w:r w:rsidRPr="00E47714">
        <w:t xml:space="preserve">Oral diseases, while largely preventable, </w:t>
      </w:r>
      <w:r>
        <w:t>are</w:t>
      </w:r>
      <w:r w:rsidRPr="00E47714">
        <w:t xml:space="preserve"> a major health burden and affect people throughout their lifetime, causing pain, discomfort, disfigurement and even death. </w:t>
      </w:r>
      <w:r w:rsidRPr="00E47714">
        <w:rPr>
          <w:shd w:val="clear" w:color="auto" w:fill="FFFFFF"/>
        </w:rPr>
        <w:t xml:space="preserve">Oral diseases disproportionately affect the most vulnerable and disadvantaged populations. Globally, people </w:t>
      </w:r>
      <w:r>
        <w:rPr>
          <w:shd w:val="clear" w:color="auto" w:fill="FFFFFF"/>
        </w:rPr>
        <w:t xml:space="preserve">living </w:t>
      </w:r>
      <w:r w:rsidRPr="00E47714">
        <w:rPr>
          <w:shd w:val="clear" w:color="auto" w:fill="FFFFFF"/>
        </w:rPr>
        <w:t>in lower socioeconomic areas carry a higher burden of oral diseases across the</w:t>
      </w:r>
      <w:r>
        <w:rPr>
          <w:shd w:val="clear" w:color="auto" w:fill="FFFFFF"/>
        </w:rPr>
        <w:t>ir</w:t>
      </w:r>
      <w:r w:rsidRPr="00E47714">
        <w:rPr>
          <w:shd w:val="clear" w:color="auto" w:fill="FFFFFF"/>
        </w:rPr>
        <w:t xml:space="preserve"> life course, from early childhood to older age, and </w:t>
      </w:r>
      <w:r>
        <w:rPr>
          <w:shd w:val="clear" w:color="auto" w:fill="FFFFFF"/>
        </w:rPr>
        <w:t xml:space="preserve">across all countries </w:t>
      </w:r>
      <w:r w:rsidRPr="00E47714">
        <w:rPr>
          <w:shd w:val="clear" w:color="auto" w:fill="FFFFFF"/>
        </w:rPr>
        <w:t xml:space="preserve">regardless of </w:t>
      </w:r>
      <w:r>
        <w:rPr>
          <w:shd w:val="clear" w:color="auto" w:fill="FFFFFF"/>
        </w:rPr>
        <w:t>what the</w:t>
      </w:r>
      <w:r w:rsidRPr="00E47714">
        <w:rPr>
          <w:shd w:val="clear" w:color="auto" w:fill="FFFFFF"/>
        </w:rPr>
        <w:t xml:space="preserve"> overall income level</w:t>
      </w:r>
      <w:r>
        <w:rPr>
          <w:shd w:val="clear" w:color="auto" w:fill="FFFFFF"/>
        </w:rPr>
        <w:t xml:space="preserve"> of the individual country is</w:t>
      </w:r>
      <w:r w:rsidRPr="00E47714">
        <w:rPr>
          <w:shd w:val="clear" w:color="auto" w:fill="FFFFFF"/>
        </w:rPr>
        <w:t xml:space="preserve"> </w:t>
      </w:r>
      <w:r>
        <w:rPr>
          <w:shd w:val="clear" w:color="auto" w:fill="FFFFFF"/>
        </w:rPr>
        <w:fldChar w:fldCharType="begin"/>
      </w:r>
      <w:r>
        <w:rPr>
          <w:shd w:val="clear" w:color="auto" w:fill="FFFFFF"/>
        </w:rPr>
        <w:instrText xml:space="preserve"> ADDIN EN.CITE &lt;EndNote&gt;&lt;Cite&gt;&lt;Author&gt;WHO&lt;/Author&gt;&lt;Year&gt;(nd)&lt;/Year&gt;&lt;RecNum&gt;451&lt;/RecNum&gt;&lt;DisplayText&gt;(WHO (nd)-d)&lt;/DisplayText&gt;&lt;record&gt;&lt;rec-number&gt;451&lt;/rec-number&gt;&lt;foreign-keys&gt;&lt;key app="EN" db-id="aaepvppzs5wtfse95vsp2wahsrtvva2vvdet" timestamp="1716500324"&gt;451&lt;/key&gt;&lt;/foreign-keys&gt;&lt;ref-type name="Web Page"&gt;12&lt;/ref-type&gt;&lt;contributors&gt;&lt;authors&gt;&lt;author&gt;WHO&lt;/author&gt;&lt;/authors&gt;&lt;/contributors&gt;&lt;titles&gt;&lt;title&gt;Oral health&lt;/title&gt;&lt;/titles&gt;&lt;number&gt;24 May 2024&lt;/number&gt;&lt;dates&gt;&lt;year&gt;(nd)&lt;/year&gt;&lt;/dates&gt;&lt;urls&gt;&lt;related-urls&gt;&lt;url&gt;who.int/health-topics/oral-health&lt;/url&gt;&lt;/related-urls&gt;&lt;/urls&gt;&lt;/record&gt;&lt;/Cite&gt;&lt;/EndNote&gt;</w:instrText>
      </w:r>
      <w:r>
        <w:rPr>
          <w:shd w:val="clear" w:color="auto" w:fill="FFFFFF"/>
        </w:rPr>
        <w:fldChar w:fldCharType="separate"/>
      </w:r>
      <w:r>
        <w:rPr>
          <w:noProof/>
          <w:shd w:val="clear" w:color="auto" w:fill="FFFFFF"/>
        </w:rPr>
        <w:t>(WHO (nd)-d)</w:t>
      </w:r>
      <w:r>
        <w:rPr>
          <w:shd w:val="clear" w:color="auto" w:fill="FFFFFF"/>
        </w:rPr>
        <w:fldChar w:fldCharType="end"/>
      </w:r>
      <w:r w:rsidRPr="00E47714">
        <w:rPr>
          <w:shd w:val="clear" w:color="auto" w:fill="FFFFFF"/>
        </w:rPr>
        <w:t>.</w:t>
      </w:r>
    </w:p>
    <w:p w14:paraId="0A527C23" w14:textId="77777777" w:rsidR="007C188A" w:rsidRPr="00E47714" w:rsidRDefault="007C188A" w:rsidP="00C66A54"/>
    <w:p w14:paraId="146B7E0D" w14:textId="77777777" w:rsidR="00C66A54" w:rsidRPr="00E47714" w:rsidRDefault="00C66A54" w:rsidP="00C66A54">
      <w:pPr>
        <w:rPr>
          <w:rFonts w:cs="Segoe UI"/>
          <w:color w:val="000000" w:themeColor="text1"/>
        </w:rPr>
      </w:pPr>
      <w:r w:rsidRPr="00E47714">
        <w:t>In Aotearoa New Zealand, basic oral health care is publicly funded (free) for children and adolescents aged 0 to 17 years. Once a person turns 18</w:t>
      </w:r>
      <w:r>
        <w:t xml:space="preserve"> years,</w:t>
      </w:r>
      <w:r w:rsidRPr="00E47714">
        <w:t xml:space="preserve"> </w:t>
      </w:r>
      <w:r>
        <w:t xml:space="preserve">they must fund </w:t>
      </w:r>
      <w:r w:rsidRPr="00E47714">
        <w:t xml:space="preserve">most </w:t>
      </w:r>
      <w:r>
        <w:t xml:space="preserve">of their own </w:t>
      </w:r>
      <w:r w:rsidRPr="00E47714">
        <w:t xml:space="preserve">dental care privately. A limited range of dental services </w:t>
      </w:r>
      <w:r>
        <w:t>is</w:t>
      </w:r>
      <w:r w:rsidRPr="00E47714">
        <w:t xml:space="preserve"> funded for some adults, such as emergency or basic care for low-income adults, </w:t>
      </w:r>
      <w:r>
        <w:t>and</w:t>
      </w:r>
      <w:r w:rsidRPr="00E47714">
        <w:t xml:space="preserve"> hospital dental services for people with disabilities, medical conditions or behavioural difficulties </w:t>
      </w:r>
      <w:r>
        <w:fldChar w:fldCharType="begin"/>
      </w:r>
      <w:r>
        <w:instrText xml:space="preserve"> ADDIN EN.CITE &lt;EndNote&gt;&lt;Cite&gt;&lt;Author&gt;Health NZ&lt;/Author&gt;&lt;Year&gt;2024&lt;/Year&gt;&lt;RecNum&gt;452&lt;/RecNum&gt;&lt;DisplayText&gt;(Health NZ 2024d)&lt;/DisplayText&gt;&lt;record&gt;&lt;rec-number&gt;452&lt;/rec-number&gt;&lt;foreign-keys&gt;&lt;key app="EN" db-id="aaepvppzs5wtfse95vsp2wahsrtvva2vvdet" timestamp="1716500436"&gt;452&lt;/key&gt;&lt;/foreign-keys&gt;&lt;ref-type name="Web Page"&gt;12&lt;/ref-type&gt;&lt;contributors&gt;&lt;authors&gt;&lt;author&gt;Health NZ,&lt;/author&gt;&lt;/authors&gt;&lt;/contributors&gt;&lt;titles&gt;&lt;title&gt;Dental care&lt;/title&gt;&lt;/titles&gt;&lt;number&gt;24 May 2024&lt;/number&gt;&lt;dates&gt;&lt;year&gt;2024&lt;/year&gt;&lt;/dates&gt;&lt;urls&gt;&lt;related-urls&gt;&lt;url&gt;info.health.nz/keeping-healthy/teeth-and-gums/dental-care&lt;/url&gt;&lt;/related-urls&gt;&lt;/urls&gt;&lt;/record&gt;&lt;/Cite&gt;&lt;/EndNote&gt;</w:instrText>
      </w:r>
      <w:r>
        <w:fldChar w:fldCharType="separate"/>
      </w:r>
      <w:r>
        <w:rPr>
          <w:noProof/>
        </w:rPr>
        <w:t>(Health NZ 2024d)</w:t>
      </w:r>
      <w:r>
        <w:fldChar w:fldCharType="end"/>
      </w:r>
      <w:r w:rsidRPr="00E47714">
        <w:t>.</w:t>
      </w:r>
    </w:p>
    <w:p w14:paraId="7ACF79FB" w14:textId="77777777" w:rsidR="00C66A54" w:rsidRPr="00E47714" w:rsidRDefault="00C66A54" w:rsidP="00C66A54">
      <w:pPr>
        <w:pStyle w:val="Heading3"/>
      </w:pPr>
      <w:r w:rsidRPr="00E47714">
        <w:lastRenderedPageBreak/>
        <w:t>Children’s oral health</w:t>
      </w:r>
    </w:p>
    <w:p w14:paraId="04879A68" w14:textId="1970FBCC" w:rsidR="00C66A54" w:rsidRDefault="00C66A54" w:rsidP="00C66A54">
      <w:r w:rsidRPr="00E47714">
        <w:t>Dental caries (tooth decay), a largely preventable disease, remains a widespread childhood disease in Aotearoa</w:t>
      </w:r>
      <w:r>
        <w:t xml:space="preserve"> New Zealand</w:t>
      </w:r>
      <w:r w:rsidRPr="00E47714">
        <w:t>.</w:t>
      </w:r>
      <w:r w:rsidRPr="00692399">
        <w:t xml:space="preserve"> </w:t>
      </w:r>
      <w:r>
        <w:t>Among</w:t>
      </w:r>
      <w:r w:rsidRPr="00E47714">
        <w:t xml:space="preserve"> children aged 0</w:t>
      </w:r>
      <w:r w:rsidRPr="00E47714">
        <w:rPr>
          <w:rStyle w:val="normaltextrun"/>
          <w:rFonts w:ascii="Calibri" w:hAnsi="Calibri" w:cs="Calibri"/>
          <w:color w:val="000000"/>
          <w:bdr w:val="none" w:sz="0" w:space="0" w:color="auto" w:frame="1"/>
        </w:rPr>
        <w:t>–</w:t>
      </w:r>
      <w:r w:rsidRPr="00E47714">
        <w:t>4 years</w:t>
      </w:r>
      <w:r>
        <w:t>,</w:t>
      </w:r>
      <w:r w:rsidRPr="00E47714">
        <w:t xml:space="preserve"> </w:t>
      </w:r>
      <w:r>
        <w:t>i</w:t>
      </w:r>
      <w:r w:rsidRPr="00E47714">
        <w:t xml:space="preserve">t is the fourth most common reason for ambulatory sensitive hospitalisations (see </w:t>
      </w:r>
      <w:r>
        <w:t xml:space="preserve">the </w:t>
      </w:r>
      <w:hyperlink w:anchor="_Ambulatory_sensitive_hospitalisatio" w:history="1">
        <w:r w:rsidRPr="00692399">
          <w:rPr>
            <w:rStyle w:val="Hyperlink"/>
          </w:rPr>
          <w:t>Ambulatory sensitive hospitalisations</w:t>
        </w:r>
      </w:hyperlink>
      <w:r>
        <w:t xml:space="preserve"> section for more on this measure</w:t>
      </w:r>
      <w:r w:rsidRPr="00E47714">
        <w:t xml:space="preserve">) </w:t>
      </w:r>
      <w:r>
        <w:fldChar w:fldCharType="begin"/>
      </w:r>
      <w:r>
        <w:instrText xml:space="preserve"> ADDIN EN.CITE &lt;EndNote&gt;&lt;Cite&gt;&lt;Author&gt;Ministry of Health &lt;/Author&gt;&lt;Year&gt;2023&lt;/Year&gt;&lt;RecNum&gt;453&lt;/RecNum&gt;&lt;DisplayText&gt;(Ministry of Health 2023c)&lt;/DisplayText&gt;&lt;record&gt;&lt;rec-number&gt;453&lt;/rec-number&gt;&lt;foreign-keys&gt;&lt;key app="EN" db-id="aaepvppzs5wtfse95vsp2wahsrtvva2vvdet" timestamp="1716501270"&gt;453&lt;/key&gt;&lt;/foreign-keys&gt;&lt;ref-type name="Web Page"&gt;12&lt;/ref-type&gt;&lt;contributors&gt;&lt;authors&gt;&lt;author&gt;Ministry of Health ,&lt;/author&gt;&lt;/authors&gt;&lt;/contributors&gt;&lt;titles&gt;&lt;title&gt;Ambulatory Sensitive Hospitalisation (ASH)&lt;/title&gt;&lt;/titles&gt;&lt;number&gt;24 May 2024&lt;/number&gt;&lt;dates&gt;&lt;year&gt;2023&lt;/year&gt;&lt;/dates&gt;&lt;urls&gt;&lt;related-urls&gt;&lt;url&gt;minhealthnz.shinyapps.io/ASH_district_dom&lt;/url&gt;&lt;/related-urls&gt;&lt;/urls&gt;&lt;/record&gt;&lt;/Cite&gt;&lt;/EndNote&gt;</w:instrText>
      </w:r>
      <w:r>
        <w:fldChar w:fldCharType="separate"/>
      </w:r>
      <w:r>
        <w:rPr>
          <w:noProof/>
        </w:rPr>
        <w:t>(Ministry of Health 2023c)</w:t>
      </w:r>
      <w:r>
        <w:fldChar w:fldCharType="end"/>
      </w:r>
      <w:r w:rsidRPr="00E47714">
        <w:t xml:space="preserve">.   </w:t>
      </w:r>
    </w:p>
    <w:p w14:paraId="1E78739D" w14:textId="77777777" w:rsidR="007C188A" w:rsidRPr="00E47714" w:rsidRDefault="007C188A" w:rsidP="00C66A54"/>
    <w:p w14:paraId="613B43F2" w14:textId="77777777" w:rsidR="00C66A54" w:rsidRPr="00E47714" w:rsidRDefault="00C66A54" w:rsidP="00C66A54">
      <w:r w:rsidRPr="00E47714">
        <w:t>In 2008, there was a major reorientation of community oral health services in Aotearoa New Zealand, with significant government investment into service renewal and redesign</w:t>
      </w:r>
      <w:r>
        <w:t xml:space="preserve"> </w:t>
      </w:r>
      <w:r>
        <w:fldChar w:fldCharType="begin"/>
      </w:r>
      <w:r>
        <w:instrText xml:space="preserve"> ADDIN EN.CITE &lt;EndNote&gt;&lt;Cite&gt;&lt;Author&gt;Foote J&lt;/Author&gt;&lt;Year&gt;2014&lt;/Year&gt;&lt;RecNum&gt;454&lt;/RecNum&gt;&lt;DisplayText&gt;(Foote J et al 2014)&lt;/DisplayText&gt;&lt;record&gt;&lt;rec-number&gt;454&lt;/rec-number&gt;&lt;foreign-keys&gt;&lt;key app="EN" db-id="aaepvppzs5wtfse95vsp2wahsrtvva2vvdet" timestamp="1716502319"&gt;454&lt;/key&gt;&lt;/foreign-keys&gt;&lt;ref-type name="Generic"&gt;13&lt;/ref-type&gt;&lt;contributors&gt;&lt;authors&gt;&lt;author&gt;Foote J, &lt;/author&gt;&lt;author&gt;Hepi M,&lt;/author&gt;&lt;author&gt;Nicholas G,&lt;/author&gt;&lt;/authors&gt;&lt;/contributors&gt;&lt;titles&gt;&lt;title&gt;An evaluation of the reorientation of child and adolescent oral health service&lt;/title&gt;&lt;/titles&gt;&lt;dates&gt;&lt;year&gt;2014&lt;/year&gt;&lt;/dates&gt;&lt;publisher&gt;Institute of Environmental Science and Research Limited&lt;/publisher&gt;&lt;urls&gt;&lt;/urls&gt;&lt;/record&gt;&lt;/Cite&gt;&lt;/EndNote&gt;</w:instrText>
      </w:r>
      <w:r>
        <w:fldChar w:fldCharType="separate"/>
      </w:r>
      <w:r>
        <w:rPr>
          <w:noProof/>
        </w:rPr>
        <w:t>(Foote J et al 2014)</w:t>
      </w:r>
      <w:r>
        <w:fldChar w:fldCharType="end"/>
      </w:r>
      <w:r w:rsidRPr="00E47714">
        <w:t xml:space="preserve">. In addition to improving facilities, equipment, workforce retention and models of care, the aims of the reorientation programme </w:t>
      </w:r>
      <w:r>
        <w:t>were to</w:t>
      </w:r>
      <w:r w:rsidRPr="00E47714">
        <w:t xml:space="preserve">: </w:t>
      </w:r>
    </w:p>
    <w:p w14:paraId="39AA95A6" w14:textId="77777777" w:rsidR="00C66A54" w:rsidRPr="00E47714" w:rsidRDefault="00C66A54" w:rsidP="007C188A">
      <w:pPr>
        <w:pStyle w:val="Bullet"/>
      </w:pPr>
      <w:r>
        <w:t>i</w:t>
      </w:r>
      <w:r w:rsidRPr="00E47714">
        <w:t>ncreas</w:t>
      </w:r>
      <w:r>
        <w:t>e</w:t>
      </w:r>
      <w:r w:rsidRPr="00E47714">
        <w:t xml:space="preserve"> infant and preschool contact, health promotion and preventive </w:t>
      </w:r>
      <w:proofErr w:type="gramStart"/>
      <w:r w:rsidRPr="00E47714">
        <w:t>activities</w:t>
      </w:r>
      <w:proofErr w:type="gramEnd"/>
    </w:p>
    <w:p w14:paraId="603BC902" w14:textId="77777777" w:rsidR="00C66A54" w:rsidRPr="00E47714" w:rsidRDefault="00C66A54" w:rsidP="007C188A">
      <w:pPr>
        <w:pStyle w:val="Bullet"/>
      </w:pPr>
      <w:r>
        <w:t>r</w:t>
      </w:r>
      <w:r w:rsidRPr="00E47714">
        <w:t>educ</w:t>
      </w:r>
      <w:r>
        <w:t>e</w:t>
      </w:r>
      <w:r w:rsidRPr="00E47714">
        <w:t xml:space="preserve"> barriers to access for Māori, Pacific peoples and low-income </w:t>
      </w:r>
      <w:proofErr w:type="gramStart"/>
      <w:r w:rsidRPr="00E47714">
        <w:t>families</w:t>
      </w:r>
      <w:proofErr w:type="gramEnd"/>
    </w:p>
    <w:p w14:paraId="709B4B68" w14:textId="77777777" w:rsidR="00C66A54" w:rsidRPr="00E47714" w:rsidRDefault="00C66A54" w:rsidP="007C188A">
      <w:pPr>
        <w:pStyle w:val="Bullet"/>
      </w:pPr>
      <w:r>
        <w:t>r</w:t>
      </w:r>
      <w:r w:rsidRPr="00E47714">
        <w:t>educ</w:t>
      </w:r>
      <w:r>
        <w:t>e</w:t>
      </w:r>
      <w:r w:rsidRPr="00E47714">
        <w:t xml:space="preserve"> </w:t>
      </w:r>
      <w:proofErr w:type="gramStart"/>
      <w:r w:rsidRPr="00E47714">
        <w:t>disparities</w:t>
      </w:r>
      <w:proofErr w:type="gramEnd"/>
    </w:p>
    <w:p w14:paraId="10A8D463" w14:textId="77777777" w:rsidR="00C66A54" w:rsidRPr="00E47714" w:rsidRDefault="00C66A54" w:rsidP="007C188A">
      <w:pPr>
        <w:pStyle w:val="Bullet"/>
      </w:pPr>
      <w:r>
        <w:t>i</w:t>
      </w:r>
      <w:r w:rsidRPr="00E47714">
        <w:t>mprov</w:t>
      </w:r>
      <w:r>
        <w:t>e</w:t>
      </w:r>
      <w:r w:rsidRPr="00E47714">
        <w:t xml:space="preserve"> access to services for adolescents. </w:t>
      </w:r>
    </w:p>
    <w:p w14:paraId="37E89A54" w14:textId="77777777" w:rsidR="00C66A54" w:rsidRPr="00E47714" w:rsidRDefault="00C66A54" w:rsidP="00C66A54">
      <w:pPr>
        <w:rPr>
          <w:rFonts w:cs="Segoe UI"/>
        </w:rPr>
      </w:pPr>
    </w:p>
    <w:p w14:paraId="7175637A" w14:textId="77777777" w:rsidR="00C66A54" w:rsidRDefault="00C66A54" w:rsidP="00C66A54">
      <w:r w:rsidRPr="00E47714">
        <w:t>Aotearoa New Zealand</w:t>
      </w:r>
      <w:r>
        <w:t xml:space="preserve"> has two</w:t>
      </w:r>
      <w:r w:rsidRPr="00E47714">
        <w:t xml:space="preserve"> key measures for children</w:t>
      </w:r>
      <w:r>
        <w:t>’s</w:t>
      </w:r>
      <w:r w:rsidRPr="00E47714">
        <w:t xml:space="preserve"> oral health</w:t>
      </w:r>
      <w:r>
        <w:t>:</w:t>
      </w:r>
      <w:r w:rsidRPr="00E47714">
        <w:t xml:space="preserve"> the percentage of children caries-free at age </w:t>
      </w:r>
      <w:r>
        <w:t>five years; and</w:t>
      </w:r>
      <w:r w:rsidRPr="00E47714">
        <w:t xml:space="preserve"> the average level of decayed, missing and filled teeth (DMFT) in permanent teeth at year 8 (around 12 years of age).</w:t>
      </w:r>
      <w:r>
        <w:t xml:space="preserve"> Rates are shown for Māori, Pacific peoples, European or other, and total.</w:t>
      </w:r>
    </w:p>
    <w:p w14:paraId="77E69CD3" w14:textId="77777777" w:rsidR="00EA425B" w:rsidRPr="00E47714" w:rsidRDefault="00EA425B" w:rsidP="00C66A54"/>
    <w:p w14:paraId="3F762CCA" w14:textId="749C2BF7" w:rsidR="00C66A54" w:rsidRPr="00E47714" w:rsidRDefault="00C66A54" w:rsidP="00C66A54">
      <w:r w:rsidRPr="00E47714">
        <w:fldChar w:fldCharType="begin"/>
      </w:r>
      <w:r w:rsidRPr="00E47714">
        <w:instrText xml:space="preserve"> REF _Ref167531435 \h  \* MERGEFORMAT </w:instrText>
      </w:r>
      <w:r w:rsidRPr="00E47714">
        <w:fldChar w:fldCharType="separate"/>
      </w:r>
      <w:r w:rsidR="009A6F87" w:rsidRPr="00E47714">
        <w:t xml:space="preserve">Figure </w:t>
      </w:r>
      <w:r w:rsidR="009A6F87">
        <w:t>26</w:t>
      </w:r>
      <w:r w:rsidRPr="00E47714">
        <w:fldChar w:fldCharType="end"/>
      </w:r>
      <w:r w:rsidRPr="00E47714">
        <w:t xml:space="preserve"> shows the percentage of </w:t>
      </w:r>
      <w:r>
        <w:t xml:space="preserve">five-year-old </w:t>
      </w:r>
      <w:r w:rsidRPr="00E47714">
        <w:t xml:space="preserve">children </w:t>
      </w:r>
      <w:r>
        <w:t xml:space="preserve">who were </w:t>
      </w:r>
      <w:r w:rsidRPr="00E47714">
        <w:t>caries-free (free of dental decay) from 2010 to 2022.</w:t>
      </w:r>
      <w:r>
        <w:t xml:space="preserve"> </w:t>
      </w:r>
      <w:r w:rsidRPr="00E47714">
        <w:t xml:space="preserve">In 2022, </w:t>
      </w:r>
      <w:r>
        <w:t>among</w:t>
      </w:r>
      <w:r w:rsidRPr="00E47714">
        <w:t xml:space="preserve"> all children age</w:t>
      </w:r>
      <w:r>
        <w:t>d five</w:t>
      </w:r>
      <w:r w:rsidRPr="00E47714">
        <w:t xml:space="preserve"> </w:t>
      </w:r>
      <w:r>
        <w:t xml:space="preserve">years, </w:t>
      </w:r>
      <w:r w:rsidRPr="00E47714">
        <w:t>56.2%</w:t>
      </w:r>
      <w:r>
        <w:t xml:space="preserve"> were caries-free</w:t>
      </w:r>
      <w:r w:rsidRPr="00E47714">
        <w:t xml:space="preserve">. By ethnic group, </w:t>
      </w:r>
      <w:r>
        <w:t>the percentages of five-year-olds who were caries-free were</w:t>
      </w:r>
      <w:r w:rsidRPr="00E47714">
        <w:t>:</w:t>
      </w:r>
    </w:p>
    <w:p w14:paraId="33A129C2" w14:textId="77777777" w:rsidR="00C66A54" w:rsidRPr="00E47714" w:rsidRDefault="00C66A54" w:rsidP="007C188A">
      <w:pPr>
        <w:pStyle w:val="Bullet"/>
      </w:pPr>
      <w:r w:rsidRPr="00E47714">
        <w:t>Māori children</w:t>
      </w:r>
      <w:r>
        <w:t>:</w:t>
      </w:r>
      <w:r w:rsidRPr="00E47714">
        <w:t xml:space="preserve"> 39.0%, down from 41.1% in 2021</w:t>
      </w:r>
    </w:p>
    <w:p w14:paraId="48CBD24A" w14:textId="77777777" w:rsidR="00C66A54" w:rsidRPr="00E47714" w:rsidRDefault="00C66A54" w:rsidP="007C188A">
      <w:pPr>
        <w:pStyle w:val="Bullet"/>
      </w:pPr>
      <w:r w:rsidRPr="00E47714">
        <w:t>Pacific children</w:t>
      </w:r>
      <w:r>
        <w:t>:</w:t>
      </w:r>
      <w:r w:rsidRPr="00E47714">
        <w:t xml:space="preserve"> 33.5%, up from 33.1% in 2021</w:t>
      </w:r>
    </w:p>
    <w:p w14:paraId="4E4F406A" w14:textId="77777777" w:rsidR="00C66A54" w:rsidRPr="00E47714" w:rsidRDefault="00C66A54" w:rsidP="007C188A">
      <w:pPr>
        <w:pStyle w:val="Bullet"/>
      </w:pPr>
      <w:r w:rsidRPr="00E47714">
        <w:t>European/other children</w:t>
      </w:r>
      <w:r>
        <w:t>:</w:t>
      </w:r>
      <w:r w:rsidRPr="00E47714">
        <w:t xml:space="preserve"> 66.4%, down from 67.6% in 2021. </w:t>
      </w:r>
    </w:p>
    <w:p w14:paraId="5167130D" w14:textId="0ED61C35" w:rsidR="00C66A54" w:rsidRPr="00E47714" w:rsidRDefault="00C66A54" w:rsidP="007C188A">
      <w:pPr>
        <w:pStyle w:val="Figure"/>
      </w:pPr>
      <w:bookmarkStart w:id="157" w:name="_Ref167531435"/>
      <w:bookmarkStart w:id="158" w:name="_Toc171330673"/>
      <w:bookmarkStart w:id="159" w:name="_Toc172104709"/>
      <w:r w:rsidRPr="00E47714">
        <w:lastRenderedPageBreak/>
        <w:t xml:space="preserve">Figure </w:t>
      </w:r>
      <w:fldSimple w:instr=" SEQ Figure \* ARABIC ">
        <w:r w:rsidR="009A6F87">
          <w:rPr>
            <w:noProof/>
          </w:rPr>
          <w:t>26</w:t>
        </w:r>
      </w:fldSimple>
      <w:bookmarkEnd w:id="157"/>
      <w:r w:rsidRPr="00E47714">
        <w:t>: Percentage of children caries</w:t>
      </w:r>
      <w:r>
        <w:t>-</w:t>
      </w:r>
      <w:r w:rsidRPr="00E47714">
        <w:t xml:space="preserve">free at age </w:t>
      </w:r>
      <w:r>
        <w:t>five years</w:t>
      </w:r>
      <w:r w:rsidRPr="00E47714">
        <w:t>, by ethnic group (prioritised ethnicity), 2010–2022</w:t>
      </w:r>
      <w:bookmarkEnd w:id="158"/>
      <w:bookmarkEnd w:id="159"/>
    </w:p>
    <w:p w14:paraId="7A52ACD1" w14:textId="77777777" w:rsidR="00C66A54" w:rsidRPr="00E47714" w:rsidRDefault="00C66A54" w:rsidP="007C188A">
      <w:pPr>
        <w:pStyle w:val="NormalWeb"/>
        <w:spacing w:before="0" w:beforeAutospacing="0" w:after="0" w:afterAutospacing="0"/>
      </w:pPr>
      <w:r w:rsidRPr="00E47714">
        <w:rPr>
          <w:noProof/>
        </w:rPr>
        <w:drawing>
          <wp:inline distT="0" distB="0" distL="0" distR="0" wp14:anchorId="0C7DA650" wp14:editId="70C85DF1">
            <wp:extent cx="5116285" cy="3837214"/>
            <wp:effectExtent l="0" t="0" r="8255" b="0"/>
            <wp:docPr id="1823296327" name="Picture 1823296327" descr="This time series line chart shows the percentage of children caries-free at age five by ethnic group, between 2010 and 2022. Throughout the series, European/other has the highest caries-free percentage, followed by Māori and then Pacific peoples. The percentage of children caries-free at age five has remained relatively consistent across time. In 2022, 66.4% of European/other children, 39.0% of Māori children, and 33.5% of Pacific children were caries free at age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7" name="Picture 1823296327" descr="This time series line chart shows the percentage of children caries-free at age five by ethnic group, between 2010 and 2022. Throughout the series, European/other has the highest caries-free percentage, followed by Māori and then Pacific peoples. The percentage of children caries-free at age five has remained relatively consistent across time. In 2022, 66.4% of European/other children, 39.0% of Māori children, and 33.5% of Pacific children were caries free at age five."/>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125224" cy="3843918"/>
                    </a:xfrm>
                    <a:prstGeom prst="rect">
                      <a:avLst/>
                    </a:prstGeom>
                    <a:noFill/>
                    <a:ln>
                      <a:noFill/>
                    </a:ln>
                  </pic:spPr>
                </pic:pic>
              </a:graphicData>
            </a:graphic>
          </wp:inline>
        </w:drawing>
      </w:r>
    </w:p>
    <w:p w14:paraId="50BCB89F" w14:textId="77777777" w:rsidR="00C66A54" w:rsidRPr="00E47714" w:rsidRDefault="00C66A54" w:rsidP="00C66A54">
      <w:pPr>
        <w:pStyle w:val="Source"/>
      </w:pPr>
      <w:r w:rsidRPr="00E47714">
        <w:rPr>
          <w:b/>
          <w:bCs/>
        </w:rPr>
        <w:t>Source:</w:t>
      </w:r>
      <w:r w:rsidRPr="00E47714">
        <w:t xml:space="preserve"> </w:t>
      </w:r>
      <w:r>
        <w:fldChar w:fldCharType="begin"/>
      </w:r>
      <w:r>
        <w:instrText xml:space="preserve"> ADDIN EN.CITE &lt;EndNote&gt;&lt;Cite AuthorYear="1"&gt;&lt;Author&gt;Ministry of Health &lt;/Author&gt;&lt;Year&gt;2023&lt;/Year&gt;&lt;RecNum&gt;522&lt;/RecNum&gt;&lt;DisplayText&gt;Ministry of Health (2023b)&lt;/DisplayText&gt;&lt;record&gt;&lt;rec-number&gt;522&lt;/rec-number&gt;&lt;foreign-keys&gt;&lt;key app="EN" db-id="aaepvppzs5wtfse95vsp2wahsrtvva2vvdet" timestamp="1717469824"&gt;522&lt;/key&gt;&lt;/foreign-keys&gt;&lt;ref-type name="Web Page"&gt;12&lt;/ref-type&gt;&lt;contributors&gt;&lt;authors&gt;&lt;author&gt;Ministry of Health ,&lt;/author&gt;&lt;/authors&gt;&lt;/contributors&gt;&lt;titles&gt;&lt;title&gt;Age 5 and year 8 oral health data from the Community Oral Health Service&lt;/title&gt;&lt;/titles&gt;&lt;number&gt;21 March 2024&lt;/number&gt;&lt;dates&gt;&lt;year&gt;2023&lt;/year&gt;&lt;/dates&gt;&lt;urls&gt;&lt;related-urls&gt;&lt;url&gt;health.govt.nz/nz-health-statistics/health-statistics-and-data-sets/oral-health-data-and-stats/age-5-and-year-8-oral-health-data-community-oral-health-service&lt;/url&gt;&lt;/related-urls&gt;&lt;/urls&gt;&lt;/record&gt;&lt;/Cite&gt;&lt;/EndNote&gt;</w:instrText>
      </w:r>
      <w:r>
        <w:fldChar w:fldCharType="separate"/>
      </w:r>
      <w:r>
        <w:rPr>
          <w:noProof/>
        </w:rPr>
        <w:t>Ministry of Health (2023b)</w:t>
      </w:r>
      <w:r>
        <w:fldChar w:fldCharType="end"/>
      </w:r>
    </w:p>
    <w:p w14:paraId="22E1D085" w14:textId="77777777" w:rsidR="007C188A" w:rsidRDefault="007C188A" w:rsidP="00C66A54"/>
    <w:p w14:paraId="73039EC6" w14:textId="7E1890D8" w:rsidR="00C66A54" w:rsidRPr="00E47714" w:rsidRDefault="00C66A54" w:rsidP="00C66A54">
      <w:r w:rsidRPr="00E47714">
        <w:fldChar w:fldCharType="begin"/>
      </w:r>
      <w:r w:rsidRPr="00E47714">
        <w:instrText xml:space="preserve"> REF _Ref167532202 \h  \* MERGEFORMAT </w:instrText>
      </w:r>
      <w:r w:rsidRPr="00E47714">
        <w:fldChar w:fldCharType="separate"/>
      </w:r>
      <w:r w:rsidR="009A6F87" w:rsidRPr="00E47714">
        <w:t xml:space="preserve">Figure </w:t>
      </w:r>
      <w:r w:rsidR="009A6F87">
        <w:t>27</w:t>
      </w:r>
      <w:r w:rsidRPr="00E47714">
        <w:fldChar w:fldCharType="end"/>
      </w:r>
      <w:r w:rsidRPr="00E47714">
        <w:t xml:space="preserve"> shows oral health improved for children at year 8</w:t>
      </w:r>
      <w:r>
        <w:t>,</w:t>
      </w:r>
      <w:r w:rsidRPr="00E47714">
        <w:t xml:space="preserve"> as measured by the average number of DMFT between 2010 and 2019 for all ethnic groups. However, improvements </w:t>
      </w:r>
      <w:r>
        <w:t>levelled off</w:t>
      </w:r>
      <w:r w:rsidRPr="00E47714">
        <w:t xml:space="preserve"> at that time for all but Pacific children, and inequities in DMFT </w:t>
      </w:r>
      <w:r>
        <w:t xml:space="preserve">numbers </w:t>
      </w:r>
      <w:r w:rsidRPr="00E47714">
        <w:t>remain. In 2022</w:t>
      </w:r>
      <w:r>
        <w:t>,</w:t>
      </w:r>
      <w:r w:rsidRPr="00E47714">
        <w:t xml:space="preserve"> the average </w:t>
      </w:r>
      <w:r>
        <w:t xml:space="preserve">number of </w:t>
      </w:r>
      <w:r w:rsidRPr="00E47714">
        <w:t xml:space="preserve">DMFT at year 8 for all children was 0.7. By ethnic group, </w:t>
      </w:r>
      <w:r>
        <w:t xml:space="preserve">the number of </w:t>
      </w:r>
      <w:r w:rsidRPr="00E47714">
        <w:t xml:space="preserve">DMFT was 1.1 for Māori children, 0.8 for Pacific children and 0.6 for European/other children. </w:t>
      </w:r>
    </w:p>
    <w:p w14:paraId="6CEF0B29" w14:textId="14FE778E" w:rsidR="00C66A54" w:rsidRPr="00E47714" w:rsidRDefault="00C66A54" w:rsidP="007C188A">
      <w:pPr>
        <w:pStyle w:val="Figure"/>
      </w:pPr>
      <w:bookmarkStart w:id="160" w:name="_Ref167532202"/>
      <w:bookmarkStart w:id="161" w:name="_Toc171330674"/>
      <w:bookmarkStart w:id="162" w:name="_Toc172104710"/>
      <w:r w:rsidRPr="00E47714">
        <w:lastRenderedPageBreak/>
        <w:t xml:space="preserve">Figure </w:t>
      </w:r>
      <w:fldSimple w:instr=" SEQ Figure \* ARABIC ">
        <w:r w:rsidR="009A6F87">
          <w:rPr>
            <w:noProof/>
          </w:rPr>
          <w:t>27</w:t>
        </w:r>
      </w:fldSimple>
      <w:bookmarkEnd w:id="160"/>
      <w:r w:rsidRPr="00E47714">
        <w:t>: Mean number of decayed, missing, and filled teeth (DMFT) per child at year 8, by ethnic group (prioritised ethnicity), 2010–</w:t>
      </w:r>
      <w:proofErr w:type="gramStart"/>
      <w:r w:rsidRPr="00E47714">
        <w:t>2022</w:t>
      </w:r>
      <w:bookmarkEnd w:id="161"/>
      <w:bookmarkEnd w:id="162"/>
      <w:proofErr w:type="gramEnd"/>
    </w:p>
    <w:p w14:paraId="298C2034" w14:textId="77777777" w:rsidR="00C66A54" w:rsidRPr="00E47714" w:rsidRDefault="00C66A54" w:rsidP="007C188A">
      <w:pPr>
        <w:pStyle w:val="NormalWeb"/>
        <w:spacing w:before="0" w:beforeAutospacing="0" w:after="0" w:afterAutospacing="0"/>
      </w:pPr>
      <w:r w:rsidRPr="00E47714">
        <w:rPr>
          <w:noProof/>
        </w:rPr>
        <w:drawing>
          <wp:inline distT="0" distB="0" distL="0" distR="0" wp14:anchorId="0C20A6C5" wp14:editId="3E6C1DEB">
            <wp:extent cx="5127171" cy="3845378"/>
            <wp:effectExtent l="0" t="0" r="0" b="3175"/>
            <wp:docPr id="1823296328" name="Picture 1823296328" descr="A time series line chart showing the mean number of decayed missing or filled permanent teeth (DMFT) for children in school year eight by ethnic group between 2010 and 2022. Throughout the timeseries, the European/other ethnic group had the lowest DMFT, followed by either Māori or Pacific peoples. DMFT declined for each ethnic group between 2010–2022. The total DMFT (all ethnic groups) was 1.2 in 2010, falling to 0.7 b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8" name="Picture 1823296328" descr="A time series line chart showing the mean number of decayed missing or filled permanent teeth (DMFT) for children in school year eight by ethnic group between 2010 and 2022. Throughout the timeseries, the European/other ethnic group had the lowest DMFT, followed by either Māori or Pacific peoples. DMFT declined for each ethnic group between 2010–2022. The total DMFT (all ethnic groups) was 1.2 in 2010, falling to 0.7 by 2022."/>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5136125" cy="3852094"/>
                    </a:xfrm>
                    <a:prstGeom prst="rect">
                      <a:avLst/>
                    </a:prstGeom>
                    <a:noFill/>
                    <a:ln>
                      <a:noFill/>
                    </a:ln>
                  </pic:spPr>
                </pic:pic>
              </a:graphicData>
            </a:graphic>
          </wp:inline>
        </w:drawing>
      </w:r>
    </w:p>
    <w:p w14:paraId="7FBC2B8D" w14:textId="77777777" w:rsidR="00C66A54" w:rsidRPr="00E47714" w:rsidRDefault="00C66A54" w:rsidP="00C66A54">
      <w:pPr>
        <w:pStyle w:val="Source"/>
      </w:pPr>
      <w:r w:rsidRPr="00E47714">
        <w:rPr>
          <w:b/>
          <w:bCs/>
        </w:rPr>
        <w:t>Source:</w:t>
      </w:r>
      <w:r>
        <w:rPr>
          <w:b/>
          <w:bCs/>
        </w:rPr>
        <w:t xml:space="preserve"> </w:t>
      </w:r>
      <w:r>
        <w:fldChar w:fldCharType="begin"/>
      </w:r>
      <w:r>
        <w:instrText xml:space="preserve"> ADDIN EN.CITE &lt;EndNote&gt;&lt;Cite AuthorYear="1"&gt;&lt;Author&gt;Ministry of Health &lt;/Author&gt;&lt;Year&gt;2023&lt;/Year&gt;&lt;RecNum&gt;522&lt;/RecNum&gt;&lt;DisplayText&gt;Ministry of Health (2023b)&lt;/DisplayText&gt;&lt;record&gt;&lt;rec-number&gt;522&lt;/rec-number&gt;&lt;foreign-keys&gt;&lt;key app="EN" db-id="aaepvppzs5wtfse95vsp2wahsrtvva2vvdet" timestamp="1717469824"&gt;522&lt;/key&gt;&lt;/foreign-keys&gt;&lt;ref-type name="Web Page"&gt;12&lt;/ref-type&gt;&lt;contributors&gt;&lt;authors&gt;&lt;author&gt;Ministry of Health ,&lt;/author&gt;&lt;/authors&gt;&lt;/contributors&gt;&lt;titles&gt;&lt;title&gt;Age 5 and year 8 oral health data from the Community Oral Health Service&lt;/title&gt;&lt;/titles&gt;&lt;number&gt;21 March 2024&lt;/number&gt;&lt;dates&gt;&lt;year&gt;2023&lt;/year&gt;&lt;/dates&gt;&lt;urls&gt;&lt;related-urls&gt;&lt;url&gt;health.govt.nz/nz-health-statistics/health-statistics-and-data-sets/oral-health-data-and-stats/age-5-and-year-8-oral-health-data-community-oral-health-service&lt;/url&gt;&lt;/related-urls&gt;&lt;/urls&gt;&lt;/record&gt;&lt;/Cite&gt;&lt;/EndNote&gt;</w:instrText>
      </w:r>
      <w:r>
        <w:fldChar w:fldCharType="separate"/>
      </w:r>
      <w:r>
        <w:rPr>
          <w:noProof/>
        </w:rPr>
        <w:t>Ministry of Health (2023b)</w:t>
      </w:r>
      <w:r>
        <w:fldChar w:fldCharType="end"/>
      </w:r>
    </w:p>
    <w:p w14:paraId="70DFB70E" w14:textId="77777777" w:rsidR="00C66A54" w:rsidRPr="00E47714" w:rsidRDefault="00C66A54" w:rsidP="00C66A54">
      <w:pPr>
        <w:pStyle w:val="Heading4"/>
      </w:pPr>
      <w:r w:rsidRPr="00E47714">
        <w:t xml:space="preserve">Visited a dental health care worker in the past 12 </w:t>
      </w:r>
      <w:proofErr w:type="gramStart"/>
      <w:r w:rsidRPr="00E47714">
        <w:t>months</w:t>
      </w:r>
      <w:proofErr w:type="gramEnd"/>
    </w:p>
    <w:p w14:paraId="517E9796" w14:textId="77777777" w:rsidR="00C66A54" w:rsidRPr="00E47714" w:rsidRDefault="00C66A54" w:rsidP="00C66A54">
      <w:r w:rsidRPr="00E47714">
        <w:t>In the Health Survey, for t</w:t>
      </w:r>
      <w:r w:rsidRPr="00E47714">
        <w:rPr>
          <w:rFonts w:eastAsia="Calibri Light"/>
        </w:rPr>
        <w:t xml:space="preserve">he </w:t>
      </w:r>
      <w:r>
        <w:t>three</w:t>
      </w:r>
      <w:r w:rsidRPr="00E47714">
        <w:t>-year pooled period ending 2022/23, 69.9% of children (</w:t>
      </w:r>
      <w:r>
        <w:t>1–</w:t>
      </w:r>
      <w:r w:rsidRPr="00E47714">
        <w:t xml:space="preserve">14 years of age) had seen a dental health care worker in the past 12 months </w:t>
      </w:r>
      <w:r>
        <w:fldChar w:fldCharType="begin"/>
      </w:r>
      <w:r>
        <w:instrText xml:space="preserve"> ADDIN EN.CITE &lt;EndNote&gt;&lt;Cite&gt;&lt;Author&gt;Ministry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r w:rsidRPr="00E47714">
        <w:t xml:space="preserve">. </w:t>
      </w:r>
      <w:r>
        <w:t>The r</w:t>
      </w:r>
      <w:r w:rsidRPr="00E47714">
        <w:t xml:space="preserve">ate of children visiting a dental health care worker (in the previous 12 months) was stable at around 83% for the </w:t>
      </w:r>
      <w:r>
        <w:t>three</w:t>
      </w:r>
      <w:r w:rsidRPr="00E47714">
        <w:t>-year pooled periods 2014/15</w:t>
      </w:r>
      <w:r>
        <w:t xml:space="preserve"> to </w:t>
      </w:r>
      <w:r w:rsidRPr="00E47714">
        <w:t xml:space="preserve">2018/19. Rates from 2020/21 decreased, likely due to the impact </w:t>
      </w:r>
      <w:r>
        <w:t xml:space="preserve">that </w:t>
      </w:r>
      <w:r w:rsidRPr="00E47714">
        <w:t xml:space="preserve">the COVID-19 pandemic </w:t>
      </w:r>
      <w:r>
        <w:t xml:space="preserve">had </w:t>
      </w:r>
      <w:r w:rsidRPr="00E47714">
        <w:t xml:space="preserve">on community oral health services. </w:t>
      </w:r>
      <w:r>
        <w:t>The decrease is evident among</w:t>
      </w:r>
      <w:r w:rsidRPr="00E47714">
        <w:t xml:space="preserve"> all age groups</w:t>
      </w:r>
      <w:r>
        <w:t>. For the three-</w:t>
      </w:r>
      <w:r w:rsidRPr="00E47714">
        <w:rPr>
          <w:rFonts w:cs="Segoe UI"/>
        </w:rPr>
        <w:t>year pooled period ending 2022/23</w:t>
      </w:r>
      <w:r>
        <w:t>, compared with the three</w:t>
      </w:r>
      <w:r w:rsidRPr="00E47714">
        <w:rPr>
          <w:rFonts w:cs="Segoe UI"/>
        </w:rPr>
        <w:t>-year pooled data ending 2013/14</w:t>
      </w:r>
      <w:r>
        <w:t>, the rate of children who</w:t>
      </w:r>
      <w:r w:rsidRPr="007915F9">
        <w:rPr>
          <w:rFonts w:cs="Segoe UI"/>
        </w:rPr>
        <w:t xml:space="preserve"> </w:t>
      </w:r>
      <w:r w:rsidRPr="00E47714">
        <w:rPr>
          <w:rFonts w:cs="Segoe UI"/>
        </w:rPr>
        <w:t>had visited a dental health care worker in the past 12 months</w:t>
      </w:r>
      <w:r>
        <w:rPr>
          <w:rFonts w:cs="Segoe UI"/>
        </w:rPr>
        <w:t xml:space="preserve"> was:</w:t>
      </w:r>
    </w:p>
    <w:p w14:paraId="008A26F2" w14:textId="77777777" w:rsidR="00C66A54" w:rsidRPr="00E47714" w:rsidRDefault="00C66A54" w:rsidP="007C188A">
      <w:pPr>
        <w:pStyle w:val="Bullet"/>
      </w:pPr>
      <w:r w:rsidRPr="00E47714">
        <w:t xml:space="preserve">46.3% </w:t>
      </w:r>
      <w:r>
        <w:t>among</w:t>
      </w:r>
      <w:r w:rsidRPr="00E47714">
        <w:t xml:space="preserve"> preschool children (</w:t>
      </w:r>
      <w:r>
        <w:t>1</w:t>
      </w:r>
      <w:r w:rsidRPr="00E47714">
        <w:rPr>
          <w:rStyle w:val="normaltextrun"/>
          <w:rFonts w:ascii="Calibri" w:hAnsi="Calibri" w:cs="Calibri"/>
          <w:color w:val="000000"/>
          <w:bdr w:val="none" w:sz="0" w:space="0" w:color="auto" w:frame="1"/>
        </w:rPr>
        <w:t>–</w:t>
      </w:r>
      <w:r w:rsidRPr="00E47714">
        <w:t>4 years of age), down from 55.8%</w:t>
      </w:r>
    </w:p>
    <w:p w14:paraId="4F04B009" w14:textId="77777777" w:rsidR="00C66A54" w:rsidRPr="00E47714" w:rsidRDefault="00C66A54" w:rsidP="007C188A">
      <w:pPr>
        <w:pStyle w:val="Bullet"/>
      </w:pPr>
      <w:r w:rsidRPr="00E47714">
        <w:t xml:space="preserve">78.3% </w:t>
      </w:r>
      <w:r>
        <w:t>among</w:t>
      </w:r>
      <w:r w:rsidRPr="00E47714">
        <w:t xml:space="preserve"> children 5</w:t>
      </w:r>
      <w:r w:rsidRPr="00E47714">
        <w:rPr>
          <w:rStyle w:val="normaltextrun"/>
          <w:rFonts w:ascii="Calibri" w:hAnsi="Calibri" w:cs="Calibri"/>
          <w:color w:val="000000"/>
          <w:bdr w:val="none" w:sz="0" w:space="0" w:color="auto" w:frame="1"/>
        </w:rPr>
        <w:t>–</w:t>
      </w:r>
      <w:r w:rsidRPr="00E47714">
        <w:t>9 years of age, down from 92.2%</w:t>
      </w:r>
    </w:p>
    <w:p w14:paraId="01E223DD" w14:textId="77777777" w:rsidR="00C66A54" w:rsidRPr="00E47714" w:rsidRDefault="00C66A54" w:rsidP="007C188A">
      <w:pPr>
        <w:pStyle w:val="Bullet"/>
      </w:pPr>
      <w:r w:rsidRPr="00E47714">
        <w:t xml:space="preserve">78.7% </w:t>
      </w:r>
      <w:r>
        <w:t>among</w:t>
      </w:r>
      <w:r w:rsidRPr="00E47714">
        <w:t xml:space="preserve"> children 10</w:t>
      </w:r>
      <w:r>
        <w:t>–</w:t>
      </w:r>
      <w:r w:rsidRPr="00E47714">
        <w:t>14 years of age, down from 91.6%.</w:t>
      </w:r>
    </w:p>
    <w:p w14:paraId="125A7DF4" w14:textId="77777777" w:rsidR="007C188A" w:rsidRDefault="007C188A" w:rsidP="00C66A54"/>
    <w:p w14:paraId="5B868503" w14:textId="6D6DE039" w:rsidR="00C66A54" w:rsidRPr="00E47714" w:rsidRDefault="00C66A54" w:rsidP="00C66A54">
      <w:r w:rsidRPr="00E47714">
        <w:fldChar w:fldCharType="begin"/>
      </w:r>
      <w:r w:rsidRPr="00E47714">
        <w:instrText xml:space="preserve"> REF _Ref167610492 \h  \* MERGEFORMAT </w:instrText>
      </w:r>
      <w:r w:rsidRPr="00E47714">
        <w:fldChar w:fldCharType="separate"/>
      </w:r>
      <w:r w:rsidR="009A6F87" w:rsidRPr="00E47714">
        <w:t xml:space="preserve">Figure </w:t>
      </w:r>
      <w:r w:rsidR="009A6F87">
        <w:t>28</w:t>
      </w:r>
      <w:r w:rsidRPr="00E47714">
        <w:fldChar w:fldCharType="end"/>
      </w:r>
      <w:r w:rsidRPr="00E47714">
        <w:t xml:space="preserve"> shows the percentage of children (</w:t>
      </w:r>
      <w:r>
        <w:t>1–</w:t>
      </w:r>
      <w:r w:rsidRPr="00E47714">
        <w:t>14 years) who visited a dental health care worker in the past 12 month</w:t>
      </w:r>
      <w:r>
        <w:t>s</w:t>
      </w:r>
      <w:r w:rsidRPr="00E47714">
        <w:t xml:space="preserve"> by ethnic group (showing </w:t>
      </w:r>
      <w:r>
        <w:t>three</w:t>
      </w:r>
      <w:r w:rsidRPr="00E47714">
        <w:t xml:space="preserve">-year rolling averages). </w:t>
      </w:r>
      <w:r>
        <w:t>It reflects the following findings for</w:t>
      </w:r>
      <w:r w:rsidRPr="00E47714">
        <w:t xml:space="preserve"> the </w:t>
      </w:r>
      <w:r>
        <w:t>three</w:t>
      </w:r>
      <w:r w:rsidRPr="00E47714">
        <w:t>-year pooled period ending 2022/23</w:t>
      </w:r>
      <w:r>
        <w:t>.</w:t>
      </w:r>
    </w:p>
    <w:p w14:paraId="52A9B8FB" w14:textId="77777777" w:rsidR="00C66A54" w:rsidRPr="00E47714" w:rsidRDefault="00C66A54" w:rsidP="007C188A">
      <w:pPr>
        <w:pStyle w:val="Bullet"/>
      </w:pPr>
      <w:r w:rsidRPr="00E47714">
        <w:t>Māori children</w:t>
      </w:r>
      <w:r>
        <w:t>:</w:t>
      </w:r>
      <w:r w:rsidRPr="00E47714">
        <w:t xml:space="preserve"> 70.8% had seen a dental health worker in the past 12 months. This was down from 78.9% for the </w:t>
      </w:r>
      <w:r>
        <w:t>three</w:t>
      </w:r>
      <w:r w:rsidRPr="00E47714">
        <w:t>-year</w:t>
      </w:r>
      <w:r w:rsidRPr="007915F9">
        <w:t xml:space="preserve"> </w:t>
      </w:r>
      <w:r w:rsidRPr="00E47714">
        <w:t xml:space="preserve">pooled period ending 2013/14, and down from a high of 83.3% for the </w:t>
      </w:r>
      <w:r>
        <w:t>three</w:t>
      </w:r>
      <w:r w:rsidRPr="00E47714">
        <w:t>-year pooled period ending 2018/19.</w:t>
      </w:r>
    </w:p>
    <w:p w14:paraId="542A4D73" w14:textId="77777777" w:rsidR="00C66A54" w:rsidRPr="00E47714" w:rsidRDefault="00C66A54" w:rsidP="007C188A">
      <w:pPr>
        <w:pStyle w:val="Bullet"/>
      </w:pPr>
      <w:r w:rsidRPr="00E47714">
        <w:lastRenderedPageBreak/>
        <w:t>Pacific children</w:t>
      </w:r>
      <w:r>
        <w:t>:</w:t>
      </w:r>
      <w:r w:rsidRPr="00E47714">
        <w:t xml:space="preserve"> 65.1% had seen a dental health worker in the past 12 months. This was down from 74.6% for the </w:t>
      </w:r>
      <w:r>
        <w:t>three</w:t>
      </w:r>
      <w:r w:rsidRPr="00E47714">
        <w:t xml:space="preserve">-year pooled period ending 2013/14, and down from a high of 78.5% for the </w:t>
      </w:r>
      <w:r>
        <w:t>three</w:t>
      </w:r>
      <w:r w:rsidRPr="00E47714">
        <w:t>-year pooled periods ending 2016/17 and 2018/19.</w:t>
      </w:r>
    </w:p>
    <w:p w14:paraId="75EA0D90" w14:textId="77777777" w:rsidR="00C66A54" w:rsidRPr="00E47714" w:rsidRDefault="00C66A54" w:rsidP="007C188A">
      <w:pPr>
        <w:pStyle w:val="Bullet"/>
      </w:pPr>
      <w:r w:rsidRPr="00E47714">
        <w:t>Asian children</w:t>
      </w:r>
      <w:r>
        <w:t>:</w:t>
      </w:r>
      <w:r w:rsidRPr="00E47714">
        <w:t xml:space="preserve"> 58.6% had seen a dental health worker in the past 12 months. This was down from 76.5% for the </w:t>
      </w:r>
      <w:r>
        <w:t>three</w:t>
      </w:r>
      <w:r w:rsidRPr="00E47714">
        <w:t xml:space="preserve">-year </w:t>
      </w:r>
      <w:r>
        <w:t xml:space="preserve">pooled </w:t>
      </w:r>
      <w:r w:rsidRPr="00E47714">
        <w:t xml:space="preserve">period ending 2013/14, and down from a high of 77.5% for the </w:t>
      </w:r>
      <w:r>
        <w:t>three</w:t>
      </w:r>
      <w:r w:rsidRPr="00E47714">
        <w:t>-year pooled period ending 2014/15.</w:t>
      </w:r>
    </w:p>
    <w:p w14:paraId="2F1756E2" w14:textId="77777777" w:rsidR="00C66A54" w:rsidRPr="00E47714" w:rsidRDefault="00C66A54" w:rsidP="007C188A">
      <w:pPr>
        <w:pStyle w:val="Bullet"/>
      </w:pPr>
      <w:r w:rsidRPr="00E47714">
        <w:t>European/other children</w:t>
      </w:r>
      <w:r>
        <w:t>:</w:t>
      </w:r>
      <w:r w:rsidRPr="00E47714">
        <w:t xml:space="preserve"> 73.5% had seen a dental health worker in the past 12 months. This was down from 83.1% for the </w:t>
      </w:r>
      <w:r>
        <w:t>three</w:t>
      </w:r>
      <w:r w:rsidRPr="00E47714">
        <w:t xml:space="preserve">-year period ending 2013/14, and down from a high of 86.4% for the </w:t>
      </w:r>
      <w:r>
        <w:t>three</w:t>
      </w:r>
      <w:r w:rsidRPr="00E47714">
        <w:t>-year pooled period ending 2016/17.</w:t>
      </w:r>
    </w:p>
    <w:p w14:paraId="2D6CE276" w14:textId="2DD83F95" w:rsidR="00C66A54" w:rsidRPr="00E47714" w:rsidRDefault="00C66A54" w:rsidP="007C188A">
      <w:pPr>
        <w:pStyle w:val="Figure"/>
      </w:pPr>
      <w:bookmarkStart w:id="163" w:name="_Ref167610492"/>
      <w:bookmarkStart w:id="164" w:name="_Toc171330675"/>
      <w:bookmarkStart w:id="165" w:name="_Toc172104711"/>
      <w:r w:rsidRPr="00E47714">
        <w:t xml:space="preserve">Figure </w:t>
      </w:r>
      <w:fldSimple w:instr=" SEQ Figure \* ARABIC ">
        <w:r w:rsidR="009A6F87">
          <w:rPr>
            <w:noProof/>
          </w:rPr>
          <w:t>28</w:t>
        </w:r>
      </w:fldSimple>
      <w:bookmarkEnd w:id="163"/>
      <w:r w:rsidRPr="00E47714">
        <w:t>: Percentage of children who visited a dental health care worker,</w:t>
      </w:r>
      <w:r>
        <w:t xml:space="preserve"> by ethnic group (total response ethnicity),</w:t>
      </w:r>
      <w:r w:rsidRPr="00E47714">
        <w:t xml:space="preserve"> </w:t>
      </w:r>
      <w:r>
        <w:t>three</w:t>
      </w:r>
      <w:r w:rsidRPr="00E47714">
        <w:t>-year rolling average, 2013/14–2022/</w:t>
      </w:r>
      <w:proofErr w:type="gramStart"/>
      <w:r w:rsidRPr="00E47714">
        <w:t>23</w:t>
      </w:r>
      <w:bookmarkEnd w:id="164"/>
      <w:bookmarkEnd w:id="165"/>
      <w:proofErr w:type="gramEnd"/>
    </w:p>
    <w:p w14:paraId="453891D9" w14:textId="77777777" w:rsidR="00C66A54" w:rsidRPr="00E47714" w:rsidRDefault="00C66A54" w:rsidP="007C188A">
      <w:pPr>
        <w:pStyle w:val="NormalWeb"/>
        <w:spacing w:before="0" w:beforeAutospacing="0" w:after="0" w:afterAutospacing="0"/>
      </w:pPr>
      <w:r w:rsidRPr="00E47714">
        <w:rPr>
          <w:noProof/>
        </w:rPr>
        <w:drawing>
          <wp:inline distT="0" distB="0" distL="0" distR="0" wp14:anchorId="393C34F6" wp14:editId="5FF397C5">
            <wp:extent cx="5083628" cy="2391104"/>
            <wp:effectExtent l="0" t="0" r="3175" b="9525"/>
            <wp:docPr id="25" name="Picture 25" descr="A series of 4 side-by-side line charts showing the percentage of children who visited a dental health care worker between 2013/14 and 2022/23. Each of the charts show a different ethnic group: Māori, Pacific peoples, Asian and European/other. Along the x-axis of the charts, the years are presented as a 3-year rolling average. For each of the age groups the percentage of children visiting a dental healthcare worker decreased, particularly since the 3 year rolling period ending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eries of 4 side-by-side line charts showing the percentage of children who visited a dental health care worker between 2013/14 and 2022/23. Each of the charts show a different ethnic group: Māori, Pacific peoples, Asian and European/other. Along the x-axis of the charts, the years are presented as a 3-year rolling average. For each of the age groups the percentage of children visiting a dental healthcare worker decreased, particularly since the 3 year rolling period ending 2019/20."/>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105153" cy="2401228"/>
                    </a:xfrm>
                    <a:prstGeom prst="rect">
                      <a:avLst/>
                    </a:prstGeom>
                    <a:noFill/>
                    <a:ln>
                      <a:noFill/>
                    </a:ln>
                  </pic:spPr>
                </pic:pic>
              </a:graphicData>
            </a:graphic>
          </wp:inline>
        </w:drawing>
      </w:r>
    </w:p>
    <w:p w14:paraId="26400887" w14:textId="77777777" w:rsidR="00C66A54" w:rsidRPr="00C77EEE" w:rsidRDefault="00C66A54" w:rsidP="00C66A54">
      <w:pPr>
        <w:pStyle w:val="Source"/>
      </w:pPr>
      <w:r w:rsidRPr="00C77EEE">
        <w:t>Note:</w:t>
      </w:r>
      <w:r w:rsidRPr="007915F9">
        <w:t xml:space="preserve"> </w:t>
      </w:r>
      <w:r w:rsidRPr="00E47714">
        <w:t>Shaded area indicates 95% confidence intervals.</w:t>
      </w:r>
    </w:p>
    <w:p w14:paraId="0193DC98" w14:textId="77777777" w:rsidR="00C66A54" w:rsidRPr="00E47714" w:rsidRDefault="00C66A54" w:rsidP="00C66A54">
      <w:pPr>
        <w:pStyle w:val="Source"/>
      </w:pPr>
      <w:r w:rsidRPr="00E47714">
        <w:rPr>
          <w:b/>
          <w:bCs/>
        </w:rPr>
        <w:t>Source:</w:t>
      </w:r>
      <w:r w:rsidRPr="00E47714">
        <w:t xml:space="preserve"> </w:t>
      </w:r>
      <w:r>
        <w:fldChar w:fldCharType="begin"/>
      </w:r>
      <w:r>
        <w:instrText xml:space="preserve"> ADDIN EN.CITE &lt;EndNote&gt;&lt;Cite AuthorYear="1"&gt;&lt;Author&gt;Ministry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2024&lt;/number&gt;&lt;dates&gt;&lt;year&gt;2023&lt;/year&gt;&lt;/dates&gt;&lt;urls&gt;&lt;related-urls&gt;&lt;url&gt;minhealthnz.shinyapps.io/nz-health-survey-2022-23-annual-data-explorer&lt;/url&gt;&lt;/related-urls&gt;&lt;/urls&gt;&lt;/record&gt;&lt;/Cite&gt;&lt;Cite AuthorYear="1"&gt;&lt;Author&gt;Ministry of Health &lt;/Author&gt;&lt;Year&gt;2023&lt;/Year&gt;&lt;RecNum&gt;445&lt;/RecNum&gt;&lt;record&gt;&lt;rec-number&gt;445&lt;/rec-number&gt;&lt;foreign-keys&gt;&lt;key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p>
    <w:p w14:paraId="20825384" w14:textId="77777777" w:rsidR="00C66A54" w:rsidRPr="00E47714" w:rsidRDefault="00C66A54" w:rsidP="00C66A54">
      <w:pPr>
        <w:pStyle w:val="Heading3"/>
      </w:pPr>
      <w:r w:rsidRPr="00E47714">
        <w:t xml:space="preserve">Adult oral health care: unmet need for dental care due to </w:t>
      </w:r>
      <w:proofErr w:type="gramStart"/>
      <w:r w:rsidRPr="00E47714">
        <w:t>cost</w:t>
      </w:r>
      <w:proofErr w:type="gramEnd"/>
      <w:r w:rsidRPr="00E47714">
        <w:t xml:space="preserve"> </w:t>
      </w:r>
    </w:p>
    <w:p w14:paraId="42CAAD72" w14:textId="77777777" w:rsidR="00C66A54" w:rsidRPr="00E47714" w:rsidRDefault="00C66A54" w:rsidP="00C66A54">
      <w:r w:rsidRPr="00E47714">
        <w:rPr>
          <w:shd w:val="clear" w:color="auto" w:fill="FFFFFF"/>
        </w:rPr>
        <w:t xml:space="preserve">For adults </w:t>
      </w:r>
      <w:r>
        <w:rPr>
          <w:shd w:val="clear" w:color="auto" w:fill="FFFFFF"/>
        </w:rPr>
        <w:t xml:space="preserve">aged </w:t>
      </w:r>
      <w:r w:rsidRPr="00E47714">
        <w:rPr>
          <w:shd w:val="clear" w:color="auto" w:fill="FFFFFF"/>
        </w:rPr>
        <w:t>15 years</w:t>
      </w:r>
      <w:r w:rsidRPr="00E47714">
        <w:t xml:space="preserve"> </w:t>
      </w:r>
      <w:r>
        <w:t>and over, having u</w:t>
      </w:r>
      <w:r w:rsidRPr="00E47714">
        <w:t xml:space="preserve">nmet need for dental care due to cost is </w:t>
      </w:r>
      <w:r w:rsidRPr="00E47714">
        <w:rPr>
          <w:shd w:val="clear" w:color="auto" w:fill="FFFFFF"/>
        </w:rPr>
        <w:t>defined as avoiding going to a dental health care worker in the past 12 months because of cost.</w:t>
      </w:r>
      <w:r w:rsidRPr="00E47714">
        <w:t xml:space="preserve"> </w:t>
      </w:r>
      <w:r>
        <w:t>Overall, i</w:t>
      </w:r>
      <w:r w:rsidRPr="00E47714">
        <w:t xml:space="preserve">n the </w:t>
      </w:r>
      <w:r>
        <w:t>three</w:t>
      </w:r>
      <w:r w:rsidRPr="00E47714">
        <w:t>-year pooled period ending 2022/23</w:t>
      </w:r>
      <w:r>
        <w:t xml:space="preserve">, </w:t>
      </w:r>
      <w:r w:rsidRPr="00E47714">
        <w:rPr>
          <w:rFonts w:cs="Segoe UI"/>
        </w:rPr>
        <w:t>40.6% of adults reported unmet need for dental care due to cost</w:t>
      </w:r>
      <w:r>
        <w:rPr>
          <w:rFonts w:cs="Segoe UI"/>
        </w:rPr>
        <w:t>. T</w:t>
      </w:r>
      <w:r w:rsidRPr="00E47714">
        <w:rPr>
          <w:rFonts w:cs="Segoe UI"/>
        </w:rPr>
        <w:t xml:space="preserve">his was similar to previous </w:t>
      </w:r>
      <w:r>
        <w:rPr>
          <w:rFonts w:cs="Segoe UI"/>
        </w:rPr>
        <w:t>three</w:t>
      </w:r>
      <w:r w:rsidRPr="00E47714">
        <w:rPr>
          <w:rFonts w:cs="Segoe UI"/>
        </w:rPr>
        <w:t>-year pooled periods</w:t>
      </w:r>
      <w:r>
        <w:rPr>
          <w:rFonts w:cs="Segoe UI"/>
        </w:rPr>
        <w:t>. Differences are evident among population groups</w:t>
      </w:r>
      <w:r w:rsidRPr="00216499">
        <w:t xml:space="preserve"> </w:t>
      </w:r>
      <w:r>
        <w:t>i</w:t>
      </w:r>
      <w:r w:rsidRPr="00E47714">
        <w:t xml:space="preserve">n the </w:t>
      </w:r>
      <w:r>
        <w:t>three</w:t>
      </w:r>
      <w:r w:rsidRPr="00E47714">
        <w:t>-year pooled period ending 2022/23</w:t>
      </w:r>
      <w:r>
        <w:t>.</w:t>
      </w:r>
    </w:p>
    <w:p w14:paraId="746CC01F" w14:textId="77777777" w:rsidR="00C66A54" w:rsidRPr="00E47714" w:rsidRDefault="00C66A54" w:rsidP="007C188A">
      <w:pPr>
        <w:pStyle w:val="Bullet"/>
      </w:pPr>
      <w:r w:rsidRPr="00E47714">
        <w:t>The rate was higher for women (44.7%) than men (36.3%).</w:t>
      </w:r>
    </w:p>
    <w:p w14:paraId="0B13555C" w14:textId="77777777" w:rsidR="00C66A54" w:rsidRPr="00E47714" w:rsidRDefault="00C66A54" w:rsidP="007C188A">
      <w:pPr>
        <w:pStyle w:val="Bullet"/>
      </w:pPr>
      <w:r w:rsidRPr="00E47714">
        <w:t>By ethnic group, the percentage of adults with unmet need for dental care due to cost was 53.2% for Māori adults, 49.4% for Pacific adults, 42.4% for Asian adults and 38.1% for European/other adults.</w:t>
      </w:r>
    </w:p>
    <w:p w14:paraId="7FBE53B4" w14:textId="77777777" w:rsidR="00C66A54" w:rsidRPr="00E47714" w:rsidRDefault="00C66A54" w:rsidP="007C188A">
      <w:pPr>
        <w:pStyle w:val="Bullet"/>
      </w:pPr>
      <w:r w:rsidRPr="00E47714">
        <w:t xml:space="preserve">For people living in the most deprived neighbourhoods, 52.0% reported unmet need for dental care due of cost, compared </w:t>
      </w:r>
      <w:r>
        <w:t>with</w:t>
      </w:r>
      <w:r w:rsidRPr="00E47714">
        <w:t xml:space="preserve"> 29.3% of people </w:t>
      </w:r>
      <w:r>
        <w:t xml:space="preserve">living </w:t>
      </w:r>
      <w:r w:rsidRPr="00E47714">
        <w:t xml:space="preserve">in </w:t>
      </w:r>
      <w:r>
        <w:t xml:space="preserve">the </w:t>
      </w:r>
      <w:r w:rsidRPr="00E47714">
        <w:t>least deprived neighbourhoods.</w:t>
      </w:r>
    </w:p>
    <w:p w14:paraId="439E23D1" w14:textId="77777777" w:rsidR="00C66A54" w:rsidRPr="00E47714" w:rsidRDefault="00C66A54" w:rsidP="007C188A">
      <w:pPr>
        <w:pStyle w:val="Bullet"/>
      </w:pPr>
      <w:r w:rsidRPr="00E47714">
        <w:t xml:space="preserve">More disabled adults (49.7%) reported unmet need for dental care due to cost than non-disabled adults (39.8%) </w:t>
      </w:r>
      <w:r>
        <w:fldChar w:fldCharType="begin"/>
      </w:r>
      <w:r>
        <w:instrText xml:space="preserve"> ADDIN EN.CITE &lt;EndNote&gt;&lt;Cite&gt;&lt;Author&gt;Ministry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r w:rsidRPr="00E47714">
        <w:t xml:space="preserve">.  </w:t>
      </w:r>
    </w:p>
    <w:p w14:paraId="24D0D37B" w14:textId="77777777" w:rsidR="00C66A54" w:rsidRPr="00E47714" w:rsidRDefault="00C66A54" w:rsidP="00C66A54">
      <w:pPr>
        <w:pStyle w:val="Heading2"/>
      </w:pPr>
      <w:bookmarkStart w:id="166" w:name="_Toc171603275"/>
      <w:bookmarkStart w:id="167" w:name="_Toc171944535"/>
      <w:bookmarkStart w:id="168" w:name="_Toc172104675"/>
      <w:r w:rsidRPr="00E47714">
        <w:lastRenderedPageBreak/>
        <w:t>Injury</w:t>
      </w:r>
      <w:bookmarkEnd w:id="166"/>
      <w:bookmarkEnd w:id="167"/>
      <w:bookmarkEnd w:id="168"/>
    </w:p>
    <w:p w14:paraId="7A4DE541" w14:textId="58D79656" w:rsidR="00C66A54" w:rsidRDefault="00C66A54" w:rsidP="00C66A54">
      <w:r w:rsidRPr="00E47714">
        <w:t>In 2021, injuries accounted for 12% of all health loss</w:t>
      </w:r>
      <w:r>
        <w:t xml:space="preserve"> (DALYs)</w:t>
      </w:r>
      <w:r w:rsidRPr="00E47714">
        <w:t xml:space="preserve"> in Aotearoa New Zealand. This health loss </w:t>
      </w:r>
      <w:r>
        <w:t xml:space="preserve">from injuries </w:t>
      </w:r>
      <w:r w:rsidRPr="00E47714">
        <w:t xml:space="preserve">was made up of unintentional injuries (7%), self-harm and interpersonal violence (2%) and transport injuries (2%) </w:t>
      </w:r>
      <w:r>
        <w:fldChar w:fldCharType="begin"/>
      </w:r>
      <w:r>
        <w:instrText xml:space="preserve"> ADDIN EN.CITE &lt;EndNote&gt;&lt;Cite&gt;&lt;Author&gt;Institute for Health Metrics and Evaluation&lt;/Author&gt;&lt;Year&gt;2024&lt;/Year&gt;&lt;RecNum&gt;427&lt;/RecNum&gt;&lt;DisplayText&gt;(Institute for Health Metrics and Evaluation 2024b)&lt;/DisplayText&gt;&lt;record&gt;&lt;rec-number&gt;427&lt;/rec-number&gt;&lt;foreign-keys&gt;&lt;key app="EN" db-id="aaepvppzs5wtfse95vsp2wahsrtvva2vvdet" timestamp="1716422513"&gt;427&lt;/key&gt;&lt;/foreign-keys&gt;&lt;ref-type name="Web Page"&gt;12&lt;/ref-type&gt;&lt;contributors&gt;&lt;authors&gt;&lt;author&gt;Institute for Health Metrics and Evaluation,&lt;/author&gt;&lt;/authors&gt;&lt;/contributors&gt;&lt;titles&gt;&lt;title&gt;GBD Results&lt;/title&gt;&lt;/titles&gt;&lt;number&gt;23 May 2024&lt;/number&gt;&lt;dates&gt;&lt;year&gt;2024&lt;/year&gt;&lt;/dates&gt;&lt;pub-location&gt;Seattle, WA: Institute for Health Metrics and Evaluation&lt;/pub-location&gt;&lt;urls&gt;&lt;related-urls&gt;&lt;url&gt;vizhub.healthdata.org/gbd-results&lt;/url&gt;&lt;/related-urls&gt;&lt;/urls&gt;&lt;/record&gt;&lt;/Cite&gt;&lt;/EndNote&gt;</w:instrText>
      </w:r>
      <w:r>
        <w:fldChar w:fldCharType="separate"/>
      </w:r>
      <w:r>
        <w:rPr>
          <w:noProof/>
        </w:rPr>
        <w:t>(Institute for Health Metrics and Evaluation 2024b)</w:t>
      </w:r>
      <w:r>
        <w:fldChar w:fldCharType="end"/>
      </w:r>
      <w:r w:rsidRPr="00E47714">
        <w:t>.</w:t>
      </w:r>
    </w:p>
    <w:p w14:paraId="61AF3BC1" w14:textId="77777777" w:rsidR="007C188A" w:rsidRPr="00E47714" w:rsidRDefault="007C188A" w:rsidP="00C66A54"/>
    <w:p w14:paraId="1960EB12" w14:textId="70BF9CD5" w:rsidR="00C66A54" w:rsidRDefault="00C66A54" w:rsidP="00C66A54">
      <w:r w:rsidRPr="00E47714">
        <w:t>Anyone who is injured in an accident in Aotearoa New Zealand, including visitors to the country, is covered by the Accident Compensation Commission (ACC). The cover includes payments toward treatment, help at work and home, and income support.</w:t>
      </w:r>
    </w:p>
    <w:p w14:paraId="01F0902B" w14:textId="77777777" w:rsidR="007C188A" w:rsidRPr="00E47714" w:rsidRDefault="007C188A" w:rsidP="00C66A54"/>
    <w:p w14:paraId="3626E024" w14:textId="45C70B01" w:rsidR="00C66A54" w:rsidRPr="00E47714" w:rsidRDefault="00C66A54" w:rsidP="00C66A54">
      <w:pPr>
        <w:rPr>
          <w:rFonts w:cs="Segoe UI"/>
        </w:rPr>
      </w:pPr>
      <w:r w:rsidRPr="00E47714">
        <w:t xml:space="preserve">In 2022/23, ACC received 1.97 million new claims. </w:t>
      </w:r>
      <w:r>
        <w:t>It</w:t>
      </w:r>
      <w:r w:rsidRPr="00E47714">
        <w:t xml:space="preserve"> spent $6.2 billion in the year supporting these and existing claims, </w:t>
      </w:r>
      <w:r>
        <w:t>at</w:t>
      </w:r>
      <w:r w:rsidRPr="00E47714">
        <w:t xml:space="preserve"> an average cost of $2,169 per claim. Falls are the most common cause of injury in Aotearoa New Zealand. They account for approximately 28% of all new ACC claims in a year </w:t>
      </w:r>
      <w:r>
        <w:fldChar w:fldCharType="begin"/>
      </w:r>
      <w:r>
        <w:instrText xml:space="preserve"> ADDIN EN.CITE &lt;EndNote&gt;&lt;Cite&gt;&lt;Author&gt;Accident Compensation Corporation.&lt;/Author&gt;&lt;Year&gt;2023&lt;/Year&gt;&lt;RecNum&gt;455&lt;/RecNum&gt;&lt;DisplayText&gt;(Accident Compensation Corporation. 2023)&lt;/DisplayText&gt;&lt;record&gt;&lt;rec-number&gt;455&lt;/rec-number&gt;&lt;foreign-keys&gt;&lt;key app="EN" db-id="aaepvppzs5wtfse95vsp2wahsrtvva2vvdet" timestamp="1716502882"&gt;455&lt;/key&gt;&lt;/foreign-keys&gt;&lt;ref-type name="Government Document"&gt;46&lt;/ref-type&gt;&lt;contributors&gt;&lt;authors&gt;&lt;author&gt;Accident Compensation Corporation., &lt;/author&gt;&lt;/authors&gt;&lt;/contributors&gt;&lt;titles&gt;&lt;title&gt;ACC Annual Report 2023&lt;/title&gt;&lt;/titles&gt;&lt;dates&gt;&lt;year&gt;2023&lt;/year&gt;&lt;/dates&gt;&lt;pub-location&gt;Wellington: Accident Compensation Corporation&lt;/pub-location&gt;&lt;urls&gt;&lt;related-urls&gt;&lt;url&gt;https://www.acc.co.nz/assets/corporate-documents/acc8519-acc-annual-report-2023.pdf&lt;/url&gt;&lt;/related-urls&gt;&lt;/urls&gt;&lt;/record&gt;&lt;/Cite&gt;&lt;/EndNote&gt;</w:instrText>
      </w:r>
      <w:r>
        <w:fldChar w:fldCharType="separate"/>
      </w:r>
      <w:r>
        <w:rPr>
          <w:noProof/>
        </w:rPr>
        <w:t>(Accident Compensation Corporation 2023)</w:t>
      </w:r>
      <w:r>
        <w:fldChar w:fldCharType="end"/>
      </w:r>
      <w:r w:rsidRPr="00E47714">
        <w:t xml:space="preserve">. </w:t>
      </w:r>
    </w:p>
    <w:p w14:paraId="0C718D50" w14:textId="15028A03" w:rsidR="00C66A54" w:rsidRPr="00E47714" w:rsidRDefault="00C66A54" w:rsidP="007C188A">
      <w:pPr>
        <w:pStyle w:val="Table"/>
      </w:pPr>
      <w:bookmarkStart w:id="169" w:name="_Toc171330691"/>
      <w:bookmarkStart w:id="170" w:name="_Toc172010450"/>
      <w:r w:rsidRPr="00E47714">
        <w:t xml:space="preserve">Table </w:t>
      </w:r>
      <w:fldSimple w:instr=" SEQ Table \* ARABIC ">
        <w:r w:rsidR="009A6F87">
          <w:rPr>
            <w:noProof/>
          </w:rPr>
          <w:t>3</w:t>
        </w:r>
      </w:fldSimple>
      <w:r w:rsidRPr="00E47714">
        <w:t>: ACC injury, number of new claims registered, total claims paid ($</w:t>
      </w:r>
      <w:r>
        <w:t xml:space="preserve"> </w:t>
      </w:r>
      <w:r w:rsidRPr="00E47714">
        <w:t>m</w:t>
      </w:r>
      <w:r>
        <w:t>illion</w:t>
      </w:r>
      <w:r w:rsidRPr="00E47714">
        <w:t>), 2022/23</w:t>
      </w:r>
      <w:bookmarkEnd w:id="169"/>
      <w:bookmarkEnd w:id="170"/>
      <w:r w:rsidRPr="00E47714">
        <w:t xml:space="preserve">  </w:t>
      </w:r>
    </w:p>
    <w:tbl>
      <w:tblPr>
        <w:tblW w:w="5000" w:type="pct"/>
        <w:tblBorders>
          <w:top w:val="single" w:sz="4" w:space="0" w:color="A6A6A6" w:themeColor="background1" w:themeShade="A6"/>
          <w:bottom w:val="single" w:sz="4" w:space="0" w:color="A6A6A6" w:themeColor="background1" w:themeShade="A6"/>
          <w:insideH w:val="single" w:sz="6" w:space="0" w:color="A6A6A6" w:themeColor="background1" w:themeShade="A6"/>
        </w:tblBorders>
        <w:tblCellMar>
          <w:left w:w="0" w:type="dxa"/>
          <w:right w:w="0" w:type="dxa"/>
        </w:tblCellMar>
        <w:tblLook w:val="04A0" w:firstRow="1" w:lastRow="0" w:firstColumn="1" w:lastColumn="0" w:noHBand="0" w:noVBand="1"/>
      </w:tblPr>
      <w:tblGrid>
        <w:gridCol w:w="1528"/>
        <w:gridCol w:w="974"/>
        <w:gridCol w:w="1128"/>
        <w:gridCol w:w="1128"/>
        <w:gridCol w:w="1107"/>
        <w:gridCol w:w="1107"/>
        <w:gridCol w:w="1107"/>
      </w:tblGrid>
      <w:tr w:rsidR="00C66A54" w:rsidRPr="00E47714" w14:paraId="4547A5A8" w14:textId="77777777" w:rsidTr="007C188A">
        <w:trPr>
          <w:trHeight w:val="290"/>
        </w:trPr>
        <w:tc>
          <w:tcPr>
            <w:tcW w:w="948" w:type="pct"/>
            <w:tcBorders>
              <w:top w:val="nil"/>
              <w:bottom w:val="nil"/>
            </w:tcBorders>
            <w:shd w:val="clear" w:color="auto" w:fill="D9D9D9" w:themeFill="background1" w:themeFillShade="D9"/>
            <w:noWrap/>
            <w:tcMar>
              <w:top w:w="0" w:type="dxa"/>
              <w:left w:w="108" w:type="dxa"/>
              <w:bottom w:w="0" w:type="dxa"/>
              <w:right w:w="108" w:type="dxa"/>
            </w:tcMar>
            <w:hideMark/>
          </w:tcPr>
          <w:p w14:paraId="7B46ED6E" w14:textId="77777777" w:rsidR="00C66A54" w:rsidRPr="00E47714" w:rsidRDefault="00C66A54" w:rsidP="00C66A54">
            <w:pPr>
              <w:pStyle w:val="TableText"/>
            </w:pPr>
          </w:p>
        </w:tc>
        <w:tc>
          <w:tcPr>
            <w:tcW w:w="1991" w:type="pct"/>
            <w:gridSpan w:val="3"/>
            <w:tcBorders>
              <w:top w:val="nil"/>
              <w:bottom w:val="nil"/>
            </w:tcBorders>
            <w:shd w:val="clear" w:color="auto" w:fill="D9D9D9" w:themeFill="background1" w:themeFillShade="D9"/>
            <w:noWrap/>
            <w:tcMar>
              <w:top w:w="0" w:type="dxa"/>
              <w:left w:w="108" w:type="dxa"/>
              <w:bottom w:w="0" w:type="dxa"/>
              <w:right w:w="108" w:type="dxa"/>
            </w:tcMar>
            <w:hideMark/>
          </w:tcPr>
          <w:p w14:paraId="6B0F9E14" w14:textId="77777777" w:rsidR="00C66A54" w:rsidRPr="00E47714" w:rsidRDefault="00C66A54" w:rsidP="00C66A54">
            <w:pPr>
              <w:pStyle w:val="TableText"/>
              <w:jc w:val="center"/>
              <w:rPr>
                <w:b/>
                <w:bCs/>
              </w:rPr>
            </w:pPr>
            <w:r w:rsidRPr="00E47714">
              <w:rPr>
                <w:b/>
                <w:bCs/>
              </w:rPr>
              <w:t>New claims registered</w:t>
            </w:r>
          </w:p>
        </w:tc>
        <w:tc>
          <w:tcPr>
            <w:tcW w:w="2061" w:type="pct"/>
            <w:gridSpan w:val="3"/>
            <w:tcBorders>
              <w:top w:val="nil"/>
              <w:bottom w:val="nil"/>
            </w:tcBorders>
            <w:shd w:val="clear" w:color="auto" w:fill="D9D9D9" w:themeFill="background1" w:themeFillShade="D9"/>
            <w:noWrap/>
            <w:tcMar>
              <w:top w:w="0" w:type="dxa"/>
              <w:left w:w="108" w:type="dxa"/>
              <w:bottom w:w="0" w:type="dxa"/>
              <w:right w:w="108" w:type="dxa"/>
            </w:tcMar>
            <w:hideMark/>
          </w:tcPr>
          <w:p w14:paraId="51304EB0" w14:textId="77777777" w:rsidR="00C66A54" w:rsidRPr="00E47714" w:rsidRDefault="00C66A54" w:rsidP="00C66A54">
            <w:pPr>
              <w:pStyle w:val="TableText"/>
              <w:jc w:val="center"/>
              <w:rPr>
                <w:b/>
                <w:bCs/>
              </w:rPr>
            </w:pPr>
            <w:r w:rsidRPr="00E47714">
              <w:rPr>
                <w:b/>
                <w:bCs/>
              </w:rPr>
              <w:t>Total claims paid ($m)</w:t>
            </w:r>
          </w:p>
        </w:tc>
      </w:tr>
      <w:tr w:rsidR="00C66A54" w:rsidRPr="00E47714" w14:paraId="7AC4BC99" w14:textId="77777777" w:rsidTr="007C188A">
        <w:trPr>
          <w:trHeight w:val="290"/>
        </w:trPr>
        <w:tc>
          <w:tcPr>
            <w:tcW w:w="948" w:type="pct"/>
            <w:tcBorders>
              <w:top w:val="nil"/>
              <w:bottom w:val="nil"/>
            </w:tcBorders>
            <w:shd w:val="clear" w:color="auto" w:fill="D9D9D9" w:themeFill="background1" w:themeFillShade="D9"/>
            <w:noWrap/>
            <w:tcMar>
              <w:top w:w="0" w:type="dxa"/>
              <w:left w:w="108" w:type="dxa"/>
              <w:bottom w:w="0" w:type="dxa"/>
              <w:right w:w="108" w:type="dxa"/>
            </w:tcMar>
            <w:hideMark/>
          </w:tcPr>
          <w:p w14:paraId="68AAF133" w14:textId="77777777" w:rsidR="00C66A54" w:rsidRPr="00E47714" w:rsidRDefault="00C66A54" w:rsidP="00C66A54">
            <w:pPr>
              <w:pStyle w:val="TableText"/>
              <w:rPr>
                <w:b/>
                <w:bCs/>
              </w:rPr>
            </w:pPr>
            <w:r w:rsidRPr="00E47714">
              <w:rPr>
                <w:b/>
                <w:bCs/>
              </w:rPr>
              <w:t>Account</w:t>
            </w:r>
          </w:p>
        </w:tc>
        <w:tc>
          <w:tcPr>
            <w:tcW w:w="591" w:type="pct"/>
            <w:tcBorders>
              <w:top w:val="nil"/>
              <w:bottom w:val="nil"/>
            </w:tcBorders>
            <w:shd w:val="clear" w:color="auto" w:fill="D9D9D9" w:themeFill="background1" w:themeFillShade="D9"/>
            <w:noWrap/>
            <w:tcMar>
              <w:top w:w="0" w:type="dxa"/>
              <w:left w:w="108" w:type="dxa"/>
              <w:bottom w:w="0" w:type="dxa"/>
              <w:right w:w="108" w:type="dxa"/>
            </w:tcMar>
            <w:hideMark/>
          </w:tcPr>
          <w:p w14:paraId="00F42333" w14:textId="77777777" w:rsidR="00C66A54" w:rsidRPr="00E47714" w:rsidRDefault="00C66A54" w:rsidP="00C66A54">
            <w:pPr>
              <w:pStyle w:val="TableText"/>
              <w:jc w:val="center"/>
              <w:rPr>
                <w:b/>
                <w:bCs/>
              </w:rPr>
            </w:pPr>
            <w:r w:rsidRPr="00E47714">
              <w:rPr>
                <w:b/>
                <w:bCs/>
              </w:rPr>
              <w:t>2020/21</w:t>
            </w:r>
          </w:p>
        </w:tc>
        <w:tc>
          <w:tcPr>
            <w:tcW w:w="700" w:type="pct"/>
            <w:tcBorders>
              <w:top w:val="nil"/>
              <w:bottom w:val="nil"/>
            </w:tcBorders>
            <w:shd w:val="clear" w:color="auto" w:fill="D9D9D9" w:themeFill="background1" w:themeFillShade="D9"/>
            <w:noWrap/>
            <w:tcMar>
              <w:top w:w="0" w:type="dxa"/>
              <w:left w:w="108" w:type="dxa"/>
              <w:bottom w:w="0" w:type="dxa"/>
              <w:right w:w="108" w:type="dxa"/>
            </w:tcMar>
            <w:hideMark/>
          </w:tcPr>
          <w:p w14:paraId="30F6FDB2" w14:textId="77777777" w:rsidR="00C66A54" w:rsidRPr="00E47714" w:rsidRDefault="00C66A54" w:rsidP="00C66A54">
            <w:pPr>
              <w:pStyle w:val="TableText"/>
              <w:jc w:val="center"/>
              <w:rPr>
                <w:b/>
                <w:bCs/>
              </w:rPr>
            </w:pPr>
            <w:r w:rsidRPr="00E47714">
              <w:rPr>
                <w:b/>
                <w:bCs/>
              </w:rPr>
              <w:t>2021/22</w:t>
            </w:r>
          </w:p>
        </w:tc>
        <w:tc>
          <w:tcPr>
            <w:tcW w:w="700" w:type="pct"/>
            <w:tcBorders>
              <w:top w:val="nil"/>
              <w:bottom w:val="nil"/>
            </w:tcBorders>
            <w:shd w:val="clear" w:color="auto" w:fill="D9D9D9" w:themeFill="background1" w:themeFillShade="D9"/>
            <w:noWrap/>
            <w:tcMar>
              <w:top w:w="0" w:type="dxa"/>
              <w:left w:w="108" w:type="dxa"/>
              <w:bottom w:w="0" w:type="dxa"/>
              <w:right w:w="108" w:type="dxa"/>
            </w:tcMar>
            <w:hideMark/>
          </w:tcPr>
          <w:p w14:paraId="0E6F68EA" w14:textId="77777777" w:rsidR="00C66A54" w:rsidRPr="00E47714" w:rsidRDefault="00C66A54" w:rsidP="00C66A54">
            <w:pPr>
              <w:pStyle w:val="TableText"/>
              <w:jc w:val="center"/>
              <w:rPr>
                <w:b/>
                <w:bCs/>
              </w:rPr>
            </w:pPr>
            <w:r w:rsidRPr="00E47714">
              <w:rPr>
                <w:b/>
                <w:bCs/>
              </w:rPr>
              <w:t>2022/23</w:t>
            </w:r>
          </w:p>
        </w:tc>
        <w:tc>
          <w:tcPr>
            <w:tcW w:w="687" w:type="pct"/>
            <w:tcBorders>
              <w:top w:val="nil"/>
              <w:bottom w:val="nil"/>
            </w:tcBorders>
            <w:shd w:val="clear" w:color="auto" w:fill="D9D9D9" w:themeFill="background1" w:themeFillShade="D9"/>
            <w:noWrap/>
            <w:tcMar>
              <w:top w:w="0" w:type="dxa"/>
              <w:left w:w="108" w:type="dxa"/>
              <w:bottom w:w="0" w:type="dxa"/>
              <w:right w:w="108" w:type="dxa"/>
            </w:tcMar>
            <w:hideMark/>
          </w:tcPr>
          <w:p w14:paraId="6318906A" w14:textId="77777777" w:rsidR="00C66A54" w:rsidRPr="00E47714" w:rsidRDefault="00C66A54" w:rsidP="00C66A54">
            <w:pPr>
              <w:pStyle w:val="TableText"/>
              <w:jc w:val="center"/>
              <w:rPr>
                <w:b/>
                <w:bCs/>
              </w:rPr>
            </w:pPr>
            <w:r w:rsidRPr="00E47714">
              <w:rPr>
                <w:b/>
                <w:bCs/>
              </w:rPr>
              <w:t>2020/21</w:t>
            </w:r>
          </w:p>
        </w:tc>
        <w:tc>
          <w:tcPr>
            <w:tcW w:w="687" w:type="pct"/>
            <w:tcBorders>
              <w:top w:val="nil"/>
              <w:bottom w:val="nil"/>
            </w:tcBorders>
            <w:shd w:val="clear" w:color="auto" w:fill="D9D9D9" w:themeFill="background1" w:themeFillShade="D9"/>
            <w:noWrap/>
            <w:tcMar>
              <w:top w:w="0" w:type="dxa"/>
              <w:left w:w="108" w:type="dxa"/>
              <w:bottom w:w="0" w:type="dxa"/>
              <w:right w:w="108" w:type="dxa"/>
            </w:tcMar>
            <w:hideMark/>
          </w:tcPr>
          <w:p w14:paraId="40692BEE" w14:textId="77777777" w:rsidR="00C66A54" w:rsidRPr="00E47714" w:rsidRDefault="00C66A54" w:rsidP="00C66A54">
            <w:pPr>
              <w:pStyle w:val="TableText"/>
              <w:jc w:val="center"/>
              <w:rPr>
                <w:b/>
                <w:bCs/>
              </w:rPr>
            </w:pPr>
            <w:r w:rsidRPr="00E47714">
              <w:rPr>
                <w:b/>
                <w:bCs/>
              </w:rPr>
              <w:t>2021/22</w:t>
            </w:r>
          </w:p>
        </w:tc>
        <w:tc>
          <w:tcPr>
            <w:tcW w:w="687" w:type="pct"/>
            <w:tcBorders>
              <w:top w:val="nil"/>
              <w:bottom w:val="nil"/>
            </w:tcBorders>
            <w:shd w:val="clear" w:color="auto" w:fill="D9D9D9" w:themeFill="background1" w:themeFillShade="D9"/>
            <w:noWrap/>
            <w:tcMar>
              <w:top w:w="0" w:type="dxa"/>
              <w:left w:w="108" w:type="dxa"/>
              <w:bottom w:w="0" w:type="dxa"/>
              <w:right w:w="108" w:type="dxa"/>
            </w:tcMar>
            <w:hideMark/>
          </w:tcPr>
          <w:p w14:paraId="1DC71D88" w14:textId="77777777" w:rsidR="00C66A54" w:rsidRPr="00E47714" w:rsidRDefault="00C66A54" w:rsidP="00C66A54">
            <w:pPr>
              <w:pStyle w:val="TableText"/>
              <w:jc w:val="center"/>
              <w:rPr>
                <w:b/>
                <w:bCs/>
              </w:rPr>
            </w:pPr>
            <w:r w:rsidRPr="00E47714">
              <w:rPr>
                <w:b/>
                <w:bCs/>
              </w:rPr>
              <w:t>2022/23</w:t>
            </w:r>
          </w:p>
        </w:tc>
      </w:tr>
      <w:tr w:rsidR="00C66A54" w:rsidRPr="00E47714" w14:paraId="4F42C8AB" w14:textId="77777777" w:rsidTr="007C188A">
        <w:trPr>
          <w:trHeight w:val="290"/>
        </w:trPr>
        <w:tc>
          <w:tcPr>
            <w:tcW w:w="948" w:type="pct"/>
            <w:tcBorders>
              <w:top w:val="nil"/>
            </w:tcBorders>
            <w:noWrap/>
            <w:tcMar>
              <w:top w:w="0" w:type="dxa"/>
              <w:left w:w="108" w:type="dxa"/>
              <w:bottom w:w="0" w:type="dxa"/>
              <w:right w:w="108" w:type="dxa"/>
            </w:tcMar>
            <w:hideMark/>
          </w:tcPr>
          <w:p w14:paraId="688443BF" w14:textId="77777777" w:rsidR="00C66A54" w:rsidRPr="00E47714" w:rsidRDefault="00C66A54" w:rsidP="00C66A54">
            <w:pPr>
              <w:pStyle w:val="TableText"/>
            </w:pPr>
            <w:r w:rsidRPr="00E47714">
              <w:t>Motor vehicle</w:t>
            </w:r>
          </w:p>
        </w:tc>
        <w:tc>
          <w:tcPr>
            <w:tcW w:w="591" w:type="pct"/>
            <w:tcBorders>
              <w:top w:val="nil"/>
            </w:tcBorders>
            <w:noWrap/>
            <w:tcMar>
              <w:top w:w="0" w:type="dxa"/>
              <w:left w:w="108" w:type="dxa"/>
              <w:bottom w:w="0" w:type="dxa"/>
              <w:right w:w="108" w:type="dxa"/>
            </w:tcMar>
            <w:hideMark/>
          </w:tcPr>
          <w:p w14:paraId="3527F47E" w14:textId="77777777" w:rsidR="00C66A54" w:rsidRPr="00E47714" w:rsidRDefault="00C66A54" w:rsidP="00C66A54">
            <w:pPr>
              <w:pStyle w:val="TableText"/>
              <w:jc w:val="center"/>
            </w:pPr>
            <w:r w:rsidRPr="00E47714">
              <w:t>35,667</w:t>
            </w:r>
          </w:p>
        </w:tc>
        <w:tc>
          <w:tcPr>
            <w:tcW w:w="700" w:type="pct"/>
            <w:tcBorders>
              <w:top w:val="nil"/>
            </w:tcBorders>
            <w:noWrap/>
            <w:tcMar>
              <w:top w:w="0" w:type="dxa"/>
              <w:left w:w="108" w:type="dxa"/>
              <w:bottom w:w="0" w:type="dxa"/>
              <w:right w:w="108" w:type="dxa"/>
            </w:tcMar>
            <w:hideMark/>
          </w:tcPr>
          <w:p w14:paraId="58DB5426" w14:textId="77777777" w:rsidR="00C66A54" w:rsidRPr="00E47714" w:rsidRDefault="00C66A54" w:rsidP="00C66A54">
            <w:pPr>
              <w:pStyle w:val="TableText"/>
              <w:jc w:val="center"/>
            </w:pPr>
            <w:r w:rsidRPr="00E47714">
              <w:t>30,888</w:t>
            </w:r>
          </w:p>
        </w:tc>
        <w:tc>
          <w:tcPr>
            <w:tcW w:w="700" w:type="pct"/>
            <w:tcBorders>
              <w:top w:val="nil"/>
            </w:tcBorders>
            <w:noWrap/>
            <w:tcMar>
              <w:top w:w="0" w:type="dxa"/>
              <w:left w:w="108" w:type="dxa"/>
              <w:bottom w:w="0" w:type="dxa"/>
              <w:right w:w="108" w:type="dxa"/>
            </w:tcMar>
            <w:hideMark/>
          </w:tcPr>
          <w:p w14:paraId="71380F7E" w14:textId="77777777" w:rsidR="00C66A54" w:rsidRPr="00E47714" w:rsidRDefault="00C66A54" w:rsidP="00C66A54">
            <w:pPr>
              <w:pStyle w:val="TableText"/>
              <w:jc w:val="center"/>
            </w:pPr>
            <w:r w:rsidRPr="00E47714">
              <w:t>35,358</w:t>
            </w:r>
          </w:p>
        </w:tc>
        <w:tc>
          <w:tcPr>
            <w:tcW w:w="687" w:type="pct"/>
            <w:tcBorders>
              <w:top w:val="nil"/>
            </w:tcBorders>
            <w:noWrap/>
            <w:tcMar>
              <w:top w:w="0" w:type="dxa"/>
              <w:left w:w="108" w:type="dxa"/>
              <w:bottom w:w="0" w:type="dxa"/>
              <w:right w:w="108" w:type="dxa"/>
            </w:tcMar>
            <w:hideMark/>
          </w:tcPr>
          <w:p w14:paraId="0EB73EE0" w14:textId="77777777" w:rsidR="00C66A54" w:rsidRPr="00E47714" w:rsidRDefault="00C66A54" w:rsidP="00C66A54">
            <w:pPr>
              <w:pStyle w:val="TableText"/>
              <w:jc w:val="center"/>
            </w:pPr>
            <w:r w:rsidRPr="00E47714">
              <w:t>654</w:t>
            </w:r>
          </w:p>
        </w:tc>
        <w:tc>
          <w:tcPr>
            <w:tcW w:w="687" w:type="pct"/>
            <w:tcBorders>
              <w:top w:val="nil"/>
            </w:tcBorders>
            <w:noWrap/>
            <w:tcMar>
              <w:top w:w="0" w:type="dxa"/>
              <w:left w:w="108" w:type="dxa"/>
              <w:bottom w:w="0" w:type="dxa"/>
              <w:right w:w="108" w:type="dxa"/>
            </w:tcMar>
            <w:hideMark/>
          </w:tcPr>
          <w:p w14:paraId="26F3D2A5" w14:textId="77777777" w:rsidR="00C66A54" w:rsidRPr="00E47714" w:rsidRDefault="00C66A54" w:rsidP="00C66A54">
            <w:pPr>
              <w:pStyle w:val="TableText"/>
              <w:jc w:val="center"/>
            </w:pPr>
            <w:r w:rsidRPr="00E47714">
              <w:t>667</w:t>
            </w:r>
          </w:p>
        </w:tc>
        <w:tc>
          <w:tcPr>
            <w:tcW w:w="687" w:type="pct"/>
            <w:tcBorders>
              <w:top w:val="nil"/>
            </w:tcBorders>
            <w:noWrap/>
            <w:tcMar>
              <w:top w:w="0" w:type="dxa"/>
              <w:left w:w="108" w:type="dxa"/>
              <w:bottom w:w="0" w:type="dxa"/>
              <w:right w:w="108" w:type="dxa"/>
            </w:tcMar>
            <w:hideMark/>
          </w:tcPr>
          <w:p w14:paraId="72E4D16A" w14:textId="77777777" w:rsidR="00C66A54" w:rsidRPr="00E47714" w:rsidRDefault="00C66A54" w:rsidP="00C66A54">
            <w:pPr>
              <w:pStyle w:val="TableText"/>
              <w:jc w:val="center"/>
            </w:pPr>
            <w:r w:rsidRPr="00E47714">
              <w:t>762</w:t>
            </w:r>
          </w:p>
        </w:tc>
      </w:tr>
      <w:tr w:rsidR="00C66A54" w:rsidRPr="00E47714" w14:paraId="462B192E" w14:textId="77777777" w:rsidTr="007C188A">
        <w:trPr>
          <w:trHeight w:val="290"/>
        </w:trPr>
        <w:tc>
          <w:tcPr>
            <w:tcW w:w="948" w:type="pct"/>
            <w:noWrap/>
            <w:tcMar>
              <w:top w:w="0" w:type="dxa"/>
              <w:left w:w="108" w:type="dxa"/>
              <w:bottom w:w="0" w:type="dxa"/>
              <w:right w:w="108" w:type="dxa"/>
            </w:tcMar>
            <w:hideMark/>
          </w:tcPr>
          <w:p w14:paraId="50191705" w14:textId="77777777" w:rsidR="00C66A54" w:rsidRPr="00E47714" w:rsidRDefault="00C66A54" w:rsidP="00C66A54">
            <w:pPr>
              <w:pStyle w:val="TableText"/>
            </w:pPr>
            <w:r w:rsidRPr="00E47714">
              <w:t>Work</w:t>
            </w:r>
          </w:p>
        </w:tc>
        <w:tc>
          <w:tcPr>
            <w:tcW w:w="591" w:type="pct"/>
            <w:noWrap/>
            <w:tcMar>
              <w:top w:w="0" w:type="dxa"/>
              <w:left w:w="108" w:type="dxa"/>
              <w:bottom w:w="0" w:type="dxa"/>
              <w:right w:w="108" w:type="dxa"/>
            </w:tcMar>
            <w:hideMark/>
          </w:tcPr>
          <w:p w14:paraId="6D94FEEB" w14:textId="77777777" w:rsidR="00C66A54" w:rsidRPr="00E47714" w:rsidRDefault="00C66A54" w:rsidP="00C66A54">
            <w:pPr>
              <w:pStyle w:val="TableText"/>
              <w:jc w:val="center"/>
            </w:pPr>
            <w:r w:rsidRPr="00E47714">
              <w:t>209,099</w:t>
            </w:r>
          </w:p>
        </w:tc>
        <w:tc>
          <w:tcPr>
            <w:tcW w:w="700" w:type="pct"/>
            <w:noWrap/>
            <w:tcMar>
              <w:top w:w="0" w:type="dxa"/>
              <w:left w:w="108" w:type="dxa"/>
              <w:bottom w:w="0" w:type="dxa"/>
              <w:right w:w="108" w:type="dxa"/>
            </w:tcMar>
            <w:hideMark/>
          </w:tcPr>
          <w:p w14:paraId="080470FD" w14:textId="77777777" w:rsidR="00C66A54" w:rsidRPr="00E47714" w:rsidRDefault="00C66A54" w:rsidP="00C66A54">
            <w:pPr>
              <w:pStyle w:val="TableText"/>
              <w:jc w:val="center"/>
            </w:pPr>
            <w:r w:rsidRPr="00E47714">
              <w:t>184,919</w:t>
            </w:r>
          </w:p>
        </w:tc>
        <w:tc>
          <w:tcPr>
            <w:tcW w:w="700" w:type="pct"/>
            <w:noWrap/>
            <w:tcMar>
              <w:top w:w="0" w:type="dxa"/>
              <w:left w:w="108" w:type="dxa"/>
              <w:bottom w:w="0" w:type="dxa"/>
              <w:right w:w="108" w:type="dxa"/>
            </w:tcMar>
            <w:hideMark/>
          </w:tcPr>
          <w:p w14:paraId="2D6F57E1" w14:textId="77777777" w:rsidR="00C66A54" w:rsidRPr="00E47714" w:rsidRDefault="00C66A54" w:rsidP="00C66A54">
            <w:pPr>
              <w:pStyle w:val="TableText"/>
              <w:jc w:val="center"/>
            </w:pPr>
            <w:r w:rsidRPr="00E47714">
              <w:t>198,256</w:t>
            </w:r>
          </w:p>
        </w:tc>
        <w:tc>
          <w:tcPr>
            <w:tcW w:w="687" w:type="pct"/>
            <w:noWrap/>
            <w:tcMar>
              <w:top w:w="0" w:type="dxa"/>
              <w:left w:w="108" w:type="dxa"/>
              <w:bottom w:w="0" w:type="dxa"/>
              <w:right w:w="108" w:type="dxa"/>
            </w:tcMar>
            <w:hideMark/>
          </w:tcPr>
          <w:p w14:paraId="238B0E88" w14:textId="77777777" w:rsidR="00C66A54" w:rsidRPr="00E47714" w:rsidRDefault="00C66A54" w:rsidP="00C66A54">
            <w:pPr>
              <w:pStyle w:val="TableText"/>
              <w:jc w:val="center"/>
            </w:pPr>
            <w:r w:rsidRPr="00E47714">
              <w:t>965</w:t>
            </w:r>
          </w:p>
        </w:tc>
        <w:tc>
          <w:tcPr>
            <w:tcW w:w="687" w:type="pct"/>
            <w:noWrap/>
            <w:tcMar>
              <w:top w:w="0" w:type="dxa"/>
              <w:left w:w="108" w:type="dxa"/>
              <w:bottom w:w="0" w:type="dxa"/>
              <w:right w:w="108" w:type="dxa"/>
            </w:tcMar>
            <w:hideMark/>
          </w:tcPr>
          <w:p w14:paraId="28B94F4D" w14:textId="77777777" w:rsidR="00C66A54" w:rsidRPr="00E47714" w:rsidRDefault="00C66A54" w:rsidP="00C66A54">
            <w:pPr>
              <w:pStyle w:val="TableText"/>
              <w:jc w:val="center"/>
            </w:pPr>
            <w:r w:rsidRPr="00E47714">
              <w:t>956</w:t>
            </w:r>
          </w:p>
        </w:tc>
        <w:tc>
          <w:tcPr>
            <w:tcW w:w="687" w:type="pct"/>
            <w:noWrap/>
            <w:tcMar>
              <w:top w:w="0" w:type="dxa"/>
              <w:left w:w="108" w:type="dxa"/>
              <w:bottom w:w="0" w:type="dxa"/>
              <w:right w:w="108" w:type="dxa"/>
            </w:tcMar>
            <w:hideMark/>
          </w:tcPr>
          <w:p w14:paraId="6823F2EB" w14:textId="77777777" w:rsidR="00C66A54" w:rsidRPr="00E47714" w:rsidRDefault="00C66A54" w:rsidP="00C66A54">
            <w:pPr>
              <w:pStyle w:val="TableText"/>
              <w:jc w:val="center"/>
            </w:pPr>
            <w:r w:rsidRPr="00E47714">
              <w:t>1,076</w:t>
            </w:r>
          </w:p>
        </w:tc>
      </w:tr>
      <w:tr w:rsidR="00C66A54" w:rsidRPr="00E47714" w14:paraId="12FC7ACC" w14:textId="77777777" w:rsidTr="007C188A">
        <w:trPr>
          <w:trHeight w:val="290"/>
        </w:trPr>
        <w:tc>
          <w:tcPr>
            <w:tcW w:w="948" w:type="pct"/>
            <w:noWrap/>
            <w:tcMar>
              <w:top w:w="0" w:type="dxa"/>
              <w:left w:w="108" w:type="dxa"/>
              <w:bottom w:w="0" w:type="dxa"/>
              <w:right w:w="108" w:type="dxa"/>
            </w:tcMar>
            <w:hideMark/>
          </w:tcPr>
          <w:p w14:paraId="7E71E48E" w14:textId="77777777" w:rsidR="00C66A54" w:rsidRPr="00E47714" w:rsidRDefault="00C66A54" w:rsidP="00C66A54">
            <w:pPr>
              <w:pStyle w:val="TableText"/>
            </w:pPr>
            <w:r w:rsidRPr="00E47714">
              <w:t>Earners’</w:t>
            </w:r>
          </w:p>
        </w:tc>
        <w:tc>
          <w:tcPr>
            <w:tcW w:w="591" w:type="pct"/>
            <w:noWrap/>
            <w:tcMar>
              <w:top w:w="0" w:type="dxa"/>
              <w:left w:w="108" w:type="dxa"/>
              <w:bottom w:w="0" w:type="dxa"/>
              <w:right w:w="108" w:type="dxa"/>
            </w:tcMar>
            <w:hideMark/>
          </w:tcPr>
          <w:p w14:paraId="725A1C89" w14:textId="77777777" w:rsidR="00C66A54" w:rsidRPr="00E47714" w:rsidRDefault="00C66A54" w:rsidP="00C66A54">
            <w:pPr>
              <w:pStyle w:val="TableText"/>
              <w:jc w:val="center"/>
            </w:pPr>
            <w:r w:rsidRPr="00E47714">
              <w:t>801,750</w:t>
            </w:r>
          </w:p>
        </w:tc>
        <w:tc>
          <w:tcPr>
            <w:tcW w:w="700" w:type="pct"/>
            <w:noWrap/>
            <w:tcMar>
              <w:top w:w="0" w:type="dxa"/>
              <w:left w:w="108" w:type="dxa"/>
              <w:bottom w:w="0" w:type="dxa"/>
              <w:right w:w="108" w:type="dxa"/>
            </w:tcMar>
            <w:hideMark/>
          </w:tcPr>
          <w:p w14:paraId="0605A4D7" w14:textId="77777777" w:rsidR="00C66A54" w:rsidRPr="00E47714" w:rsidRDefault="00C66A54" w:rsidP="00C66A54">
            <w:pPr>
              <w:pStyle w:val="TableText"/>
              <w:jc w:val="center"/>
            </w:pPr>
            <w:r w:rsidRPr="00E47714">
              <w:t>692,216</w:t>
            </w:r>
          </w:p>
        </w:tc>
        <w:tc>
          <w:tcPr>
            <w:tcW w:w="700" w:type="pct"/>
            <w:noWrap/>
            <w:tcMar>
              <w:top w:w="0" w:type="dxa"/>
              <w:left w:w="108" w:type="dxa"/>
              <w:bottom w:w="0" w:type="dxa"/>
              <w:right w:w="108" w:type="dxa"/>
            </w:tcMar>
            <w:hideMark/>
          </w:tcPr>
          <w:p w14:paraId="21918354" w14:textId="77777777" w:rsidR="00C66A54" w:rsidRPr="00E47714" w:rsidRDefault="00C66A54" w:rsidP="00C66A54">
            <w:pPr>
              <w:pStyle w:val="TableText"/>
              <w:jc w:val="center"/>
            </w:pPr>
            <w:r w:rsidRPr="00E47714">
              <w:t>738,869</w:t>
            </w:r>
          </w:p>
        </w:tc>
        <w:tc>
          <w:tcPr>
            <w:tcW w:w="687" w:type="pct"/>
            <w:noWrap/>
            <w:tcMar>
              <w:top w:w="0" w:type="dxa"/>
              <w:left w:w="108" w:type="dxa"/>
              <w:bottom w:w="0" w:type="dxa"/>
              <w:right w:w="108" w:type="dxa"/>
            </w:tcMar>
            <w:hideMark/>
          </w:tcPr>
          <w:p w14:paraId="66680255" w14:textId="77777777" w:rsidR="00C66A54" w:rsidRPr="00E47714" w:rsidRDefault="00C66A54" w:rsidP="00C66A54">
            <w:pPr>
              <w:pStyle w:val="TableText"/>
              <w:jc w:val="center"/>
            </w:pPr>
            <w:r w:rsidRPr="00E47714">
              <w:t>1,930</w:t>
            </w:r>
          </w:p>
        </w:tc>
        <w:tc>
          <w:tcPr>
            <w:tcW w:w="687" w:type="pct"/>
            <w:noWrap/>
            <w:tcMar>
              <w:top w:w="0" w:type="dxa"/>
              <w:left w:w="108" w:type="dxa"/>
              <w:bottom w:w="0" w:type="dxa"/>
              <w:right w:w="108" w:type="dxa"/>
            </w:tcMar>
            <w:hideMark/>
          </w:tcPr>
          <w:p w14:paraId="3F2E6865" w14:textId="77777777" w:rsidR="00C66A54" w:rsidRPr="00E47714" w:rsidRDefault="00C66A54" w:rsidP="00C66A54">
            <w:pPr>
              <w:pStyle w:val="TableText"/>
              <w:jc w:val="center"/>
            </w:pPr>
            <w:r w:rsidRPr="00E47714">
              <w:t>2,003</w:t>
            </w:r>
          </w:p>
        </w:tc>
        <w:tc>
          <w:tcPr>
            <w:tcW w:w="687" w:type="pct"/>
            <w:noWrap/>
            <w:tcMar>
              <w:top w:w="0" w:type="dxa"/>
              <w:left w:w="108" w:type="dxa"/>
              <w:bottom w:w="0" w:type="dxa"/>
              <w:right w:w="108" w:type="dxa"/>
            </w:tcMar>
            <w:hideMark/>
          </w:tcPr>
          <w:p w14:paraId="7267CBA5" w14:textId="77777777" w:rsidR="00C66A54" w:rsidRPr="00E47714" w:rsidRDefault="00C66A54" w:rsidP="00C66A54">
            <w:pPr>
              <w:pStyle w:val="TableText"/>
              <w:jc w:val="center"/>
            </w:pPr>
            <w:r w:rsidRPr="00E47714">
              <w:t>2,342</w:t>
            </w:r>
          </w:p>
        </w:tc>
      </w:tr>
      <w:tr w:rsidR="00C66A54" w:rsidRPr="00E47714" w14:paraId="4F39030F" w14:textId="77777777" w:rsidTr="007C188A">
        <w:trPr>
          <w:trHeight w:val="290"/>
        </w:trPr>
        <w:tc>
          <w:tcPr>
            <w:tcW w:w="948" w:type="pct"/>
            <w:noWrap/>
            <w:tcMar>
              <w:top w:w="0" w:type="dxa"/>
              <w:left w:w="108" w:type="dxa"/>
              <w:bottom w:w="0" w:type="dxa"/>
              <w:right w:w="108" w:type="dxa"/>
            </w:tcMar>
            <w:hideMark/>
          </w:tcPr>
          <w:p w14:paraId="7AFF8F57" w14:textId="77777777" w:rsidR="00C66A54" w:rsidRPr="00E47714" w:rsidRDefault="00C66A54" w:rsidP="00C66A54">
            <w:pPr>
              <w:pStyle w:val="TableText"/>
            </w:pPr>
            <w:r w:rsidRPr="00E47714">
              <w:t xml:space="preserve">Treatment </w:t>
            </w:r>
            <w:r>
              <w:t>i</w:t>
            </w:r>
            <w:r w:rsidRPr="00E47714">
              <w:t>njury</w:t>
            </w:r>
          </w:p>
        </w:tc>
        <w:tc>
          <w:tcPr>
            <w:tcW w:w="591" w:type="pct"/>
            <w:noWrap/>
            <w:tcMar>
              <w:top w:w="0" w:type="dxa"/>
              <w:left w:w="108" w:type="dxa"/>
              <w:bottom w:w="0" w:type="dxa"/>
              <w:right w:w="108" w:type="dxa"/>
            </w:tcMar>
            <w:hideMark/>
          </w:tcPr>
          <w:p w14:paraId="392AF564" w14:textId="77777777" w:rsidR="00C66A54" w:rsidRPr="00E47714" w:rsidRDefault="00C66A54" w:rsidP="00C66A54">
            <w:pPr>
              <w:pStyle w:val="TableText"/>
              <w:jc w:val="center"/>
            </w:pPr>
            <w:r w:rsidRPr="00E47714">
              <w:t>11,669</w:t>
            </w:r>
          </w:p>
        </w:tc>
        <w:tc>
          <w:tcPr>
            <w:tcW w:w="700" w:type="pct"/>
            <w:noWrap/>
            <w:tcMar>
              <w:top w:w="0" w:type="dxa"/>
              <w:left w:w="108" w:type="dxa"/>
              <w:bottom w:w="0" w:type="dxa"/>
              <w:right w:w="108" w:type="dxa"/>
            </w:tcMar>
            <w:hideMark/>
          </w:tcPr>
          <w:p w14:paraId="4014CFAD" w14:textId="77777777" w:rsidR="00C66A54" w:rsidRPr="00E47714" w:rsidRDefault="00C66A54" w:rsidP="00C66A54">
            <w:pPr>
              <w:pStyle w:val="TableText"/>
              <w:jc w:val="center"/>
            </w:pPr>
            <w:r w:rsidRPr="00E47714">
              <w:t>11,614</w:t>
            </w:r>
          </w:p>
        </w:tc>
        <w:tc>
          <w:tcPr>
            <w:tcW w:w="700" w:type="pct"/>
            <w:noWrap/>
            <w:tcMar>
              <w:top w:w="0" w:type="dxa"/>
              <w:left w:w="108" w:type="dxa"/>
              <w:bottom w:w="0" w:type="dxa"/>
              <w:right w:w="108" w:type="dxa"/>
            </w:tcMar>
            <w:hideMark/>
          </w:tcPr>
          <w:p w14:paraId="796FEB39" w14:textId="77777777" w:rsidR="00C66A54" w:rsidRPr="00E47714" w:rsidRDefault="00C66A54" w:rsidP="00C66A54">
            <w:pPr>
              <w:pStyle w:val="TableText"/>
              <w:jc w:val="center"/>
            </w:pPr>
            <w:r w:rsidRPr="00E47714">
              <w:t>12,863</w:t>
            </w:r>
          </w:p>
        </w:tc>
        <w:tc>
          <w:tcPr>
            <w:tcW w:w="687" w:type="pct"/>
            <w:noWrap/>
            <w:tcMar>
              <w:top w:w="0" w:type="dxa"/>
              <w:left w:w="108" w:type="dxa"/>
              <w:bottom w:w="0" w:type="dxa"/>
              <w:right w:w="108" w:type="dxa"/>
            </w:tcMar>
            <w:hideMark/>
          </w:tcPr>
          <w:p w14:paraId="559FDF91" w14:textId="77777777" w:rsidR="00C66A54" w:rsidRPr="00E47714" w:rsidRDefault="00C66A54" w:rsidP="00C66A54">
            <w:pPr>
              <w:pStyle w:val="TableText"/>
              <w:jc w:val="center"/>
            </w:pPr>
            <w:r w:rsidRPr="00E47714">
              <w:t>276</w:t>
            </w:r>
          </w:p>
        </w:tc>
        <w:tc>
          <w:tcPr>
            <w:tcW w:w="687" w:type="pct"/>
            <w:noWrap/>
            <w:tcMar>
              <w:top w:w="0" w:type="dxa"/>
              <w:left w:w="108" w:type="dxa"/>
              <w:bottom w:w="0" w:type="dxa"/>
              <w:right w:w="108" w:type="dxa"/>
            </w:tcMar>
            <w:hideMark/>
          </w:tcPr>
          <w:p w14:paraId="7150B33C" w14:textId="77777777" w:rsidR="00C66A54" w:rsidRPr="00E47714" w:rsidRDefault="00C66A54" w:rsidP="00C66A54">
            <w:pPr>
              <w:pStyle w:val="TableText"/>
              <w:jc w:val="center"/>
            </w:pPr>
            <w:r w:rsidRPr="00E47714">
              <w:t>292</w:t>
            </w:r>
          </w:p>
        </w:tc>
        <w:tc>
          <w:tcPr>
            <w:tcW w:w="687" w:type="pct"/>
            <w:noWrap/>
            <w:tcMar>
              <w:top w:w="0" w:type="dxa"/>
              <w:left w:w="108" w:type="dxa"/>
              <w:bottom w:w="0" w:type="dxa"/>
              <w:right w:w="108" w:type="dxa"/>
            </w:tcMar>
            <w:hideMark/>
          </w:tcPr>
          <w:p w14:paraId="3FF904C6" w14:textId="77777777" w:rsidR="00C66A54" w:rsidRPr="00E47714" w:rsidRDefault="00C66A54" w:rsidP="00C66A54">
            <w:pPr>
              <w:pStyle w:val="TableText"/>
              <w:jc w:val="center"/>
            </w:pPr>
            <w:r w:rsidRPr="00E47714">
              <w:t>363</w:t>
            </w:r>
          </w:p>
        </w:tc>
      </w:tr>
      <w:tr w:rsidR="00C66A54" w:rsidRPr="00E47714" w14:paraId="511A6040" w14:textId="77777777" w:rsidTr="007C188A">
        <w:trPr>
          <w:trHeight w:val="290"/>
        </w:trPr>
        <w:tc>
          <w:tcPr>
            <w:tcW w:w="948" w:type="pct"/>
            <w:noWrap/>
            <w:tcMar>
              <w:top w:w="0" w:type="dxa"/>
              <w:left w:w="108" w:type="dxa"/>
              <w:bottom w:w="0" w:type="dxa"/>
              <w:right w:w="108" w:type="dxa"/>
            </w:tcMar>
            <w:hideMark/>
          </w:tcPr>
          <w:p w14:paraId="59373C33" w14:textId="77777777" w:rsidR="00C66A54" w:rsidRPr="00E47714" w:rsidRDefault="00C66A54" w:rsidP="00C66A54">
            <w:pPr>
              <w:pStyle w:val="TableText"/>
            </w:pPr>
            <w:r w:rsidRPr="00E47714">
              <w:t>Non-</w:t>
            </w:r>
            <w:r>
              <w:t>e</w:t>
            </w:r>
            <w:r w:rsidRPr="00E47714">
              <w:t>arners'</w:t>
            </w:r>
          </w:p>
        </w:tc>
        <w:tc>
          <w:tcPr>
            <w:tcW w:w="591" w:type="pct"/>
            <w:noWrap/>
            <w:tcMar>
              <w:top w:w="0" w:type="dxa"/>
              <w:left w:w="108" w:type="dxa"/>
              <w:bottom w:w="0" w:type="dxa"/>
              <w:right w:w="108" w:type="dxa"/>
            </w:tcMar>
            <w:hideMark/>
          </w:tcPr>
          <w:p w14:paraId="370D63FE" w14:textId="77777777" w:rsidR="00C66A54" w:rsidRPr="00E47714" w:rsidRDefault="00C66A54" w:rsidP="00C66A54">
            <w:pPr>
              <w:pStyle w:val="TableText"/>
              <w:jc w:val="center"/>
            </w:pPr>
            <w:r w:rsidRPr="00E47714">
              <w:t>1,041,199</w:t>
            </w:r>
          </w:p>
        </w:tc>
        <w:tc>
          <w:tcPr>
            <w:tcW w:w="700" w:type="pct"/>
            <w:noWrap/>
            <w:tcMar>
              <w:top w:w="0" w:type="dxa"/>
              <w:left w:w="108" w:type="dxa"/>
              <w:bottom w:w="0" w:type="dxa"/>
              <w:right w:w="108" w:type="dxa"/>
            </w:tcMar>
            <w:hideMark/>
          </w:tcPr>
          <w:p w14:paraId="17C1DD98" w14:textId="77777777" w:rsidR="00C66A54" w:rsidRPr="00E47714" w:rsidRDefault="00C66A54" w:rsidP="00C66A54">
            <w:pPr>
              <w:pStyle w:val="TableText"/>
              <w:jc w:val="center"/>
            </w:pPr>
            <w:r w:rsidRPr="00E47714">
              <w:t>884,159</w:t>
            </w:r>
          </w:p>
        </w:tc>
        <w:tc>
          <w:tcPr>
            <w:tcW w:w="700" w:type="pct"/>
            <w:noWrap/>
            <w:tcMar>
              <w:top w:w="0" w:type="dxa"/>
              <w:left w:w="108" w:type="dxa"/>
              <w:bottom w:w="0" w:type="dxa"/>
              <w:right w:w="108" w:type="dxa"/>
            </w:tcMar>
            <w:hideMark/>
          </w:tcPr>
          <w:p w14:paraId="035ECD4A" w14:textId="77777777" w:rsidR="00C66A54" w:rsidRPr="00E47714" w:rsidRDefault="00C66A54" w:rsidP="00C66A54">
            <w:pPr>
              <w:pStyle w:val="TableText"/>
              <w:jc w:val="center"/>
            </w:pPr>
            <w:r w:rsidRPr="00E47714">
              <w:t>981,628</w:t>
            </w:r>
          </w:p>
        </w:tc>
        <w:tc>
          <w:tcPr>
            <w:tcW w:w="687" w:type="pct"/>
            <w:noWrap/>
            <w:tcMar>
              <w:top w:w="0" w:type="dxa"/>
              <w:left w:w="108" w:type="dxa"/>
              <w:bottom w:w="0" w:type="dxa"/>
              <w:right w:w="108" w:type="dxa"/>
            </w:tcMar>
            <w:hideMark/>
          </w:tcPr>
          <w:p w14:paraId="66F644C8" w14:textId="77777777" w:rsidR="00C66A54" w:rsidRPr="00E47714" w:rsidRDefault="00C66A54" w:rsidP="00C66A54">
            <w:pPr>
              <w:pStyle w:val="TableText"/>
              <w:jc w:val="center"/>
            </w:pPr>
            <w:r w:rsidRPr="00E47714">
              <w:t>1,394</w:t>
            </w:r>
          </w:p>
        </w:tc>
        <w:tc>
          <w:tcPr>
            <w:tcW w:w="687" w:type="pct"/>
            <w:noWrap/>
            <w:tcMar>
              <w:top w:w="0" w:type="dxa"/>
              <w:left w:w="108" w:type="dxa"/>
              <w:bottom w:w="0" w:type="dxa"/>
              <w:right w:w="108" w:type="dxa"/>
            </w:tcMar>
            <w:hideMark/>
          </w:tcPr>
          <w:p w14:paraId="10B98FA4" w14:textId="77777777" w:rsidR="00C66A54" w:rsidRPr="00E47714" w:rsidRDefault="00C66A54" w:rsidP="00C66A54">
            <w:pPr>
              <w:pStyle w:val="TableText"/>
              <w:jc w:val="center"/>
            </w:pPr>
            <w:r w:rsidRPr="00E47714">
              <w:t>1,454</w:t>
            </w:r>
          </w:p>
        </w:tc>
        <w:tc>
          <w:tcPr>
            <w:tcW w:w="687" w:type="pct"/>
            <w:noWrap/>
            <w:tcMar>
              <w:top w:w="0" w:type="dxa"/>
              <w:left w:w="108" w:type="dxa"/>
              <w:bottom w:w="0" w:type="dxa"/>
              <w:right w:w="108" w:type="dxa"/>
            </w:tcMar>
            <w:hideMark/>
          </w:tcPr>
          <w:p w14:paraId="39C83808" w14:textId="77777777" w:rsidR="00C66A54" w:rsidRPr="00E47714" w:rsidRDefault="00C66A54" w:rsidP="00C66A54">
            <w:pPr>
              <w:pStyle w:val="TableText"/>
              <w:jc w:val="center"/>
            </w:pPr>
            <w:r w:rsidRPr="00E47714">
              <w:t>1,648</w:t>
            </w:r>
          </w:p>
        </w:tc>
      </w:tr>
    </w:tbl>
    <w:p w14:paraId="7BEB4CD1" w14:textId="77777777" w:rsidR="00C66A54" w:rsidRPr="007C188A" w:rsidRDefault="00C66A54" w:rsidP="007C188A">
      <w:pPr>
        <w:pStyle w:val="Note"/>
      </w:pPr>
      <w:r w:rsidRPr="007C188A">
        <w:t>Note: Motor vehicle account = injuries involving a moving motor vehicle. Work account = work-related injuries. Earners’ account = non-work injuries to people in employment. Treatment injury account = injuries that are caused by or happen during treatment. Non-earners’ account = injuries not covered in other accounts to people not in employment. Treatment injuries are defined as injuries caused by, or at the direction of, a registered health professional, and include injuries caused by a failure to provide appropriate treatment. Examples include healthcare associated infections, medication safety, and surgical harm.</w:t>
      </w:r>
    </w:p>
    <w:p w14:paraId="0CEED867" w14:textId="77777777" w:rsidR="00C66A54" w:rsidRPr="00C77EEE" w:rsidRDefault="00C66A54" w:rsidP="00C66A54">
      <w:pPr>
        <w:pStyle w:val="Source"/>
      </w:pPr>
      <w:r w:rsidRPr="00C77EEE">
        <w:rPr>
          <w:b/>
          <w:bCs/>
        </w:rPr>
        <w:t>Source:</w:t>
      </w:r>
      <w:r w:rsidRPr="00C77EEE">
        <w:t xml:space="preserve"> </w:t>
      </w:r>
      <w:r w:rsidRPr="00F5414A">
        <w:t>Accident Compensation Corporation unpublished data (2024)</w:t>
      </w:r>
    </w:p>
    <w:p w14:paraId="41F09F3D" w14:textId="77777777" w:rsidR="00C66A54" w:rsidRPr="00E47714" w:rsidRDefault="00C66A54" w:rsidP="00C66A54">
      <w:pPr>
        <w:pStyle w:val="Heading3"/>
      </w:pPr>
      <w:r w:rsidRPr="00E47714">
        <w:t>Health</w:t>
      </w:r>
      <w:r>
        <w:t xml:space="preserve"> </w:t>
      </w:r>
      <w:r w:rsidRPr="00E47714">
        <w:t xml:space="preserve">care harm </w:t>
      </w:r>
      <w:r>
        <w:t>and</w:t>
      </w:r>
      <w:r w:rsidRPr="00E47714">
        <w:t xml:space="preserve"> </w:t>
      </w:r>
      <w:r>
        <w:t>a</w:t>
      </w:r>
      <w:r w:rsidRPr="00E47714">
        <w:t>dverse events</w:t>
      </w:r>
    </w:p>
    <w:p w14:paraId="4719CD5D" w14:textId="6B28A715" w:rsidR="00C66A54" w:rsidRDefault="00C66A54" w:rsidP="00C66A54">
      <w:pPr>
        <w:rPr>
          <w:shd w:val="clear" w:color="auto" w:fill="FFFFFF"/>
        </w:rPr>
      </w:pPr>
      <w:r w:rsidRPr="00E47714">
        <w:rPr>
          <w:shd w:val="clear" w:color="auto" w:fill="FFFFFF"/>
        </w:rPr>
        <w:t xml:space="preserve">Health Quality </w:t>
      </w:r>
      <w:r>
        <w:rPr>
          <w:shd w:val="clear" w:color="auto" w:fill="FFFFFF"/>
        </w:rPr>
        <w:t>&amp;</w:t>
      </w:r>
      <w:r w:rsidRPr="00E47714">
        <w:rPr>
          <w:shd w:val="clear" w:color="auto" w:fill="FFFFFF"/>
        </w:rPr>
        <w:t xml:space="preserve"> Safety Commission</w:t>
      </w:r>
      <w:r w:rsidR="004E5E31">
        <w:rPr>
          <w:shd w:val="clear" w:color="auto" w:fill="FFFFFF"/>
        </w:rPr>
        <w:t xml:space="preserve"> </w:t>
      </w:r>
      <w:r w:rsidR="00861002">
        <w:rPr>
          <w:shd w:val="clear" w:color="auto" w:fill="FFFFFF"/>
        </w:rPr>
        <w:t>–</w:t>
      </w:r>
      <w:r w:rsidR="004E5E31">
        <w:rPr>
          <w:shd w:val="clear" w:color="auto" w:fill="FFFFFF"/>
        </w:rPr>
        <w:t xml:space="preserve"> </w:t>
      </w:r>
      <w:proofErr w:type="spellStart"/>
      <w:r w:rsidR="004E5E31" w:rsidRPr="00E47714">
        <w:rPr>
          <w:shd w:val="clear" w:color="auto" w:fill="FFFFFF"/>
        </w:rPr>
        <w:t>Te</w:t>
      </w:r>
      <w:proofErr w:type="spellEnd"/>
      <w:r w:rsidR="004E5E31" w:rsidRPr="00E47714">
        <w:rPr>
          <w:shd w:val="clear" w:color="auto" w:fill="FFFFFF"/>
        </w:rPr>
        <w:t xml:space="preserve"> </w:t>
      </w:r>
      <w:proofErr w:type="spellStart"/>
      <w:r w:rsidR="004E5E31" w:rsidRPr="00E47714">
        <w:rPr>
          <w:shd w:val="clear" w:color="auto" w:fill="FFFFFF"/>
        </w:rPr>
        <w:t>Tāhū</w:t>
      </w:r>
      <w:proofErr w:type="spellEnd"/>
      <w:r w:rsidR="004E5E31" w:rsidRPr="00E47714">
        <w:rPr>
          <w:shd w:val="clear" w:color="auto" w:fill="FFFFFF"/>
        </w:rPr>
        <w:t xml:space="preserve"> Hauora</w:t>
      </w:r>
      <w:r w:rsidRPr="00E47714">
        <w:rPr>
          <w:shd w:val="clear" w:color="auto" w:fill="FFFFFF"/>
        </w:rPr>
        <w:t xml:space="preserve"> (HQSC) defines </w:t>
      </w:r>
      <w:r>
        <w:rPr>
          <w:shd w:val="clear" w:color="auto" w:fill="FFFFFF"/>
        </w:rPr>
        <w:t xml:space="preserve">health care </w:t>
      </w:r>
      <w:r w:rsidRPr="00E47714">
        <w:rPr>
          <w:shd w:val="clear" w:color="auto" w:fill="FFFFFF"/>
        </w:rPr>
        <w:t xml:space="preserve">harm </w:t>
      </w:r>
      <w:r>
        <w:rPr>
          <w:shd w:val="clear" w:color="auto" w:fill="FFFFFF"/>
        </w:rPr>
        <w:t xml:space="preserve">(adverse events) </w:t>
      </w:r>
      <w:r w:rsidRPr="00E47714">
        <w:rPr>
          <w:shd w:val="clear" w:color="auto" w:fill="FFFFFF"/>
        </w:rPr>
        <w:t xml:space="preserve">as negative consequences for consumers and whānau directly arising from or associated with plans made, actions taken or omissions </w:t>
      </w:r>
      <w:r>
        <w:rPr>
          <w:shd w:val="clear" w:color="auto" w:fill="FFFFFF"/>
        </w:rPr>
        <w:t>that occur while providing</w:t>
      </w:r>
      <w:r w:rsidRPr="00E47714">
        <w:rPr>
          <w:shd w:val="clear" w:color="auto" w:fill="FFFFFF"/>
        </w:rPr>
        <w:t xml:space="preserve"> health care</w:t>
      </w:r>
      <w:r>
        <w:rPr>
          <w:shd w:val="clear" w:color="auto" w:fill="FFFFFF"/>
        </w:rPr>
        <w:t>,</w:t>
      </w:r>
      <w:r w:rsidRPr="00E47714">
        <w:rPr>
          <w:shd w:val="clear" w:color="auto" w:fill="FFFFFF"/>
        </w:rPr>
        <w:t xml:space="preserve"> rather than </w:t>
      </w:r>
      <w:r>
        <w:rPr>
          <w:shd w:val="clear" w:color="auto" w:fill="FFFFFF"/>
        </w:rPr>
        <w:t xml:space="preserve">arising from </w:t>
      </w:r>
      <w:r w:rsidRPr="00E47714">
        <w:rPr>
          <w:shd w:val="clear" w:color="auto" w:fill="FFFFFF"/>
        </w:rPr>
        <w:t xml:space="preserve">an underlying disease or injury. Harm may be physical, psychological, cultural or spiritual </w:t>
      </w:r>
      <w:r>
        <w:rPr>
          <w:shd w:val="clear" w:color="auto" w:fill="FFFFFF"/>
        </w:rPr>
        <w:fldChar w:fldCharType="begin"/>
      </w:r>
      <w:r>
        <w:rPr>
          <w:shd w:val="clear" w:color="auto" w:fill="FFFFFF"/>
        </w:rPr>
        <w:instrText xml:space="preserve"> ADDIN EN.CITE &lt;EndNote&gt;&lt;Cite&gt;&lt;Author&gt;HQSC&lt;/Author&gt;&lt;Year&gt;2023&lt;/Year&gt;&lt;RecNum&gt;456&lt;/RecNum&gt;&lt;DisplayText&gt;(HQSC 2023b)&lt;/DisplayText&gt;&lt;record&gt;&lt;rec-number&gt;456&lt;/rec-number&gt;&lt;foreign-keys&gt;&lt;key app="EN" db-id="aaepvppzs5wtfse95vsp2wahsrtvva2vvdet" timestamp="1716503226"&gt;456&lt;/key&gt;&lt;/foreign-keys&gt;&lt;ref-type name="Web Page"&gt;12&lt;/ref-type&gt;&lt;contributors&gt;&lt;authors&gt;&lt;author&gt;HQSC,&lt;/author&gt;&lt;/authors&gt;&lt;/contributors&gt;&lt;titles&gt;&lt;title&gt;Adverse events national quarterly dashboard&lt;/title&gt;&lt;/titles&gt;&lt;number&gt;24 May 2024&lt;/number&gt;&lt;dates&gt;&lt;year&gt;2023&lt;/year&gt;&lt;/dates&gt;&lt;urls&gt;&lt;related-urls&gt;&lt;url&gt;reports.hqsc.govt.nz/AdverseEventsQuarterly&lt;/url&gt;&lt;/related-urls&gt;&lt;/urls&gt;&lt;/record&gt;&lt;/Cite&gt;&lt;/EndNote&gt;</w:instrText>
      </w:r>
      <w:r>
        <w:rPr>
          <w:shd w:val="clear" w:color="auto" w:fill="FFFFFF"/>
        </w:rPr>
        <w:fldChar w:fldCharType="separate"/>
      </w:r>
      <w:r>
        <w:rPr>
          <w:noProof/>
          <w:shd w:val="clear" w:color="auto" w:fill="FFFFFF"/>
        </w:rPr>
        <w:t>(HQSC 2023b)</w:t>
      </w:r>
      <w:r>
        <w:rPr>
          <w:shd w:val="clear" w:color="auto" w:fill="FFFFFF"/>
        </w:rPr>
        <w:fldChar w:fldCharType="end"/>
      </w:r>
      <w:r w:rsidRPr="00E47714">
        <w:rPr>
          <w:shd w:val="clear" w:color="auto" w:fill="FFFFFF"/>
        </w:rPr>
        <w:t>.</w:t>
      </w:r>
    </w:p>
    <w:p w14:paraId="425B08A4" w14:textId="77777777" w:rsidR="007C188A" w:rsidRPr="00E47714" w:rsidRDefault="007C188A" w:rsidP="00C66A54"/>
    <w:p w14:paraId="43E83955" w14:textId="770AFE2D" w:rsidR="00C66A54" w:rsidRPr="00E47714" w:rsidRDefault="00C66A54" w:rsidP="00C66A54">
      <w:pPr>
        <w:rPr>
          <w:rFonts w:cs="Segoe UI"/>
        </w:rPr>
      </w:pPr>
      <w:r w:rsidRPr="00E47714">
        <w:fldChar w:fldCharType="begin"/>
      </w:r>
      <w:r w:rsidRPr="00E47714">
        <w:instrText xml:space="preserve"> REF _Ref166566952 \h  \* MERGEFORMAT </w:instrText>
      </w:r>
      <w:r w:rsidRPr="00E47714">
        <w:fldChar w:fldCharType="separate"/>
      </w:r>
      <w:r w:rsidR="009A6F87" w:rsidRPr="00E47714">
        <w:t xml:space="preserve">Figure </w:t>
      </w:r>
      <w:r w:rsidR="009A6F87">
        <w:t>29</w:t>
      </w:r>
      <w:r w:rsidRPr="00E47714">
        <w:fldChar w:fldCharType="end"/>
      </w:r>
      <w:r w:rsidRPr="00E47714">
        <w:t xml:space="preserve"> shows the number of reported adverse events with a severity assessment code of 1 or 2</w:t>
      </w:r>
      <w:r w:rsidRPr="00E47714">
        <w:rPr>
          <w:rStyle w:val="FootnoteReference"/>
          <w:rFonts w:cs="Segoe UI"/>
        </w:rPr>
        <w:footnoteReference w:id="16"/>
      </w:r>
      <w:r w:rsidRPr="00E47714">
        <w:t xml:space="preserve"> between July 2018 and June 2023. The change in mid-2020 indicates a statistically significant </w:t>
      </w:r>
      <w:r>
        <w:t xml:space="preserve">baseline </w:t>
      </w:r>
      <w:r w:rsidRPr="00E47714">
        <w:t xml:space="preserve">shift </w:t>
      </w:r>
      <w:r>
        <w:t>to a higher</w:t>
      </w:r>
      <w:r w:rsidRPr="00E47714">
        <w:t xml:space="preserve"> number of reported events from that </w:t>
      </w:r>
      <w:r w:rsidRPr="00E47714">
        <w:lastRenderedPageBreak/>
        <w:t xml:space="preserve">time. This </w:t>
      </w:r>
      <w:r>
        <w:t xml:space="preserve">shift </w:t>
      </w:r>
      <w:r w:rsidRPr="00E47714">
        <w:t>does not necessarily mean an increase in harm</w:t>
      </w:r>
      <w:r>
        <w:t>.</w:t>
      </w:r>
      <w:r w:rsidRPr="00E47714">
        <w:t xml:space="preserve"> </w:t>
      </w:r>
      <w:r>
        <w:t xml:space="preserve">Rather it </w:t>
      </w:r>
      <w:r w:rsidRPr="00E47714">
        <w:t xml:space="preserve">may indicate </w:t>
      </w:r>
      <w:r>
        <w:t>people are more likely to</w:t>
      </w:r>
      <w:r w:rsidRPr="00E47714">
        <w:t xml:space="preserve"> report harm </w:t>
      </w:r>
      <w:r>
        <w:t>when it occurs, which creates more</w:t>
      </w:r>
      <w:r w:rsidRPr="00E47714">
        <w:t xml:space="preserve"> opportunities for system learning.</w:t>
      </w:r>
    </w:p>
    <w:p w14:paraId="3EEC55D5" w14:textId="1A8F9FCC" w:rsidR="00C66A54" w:rsidRPr="00E47714" w:rsidRDefault="00C66A54" w:rsidP="007C188A">
      <w:pPr>
        <w:pStyle w:val="Figure"/>
      </w:pPr>
      <w:bookmarkStart w:id="171" w:name="_Ref166566952"/>
      <w:bookmarkStart w:id="172" w:name="_Toc171330676"/>
      <w:bookmarkStart w:id="173" w:name="_Toc172104712"/>
      <w:r w:rsidRPr="00E47714">
        <w:t xml:space="preserve">Figure </w:t>
      </w:r>
      <w:fldSimple w:instr=" SEQ Figure \* ARABIC ">
        <w:r w:rsidR="009A6F87">
          <w:rPr>
            <w:noProof/>
          </w:rPr>
          <w:t>29</w:t>
        </w:r>
      </w:fldSimple>
      <w:bookmarkEnd w:id="171"/>
      <w:r w:rsidRPr="00E47714">
        <w:t>: Number of reported adverse events (</w:t>
      </w:r>
      <w:r>
        <w:t>s</w:t>
      </w:r>
      <w:r w:rsidRPr="00E47714">
        <w:t xml:space="preserve">everity </w:t>
      </w:r>
      <w:r>
        <w:t>a</w:t>
      </w:r>
      <w:r w:rsidRPr="00E47714">
        <w:t xml:space="preserve">ssessment </w:t>
      </w:r>
      <w:r>
        <w:t>c</w:t>
      </w:r>
      <w:r w:rsidRPr="00E47714">
        <w:t xml:space="preserve">ode 1 </w:t>
      </w:r>
      <w:r>
        <w:t>or</w:t>
      </w:r>
      <w:r w:rsidRPr="00E47714">
        <w:t xml:space="preserve"> 2</w:t>
      </w:r>
      <w:r>
        <w:t>)</w:t>
      </w:r>
      <w:r w:rsidRPr="00E47714">
        <w:t xml:space="preserve">, before </w:t>
      </w:r>
      <w:r>
        <w:t xml:space="preserve">and after </w:t>
      </w:r>
      <w:r w:rsidRPr="00E47714">
        <w:t>baseline shift</w:t>
      </w:r>
      <w:r>
        <w:t xml:space="preserve"> to a higher number of reported events</w:t>
      </w:r>
      <w:r w:rsidRPr="00E47714">
        <w:t>, 2018–2023</w:t>
      </w:r>
      <w:bookmarkEnd w:id="172"/>
      <w:bookmarkEnd w:id="173"/>
    </w:p>
    <w:p w14:paraId="0BA5B20F" w14:textId="77777777" w:rsidR="00C66A54" w:rsidRPr="00E47714" w:rsidRDefault="00C66A54" w:rsidP="007C188A">
      <w:pPr>
        <w:pStyle w:val="NormalWeb"/>
        <w:spacing w:before="0" w:beforeAutospacing="0" w:after="0" w:afterAutospacing="0"/>
      </w:pPr>
      <w:r w:rsidRPr="00E47714">
        <w:rPr>
          <w:noProof/>
        </w:rPr>
        <w:drawing>
          <wp:inline distT="0" distB="0" distL="0" distR="0" wp14:anchorId="09ACAC50" wp14:editId="397C8E7E">
            <wp:extent cx="5112327" cy="2841250"/>
            <wp:effectExtent l="0" t="0" r="0" b="0"/>
            <wp:docPr id="1286808674" name="Picture 1286808674" descr="A time series chart showing the number of reported adverse events that resulted in death or permanent and temporary severe loss of function between July 2018 and June 2023. The chart shows two linear trends, one before mid 2020 and another after mid 2020 where the number of adverse reported events increased from before mid 2020 to after mi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08674" name="Picture 1286808674" descr="A time series chart showing the number of reported adverse events that resulted in death or permanent and temporary severe loss of function between July 2018 and June 2023. The chart shows two linear trends, one before mid 2020 and another after mid 2020 where the number of adverse reported events increased from before mid 2020 to after mid 2020."/>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144165" cy="2858944"/>
                    </a:xfrm>
                    <a:prstGeom prst="rect">
                      <a:avLst/>
                    </a:prstGeom>
                    <a:noFill/>
                    <a:ln>
                      <a:noFill/>
                    </a:ln>
                  </pic:spPr>
                </pic:pic>
              </a:graphicData>
            </a:graphic>
          </wp:inline>
        </w:drawing>
      </w:r>
    </w:p>
    <w:p w14:paraId="6EACAF94" w14:textId="77777777" w:rsidR="00C66A54" w:rsidRDefault="00C66A54" w:rsidP="00C66A54">
      <w:pPr>
        <w:pStyle w:val="Source"/>
      </w:pPr>
      <w:r>
        <w:t xml:space="preserve">Note: </w:t>
      </w:r>
      <w:r w:rsidRPr="00E47714">
        <w:t>Shaded area indicates 95% confidence interval of the estimated mean.</w:t>
      </w:r>
    </w:p>
    <w:p w14:paraId="71D8C191" w14:textId="77777777" w:rsidR="00C66A54" w:rsidRPr="00E47714" w:rsidRDefault="00C66A54" w:rsidP="00C66A54">
      <w:pPr>
        <w:pStyle w:val="Source"/>
      </w:pPr>
      <w:r w:rsidRPr="00E47714">
        <w:rPr>
          <w:b/>
          <w:bCs/>
        </w:rPr>
        <w:t xml:space="preserve">Source: </w:t>
      </w:r>
      <w:r w:rsidRPr="00E47714">
        <w:t>HQSC unpublished data (2024)</w:t>
      </w:r>
    </w:p>
    <w:p w14:paraId="32A7A162" w14:textId="77777777" w:rsidR="007C188A" w:rsidRDefault="007C188A" w:rsidP="00C66A54"/>
    <w:p w14:paraId="2386BACF" w14:textId="13FBDA85" w:rsidR="00C66A54" w:rsidRPr="00E47714" w:rsidRDefault="00C66A54" w:rsidP="00C66A54">
      <w:r>
        <w:t xml:space="preserve">HQSC released </w:t>
      </w:r>
      <w:r w:rsidRPr="00C77EEE">
        <w:rPr>
          <w:i/>
          <w:iCs/>
        </w:rPr>
        <w:t xml:space="preserve">Healing, learning and improving from harm: National adverse events policy 2023 </w:t>
      </w:r>
      <w:r w:rsidR="00C86452">
        <w:rPr>
          <w:i/>
          <w:iCs/>
        </w:rPr>
        <w:t>-</w:t>
      </w:r>
      <w:r w:rsidRPr="00C77EEE">
        <w:rPr>
          <w:i/>
          <w:iCs/>
        </w:rPr>
        <w:t xml:space="preserve"> </w:t>
      </w:r>
      <w:proofErr w:type="spellStart"/>
      <w:r w:rsidRPr="00C77EEE">
        <w:rPr>
          <w:i/>
          <w:iCs/>
        </w:rPr>
        <w:t>Te</w:t>
      </w:r>
      <w:proofErr w:type="spellEnd"/>
      <w:r w:rsidRPr="00C77EEE">
        <w:rPr>
          <w:i/>
          <w:iCs/>
        </w:rPr>
        <w:t xml:space="preserve"> </w:t>
      </w:r>
      <w:proofErr w:type="spellStart"/>
      <w:r w:rsidRPr="00C77EEE">
        <w:rPr>
          <w:i/>
          <w:iCs/>
        </w:rPr>
        <w:t>whakaora</w:t>
      </w:r>
      <w:proofErr w:type="spellEnd"/>
      <w:r w:rsidRPr="00C77EEE">
        <w:rPr>
          <w:i/>
          <w:iCs/>
        </w:rPr>
        <w:t xml:space="preserve">, </w:t>
      </w:r>
      <w:proofErr w:type="spellStart"/>
      <w:r w:rsidRPr="00C77EEE">
        <w:rPr>
          <w:i/>
          <w:iCs/>
        </w:rPr>
        <w:t>te</w:t>
      </w:r>
      <w:proofErr w:type="spellEnd"/>
      <w:r w:rsidRPr="00C77EEE">
        <w:rPr>
          <w:i/>
          <w:iCs/>
        </w:rPr>
        <w:t xml:space="preserve"> </w:t>
      </w:r>
      <w:proofErr w:type="spellStart"/>
      <w:r w:rsidRPr="00C77EEE">
        <w:rPr>
          <w:i/>
          <w:iCs/>
        </w:rPr>
        <w:t>ako</w:t>
      </w:r>
      <w:proofErr w:type="spellEnd"/>
      <w:r w:rsidRPr="00C77EEE">
        <w:rPr>
          <w:i/>
          <w:iCs/>
        </w:rPr>
        <w:t xml:space="preserve"> me to </w:t>
      </w:r>
      <w:proofErr w:type="spellStart"/>
      <w:r w:rsidRPr="00C77EEE">
        <w:rPr>
          <w:i/>
          <w:iCs/>
        </w:rPr>
        <w:t>whakapai</w:t>
      </w:r>
      <w:proofErr w:type="spellEnd"/>
      <w:r w:rsidRPr="00C77EEE">
        <w:rPr>
          <w:i/>
          <w:iCs/>
        </w:rPr>
        <w:t xml:space="preserve"> </w:t>
      </w:r>
      <w:proofErr w:type="spellStart"/>
      <w:r w:rsidRPr="00C77EEE">
        <w:rPr>
          <w:i/>
          <w:iCs/>
        </w:rPr>
        <w:t>ake</w:t>
      </w:r>
      <w:proofErr w:type="spellEnd"/>
      <w:r w:rsidRPr="00C77EEE">
        <w:rPr>
          <w:i/>
          <w:iCs/>
        </w:rPr>
        <w:t xml:space="preserve"> </w:t>
      </w:r>
      <w:proofErr w:type="spellStart"/>
      <w:r w:rsidRPr="00C77EEE">
        <w:rPr>
          <w:i/>
          <w:iCs/>
        </w:rPr>
        <w:t>i</w:t>
      </w:r>
      <w:proofErr w:type="spellEnd"/>
      <w:r w:rsidRPr="00C77EEE">
        <w:rPr>
          <w:i/>
          <w:iCs/>
        </w:rPr>
        <w:t xml:space="preserve"> </w:t>
      </w:r>
      <w:proofErr w:type="spellStart"/>
      <w:r w:rsidRPr="00C77EEE">
        <w:rPr>
          <w:i/>
          <w:iCs/>
        </w:rPr>
        <w:t>te</w:t>
      </w:r>
      <w:proofErr w:type="spellEnd"/>
      <w:r w:rsidRPr="00C77EEE">
        <w:rPr>
          <w:i/>
          <w:iCs/>
        </w:rPr>
        <w:t xml:space="preserve"> kino</w:t>
      </w:r>
      <w:r>
        <w:rPr>
          <w:i/>
          <w:iCs/>
        </w:rPr>
        <w:t xml:space="preserve"> </w:t>
      </w:r>
      <w:r>
        <w:fldChar w:fldCharType="begin"/>
      </w:r>
      <w:r>
        <w:instrText xml:space="preserve"> ADDIN EN.CITE &lt;EndNote&gt;&lt;Cite&gt;&lt;Author&gt;HQSC&lt;/Author&gt;&lt;Year&gt;2023&lt;/Year&gt;&lt;RecNum&gt;457&lt;/RecNum&gt;&lt;DisplayText&gt;(HQSC 2023c)&lt;/DisplayText&gt;&lt;record&gt;&lt;rec-number&gt;457&lt;/rec-number&gt;&lt;foreign-keys&gt;&lt;key app="EN" db-id="aaepvppzs5wtfse95vsp2wahsrtvva2vvdet" timestamp="1716512569"&gt;457&lt;/key&gt;&lt;/foreign-keys&gt;&lt;ref-type name="Web Page"&gt;12&lt;/ref-type&gt;&lt;contributors&gt;&lt;authors&gt;&lt;author&gt;HQSC,&lt;/author&gt;&lt;/authors&gt;&lt;/contributors&gt;&lt;titles&gt;&lt;title&gt;Healing, Learning and Improving from Harm: National Adverse Events Reporting Policy 2023 | Te whakaora, te ako me to whakapai ake i te kino&lt;/title&gt;&lt;/titles&gt;&lt;number&gt;24 May 2024&lt;/number&gt;&lt;dates&gt;&lt;year&gt;2023&lt;/year&gt;&lt;/dates&gt;&lt;urls&gt;&lt;related-urls&gt;&lt;url&gt;hqsc.govt.nz/our-work/system-safety/healing-learning-and-improving-from-harm-policy/national-adverse-events-reporting-policy&lt;/url&gt;&lt;/related-urls&gt;&lt;/urls&gt;&lt;/record&gt;&lt;/Cite&gt;&lt;/EndNote&gt;</w:instrText>
      </w:r>
      <w:r>
        <w:fldChar w:fldCharType="separate"/>
      </w:r>
      <w:r>
        <w:rPr>
          <w:noProof/>
        </w:rPr>
        <w:t>(HQSC 2023c)</w:t>
      </w:r>
      <w:r>
        <w:fldChar w:fldCharType="end"/>
      </w:r>
      <w:r w:rsidRPr="00E47714">
        <w:t xml:space="preserve"> on 1 July 2023. The aim of the policy is to provide a national framework for health and disability providers to continually improve the quality and safety of services following harm that occurs during the provision of health care. </w:t>
      </w:r>
    </w:p>
    <w:p w14:paraId="02B956AB" w14:textId="77777777" w:rsidR="00C66A54" w:rsidRPr="00E47714" w:rsidRDefault="00C66A54" w:rsidP="00C66A54">
      <w:pPr>
        <w:pStyle w:val="Heading2"/>
      </w:pPr>
      <w:bookmarkStart w:id="174" w:name="_Toc171603276"/>
      <w:bookmarkStart w:id="175" w:name="_Toc171944536"/>
      <w:bookmarkStart w:id="176" w:name="_Toc172104676"/>
      <w:r w:rsidRPr="00E47714">
        <w:t>Infectious (communicable) diseases</w:t>
      </w:r>
      <w:bookmarkEnd w:id="174"/>
      <w:bookmarkEnd w:id="175"/>
      <w:bookmarkEnd w:id="176"/>
    </w:p>
    <w:p w14:paraId="1B3E8BD4" w14:textId="63E7058A" w:rsidR="00C66A54" w:rsidRDefault="00C66A54" w:rsidP="00C66A54">
      <w:r w:rsidRPr="00E47714">
        <w:t>Infectious (communicable) diseases are caused by pathogenic micro</w:t>
      </w:r>
      <w:r>
        <w:t>-</w:t>
      </w:r>
      <w:r w:rsidRPr="00E47714">
        <w:t>organisms, such as bacteria, viruses, parasites</w:t>
      </w:r>
      <w:r>
        <w:t>,</w:t>
      </w:r>
      <w:r w:rsidRPr="00E47714">
        <w:t xml:space="preserve"> or fungi. The diseases can spread, directly or indirectly, from one person to another, between animals and humans, through food or through the environment.</w:t>
      </w:r>
      <w:r>
        <w:t xml:space="preserve"> </w:t>
      </w:r>
      <w:r w:rsidRPr="00E47714">
        <w:t>Many of the causes of infectious diseases lie outside the direct control of the health sector, for example, water supply, housing</w:t>
      </w:r>
      <w:r>
        <w:t>,</w:t>
      </w:r>
      <w:r w:rsidRPr="00E47714">
        <w:t xml:space="preserve"> and other wider determinants of health </w:t>
      </w:r>
      <w:r>
        <w:fldChar w:fldCharType="begin"/>
      </w:r>
      <w:r>
        <w:instrText xml:space="preserve"> ADDIN EN.CITE &lt;EndNote&gt;&lt;Cite&gt;&lt;Author&gt;WHO&lt;/Author&gt;&lt;Year&gt;(nd)&lt;/Year&gt;&lt;RecNum&gt;459&lt;/RecNum&gt;&lt;DisplayText&gt;(WHO (nd)-c)&lt;/DisplayText&gt;&lt;record&gt;&lt;rec-number&gt;459&lt;/rec-number&gt;&lt;foreign-keys&gt;&lt;key app="EN" db-id="aaepvppzs5wtfse95vsp2wahsrtvva2vvdet" timestamp="1716512917"&gt;459&lt;/key&gt;&lt;/foreign-keys&gt;&lt;ref-type name="Web Page"&gt;12&lt;/ref-type&gt;&lt;contributors&gt;&lt;authors&gt;&lt;author&gt;WHO&lt;/author&gt;&lt;/authors&gt;&lt;/contributors&gt;&lt;titles&gt;&lt;title&gt;Infectious diseases&lt;/title&gt;&lt;/titles&gt;&lt;number&gt;24 May 2024&lt;/number&gt;&lt;dates&gt;&lt;year&gt;(nd)&lt;/year&gt;&lt;/dates&gt;&lt;urls&gt;&lt;related-urls&gt;&lt;url&gt;emro.who.int/health-topics/infectious-diseases/index.html&lt;/url&gt;&lt;/related-urls&gt;&lt;/urls&gt;&lt;/record&gt;&lt;/Cite&gt;&lt;/EndNote&gt;</w:instrText>
      </w:r>
      <w:r>
        <w:fldChar w:fldCharType="separate"/>
      </w:r>
      <w:r>
        <w:rPr>
          <w:noProof/>
        </w:rPr>
        <w:t>(WHO (nd)-c)</w:t>
      </w:r>
      <w:r>
        <w:fldChar w:fldCharType="end"/>
      </w:r>
      <w:r w:rsidRPr="00E47714">
        <w:t xml:space="preserve">. </w:t>
      </w:r>
    </w:p>
    <w:p w14:paraId="30CC7047" w14:textId="77777777" w:rsidR="007C188A" w:rsidRPr="00E47714" w:rsidRDefault="007C188A" w:rsidP="00C66A54"/>
    <w:p w14:paraId="49871637" w14:textId="77777777" w:rsidR="00C66A54" w:rsidRPr="00E47714" w:rsidRDefault="00C66A54" w:rsidP="00C66A54">
      <w:r w:rsidRPr="00E47714">
        <w:t xml:space="preserve">This section </w:t>
      </w:r>
      <w:r>
        <w:t>first</w:t>
      </w:r>
      <w:r w:rsidRPr="00E47714">
        <w:t xml:space="preserve"> provides </w:t>
      </w:r>
      <w:r>
        <w:t xml:space="preserve">detailed </w:t>
      </w:r>
      <w:r w:rsidRPr="00E47714">
        <w:t>information on COVID-19</w:t>
      </w:r>
      <w:r>
        <w:t>. It then gives an overview of some other infectious diseases –</w:t>
      </w:r>
      <w:r w:rsidRPr="00E47714">
        <w:t xml:space="preserve"> </w:t>
      </w:r>
      <w:r>
        <w:t>namely r</w:t>
      </w:r>
      <w:r w:rsidRPr="00E47714">
        <w:t xml:space="preserve">heumatic </w:t>
      </w:r>
      <w:r>
        <w:t>f</w:t>
      </w:r>
      <w:r w:rsidRPr="00E47714">
        <w:t xml:space="preserve">ever, </w:t>
      </w:r>
      <w:r>
        <w:t>m</w:t>
      </w:r>
      <w:r w:rsidRPr="00E47714">
        <w:t xml:space="preserve">easles, </w:t>
      </w:r>
      <w:r>
        <w:t>m</w:t>
      </w:r>
      <w:r w:rsidRPr="00E47714">
        <w:t xml:space="preserve">eningococcal </w:t>
      </w:r>
      <w:r>
        <w:t>d</w:t>
      </w:r>
      <w:r w:rsidRPr="00E47714">
        <w:t>isease</w:t>
      </w:r>
      <w:r>
        <w:t>,</w:t>
      </w:r>
      <w:r w:rsidRPr="001B7154">
        <w:t xml:space="preserve"> </w:t>
      </w:r>
      <w:r>
        <w:t>and s</w:t>
      </w:r>
      <w:r w:rsidRPr="00E47714">
        <w:t xml:space="preserve">exually </w:t>
      </w:r>
      <w:r>
        <w:t>t</w:t>
      </w:r>
      <w:r w:rsidRPr="00E47714">
        <w:t xml:space="preserve">ransmitted </w:t>
      </w:r>
      <w:r>
        <w:t>i</w:t>
      </w:r>
      <w:r w:rsidRPr="00E47714">
        <w:t>nfections.</w:t>
      </w:r>
      <w:r>
        <w:t xml:space="preserve"> Finally, it covers antimicrobial resistance, which makes it harder to treat infectious diseases.</w:t>
      </w:r>
    </w:p>
    <w:p w14:paraId="5E6C106C" w14:textId="77777777" w:rsidR="00C66A54" w:rsidRPr="00E47714" w:rsidRDefault="00C66A54" w:rsidP="00C66A54">
      <w:pPr>
        <w:pStyle w:val="Heading3"/>
      </w:pPr>
      <w:r w:rsidRPr="00E47714">
        <w:lastRenderedPageBreak/>
        <w:t xml:space="preserve">COVID-19 </w:t>
      </w:r>
    </w:p>
    <w:p w14:paraId="72BEF445" w14:textId="2DFC11E9" w:rsidR="00C66A54" w:rsidRDefault="00C66A54" w:rsidP="00C66A54">
      <w:r w:rsidRPr="00E47714">
        <w:t>This section provides information on COVID-19</w:t>
      </w:r>
      <w:r>
        <w:t>, including</w:t>
      </w:r>
      <w:r w:rsidRPr="00E47714">
        <w:t xml:space="preserve"> counts of deaths</w:t>
      </w:r>
      <w:r w:rsidRPr="007C70B7">
        <w:t xml:space="preserve"> </w:t>
      </w:r>
      <w:r w:rsidRPr="00E47714">
        <w:t>global</w:t>
      </w:r>
      <w:r>
        <w:t>ly</w:t>
      </w:r>
      <w:r w:rsidRPr="00E47714">
        <w:t xml:space="preserve"> and national</w:t>
      </w:r>
      <w:r>
        <w:t>ly and</w:t>
      </w:r>
      <w:r w:rsidRPr="00E47714">
        <w:t xml:space="preserve"> hospitalisations </w:t>
      </w:r>
      <w:r>
        <w:t>in Aotearoa New Zealand</w:t>
      </w:r>
      <w:r w:rsidRPr="00E47714">
        <w:t xml:space="preserve">. </w:t>
      </w:r>
      <w:r>
        <w:t xml:space="preserve">For </w:t>
      </w:r>
      <w:r w:rsidRPr="00E47714">
        <w:t>COVID-19 vaccination rates</w:t>
      </w:r>
      <w:r>
        <w:t xml:space="preserve">, see </w:t>
      </w:r>
      <w:hyperlink w:anchor="_COVID-19_immunisation" w:history="1">
        <w:r w:rsidRPr="003E26EA">
          <w:rPr>
            <w:rStyle w:val="Hyperlink"/>
          </w:rPr>
          <w:t>COVID-19 immunisation</w:t>
        </w:r>
      </w:hyperlink>
      <w:r>
        <w:t xml:space="preserve"> in the ‘Immunisation’ section</w:t>
      </w:r>
      <w:r w:rsidRPr="00E47714">
        <w:t>.</w:t>
      </w:r>
    </w:p>
    <w:p w14:paraId="3A47E160" w14:textId="77777777" w:rsidR="007C188A" w:rsidRPr="00E47714" w:rsidRDefault="007C188A" w:rsidP="00C66A54"/>
    <w:p w14:paraId="22ADF0A2" w14:textId="729DEF85" w:rsidR="00C66A54" w:rsidRDefault="00C66A54" w:rsidP="00C66A54">
      <w:r w:rsidRPr="00E47714">
        <w:t>In 2023, the W</w:t>
      </w:r>
      <w:r>
        <w:t>HO</w:t>
      </w:r>
      <w:r w:rsidRPr="00E47714">
        <w:t>, as the global coordinating agency for the response to COVID-19, announced the end of the emergency phase of the pandemic</w:t>
      </w:r>
      <w:r>
        <w:t>. It</w:t>
      </w:r>
      <w:r w:rsidRPr="00E47714">
        <w:t xml:space="preserve"> determin</w:t>
      </w:r>
      <w:r>
        <w:t>ed</w:t>
      </w:r>
      <w:r w:rsidRPr="00E47714">
        <w:t xml:space="preserve"> that COVID-19 </w:t>
      </w:r>
      <w:r>
        <w:t>had become</w:t>
      </w:r>
      <w:r w:rsidRPr="00E47714">
        <w:t xml:space="preserve"> an established and ongoing health issue </w:t>
      </w:r>
      <w:r>
        <w:t>that was</w:t>
      </w:r>
      <w:r w:rsidRPr="00E47714">
        <w:t xml:space="preserve"> no longer a public health emergency of international concern </w:t>
      </w:r>
      <w:r>
        <w:fldChar w:fldCharType="begin"/>
      </w:r>
      <w:r>
        <w:instrText xml:space="preserve"> ADDIN EN.CITE &lt;EndNote&gt;&lt;Cite&gt;&lt;Author&gt;WHO&lt;/Author&gt;&lt;Year&gt;2023&lt;/Year&gt;&lt;RecNum&gt;458&lt;/RecNum&gt;&lt;DisplayText&gt;(WHO 2023b)&lt;/DisplayText&gt;&lt;record&gt;&lt;rec-number&gt;458&lt;/rec-number&gt;&lt;foreign-keys&gt;&lt;key app="EN" db-id="aaepvppzs5wtfse95vsp2wahsrtvva2vvdet" timestamp="1716512722"&gt;458&lt;/key&gt;&lt;/foreign-keys&gt;&lt;ref-type name="Web Page"&gt;12&lt;/ref-type&gt;&lt;contributors&gt;&lt;authors&gt;&lt;author&gt;WHO&lt;/author&gt;&lt;/authors&gt;&lt;/contributors&gt;&lt;titles&gt;&lt;title&gt;Statement on the fifteenth meeting of the IHR (2005) Emergency Committee on the COVID-19 pandemic&lt;/title&gt;&lt;/titles&gt;&lt;number&gt;24 May 2024&lt;/number&gt;&lt;dates&gt;&lt;year&gt;2023&lt;/year&gt;&lt;/dates&gt;&lt;urls&gt;&lt;related-urls&gt;&lt;url&gt;who.int/news/item/05-05-2023-statement-on-the-fifteenth-meeting-of-the-international-health-regulations-(2005)-emergency-committee-regarding-the-coronavirus-disease-(covid-19)-pandemic&lt;/url&gt;&lt;/related-urls&gt;&lt;/urls&gt;&lt;/record&gt;&lt;/Cite&gt;&lt;/EndNote&gt;</w:instrText>
      </w:r>
      <w:r>
        <w:fldChar w:fldCharType="separate"/>
      </w:r>
      <w:r>
        <w:rPr>
          <w:noProof/>
        </w:rPr>
        <w:t>(WHO 2023b)</w:t>
      </w:r>
      <w:r>
        <w:fldChar w:fldCharType="end"/>
      </w:r>
      <w:r w:rsidRPr="00E47714">
        <w:t>.</w:t>
      </w:r>
    </w:p>
    <w:p w14:paraId="2FFAC4BE" w14:textId="77777777" w:rsidR="007C188A" w:rsidRPr="00E47714" w:rsidRDefault="007C188A" w:rsidP="00C66A54"/>
    <w:p w14:paraId="05F52A2E" w14:textId="425A7794" w:rsidR="00C66A54" w:rsidRDefault="00C66A54" w:rsidP="00C66A54">
      <w:pPr>
        <w:rPr>
          <w:color w:val="000000" w:themeColor="text1"/>
          <w:shd w:val="clear" w:color="auto" w:fill="FFFFFF"/>
        </w:rPr>
      </w:pPr>
      <w:r w:rsidRPr="00E47714">
        <w:rPr>
          <w:color w:val="000000" w:themeColor="text1"/>
        </w:rPr>
        <w:t>According to the 2021 Global Burden of Disease study, the COVID-19 pandemic killed approximately 16 million people worldwide in 2020 and 2021</w:t>
      </w:r>
      <w:r>
        <w:rPr>
          <w:color w:val="000000" w:themeColor="text1"/>
        </w:rPr>
        <w:t>.</w:t>
      </w:r>
      <w:r w:rsidRPr="00E47714">
        <w:rPr>
          <w:color w:val="000000" w:themeColor="text1"/>
        </w:rPr>
        <w:t xml:space="preserve"> </w:t>
      </w:r>
      <w:r>
        <w:rPr>
          <w:color w:val="000000" w:themeColor="text1"/>
        </w:rPr>
        <w:t xml:space="preserve">As a result, </w:t>
      </w:r>
      <w:r w:rsidRPr="00E47714">
        <w:rPr>
          <w:color w:val="000000" w:themeColor="text1"/>
        </w:rPr>
        <w:t>global life expectancy decline</w:t>
      </w:r>
      <w:r>
        <w:rPr>
          <w:color w:val="000000" w:themeColor="text1"/>
        </w:rPr>
        <w:t>d</w:t>
      </w:r>
      <w:r w:rsidRPr="00E47714">
        <w:rPr>
          <w:color w:val="000000" w:themeColor="text1"/>
        </w:rPr>
        <w:t xml:space="preserve"> by 1.6 years between 2019 </w:t>
      </w:r>
      <w:r>
        <w:rPr>
          <w:color w:val="000000" w:themeColor="text1"/>
        </w:rPr>
        <w:t>and</w:t>
      </w:r>
      <w:r w:rsidRPr="00E47714">
        <w:rPr>
          <w:color w:val="000000" w:themeColor="text1"/>
        </w:rPr>
        <w:t xml:space="preserve"> 2021 (reversing historical trends). In 2020, </w:t>
      </w:r>
      <w:r w:rsidRPr="00E47714">
        <w:t xml:space="preserve">Aotearoa </w:t>
      </w:r>
      <w:r w:rsidRPr="00E47714">
        <w:rPr>
          <w:color w:val="000000" w:themeColor="text1"/>
        </w:rPr>
        <w:t xml:space="preserve">New Zealand was one of 20 countries and territories with negative all-age excess mortality (fewer deaths occurred than would be expected based on past trends). In 2021, only </w:t>
      </w:r>
      <w:r w:rsidRPr="00E47714">
        <w:t xml:space="preserve">Aotearoa </w:t>
      </w:r>
      <w:r w:rsidRPr="00E47714">
        <w:rPr>
          <w:color w:val="000000" w:themeColor="text1"/>
        </w:rPr>
        <w:t xml:space="preserve">New Zealand and Barbados had negative excess mortality </w:t>
      </w:r>
      <w:r>
        <w:rPr>
          <w:color w:val="000000" w:themeColor="text1"/>
        </w:rPr>
        <w:fldChar w:fldCharType="begin"/>
      </w:r>
      <w:r>
        <w:rPr>
          <w:color w:val="000000" w:themeColor="text1"/>
        </w:rPr>
        <w:instrText xml:space="preserve"> ADDIN EN.CITE &lt;EndNote&gt;&lt;Cite&gt;&lt;Author&gt;GBD 2021 Demographics Collaborators &lt;/Author&gt;&lt;Year&gt;2024&lt;/Year&gt;&lt;RecNum&gt;460&lt;/RecNum&gt;&lt;DisplayText&gt;(GBD 2021 Demographics Collaborators 2024)&lt;/DisplayText&gt;&lt;record&gt;&lt;rec-number&gt;460&lt;/rec-number&gt;&lt;foreign-keys&gt;&lt;key app="EN" db-id="aaepvppzs5wtfse95vsp2wahsrtvva2vvdet" timestamp="1716513143"&gt;460&lt;/key&gt;&lt;/foreign-keys&gt;&lt;ref-type name="Journal Article"&gt;17&lt;/ref-type&gt;&lt;contributors&gt;&lt;authors&gt;&lt;author&gt;GBD 2021 Demographics Collaborators ,&lt;/author&gt;&lt;/authors&gt;&lt;/contributors&gt;&lt;titles&gt;&lt;title&gt;Global age-sex-specific mortality, life expectancy, and population estimates in 204 countries and territories and 811 subnational locations, 1950-2021, and the impact of the COVID-19 pandemic: a comprehensive demographic analysis for the Global Burden of Disease Study 2021&lt;/title&gt;&lt;secondary-title&gt;The Lancet 403(10440):1989–2056&lt;/secondary-title&gt;&lt;/titles&gt;&lt;periodical&gt;&lt;full-title&gt;The Lancet 403(10440):1989–2056&lt;/full-title&gt;&lt;/periodical&gt;&lt;dates&gt;&lt;year&gt;2024&lt;/year&gt;&lt;/dates&gt;&lt;isbn&gt;0140-6736&lt;/isbn&gt;&lt;urls&gt;&lt;/urls&gt;&lt;/record&gt;&lt;/Cite&gt;&lt;/EndNote&gt;</w:instrText>
      </w:r>
      <w:r>
        <w:rPr>
          <w:color w:val="000000" w:themeColor="text1"/>
        </w:rPr>
        <w:fldChar w:fldCharType="separate"/>
      </w:r>
      <w:r>
        <w:rPr>
          <w:noProof/>
          <w:color w:val="000000" w:themeColor="text1"/>
        </w:rPr>
        <w:t>(GBD 2021 Demographics Collaborators 2024)</w:t>
      </w:r>
      <w:r>
        <w:rPr>
          <w:color w:val="000000" w:themeColor="text1"/>
        </w:rPr>
        <w:fldChar w:fldCharType="end"/>
      </w:r>
      <w:r>
        <w:rPr>
          <w:color w:val="000000" w:themeColor="text1"/>
          <w:shd w:val="clear" w:color="auto" w:fill="FFFFFF"/>
        </w:rPr>
        <w:t>.</w:t>
      </w:r>
    </w:p>
    <w:p w14:paraId="23AA3857" w14:textId="77777777" w:rsidR="007C188A" w:rsidRPr="00E47714" w:rsidRDefault="007C188A" w:rsidP="00C66A54">
      <w:pPr>
        <w:rPr>
          <w:color w:val="000000" w:themeColor="text1"/>
        </w:rPr>
      </w:pPr>
    </w:p>
    <w:p w14:paraId="295FEA73" w14:textId="77777777" w:rsidR="00C66A54" w:rsidRPr="00E47714" w:rsidRDefault="00C66A54" w:rsidP="00C66A54">
      <w:r w:rsidRPr="00E47714">
        <w:t xml:space="preserve">Over the course of the pandemic, the Aotearoa New Zealand COVID-19 management strategy changed </w:t>
      </w:r>
      <w:r>
        <w:t xml:space="preserve">first </w:t>
      </w:r>
      <w:r w:rsidRPr="00E47714">
        <w:t>from elimination to minimisation</w:t>
      </w:r>
      <w:r>
        <w:t xml:space="preserve"> and then</w:t>
      </w:r>
      <w:r w:rsidRPr="00E47714">
        <w:t xml:space="preserve"> to protection. On 15 August 2023, all remaining COVID-19 requirements were removed. This included the mandatory </w:t>
      </w:r>
      <w:r>
        <w:t>seven</w:t>
      </w:r>
      <w:r w:rsidRPr="00E47714">
        <w:t>-day isolation period for people testing positive for the virus, and the requirement for visitors to wear a mask when visiting a health</w:t>
      </w:r>
      <w:r>
        <w:t xml:space="preserve"> </w:t>
      </w:r>
      <w:r w:rsidRPr="00E47714">
        <w:t>care or aged care facility</w:t>
      </w:r>
      <w:r>
        <w:t xml:space="preserve"> </w:t>
      </w:r>
      <w:r>
        <w:fldChar w:fldCharType="begin"/>
      </w:r>
      <w:r>
        <w:instrText xml:space="preserve"> ADDIN EN.CITE &lt;EndNote&gt;&lt;Cite&gt;&lt;Author&gt;beehive.govt.nz &lt;/Author&gt;&lt;Year&gt;2023&lt;/Year&gt;&lt;RecNum&gt;462&lt;/RecNum&gt;&lt;DisplayText&gt;(beehive.govt.nz 2023)&lt;/DisplayText&gt;&lt;record&gt;&lt;rec-number&gt;462&lt;/rec-number&gt;&lt;foreign-keys&gt;&lt;key app="EN" db-id="aaepvppzs5wtfse95vsp2wahsrtvva2vvdet" timestamp="1716513458"&gt;462&lt;/key&gt;&lt;/foreign-keys&gt;&lt;ref-type name="Web Page"&gt;12&lt;/ref-type&gt;&lt;contributors&gt;&lt;authors&gt;&lt;author&gt;beehive.govt.nz , &lt;/author&gt;&lt;/authors&gt;&lt;/contributors&gt;&lt;titles&gt;&lt;title&gt;All COVID-19 requirements removed&lt;/title&gt;&lt;/titles&gt;&lt;number&gt;24 May 2024&lt;/number&gt;&lt;dates&gt;&lt;year&gt;2023&lt;/year&gt;&lt;/dates&gt;&lt;urls&gt;&lt;related-urls&gt;&lt;url&gt;beehive.govt.nz/release/all-covid-19-requirements-removed&lt;/url&gt;&lt;/related-urls&gt;&lt;/urls&gt;&lt;/record&gt;&lt;/Cite&gt;&lt;/EndNote&gt;</w:instrText>
      </w:r>
      <w:r>
        <w:fldChar w:fldCharType="separate"/>
      </w:r>
      <w:r>
        <w:rPr>
          <w:noProof/>
        </w:rPr>
        <w:t>(beehive.govt.nz 2023)</w:t>
      </w:r>
      <w:r>
        <w:fldChar w:fldCharType="end"/>
      </w:r>
      <w:r w:rsidRPr="00E47714">
        <w:t>.</w:t>
      </w:r>
    </w:p>
    <w:p w14:paraId="5FB1F90B" w14:textId="77777777" w:rsidR="00C66A54" w:rsidRPr="00E47714" w:rsidRDefault="00C66A54" w:rsidP="00C66A54">
      <w:pPr>
        <w:pStyle w:val="Heading4"/>
      </w:pPr>
      <w:r w:rsidRPr="00E47714">
        <w:t xml:space="preserve">COVID-19 </w:t>
      </w:r>
      <w:r>
        <w:t>h</w:t>
      </w:r>
      <w:r w:rsidRPr="00E47714">
        <w:t xml:space="preserve">ospital </w:t>
      </w:r>
      <w:r>
        <w:t>a</w:t>
      </w:r>
      <w:r w:rsidRPr="00E47714">
        <w:t>dmissions</w:t>
      </w:r>
    </w:p>
    <w:p w14:paraId="49AC0ED6" w14:textId="674D8575" w:rsidR="00C66A54" w:rsidRPr="00E47714" w:rsidRDefault="00C66A54" w:rsidP="00C66A54">
      <w:pPr>
        <w:rPr>
          <w:rFonts w:cs="Segoe UI"/>
        </w:rPr>
      </w:pPr>
      <w:r w:rsidRPr="00E47714">
        <w:t>From the time the first case of COVID-19 was detected in Aotearoa New Zealand on 28 February 2020 until the end of December 2023, 35,644 people have been admitted to hospital for COVID-19. Of these, 12,242 were admitted in the calendar year of 2023</w:t>
      </w:r>
      <w:r>
        <w:t xml:space="preserve"> </w:t>
      </w:r>
      <w:r>
        <w:fldChar w:fldCharType="begin"/>
      </w:r>
      <w:r>
        <w:instrText xml:space="preserve"> ADDIN EN.CITE &lt;EndNote&gt;&lt;Cite&gt;&lt;Author&gt;Ministry of Health &lt;/Author&gt;&lt;Year&gt;2024&lt;/Year&gt;&lt;RecNum&gt;463&lt;/RecNum&gt;&lt;DisplayText&gt;(Ministry of Health 2024f)&lt;/DisplayText&gt;&lt;record&gt;&lt;rec-number&gt;463&lt;/rec-number&gt;&lt;foreign-keys&gt;&lt;key app="EN" db-id="aaepvppzs5wtfse95vsp2wahsrtvva2vvdet" timestamp="1716513608"&gt;463&lt;/key&gt;&lt;/foreign-keys&gt;&lt;ref-type name="Web Page"&gt;12&lt;/ref-type&gt;&lt;contributors&gt;&lt;authors&gt;&lt;author&gt;Ministry of Health ,&lt;/author&gt;&lt;/authors&gt;&lt;secondary-authors&gt;&lt;author&gt;Ministry of Health&lt;/author&gt;&lt;/secondary-authors&gt;&lt;/contributors&gt;&lt;titles&gt;&lt;title&gt;New Zealand COVID-19 Data&lt;/title&gt;&lt;/titles&gt;&lt;number&gt;24 May 2024&lt;/number&gt;&lt;dates&gt;&lt;year&gt;2024&lt;/year&gt;&lt;/dates&gt;&lt;urls&gt;&lt;related-urls&gt;&lt;url&gt;github.com/minhealthnz/nz-covid-data&lt;/url&gt;&lt;/related-urls&gt;&lt;/urls&gt;&lt;/record&gt;&lt;/Cite&gt;&lt;/EndNote&gt;</w:instrText>
      </w:r>
      <w:r>
        <w:fldChar w:fldCharType="separate"/>
      </w:r>
      <w:r>
        <w:rPr>
          <w:noProof/>
        </w:rPr>
        <w:t>(Ministry of Health 2024f)</w:t>
      </w:r>
      <w:r>
        <w:fldChar w:fldCharType="end"/>
      </w:r>
      <w:r w:rsidRPr="00E47714">
        <w:t>.</w:t>
      </w:r>
      <w:r w:rsidRPr="00E47714">
        <w:rPr>
          <w:rStyle w:val="FootnoteReference"/>
          <w:rFonts w:cs="Segoe UI"/>
        </w:rPr>
        <w:footnoteReference w:id="17"/>
      </w:r>
      <w:r w:rsidRPr="00E47714">
        <w:t xml:space="preserve"> </w:t>
      </w:r>
      <w:r w:rsidRPr="00E47714">
        <w:fldChar w:fldCharType="begin"/>
      </w:r>
      <w:r w:rsidRPr="00E47714">
        <w:instrText xml:space="preserve"> REF _Ref167616309 \h  \* MERGEFORMAT </w:instrText>
      </w:r>
      <w:r w:rsidRPr="00E47714">
        <w:fldChar w:fldCharType="separate"/>
      </w:r>
      <w:r w:rsidR="009A6F87" w:rsidRPr="00E47714">
        <w:t xml:space="preserve">Figure </w:t>
      </w:r>
      <w:r w:rsidR="009A6F87">
        <w:t>30</w:t>
      </w:r>
      <w:r w:rsidRPr="00E47714">
        <w:fldChar w:fldCharType="end"/>
      </w:r>
      <w:r w:rsidRPr="00E47714">
        <w:t xml:space="preserve"> presents the weekly count of COVID-19 hospital admissions from 2020 to the end of 2023. </w:t>
      </w:r>
    </w:p>
    <w:p w14:paraId="68C1FA89" w14:textId="691DCF90" w:rsidR="00C66A54" w:rsidRPr="00E47714" w:rsidRDefault="00C66A54" w:rsidP="007C188A">
      <w:pPr>
        <w:pStyle w:val="Figure"/>
      </w:pPr>
      <w:bookmarkStart w:id="177" w:name="_Ref167616309"/>
      <w:bookmarkStart w:id="178" w:name="_Toc171330677"/>
      <w:bookmarkStart w:id="179" w:name="_Toc172104713"/>
      <w:r w:rsidRPr="00E47714">
        <w:t xml:space="preserve">Figure </w:t>
      </w:r>
      <w:fldSimple w:instr=" SEQ Figure \* ARABIC ">
        <w:r w:rsidR="009A6F87">
          <w:rPr>
            <w:noProof/>
          </w:rPr>
          <w:t>30</w:t>
        </w:r>
      </w:fldSimple>
      <w:bookmarkEnd w:id="177"/>
      <w:r w:rsidRPr="00E47714">
        <w:t>: Weekly count of hospital admissions for COVID-19, 2020–2023</w:t>
      </w:r>
      <w:bookmarkEnd w:id="178"/>
      <w:bookmarkEnd w:id="179"/>
    </w:p>
    <w:p w14:paraId="678E9D66" w14:textId="77777777" w:rsidR="009D4BFA" w:rsidRDefault="00C66A54" w:rsidP="009D4BFA">
      <w:pPr>
        <w:pStyle w:val="Source"/>
        <w:rPr>
          <w:b/>
          <w:bCs/>
        </w:rPr>
      </w:pPr>
      <w:r w:rsidRPr="00E47714">
        <w:rPr>
          <w:noProof/>
        </w:rPr>
        <w:drawing>
          <wp:inline distT="0" distB="0" distL="0" distR="0" wp14:anchorId="0438C246" wp14:editId="29EB2B7E">
            <wp:extent cx="4686013" cy="2204085"/>
            <wp:effectExtent l="0" t="0" r="635" b="5715"/>
            <wp:docPr id="29" name="Picture 29" descr="A time series line chart showing the weekly count of COVID-19 hospital admissions from January 2020 to the end of 2023. The chart shows increases in hospital admissions in late 2021 and a large increase in admissions beginning March 2022 up to over 1,100 weekly admissions. Several more peaks in hospital admissions occur up the end of December 2023. After March 2022, the weekly count of hospitalisations remains abov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ime series line chart showing the weekly count of COVID-19 hospital admissions from January 2020 to the end of 2023. The chart shows increases in hospital admissions in late 2021 and a large increase in admissions beginning March 2022 up to over 1,100 weekly admissions. Several more peaks in hospital admissions occur up the end of December 2023. After March 2022, the weekly count of hospitalisations remains above 100."/>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762071" cy="2239859"/>
                    </a:xfrm>
                    <a:prstGeom prst="rect">
                      <a:avLst/>
                    </a:prstGeom>
                    <a:noFill/>
                    <a:ln>
                      <a:noFill/>
                    </a:ln>
                  </pic:spPr>
                </pic:pic>
              </a:graphicData>
            </a:graphic>
          </wp:inline>
        </w:drawing>
      </w:r>
    </w:p>
    <w:p w14:paraId="6AA2EA23" w14:textId="65393316" w:rsidR="00C66A54" w:rsidRDefault="00C66A54" w:rsidP="009D4BFA">
      <w:pPr>
        <w:pStyle w:val="Source"/>
      </w:pPr>
      <w:r w:rsidRPr="00E47714">
        <w:rPr>
          <w:b/>
          <w:bCs/>
        </w:rPr>
        <w:t>Source:</w:t>
      </w:r>
      <w:r w:rsidRPr="00E47714">
        <w:t xml:space="preserve"> </w:t>
      </w:r>
      <w:r>
        <w:fldChar w:fldCharType="begin"/>
      </w:r>
      <w:r>
        <w:instrText xml:space="preserve"> ADDIN EN.CITE &lt;EndNote&gt;&lt;Cite AuthorYear="1"&gt;&lt;Author&gt;Ministry of Health &lt;/Author&gt;&lt;Year&gt;2024&lt;/Year&gt;&lt;RecNum&gt;463&lt;/RecNum&gt;&lt;DisplayText&gt;Ministry of Health (2024f)&lt;/DisplayText&gt;&lt;record&gt;&lt;rec-number&gt;463&lt;/rec-number&gt;&lt;foreign-keys&gt;&lt;key app="EN" db-id="aaepvppzs5wtfse95vsp2wahsrtvva2vvdet" timestamp="1716513608"&gt;463&lt;/key&gt;&lt;/foreign-keys&gt;&lt;ref-type name="Web Page"&gt;12&lt;/ref-type&gt;&lt;contributors&gt;&lt;authors&gt;&lt;author&gt;Ministry of Health ,&lt;/author&gt;&lt;/authors&gt;&lt;secondary-authors&gt;&lt;author&gt;Ministry of Health&lt;/author&gt;&lt;/secondary-authors&gt;&lt;/contributors&gt;&lt;titles&gt;&lt;title&gt;New Zealand COVID-19 Data&lt;/title&gt;&lt;/titles&gt;&lt;number&gt;24 May 2024&lt;/number&gt;&lt;dates&gt;&lt;year&gt;2024&lt;/year&gt;&lt;/dates&gt;&lt;urls&gt;&lt;related-urls&gt;&lt;url&gt;github.com/minhealthnz/nz-covid-data&lt;/url&gt;&lt;/related-urls&gt;&lt;/urls&gt;&lt;/record&gt;&lt;/Cite&gt;&lt;/EndNote&gt;</w:instrText>
      </w:r>
      <w:r>
        <w:fldChar w:fldCharType="separate"/>
      </w:r>
      <w:r>
        <w:rPr>
          <w:noProof/>
        </w:rPr>
        <w:t>Ministry of Health (2024f)</w:t>
      </w:r>
      <w:r>
        <w:fldChar w:fldCharType="end"/>
      </w:r>
    </w:p>
    <w:p w14:paraId="06FD3887" w14:textId="77777777" w:rsidR="00C66A54" w:rsidRPr="00E47714" w:rsidRDefault="00C66A54" w:rsidP="00C66A54">
      <w:pPr>
        <w:pStyle w:val="Heading4"/>
      </w:pPr>
      <w:r w:rsidRPr="00E47714">
        <w:lastRenderedPageBreak/>
        <w:t xml:space="preserve">COVID-19 </w:t>
      </w:r>
      <w:r>
        <w:t>d</w:t>
      </w:r>
      <w:r w:rsidRPr="00E47714">
        <w:t>eaths</w:t>
      </w:r>
    </w:p>
    <w:p w14:paraId="3B6E5787" w14:textId="3B3615DE" w:rsidR="00C66A54" w:rsidRPr="00E47714" w:rsidRDefault="00C66A54" w:rsidP="00C66A54">
      <w:r>
        <w:t>From</w:t>
      </w:r>
      <w:r w:rsidRPr="00E47714">
        <w:t xml:space="preserve"> the beginning of the pandemic until 31 December 2023, 5,310 people in Aotearoa New Zealand died </w:t>
      </w:r>
      <w:r>
        <w:t>with</w:t>
      </w:r>
      <w:r w:rsidRPr="00E47714">
        <w:t xml:space="preserve"> COVID-19 officially coded as the underlying cause</w:t>
      </w:r>
      <w:r>
        <w:t>.</w:t>
      </w:r>
      <w:r w:rsidRPr="00E47714">
        <w:rPr>
          <w:rStyle w:val="FootnoteReference"/>
          <w:rFonts w:cs="Segoe UI"/>
        </w:rPr>
        <w:footnoteReference w:id="18"/>
      </w:r>
      <w:r w:rsidRPr="00E47714">
        <w:t xml:space="preserve"> </w:t>
      </w:r>
      <w:r>
        <w:t>Of these</w:t>
      </w:r>
      <w:r w:rsidRPr="00983C6A">
        <w:t xml:space="preserve"> </w:t>
      </w:r>
      <w:r w:rsidRPr="00E47714">
        <w:t>deaths</w:t>
      </w:r>
      <w:r>
        <w:t xml:space="preserve">, </w:t>
      </w:r>
      <w:r w:rsidRPr="00E47714">
        <w:t>1,764 were attributed to COVID-19</w:t>
      </w:r>
      <w:r>
        <w:t xml:space="preserve"> in the 2023 calendar year</w:t>
      </w:r>
      <w:r w:rsidRPr="00E47714">
        <w:t xml:space="preserve">. </w:t>
      </w:r>
      <w:r w:rsidRPr="00E47714">
        <w:fldChar w:fldCharType="begin"/>
      </w:r>
      <w:r w:rsidRPr="00E47714">
        <w:instrText xml:space="preserve"> REF _Ref168410286 \h  \* MERGEFORMAT </w:instrText>
      </w:r>
      <w:r w:rsidRPr="00E47714">
        <w:fldChar w:fldCharType="separate"/>
      </w:r>
      <w:r w:rsidR="009A6F87" w:rsidRPr="00E47714">
        <w:t xml:space="preserve">Figure </w:t>
      </w:r>
      <w:r w:rsidR="009A6F87">
        <w:t>31</w:t>
      </w:r>
      <w:r w:rsidRPr="00E47714">
        <w:fldChar w:fldCharType="end"/>
      </w:r>
      <w:r w:rsidRPr="00E47714">
        <w:t xml:space="preserve"> presents the weekly count of COVID-19 death</w:t>
      </w:r>
      <w:r>
        <w:t>s</w:t>
      </w:r>
      <w:r w:rsidRPr="00E47714">
        <w:t xml:space="preserve"> from 2020 to the end of 2023.</w:t>
      </w:r>
    </w:p>
    <w:p w14:paraId="1320B0A2" w14:textId="2411F605" w:rsidR="00C66A54" w:rsidRPr="00E47714" w:rsidRDefault="00C66A54" w:rsidP="009D4BFA">
      <w:pPr>
        <w:pStyle w:val="Figure"/>
      </w:pPr>
      <w:bookmarkStart w:id="180" w:name="_Ref168410286"/>
      <w:bookmarkStart w:id="181" w:name="_Toc171330678"/>
      <w:bookmarkStart w:id="182" w:name="_Toc172104714"/>
      <w:r w:rsidRPr="00E47714">
        <w:t xml:space="preserve">Figure </w:t>
      </w:r>
      <w:fldSimple w:instr=" SEQ Figure \* ARABIC ">
        <w:r w:rsidR="009A6F87">
          <w:rPr>
            <w:noProof/>
          </w:rPr>
          <w:t>31</w:t>
        </w:r>
      </w:fldSimple>
      <w:bookmarkEnd w:id="180"/>
      <w:r w:rsidRPr="00E47714">
        <w:t>: Weekly count of COVID-19 deaths, 2020–2023</w:t>
      </w:r>
      <w:bookmarkEnd w:id="181"/>
      <w:bookmarkEnd w:id="182"/>
    </w:p>
    <w:p w14:paraId="6825017A" w14:textId="77777777" w:rsidR="00C66A54" w:rsidRPr="00E47714" w:rsidRDefault="00C66A54" w:rsidP="009D4BFA">
      <w:pPr>
        <w:pStyle w:val="NormalWeb"/>
        <w:spacing w:before="0" w:beforeAutospacing="0" w:after="0" w:afterAutospacing="0"/>
      </w:pPr>
      <w:r w:rsidRPr="00E47714">
        <w:rPr>
          <w:noProof/>
        </w:rPr>
        <w:drawing>
          <wp:inline distT="0" distB="0" distL="0" distR="0" wp14:anchorId="5B974028" wp14:editId="35366335">
            <wp:extent cx="5113867" cy="2405327"/>
            <wp:effectExtent l="0" t="0" r="0" b="0"/>
            <wp:docPr id="30" name="Picture 30" descr="A time series line chart showing the weekly count of COVID-19 deaths between January 2020 to December 2023. There are minimal weekly deaths up until March 2022, after which there is a sharp increase in the number of deaths from COVID-19, with the highest peak in weekly deaths occurring in 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ime series line chart showing the weekly count of COVID-19 deaths between January 2020 to December 2023. There are minimal weekly deaths up until March 2022, after which there is a sharp increase in the number of deaths from COVID-19, with the highest peak in weekly deaths occurring in August 2022."/>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128740" cy="2412323"/>
                    </a:xfrm>
                    <a:prstGeom prst="rect">
                      <a:avLst/>
                    </a:prstGeom>
                    <a:noFill/>
                    <a:ln>
                      <a:noFill/>
                    </a:ln>
                  </pic:spPr>
                </pic:pic>
              </a:graphicData>
            </a:graphic>
          </wp:inline>
        </w:drawing>
      </w:r>
    </w:p>
    <w:p w14:paraId="6EB6A239" w14:textId="77777777" w:rsidR="00C66A54" w:rsidRPr="00E47714" w:rsidRDefault="00C66A54" w:rsidP="00C66A54">
      <w:pPr>
        <w:pStyle w:val="Source"/>
      </w:pPr>
      <w:r w:rsidRPr="00E47714">
        <w:rPr>
          <w:b/>
          <w:bCs/>
        </w:rPr>
        <w:t>Source:</w:t>
      </w:r>
      <w:r w:rsidRPr="00E47714">
        <w:t xml:space="preserve"> </w:t>
      </w:r>
      <w:r>
        <w:fldChar w:fldCharType="begin"/>
      </w:r>
      <w:r>
        <w:instrText xml:space="preserve"> ADDIN EN.CITE &lt;EndNote&gt;&lt;Cite AuthorYear="1"&gt;&lt;Author&gt;Ministry of Health &lt;/Author&gt;&lt;Year&gt;2024&lt;/Year&gt;&lt;RecNum&gt;463&lt;/RecNum&gt;&lt;DisplayText&gt;Ministry of Health (2024f)&lt;/DisplayText&gt;&lt;record&gt;&lt;rec-number&gt;463&lt;/rec-number&gt;&lt;foreign-keys&gt;&lt;key app="EN" db-id="aaepvppzs5wtfse95vsp2wahsrtvva2vvdet" timestamp="1716513608"&gt;463&lt;/key&gt;&lt;/foreign-keys&gt;&lt;ref-type name="Web Page"&gt;12&lt;/ref-type&gt;&lt;contributors&gt;&lt;authors&gt;&lt;author&gt;Ministry of Health ,&lt;/author&gt;&lt;/authors&gt;&lt;secondary-authors&gt;&lt;author&gt;Ministry of Health&lt;/author&gt;&lt;/secondary-authors&gt;&lt;/contributors&gt;&lt;titles&gt;&lt;title&gt;New Zealand COVID-19 Data&lt;/title&gt;&lt;/titles&gt;&lt;number&gt;24 May 2024&lt;/number&gt;&lt;dates&gt;&lt;year&gt;2024&lt;/year&gt;&lt;/dates&gt;&lt;urls&gt;&lt;related-urls&gt;&lt;url&gt;github.com/minhealthnz/nz-covid-data&lt;/url&gt;&lt;/related-urls&gt;&lt;/urls&gt;&lt;/record&gt;&lt;/Cite&gt;&lt;/EndNote&gt;</w:instrText>
      </w:r>
      <w:r>
        <w:fldChar w:fldCharType="separate"/>
      </w:r>
      <w:r>
        <w:rPr>
          <w:noProof/>
        </w:rPr>
        <w:t>Ministry of Health (2024f)</w:t>
      </w:r>
      <w:r>
        <w:fldChar w:fldCharType="end"/>
      </w:r>
    </w:p>
    <w:p w14:paraId="6F7A5D0A" w14:textId="77777777" w:rsidR="00C66A54" w:rsidRPr="00E47714" w:rsidRDefault="00C66A54" w:rsidP="00C66A54">
      <w:pPr>
        <w:pStyle w:val="Heading4"/>
      </w:pPr>
      <w:r w:rsidRPr="00E47714">
        <w:t xml:space="preserve">Long COVID </w:t>
      </w:r>
    </w:p>
    <w:p w14:paraId="44503E0C" w14:textId="0288B403" w:rsidR="00C66A54" w:rsidRDefault="00C66A54" w:rsidP="00C66A54">
      <w:pPr>
        <w:rPr>
          <w:shd w:val="clear" w:color="auto" w:fill="FFFFFF"/>
        </w:rPr>
      </w:pPr>
      <w:r w:rsidRPr="00E47714">
        <w:rPr>
          <w:shd w:val="clear" w:color="auto" w:fill="FFFFFF"/>
        </w:rPr>
        <w:t xml:space="preserve">In Aotearoa New Zealand, the clinical definition of long COVID is ongoing symptoms that continue 12 weeks or more after infection with SARS-CoV-2, </w:t>
      </w:r>
      <w:r>
        <w:rPr>
          <w:shd w:val="clear" w:color="auto" w:fill="FFFFFF"/>
        </w:rPr>
        <w:t xml:space="preserve">which are </w:t>
      </w:r>
      <w:r w:rsidRPr="00E47714">
        <w:rPr>
          <w:shd w:val="clear" w:color="auto" w:fill="FFFFFF"/>
        </w:rPr>
        <w:t xml:space="preserve">not explained by any other diagnosis </w:t>
      </w:r>
      <w:r>
        <w:rPr>
          <w:shd w:val="clear" w:color="auto" w:fill="FFFFFF"/>
        </w:rPr>
        <w:fldChar w:fldCharType="begin"/>
      </w:r>
      <w:r>
        <w:rPr>
          <w:shd w:val="clear" w:color="auto" w:fill="FFFFFF"/>
        </w:rPr>
        <w:instrText xml:space="preserve"> ADDIN EN.CITE &lt;EndNote&gt;&lt;Cite&gt;&lt;Author&gt;Ministry of Health &lt;/Author&gt;&lt;Year&gt;2024&lt;/Year&gt;&lt;RecNum&gt;464&lt;/RecNum&gt;&lt;DisplayText&gt;(Ministry of Health 2024c)&lt;/DisplayText&gt;&lt;record&gt;&lt;rec-number&gt;464&lt;/rec-number&gt;&lt;foreign-keys&gt;&lt;key app="EN" db-id="aaepvppzs5wtfse95vsp2wahsrtvva2vvdet" timestamp="1716514397"&gt;464&lt;/key&gt;&lt;/foreign-keys&gt;&lt;ref-type name="Web Page"&gt;12&lt;/ref-type&gt;&lt;contributors&gt;&lt;authors&gt;&lt;author&gt;Ministry of Health ,&lt;/author&gt;&lt;/authors&gt;&lt;/contributors&gt;&lt;titles&gt;&lt;title&gt;Long COVID Programme&lt;/title&gt;&lt;/titles&gt;&lt;number&gt;24 May 2024&lt;/number&gt;&lt;dates&gt;&lt;year&gt;2024&lt;/year&gt;&lt;/dates&gt;&lt;urls&gt;&lt;related-urls&gt;&lt;url&gt;health.govt.nz/our-work/diseases-and-conditions/covid-19-novel-coronavirus/covid-19-response-planning/long-covid-programme&lt;/url&gt;&lt;/related-urls&gt;&lt;/urls&gt;&lt;/record&gt;&lt;/Cite&gt;&lt;/EndNote&gt;</w:instrText>
      </w:r>
      <w:r>
        <w:rPr>
          <w:shd w:val="clear" w:color="auto" w:fill="FFFFFF"/>
        </w:rPr>
        <w:fldChar w:fldCharType="separate"/>
      </w:r>
      <w:r>
        <w:rPr>
          <w:noProof/>
          <w:shd w:val="clear" w:color="auto" w:fill="FFFFFF"/>
        </w:rPr>
        <w:t>(Ministry of Health 2024c)</w:t>
      </w:r>
      <w:r>
        <w:rPr>
          <w:shd w:val="clear" w:color="auto" w:fill="FFFFFF"/>
        </w:rPr>
        <w:fldChar w:fldCharType="end"/>
      </w:r>
      <w:r w:rsidRPr="00E47714">
        <w:rPr>
          <w:shd w:val="clear" w:color="auto" w:fill="FFFFFF"/>
        </w:rPr>
        <w:t xml:space="preserve">. This is in line with the WHO definition of long COVID. Understanding the percentage of the population suffering from long COVID presents an ongoing challenge in </w:t>
      </w:r>
      <w:r w:rsidRPr="00E47714">
        <w:t xml:space="preserve">Aotearoa </w:t>
      </w:r>
      <w:r w:rsidRPr="00E47714">
        <w:rPr>
          <w:shd w:val="clear" w:color="auto" w:fill="FFFFFF"/>
        </w:rPr>
        <w:t>New Zealand</w:t>
      </w:r>
      <w:r>
        <w:rPr>
          <w:shd w:val="clear" w:color="auto" w:fill="FFFFFF"/>
        </w:rPr>
        <w:t xml:space="preserve"> and around the world</w:t>
      </w:r>
      <w:r w:rsidRPr="00E47714">
        <w:rPr>
          <w:shd w:val="clear" w:color="auto" w:fill="FFFFFF"/>
        </w:rPr>
        <w:t>, as there are no definitive tests and diagnosis relies on symptoms alone. The WHO estimates that 10</w:t>
      </w:r>
      <w:r w:rsidRPr="00E47714">
        <w:rPr>
          <w:rStyle w:val="normaltextrun"/>
          <w:rFonts w:ascii="Calibri" w:hAnsi="Calibri" w:cs="Calibri"/>
          <w:color w:val="000000"/>
          <w:bdr w:val="none" w:sz="0" w:space="0" w:color="auto" w:frame="1"/>
        </w:rPr>
        <w:t>–</w:t>
      </w:r>
      <w:r w:rsidRPr="00E47714">
        <w:rPr>
          <w:shd w:val="clear" w:color="auto" w:fill="FFFFFF"/>
        </w:rPr>
        <w:t xml:space="preserve">20% of people who are infected by SARS-CoV-2 go on to develop long COVID </w:t>
      </w:r>
      <w:r>
        <w:rPr>
          <w:shd w:val="clear" w:color="auto" w:fill="FFFFFF"/>
        </w:rPr>
        <w:fldChar w:fldCharType="begin"/>
      </w:r>
      <w:r>
        <w:rPr>
          <w:shd w:val="clear" w:color="auto" w:fill="FFFFFF"/>
        </w:rPr>
        <w:instrText xml:space="preserve"> ADDIN EN.CITE &lt;EndNote&gt;&lt;Cite&gt;&lt;Author&gt;WHO&lt;/Author&gt;&lt;Year&gt;2022&lt;/Year&gt;&lt;RecNum&gt;465&lt;/RecNum&gt;&lt;DisplayText&gt;(WHO 2022d)&lt;/DisplayText&gt;&lt;record&gt;&lt;rec-number&gt;465&lt;/rec-number&gt;&lt;foreign-keys&gt;&lt;key app="EN" db-id="aaepvppzs5wtfse95vsp2wahsrtvva2vvdet" timestamp="1716514550"&gt;465&lt;/key&gt;&lt;/foreign-keys&gt;&lt;ref-type name="Web Page"&gt;12&lt;/ref-type&gt;&lt;contributors&gt;&lt;authors&gt;&lt;author&gt;WHO&lt;/author&gt;&lt;/authors&gt;&lt;/contributors&gt;&lt;titles&gt;&lt;title&gt;Post COVID-19 condition (Long COVID)&lt;/title&gt;&lt;/titles&gt;&lt;number&gt;24 May 2024&lt;/number&gt;&lt;dates&gt;&lt;year&gt;2022&lt;/year&gt;&lt;/dates&gt;&lt;urls&gt;&lt;related-urls&gt;&lt;url&gt;who.int/europe/news-room/fact-sheets/item/post-covid-19-condition&lt;/url&gt;&lt;/related-urls&gt;&lt;/urls&gt;&lt;/record&gt;&lt;/Cite&gt;&lt;/EndNote&gt;</w:instrText>
      </w:r>
      <w:r>
        <w:rPr>
          <w:shd w:val="clear" w:color="auto" w:fill="FFFFFF"/>
        </w:rPr>
        <w:fldChar w:fldCharType="separate"/>
      </w:r>
      <w:r>
        <w:rPr>
          <w:noProof/>
          <w:shd w:val="clear" w:color="auto" w:fill="FFFFFF"/>
        </w:rPr>
        <w:t>(WHO 2022d)</w:t>
      </w:r>
      <w:r>
        <w:rPr>
          <w:shd w:val="clear" w:color="auto" w:fill="FFFFFF"/>
        </w:rPr>
        <w:fldChar w:fldCharType="end"/>
      </w:r>
      <w:r w:rsidRPr="00E47714">
        <w:rPr>
          <w:shd w:val="clear" w:color="auto" w:fill="FFFFFF"/>
        </w:rPr>
        <w:t xml:space="preserve">. </w:t>
      </w:r>
    </w:p>
    <w:p w14:paraId="516E7CB4" w14:textId="77777777" w:rsidR="009D4BFA" w:rsidRPr="00E47714" w:rsidRDefault="009D4BFA" w:rsidP="00C66A54">
      <w:pPr>
        <w:rPr>
          <w:shd w:val="clear" w:color="auto" w:fill="FFFFFF"/>
        </w:rPr>
      </w:pPr>
    </w:p>
    <w:p w14:paraId="55691E1C" w14:textId="5F861CB1" w:rsidR="00C66A54" w:rsidRPr="00E47714" w:rsidRDefault="00C66A54" w:rsidP="00C66A54">
      <w:r w:rsidRPr="00E47714">
        <w:rPr>
          <w:shd w:val="clear" w:color="auto" w:fill="FFFFFF"/>
        </w:rPr>
        <w:t xml:space="preserve">While the number of </w:t>
      </w:r>
      <w:r>
        <w:rPr>
          <w:shd w:val="clear" w:color="auto" w:fill="FFFFFF"/>
        </w:rPr>
        <w:t>people with</w:t>
      </w:r>
      <w:r w:rsidRPr="00E47714">
        <w:rPr>
          <w:shd w:val="clear" w:color="auto" w:fill="FFFFFF"/>
        </w:rPr>
        <w:t xml:space="preserve"> long COVID in </w:t>
      </w:r>
      <w:r w:rsidRPr="00E47714">
        <w:t xml:space="preserve">Aotearoa </w:t>
      </w:r>
      <w:r w:rsidRPr="00E47714">
        <w:rPr>
          <w:shd w:val="clear" w:color="auto" w:fill="FFFFFF"/>
        </w:rPr>
        <w:t xml:space="preserve">New Zealand is not presently known, </w:t>
      </w:r>
      <w:r>
        <w:rPr>
          <w:shd w:val="clear" w:color="auto" w:fill="FFFFFF"/>
        </w:rPr>
        <w:t>it is clear that</w:t>
      </w:r>
      <w:r w:rsidRPr="00E47714">
        <w:rPr>
          <w:shd w:val="clear" w:color="auto" w:fill="FFFFFF"/>
        </w:rPr>
        <w:t xml:space="preserve"> individuals do suffer significant impacts </w:t>
      </w:r>
      <w:r>
        <w:rPr>
          <w:shd w:val="clear" w:color="auto" w:fill="FFFFFF"/>
        </w:rPr>
        <w:t>on their</w:t>
      </w:r>
      <w:r w:rsidRPr="00E47714">
        <w:rPr>
          <w:shd w:val="clear" w:color="auto" w:fill="FFFFFF"/>
        </w:rPr>
        <w:t xml:space="preserve"> daily life, work and overall health</w:t>
      </w:r>
      <w:r>
        <w:rPr>
          <w:shd w:val="clear" w:color="auto" w:fill="FFFFFF"/>
        </w:rPr>
        <w:t xml:space="preserve"> following an</w:t>
      </w:r>
      <w:r w:rsidRPr="006026E4">
        <w:rPr>
          <w:shd w:val="clear" w:color="auto" w:fill="FFFFFF"/>
        </w:rPr>
        <w:t xml:space="preserve"> </w:t>
      </w:r>
      <w:r w:rsidRPr="00E47714">
        <w:rPr>
          <w:shd w:val="clear" w:color="auto" w:fill="FFFFFF"/>
        </w:rPr>
        <w:t xml:space="preserve">infection with SARS-CoV-2. The Ministry of Health has funded specific research projects to provide </w:t>
      </w:r>
      <w:r w:rsidRPr="00E47714">
        <w:t xml:space="preserve">Aotearoa </w:t>
      </w:r>
      <w:r w:rsidRPr="00E47714">
        <w:rPr>
          <w:shd w:val="clear" w:color="auto" w:fill="FFFFFF"/>
        </w:rPr>
        <w:t>New Zealand</w:t>
      </w:r>
      <w:r w:rsidR="000A1CA7">
        <w:rPr>
          <w:shd w:val="clear" w:color="auto" w:fill="FFFFFF"/>
        </w:rPr>
        <w:t>-</w:t>
      </w:r>
      <w:r w:rsidRPr="00E47714">
        <w:rPr>
          <w:shd w:val="clear" w:color="auto" w:fill="FFFFFF"/>
        </w:rPr>
        <w:t xml:space="preserve">based knowledge </w:t>
      </w:r>
      <w:r>
        <w:rPr>
          <w:shd w:val="clear" w:color="auto" w:fill="FFFFFF"/>
        </w:rPr>
        <w:t>of</w:t>
      </w:r>
      <w:r w:rsidRPr="00E47714">
        <w:rPr>
          <w:shd w:val="clear" w:color="auto" w:fill="FFFFFF"/>
        </w:rPr>
        <w:t xml:space="preserve"> long COVID. </w:t>
      </w:r>
      <w:r>
        <w:rPr>
          <w:shd w:val="clear" w:color="auto" w:fill="FFFFFF"/>
        </w:rPr>
        <w:t>For i</w:t>
      </w:r>
      <w:r w:rsidRPr="00E47714">
        <w:rPr>
          <w:shd w:val="clear" w:color="auto" w:fill="FFFFFF"/>
        </w:rPr>
        <w:t xml:space="preserve">nformation about these </w:t>
      </w:r>
      <w:r>
        <w:rPr>
          <w:shd w:val="clear" w:color="auto" w:fill="FFFFFF"/>
        </w:rPr>
        <w:t xml:space="preserve">projects, see </w:t>
      </w:r>
      <w:hyperlink r:id="rId73" w:history="1">
        <w:r w:rsidRPr="004846B1">
          <w:rPr>
            <w:rStyle w:val="Hyperlink"/>
            <w:shd w:val="clear" w:color="auto" w:fill="FFFFFF"/>
          </w:rPr>
          <w:t>Long COVID programme</w:t>
        </w:r>
      </w:hyperlink>
      <w:r w:rsidRPr="00E47714">
        <w:rPr>
          <w:shd w:val="clear" w:color="auto" w:fill="FFFFFF"/>
        </w:rPr>
        <w:t xml:space="preserve"> on the Ministry of Health </w:t>
      </w:r>
      <w:r>
        <w:rPr>
          <w:shd w:val="clear" w:color="auto" w:fill="FFFFFF"/>
        </w:rPr>
        <w:t>w</w:t>
      </w:r>
      <w:r w:rsidRPr="00E47714">
        <w:rPr>
          <w:shd w:val="clear" w:color="auto" w:fill="FFFFFF"/>
        </w:rPr>
        <w:t>ebsite</w:t>
      </w:r>
      <w:r>
        <w:rPr>
          <w:shd w:val="clear" w:color="auto" w:fill="FFFFFF"/>
        </w:rPr>
        <w:t xml:space="preserve"> </w:t>
      </w:r>
      <w:r>
        <w:rPr>
          <w:shd w:val="clear" w:color="auto" w:fill="FFFFFF"/>
        </w:rPr>
        <w:fldChar w:fldCharType="begin"/>
      </w:r>
      <w:r>
        <w:rPr>
          <w:shd w:val="clear" w:color="auto" w:fill="FFFFFF"/>
        </w:rPr>
        <w:instrText xml:space="preserve"> ADDIN EN.CITE &lt;EndNote&gt;&lt;Cite&gt;&lt;Author&gt;Ministry of Health &lt;/Author&gt;&lt;Year&gt;2024&lt;/Year&gt;&lt;RecNum&gt;464&lt;/RecNum&gt;&lt;DisplayText&gt;(Ministry of Health 2024c)&lt;/DisplayText&gt;&lt;record&gt;&lt;rec-number&gt;464&lt;/rec-number&gt;&lt;foreign-keys&gt;&lt;key app="EN" db-id="aaepvppzs5wtfse95vsp2wahsrtvva2vvdet" timestamp="1716514397"&gt;464&lt;/key&gt;&lt;/foreign-keys&gt;&lt;ref-type name="Web Page"&gt;12&lt;/ref-type&gt;&lt;contributors&gt;&lt;authors&gt;&lt;author&gt;Ministry of Health ,&lt;/author&gt;&lt;/authors&gt;&lt;/contributors&gt;&lt;titles&gt;&lt;title&gt;Long COVID Programme&lt;/title&gt;&lt;/titles&gt;&lt;number&gt;24 May 2024&lt;/number&gt;&lt;dates&gt;&lt;year&gt;2024&lt;/year&gt;&lt;/dates&gt;&lt;urls&gt;&lt;related-urls&gt;&lt;url&gt;health.govt.nz/our-work/diseases-and-conditions/covid-19-novel-coronavirus/covid-19-response-planning/long-covid-programme&lt;/url&gt;&lt;/related-urls&gt;&lt;/urls&gt;&lt;/record&gt;&lt;/Cite&gt;&lt;/EndNote&gt;</w:instrText>
      </w:r>
      <w:r>
        <w:rPr>
          <w:shd w:val="clear" w:color="auto" w:fill="FFFFFF"/>
        </w:rPr>
        <w:fldChar w:fldCharType="separate"/>
      </w:r>
      <w:r>
        <w:rPr>
          <w:noProof/>
          <w:shd w:val="clear" w:color="auto" w:fill="FFFFFF"/>
        </w:rPr>
        <w:t>(Ministry of Health 2024c)</w:t>
      </w:r>
      <w:r>
        <w:rPr>
          <w:shd w:val="clear" w:color="auto" w:fill="FFFFFF"/>
        </w:rPr>
        <w:fldChar w:fldCharType="end"/>
      </w:r>
      <w:r w:rsidRPr="00E47714">
        <w:rPr>
          <w:shd w:val="clear" w:color="auto" w:fill="FFFFFF"/>
        </w:rPr>
        <w:t xml:space="preserve">. Long COVID research will help inform understanding of long COVID, </w:t>
      </w:r>
      <w:r>
        <w:rPr>
          <w:shd w:val="clear" w:color="auto" w:fill="FFFFFF"/>
        </w:rPr>
        <w:t xml:space="preserve">including </w:t>
      </w:r>
      <w:r w:rsidRPr="00E47714">
        <w:rPr>
          <w:shd w:val="clear" w:color="auto" w:fill="FFFFFF"/>
        </w:rPr>
        <w:t>its prevalence, diagnosis</w:t>
      </w:r>
      <w:r>
        <w:rPr>
          <w:shd w:val="clear" w:color="auto" w:fill="FFFFFF"/>
        </w:rPr>
        <w:t>,</w:t>
      </w:r>
      <w:r w:rsidRPr="00E47714">
        <w:rPr>
          <w:shd w:val="clear" w:color="auto" w:fill="FFFFFF"/>
        </w:rPr>
        <w:t xml:space="preserve"> and treatment options.</w:t>
      </w:r>
    </w:p>
    <w:p w14:paraId="3CB50A83" w14:textId="77777777" w:rsidR="00C66A54" w:rsidRPr="00E47714" w:rsidRDefault="00C66A54" w:rsidP="00C66A54">
      <w:pPr>
        <w:pStyle w:val="Heading3"/>
      </w:pPr>
      <w:r w:rsidRPr="00E47714">
        <w:lastRenderedPageBreak/>
        <w:t xml:space="preserve">Other infectious diseases </w:t>
      </w:r>
    </w:p>
    <w:p w14:paraId="0861247A" w14:textId="77777777" w:rsidR="00C66A54" w:rsidRPr="00E47714" w:rsidRDefault="00C66A54" w:rsidP="00C66A54">
      <w:pPr>
        <w:pStyle w:val="Heading4"/>
      </w:pPr>
      <w:r w:rsidRPr="00E47714">
        <w:t xml:space="preserve">Rheumatic fever </w:t>
      </w:r>
    </w:p>
    <w:p w14:paraId="11C10A7B" w14:textId="16B2E647" w:rsidR="00C66A54" w:rsidRDefault="00C66A54" w:rsidP="00C66A54">
      <w:r w:rsidRPr="00E47714">
        <w:t>Strep throat (caused by group A</w:t>
      </w:r>
      <w:r w:rsidRPr="00C77EEE">
        <w:rPr>
          <w:i/>
          <w:iCs/>
        </w:rPr>
        <w:t> Streptococcus</w:t>
      </w:r>
      <w:r w:rsidRPr="00E47714">
        <w:t> bacteria</w:t>
      </w:r>
      <w:r w:rsidRPr="00C77EEE">
        <w:t>)</w:t>
      </w:r>
      <w:r w:rsidRPr="00546B3C">
        <w:t xml:space="preserve"> </w:t>
      </w:r>
      <w:r w:rsidRPr="00E47714">
        <w:t>is a bacterial infection that causes inflammation and pain in the throat. An untreated strep throat can lead to rheumatic fever, which may cause the heart, joints, brain and skin to become inflamed and swollen</w:t>
      </w:r>
      <w:r>
        <w:t>. That can in turn</w:t>
      </w:r>
      <w:r w:rsidRPr="00E47714">
        <w:t xml:space="preserve"> cause rheumatic heart disease, </w:t>
      </w:r>
      <w:r>
        <w:t>which</w:t>
      </w:r>
      <w:r w:rsidRPr="00E47714">
        <w:t xml:space="preserve"> scar</w:t>
      </w:r>
      <w:r>
        <w:t>s</w:t>
      </w:r>
      <w:r w:rsidRPr="00E47714">
        <w:t xml:space="preserve"> the heart valves. People with rheumatic heart disease may need heart valve replacement surgery. Rheumatic heart disease can cause premature death in adults.</w:t>
      </w:r>
    </w:p>
    <w:p w14:paraId="6838F6F3" w14:textId="77777777" w:rsidR="009D4BFA" w:rsidRPr="00E47714" w:rsidRDefault="009D4BFA" w:rsidP="00C66A54"/>
    <w:p w14:paraId="35BBBFF7" w14:textId="6C66BB37" w:rsidR="00C66A54" w:rsidRDefault="00C66A54" w:rsidP="00C66A54">
      <w:pPr>
        <w:rPr>
          <w:rFonts w:cs="Segoe UI"/>
        </w:rPr>
      </w:pPr>
      <w:r w:rsidRPr="00E47714">
        <w:t xml:space="preserve">In the 12 months ending 30 June 2023, 138 people </w:t>
      </w:r>
      <w:r>
        <w:t xml:space="preserve">were </w:t>
      </w:r>
      <w:r w:rsidRPr="00E47714">
        <w:t>admitted to hospital with rheumatic fever</w:t>
      </w:r>
      <w:r w:rsidRPr="00546B3C">
        <w:t xml:space="preserve"> </w:t>
      </w:r>
      <w:r w:rsidRPr="00E47714">
        <w:t>for the first time (2.7 per 100,000</w:t>
      </w:r>
      <w:r>
        <w:t xml:space="preserve"> population</w:t>
      </w:r>
      <w:r w:rsidRPr="00E47714">
        <w:t>) in Aotearoa New Zealand. This is an increase from 77 people in the 12 months ending 30 June 2022 (1.5 per 100,000</w:t>
      </w:r>
      <w:r>
        <w:t xml:space="preserve"> population</w:t>
      </w:r>
      <w:r w:rsidRPr="00E47714">
        <w:t xml:space="preserve">). Most cases admitted to hospital with rheumatic fever for the first time were in children </w:t>
      </w:r>
      <w:r>
        <w:t xml:space="preserve">aged </w:t>
      </w:r>
      <w:r w:rsidRPr="00E47714">
        <w:t>between 5 and 14 years (85 cases, a rate of 13.1 per 100,000 population)</w:t>
      </w:r>
      <w:r>
        <w:t xml:space="preserve"> </w:t>
      </w:r>
      <w:r>
        <w:fldChar w:fldCharType="begin"/>
      </w:r>
      <w:r>
        <w:instrText xml:space="preserve"> ADDIN EN.CITE &lt;EndNote&gt;&lt;Cite&gt;&lt;Author&gt;Health NZ&lt;/Author&gt;&lt;Year&gt;2024&lt;/Year&gt;&lt;RecNum&gt;466&lt;/RecNum&gt;&lt;DisplayText&gt;(Health NZ 2024o)&lt;/DisplayText&gt;&lt;record&gt;&lt;rec-number&gt;466&lt;/rec-number&gt;&lt;foreign-keys&gt;&lt;key app="EN" db-id="aaepvppzs5wtfse95vsp2wahsrtvva2vvdet" timestamp="1716514732"&gt;466&lt;/key&gt;&lt;/foreign-keys&gt;&lt;ref-type name="Web Page"&gt;12&lt;/ref-type&gt;&lt;contributors&gt;&lt;authors&gt;&lt;author&gt;Health NZ,&lt;/author&gt;&lt;/authors&gt;&lt;/contributors&gt;&lt;titles&gt;&lt;title&gt;Reducing rheumatic fever&lt;/title&gt;&lt;/titles&gt;&lt;number&gt;24 May 2024&lt;/number&gt;&lt;dates&gt;&lt;year&gt;2024&lt;/year&gt;&lt;/dates&gt;&lt;urls&gt;&lt;related-urls&gt;&lt;url&gt;tewhatuora.govt.nz/for-health-professionals/clinical-guidance/diseases-and-conditions/rheumatic-fever-guidance/reducing-rheumatic-fever&lt;/url&gt;&lt;/related-urls&gt;&lt;/urls&gt;&lt;/record&gt;&lt;/Cite&gt;&lt;/EndNote&gt;</w:instrText>
      </w:r>
      <w:r>
        <w:fldChar w:fldCharType="separate"/>
      </w:r>
      <w:r>
        <w:rPr>
          <w:noProof/>
        </w:rPr>
        <w:t>(Health NZ 2024o)</w:t>
      </w:r>
      <w:r>
        <w:fldChar w:fldCharType="end"/>
      </w:r>
      <w:r w:rsidRPr="00E47714">
        <w:t>.</w:t>
      </w:r>
      <w:r w:rsidRPr="00E47714">
        <w:rPr>
          <w:rStyle w:val="FootnoteReference"/>
          <w:rFonts w:cs="Segoe UI"/>
        </w:rPr>
        <w:t xml:space="preserve"> </w:t>
      </w:r>
    </w:p>
    <w:p w14:paraId="3C291F3F" w14:textId="77777777" w:rsidR="009D4BFA" w:rsidRPr="00E47714" w:rsidRDefault="009D4BFA" w:rsidP="00C66A54"/>
    <w:p w14:paraId="7EC031CE" w14:textId="660951EF" w:rsidR="00C66A54" w:rsidRPr="00E47714" w:rsidRDefault="00C66A54" w:rsidP="00C66A54">
      <w:r>
        <w:t>Among</w:t>
      </w:r>
      <w:r w:rsidRPr="00E47714">
        <w:t xml:space="preserve"> Māori, hospitalisations decreased from 8.7 per 100,000 (74 cases) in 2020 to 5.5 per 100,000 (49 cases) in 2022. </w:t>
      </w:r>
      <w:r>
        <w:t>However, they then</w:t>
      </w:r>
      <w:r w:rsidRPr="00E47714">
        <w:t xml:space="preserve"> increase</w:t>
      </w:r>
      <w:r>
        <w:t>d</w:t>
      </w:r>
      <w:r w:rsidRPr="00E47714">
        <w:t xml:space="preserve"> to 7.0 per 100,000 (63 cases) in the year ending 30 June 2023. Hospitalisations for Pacific peoples decreased from 19.5 per 100,000 (69 cases) in 2020 to 8.2 per 100,000 (30 cases) in 2022. </w:t>
      </w:r>
      <w:r>
        <w:t>They then</w:t>
      </w:r>
      <w:r w:rsidRPr="00E47714">
        <w:t xml:space="preserve"> increase</w:t>
      </w:r>
      <w:r>
        <w:t>d</w:t>
      </w:r>
      <w:r w:rsidRPr="00E47714">
        <w:t xml:space="preserve"> to 18.6 per 100,000 (69 cases) in the year ending 30 June 2023</w:t>
      </w:r>
      <w:r>
        <w:t>.</w:t>
      </w:r>
      <w:r w:rsidRPr="00E47714">
        <w:rPr>
          <w:rStyle w:val="FootnoteReference"/>
          <w:rFonts w:cs="Segoe UI"/>
        </w:rPr>
        <w:footnoteReference w:id="19"/>
      </w:r>
      <w:r w:rsidRPr="00E47714">
        <w:t xml:space="preserve"> </w:t>
      </w:r>
      <w:r w:rsidRPr="00E47714">
        <w:fldChar w:fldCharType="begin"/>
      </w:r>
      <w:r w:rsidRPr="00E47714">
        <w:instrText xml:space="preserve"> REF _Ref167874471 \h  \* MERGEFORMAT </w:instrText>
      </w:r>
      <w:r w:rsidRPr="00E47714">
        <w:fldChar w:fldCharType="separate"/>
      </w:r>
      <w:r w:rsidR="009A6F87" w:rsidRPr="00E47714">
        <w:t xml:space="preserve">Figure </w:t>
      </w:r>
      <w:r w:rsidR="009A6F87">
        <w:t>32</w:t>
      </w:r>
      <w:r w:rsidRPr="00E47714">
        <w:fldChar w:fldCharType="end"/>
      </w:r>
      <w:r w:rsidRPr="00E47714">
        <w:t xml:space="preserve"> shows these trends by </w:t>
      </w:r>
      <w:r>
        <w:t>financial</w:t>
      </w:r>
      <w:r w:rsidRPr="00E47714">
        <w:t xml:space="preserve"> year. </w:t>
      </w:r>
    </w:p>
    <w:p w14:paraId="2E43AC31" w14:textId="44CDE0A0" w:rsidR="00C66A54" w:rsidRPr="00E47714" w:rsidRDefault="00C66A54" w:rsidP="009D4BFA">
      <w:pPr>
        <w:pStyle w:val="Figure"/>
      </w:pPr>
      <w:bookmarkStart w:id="183" w:name="_Ref167874471"/>
      <w:bookmarkStart w:id="184" w:name="_Toc171330679"/>
      <w:bookmarkStart w:id="185" w:name="_Toc172104715"/>
      <w:r w:rsidRPr="00E47714">
        <w:t xml:space="preserve">Figure </w:t>
      </w:r>
      <w:fldSimple w:instr=" SEQ Figure \* ARABIC ">
        <w:r w:rsidR="009A6F87">
          <w:rPr>
            <w:noProof/>
          </w:rPr>
          <w:t>32</w:t>
        </w:r>
      </w:fldSimple>
      <w:bookmarkEnd w:id="183"/>
      <w:r w:rsidRPr="00E47714">
        <w:t>: First</w:t>
      </w:r>
      <w:r>
        <w:t xml:space="preserve"> admissions to hospital for</w:t>
      </w:r>
      <w:r w:rsidRPr="00E47714">
        <w:t xml:space="preserve"> rheumatic fever, rate per 100,000</w:t>
      </w:r>
      <w:r>
        <w:t xml:space="preserve"> population</w:t>
      </w:r>
      <w:r w:rsidRPr="00E47714">
        <w:t>, by ethnic group (prioritised ethnicity), 2006/07–2022/23</w:t>
      </w:r>
      <w:bookmarkEnd w:id="184"/>
      <w:bookmarkEnd w:id="185"/>
      <w:r w:rsidRPr="00E47714">
        <w:t xml:space="preserve"> </w:t>
      </w:r>
    </w:p>
    <w:p w14:paraId="75318D1E" w14:textId="77777777" w:rsidR="00C66A54" w:rsidRPr="00E47714" w:rsidRDefault="00C66A54" w:rsidP="009D4BFA">
      <w:pPr>
        <w:pStyle w:val="NormalWeb"/>
        <w:spacing w:before="0" w:beforeAutospacing="0" w:after="0" w:afterAutospacing="0"/>
        <w:jc w:val="center"/>
      </w:pPr>
      <w:r w:rsidRPr="00E47714">
        <w:rPr>
          <w:noProof/>
        </w:rPr>
        <w:drawing>
          <wp:inline distT="0" distB="0" distL="0" distR="0" wp14:anchorId="124C7772" wp14:editId="10BEE74A">
            <wp:extent cx="5063067" cy="3632730"/>
            <wp:effectExtent l="0" t="0" r="4445" b="6350"/>
            <wp:docPr id="19" name="Picture 19" descr="A time series line chart showing first episode rheumatic fever hospitalisations from 2006/07 to 2022/23 for Pacific peoples, Māori, and Nationally. The national rate of hospitalisations is under 5 per 100,000 people over time. For Māori it is between 10 to 15 per 100,000 from 2006/07 to 2013/14 and then between 5 to 10 per 100,000 from 2014/15 to 2022/23. For Pacific peoples, the rate of hospitalisations is generally between 20 to 30 per 100,000 from 2006/07 to 2019/20, falling to between 5 to 10 per 100,000 between 2020/21 and 2021/22 and increasing again to just under 20 per 100,000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ime series line chart showing first episode rheumatic fever hospitalisations from 2006/07 to 2022/23 for Pacific peoples, Māori, and Nationally. The national rate of hospitalisations is under 5 per 100,000 people over time. For Māori it is between 10 to 15 per 100,000 from 2006/07 to 2013/14 and then between 5 to 10 per 100,000 from 2014/15 to 2022/23. For Pacific peoples, the rate of hospitalisations is generally between 20 to 30 per 100,000 from 2006/07 to 2019/20, falling to between 5 to 10 per 100,000 between 2020/21 and 2021/22 and increasing again to just under 20 per 100,000 in 2022/2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589" r="1011"/>
                    <a:stretch/>
                  </pic:blipFill>
                  <pic:spPr bwMode="auto">
                    <a:xfrm>
                      <a:off x="0" y="0"/>
                      <a:ext cx="5073036" cy="3639883"/>
                    </a:xfrm>
                    <a:prstGeom prst="rect">
                      <a:avLst/>
                    </a:prstGeom>
                    <a:noFill/>
                    <a:ln>
                      <a:noFill/>
                    </a:ln>
                    <a:extLst>
                      <a:ext uri="{53640926-AAD7-44D8-BBD7-CCE9431645EC}">
                        <a14:shadowObscured xmlns:a14="http://schemas.microsoft.com/office/drawing/2010/main"/>
                      </a:ext>
                    </a:extLst>
                  </pic:spPr>
                </pic:pic>
              </a:graphicData>
            </a:graphic>
          </wp:inline>
        </w:drawing>
      </w:r>
    </w:p>
    <w:p w14:paraId="08FFB662" w14:textId="77777777" w:rsidR="00C66A54" w:rsidRPr="00E47714" w:rsidRDefault="00C66A54" w:rsidP="00C66A54">
      <w:pPr>
        <w:pStyle w:val="Source"/>
      </w:pPr>
      <w:r w:rsidRPr="00E47714">
        <w:rPr>
          <w:b/>
          <w:bCs/>
        </w:rPr>
        <w:t>Source:</w:t>
      </w:r>
      <w:r w:rsidRPr="00E47714">
        <w:t xml:space="preserve"> </w:t>
      </w:r>
      <w:r>
        <w:fldChar w:fldCharType="begin"/>
      </w:r>
      <w:r>
        <w:instrText xml:space="preserve"> ADDIN EN.CITE &lt;EndNote&gt;&lt;Cite AuthorYear="1"&gt;&lt;Author&gt;Health NZ&lt;/Author&gt;&lt;Year&gt;2024&lt;/Year&gt;&lt;RecNum&gt;466&lt;/RecNum&gt;&lt;DisplayText&gt;Health NZ (2024o)&lt;/DisplayText&gt;&lt;record&gt;&lt;rec-number&gt;466&lt;/rec-number&gt;&lt;foreign-keys&gt;&lt;key app="EN" db-id="aaepvppzs5wtfse95vsp2wahsrtvva2vvdet" timestamp="1716514732"&gt;466&lt;/key&gt;&lt;/foreign-keys&gt;&lt;ref-type name="Web Page"&gt;12&lt;/ref-type&gt;&lt;contributors&gt;&lt;authors&gt;&lt;author&gt;Health NZ,&lt;/author&gt;&lt;/authors&gt;&lt;/contributors&gt;&lt;titles&gt;&lt;title&gt;Reducing rheumatic fever&lt;/title&gt;&lt;/titles&gt;&lt;number&gt;24 May 2024&lt;/number&gt;&lt;dates&gt;&lt;year&gt;2024&lt;/year&gt;&lt;/dates&gt;&lt;urls&gt;&lt;related-urls&gt;&lt;url&gt;tewhatuora.govt.nz/for-health-professionals/clinical-guidance/diseases-and-conditions/rheumatic-fever-guidance/reducing-rheumatic-fever&lt;/url&gt;&lt;/related-urls&gt;&lt;/urls&gt;&lt;/record&gt;&lt;/Cite&gt;&lt;/EndNote&gt;</w:instrText>
      </w:r>
      <w:r>
        <w:fldChar w:fldCharType="separate"/>
      </w:r>
      <w:r>
        <w:rPr>
          <w:noProof/>
        </w:rPr>
        <w:t>Health NZ (2024o)</w:t>
      </w:r>
      <w:r>
        <w:fldChar w:fldCharType="end"/>
      </w:r>
    </w:p>
    <w:p w14:paraId="55047217" w14:textId="77777777" w:rsidR="00C66A54" w:rsidRPr="00E47714" w:rsidRDefault="00C66A54" w:rsidP="00C66A54">
      <w:pPr>
        <w:pStyle w:val="Heading4"/>
      </w:pPr>
      <w:r w:rsidRPr="00E47714">
        <w:lastRenderedPageBreak/>
        <w:t>Measles</w:t>
      </w:r>
    </w:p>
    <w:p w14:paraId="2699C7CE" w14:textId="77777777" w:rsidR="00C66A54" w:rsidRPr="00E47714" w:rsidRDefault="00C66A54" w:rsidP="00C66A54">
      <w:r w:rsidRPr="00E47714">
        <w:t xml:space="preserve">Measles is a serious and highly contagious disease. It can cause </w:t>
      </w:r>
      <w:r>
        <w:t>severe</w:t>
      </w:r>
      <w:r w:rsidRPr="00E47714">
        <w:t xml:space="preserve"> problems, including brain inflammation, chest infections </w:t>
      </w:r>
      <w:r>
        <w:t>and</w:t>
      </w:r>
      <w:r w:rsidRPr="00E47714">
        <w:t xml:space="preserve"> death </w:t>
      </w:r>
      <w:r>
        <w:fldChar w:fldCharType="begin"/>
      </w:r>
      <w:r>
        <w:instrText xml:space="preserve"> ADDIN EN.CITE &lt;EndNote&gt;&lt;Cite&gt;&lt;Author&gt;Health NZ&lt;/Author&gt;&lt;Year&gt;2024&lt;/Year&gt;&lt;RecNum&gt;467&lt;/RecNum&gt;&lt;DisplayText&gt;(Health NZ 2024k)&lt;/DisplayText&gt;&lt;record&gt;&lt;rec-number&gt;467&lt;/rec-number&gt;&lt;foreign-keys&gt;&lt;key app="EN" db-id="aaepvppzs5wtfse95vsp2wahsrtvva2vvdet" timestamp="1716514957"&gt;467&lt;/key&gt;&lt;/foreign-keys&gt;&lt;ref-type name="Web Page"&gt;12&lt;/ref-type&gt;&lt;contributors&gt;&lt;authors&gt;&lt;author&gt;Health NZ,&lt;/author&gt;&lt;/authors&gt;&lt;/contributors&gt;&lt;titles&gt;&lt;title&gt;Measles (health information and services)&lt;/title&gt;&lt;/titles&gt;&lt;number&gt;24 May 2024&lt;/number&gt;&lt;dates&gt;&lt;year&gt;2024&lt;/year&gt;&lt;/dates&gt;&lt;urls&gt;&lt;related-urls&gt;&lt;url&gt;info.health.nz/conditions-treatments/infectious-diseases/measles&lt;/url&gt;&lt;/related-urls&gt;&lt;/urls&gt;&lt;/record&gt;&lt;/Cite&gt;&lt;/EndNote&gt;</w:instrText>
      </w:r>
      <w:r>
        <w:fldChar w:fldCharType="separate"/>
      </w:r>
      <w:r>
        <w:rPr>
          <w:noProof/>
        </w:rPr>
        <w:t>(Health NZ 2024k)</w:t>
      </w:r>
      <w:r>
        <w:fldChar w:fldCharType="end"/>
      </w:r>
      <w:r w:rsidRPr="00E47714">
        <w:t xml:space="preserve">. In 2023, </w:t>
      </w:r>
      <w:r>
        <w:t>Aotearoa New Zealand had</w:t>
      </w:r>
      <w:r w:rsidRPr="00E47714">
        <w:t xml:space="preserve"> 14 measles cases</w:t>
      </w:r>
      <w:r>
        <w:t>. These</w:t>
      </w:r>
      <w:r w:rsidRPr="00E47714">
        <w:t xml:space="preserve"> included one small outbreak, in addition to cases in travellers</w:t>
      </w:r>
      <w:r>
        <w:t xml:space="preserve"> coming from overseas</w:t>
      </w:r>
      <w:r w:rsidRPr="00E47714">
        <w:t xml:space="preserve">. </w:t>
      </w:r>
      <w:r>
        <w:t>Despite the low number,</w:t>
      </w:r>
      <w:r w:rsidRPr="00E47714">
        <w:t xml:space="preserve"> active measles cases </w:t>
      </w:r>
      <w:r>
        <w:t xml:space="preserve">are </w:t>
      </w:r>
      <w:r w:rsidRPr="00E47714">
        <w:t>increasing around the world and vaccination rates</w:t>
      </w:r>
      <w:r>
        <w:t xml:space="preserve"> are falling</w:t>
      </w:r>
      <w:r w:rsidRPr="00E47714">
        <w:t>,</w:t>
      </w:r>
      <w:r>
        <w:t xml:space="preserve"> putting</w:t>
      </w:r>
      <w:r w:rsidRPr="00E47714">
        <w:t xml:space="preserve"> Aotearoa New Zealand at very high risk of a measles outbreak </w:t>
      </w:r>
      <w:r>
        <w:fldChar w:fldCharType="begin"/>
      </w:r>
      <w:r>
        <w:instrText xml:space="preserve"> ADDIN EN.CITE &lt;EndNote&gt;&lt;Cite&gt;&lt;Author&gt;Health NZ&lt;/Author&gt;&lt;Year&gt;2024&lt;/Year&gt;&lt;RecNum&gt;511&lt;/RecNum&gt;&lt;DisplayText&gt;(Health NZ 2024j)&lt;/DisplayText&gt;&lt;record&gt;&lt;rec-number&gt;511&lt;/rec-number&gt;&lt;foreign-keys&gt;&lt;key app="EN" db-id="aaepvppzs5wtfse95vsp2wahsrtvva2vvdet" timestamp="1716781398"&gt;511&lt;/key&gt;&lt;/foreign-keys&gt;&lt;ref-type name="Web Page"&gt;12&lt;/ref-type&gt;&lt;contributors&gt;&lt;authors&gt;&lt;author&gt;Health NZ,&lt;/author&gt;&lt;/authors&gt;&lt;/contributors&gt;&lt;titles&gt;&lt;title&gt;Measles (for heath professionals)&lt;/title&gt;&lt;/titles&gt;&lt;number&gt;27 May 2024&lt;/number&gt;&lt;dates&gt;&lt;year&gt;2024&lt;/year&gt;&lt;/dates&gt;&lt;urls&gt;&lt;related-urls&gt;&lt;url&gt;tewhatuora.govt.nz/for-health-professionals/clinical-guidance/diseases-and-conditions/measles&lt;/url&gt;&lt;/related-urls&gt;&lt;/urls&gt;&lt;/record&gt;&lt;/Cite&gt;&lt;/EndNote&gt;</w:instrText>
      </w:r>
      <w:r>
        <w:fldChar w:fldCharType="separate"/>
      </w:r>
      <w:r>
        <w:rPr>
          <w:noProof/>
        </w:rPr>
        <w:t>(Health NZ 2024j)</w:t>
      </w:r>
      <w:r>
        <w:fldChar w:fldCharType="end"/>
      </w:r>
      <w:r w:rsidRPr="00E47714">
        <w:t xml:space="preserve">. </w:t>
      </w:r>
      <w:r>
        <w:t>For</w:t>
      </w:r>
      <w:r w:rsidRPr="00E47714">
        <w:t xml:space="preserve"> childhood immunisation rates</w:t>
      </w:r>
      <w:r>
        <w:t xml:space="preserve">, see </w:t>
      </w:r>
      <w:hyperlink w:anchor="_Childhood_immunisations" w:history="1">
        <w:r w:rsidRPr="0008502F">
          <w:rPr>
            <w:rStyle w:val="Hyperlink"/>
          </w:rPr>
          <w:t>Childhood immunisations</w:t>
        </w:r>
      </w:hyperlink>
      <w:r>
        <w:t xml:space="preserve"> in the Immunisation section</w:t>
      </w:r>
      <w:r w:rsidRPr="00E47714">
        <w:t>. </w:t>
      </w:r>
      <w:r>
        <w:t>(As part of the New Zealand Immunisation Schedule, Measles immunisations are offered to children at 12 months and 15 months of age).</w:t>
      </w:r>
    </w:p>
    <w:p w14:paraId="7492EF71" w14:textId="77777777" w:rsidR="00C66A54" w:rsidRPr="00E47714" w:rsidRDefault="00C66A54" w:rsidP="00C66A54">
      <w:pPr>
        <w:pStyle w:val="Heading4"/>
      </w:pPr>
      <w:r w:rsidRPr="00E47714">
        <w:t>Meningococcal disease</w:t>
      </w:r>
    </w:p>
    <w:p w14:paraId="43F8B870" w14:textId="77777777" w:rsidR="00C66A54" w:rsidRPr="00E47714" w:rsidRDefault="00C66A54" w:rsidP="00C66A54">
      <w:r w:rsidRPr="00E47714">
        <w:t xml:space="preserve">Meningococcal disease is a bacterial infection. It can cause </w:t>
      </w:r>
      <w:r>
        <w:t>two</w:t>
      </w:r>
      <w:r w:rsidRPr="00E47714">
        <w:t xml:space="preserve"> very serious illnesses </w:t>
      </w:r>
      <w:r>
        <w:t>–</w:t>
      </w:r>
      <w:r w:rsidRPr="00E47714">
        <w:t xml:space="preserve"> meningitis and blood poisoning</w:t>
      </w:r>
      <w:r>
        <w:t xml:space="preserve"> – which</w:t>
      </w:r>
      <w:r w:rsidRPr="00E47714">
        <w:t xml:space="preserve"> can </w:t>
      </w:r>
      <w:r>
        <w:t>lead to</w:t>
      </w:r>
      <w:r w:rsidRPr="00E47714">
        <w:t xml:space="preserve"> permanent disability, deafness or death. Early treatment </w:t>
      </w:r>
      <w:r>
        <w:t xml:space="preserve">for these complications </w:t>
      </w:r>
      <w:r w:rsidRPr="00E47714">
        <w:t>is very important</w:t>
      </w:r>
      <w:r>
        <w:t xml:space="preserve"> </w:t>
      </w:r>
      <w:r>
        <w:fldChar w:fldCharType="begin"/>
      </w:r>
      <w:r>
        <w:instrText xml:space="preserve"> ADDIN EN.CITE &lt;EndNote&gt;&lt;Cite&gt;&lt;Author&gt;Health NZ&lt;/Author&gt;&lt;Year&gt;2024&lt;/Year&gt;&lt;RecNum&gt;468&lt;/RecNum&gt;&lt;DisplayText&gt;(Health NZ 2024l)&lt;/DisplayText&gt;&lt;record&gt;&lt;rec-number&gt;468&lt;/rec-number&gt;&lt;foreign-keys&gt;&lt;key app="EN" db-id="aaepvppzs5wtfse95vsp2wahsrtvva2vvdet" timestamp="1716515039"&gt;468&lt;/key&gt;&lt;/foreign-keys&gt;&lt;ref-type name="Web Page"&gt;12&lt;/ref-type&gt;&lt;contributors&gt;&lt;authors&gt;&lt;author&gt;Health NZ,&lt;/author&gt;&lt;/authors&gt;&lt;/contributors&gt;&lt;titles&gt;&lt;title&gt;Meningococcal disease&lt;/title&gt;&lt;/titles&gt;&lt;number&gt;24 May 2024&lt;/number&gt;&lt;dates&gt;&lt;year&gt;2024&lt;/year&gt;&lt;/dates&gt;&lt;urls&gt;&lt;related-urls&gt;&lt;url&gt;info.health.nz/conditions-treatments/infectious-diseases/meningococcal-disease&lt;/url&gt;&lt;/related-urls&gt;&lt;/urls&gt;&lt;/record&gt;&lt;/Cite&gt;&lt;/EndNote&gt;</w:instrText>
      </w:r>
      <w:r>
        <w:fldChar w:fldCharType="separate"/>
      </w:r>
      <w:r>
        <w:rPr>
          <w:noProof/>
        </w:rPr>
        <w:t>(Health NZ 2024l)</w:t>
      </w:r>
      <w:r>
        <w:fldChar w:fldCharType="end"/>
      </w:r>
      <w:r w:rsidRPr="00E47714">
        <w:t xml:space="preserve">. </w:t>
      </w:r>
      <w:r>
        <w:t xml:space="preserve">For the </w:t>
      </w:r>
      <w:r w:rsidRPr="00E47714">
        <w:t>2023</w:t>
      </w:r>
      <w:r>
        <w:t xml:space="preserve"> calendar year, the following information about meningococcal disease is available.</w:t>
      </w:r>
    </w:p>
    <w:p w14:paraId="37C87A3A" w14:textId="77777777" w:rsidR="00C66A54" w:rsidRPr="00E47714" w:rsidRDefault="00C66A54" w:rsidP="009D4BFA">
      <w:pPr>
        <w:pStyle w:val="Bullet"/>
      </w:pPr>
      <w:r>
        <w:t>Aotearoa New Zealand had</w:t>
      </w:r>
      <w:r w:rsidRPr="00E47714">
        <w:t xml:space="preserve"> 59</w:t>
      </w:r>
      <w:r w:rsidRPr="009F1A2D">
        <w:t xml:space="preserve"> </w:t>
      </w:r>
      <w:r w:rsidRPr="00E47714">
        <w:t>reported cases (55 confirmed and 4 probable) of invasive meningococcal disease. This</w:t>
      </w:r>
      <w:r>
        <w:t xml:space="preserve"> total</w:t>
      </w:r>
      <w:r w:rsidRPr="00E47714">
        <w:t xml:space="preserve"> is higher than in 2020 and 2021, and lower than in 2018, 2019 and 2022.</w:t>
      </w:r>
    </w:p>
    <w:p w14:paraId="2105DF3C" w14:textId="77777777" w:rsidR="00C66A54" w:rsidRPr="00E47714" w:rsidRDefault="00C66A54" w:rsidP="009D4BFA">
      <w:pPr>
        <w:pStyle w:val="Bullet"/>
      </w:pPr>
      <w:r>
        <w:t>O</w:t>
      </w:r>
      <w:r w:rsidRPr="00E47714">
        <w:t>ne</w:t>
      </w:r>
      <w:r>
        <w:t xml:space="preserve"> person, </w:t>
      </w:r>
      <w:r w:rsidRPr="00E47714">
        <w:t>an adult aged between 20</w:t>
      </w:r>
      <w:r>
        <w:t xml:space="preserve"> and </w:t>
      </w:r>
      <w:r w:rsidRPr="00E47714">
        <w:t>29 years</w:t>
      </w:r>
      <w:r>
        <w:t>, died of meningococcal disease</w:t>
      </w:r>
      <w:r w:rsidRPr="00E47714">
        <w:t xml:space="preserve">. </w:t>
      </w:r>
    </w:p>
    <w:p w14:paraId="7951C44E" w14:textId="77777777" w:rsidR="00C66A54" w:rsidRPr="00E47714" w:rsidRDefault="00C66A54" w:rsidP="009D4BFA">
      <w:pPr>
        <w:pStyle w:val="Bullet"/>
      </w:pPr>
      <w:r w:rsidRPr="00E47714">
        <w:t xml:space="preserve">Most (87%) of the cases aged under </w:t>
      </w:r>
      <w:r>
        <w:t>five</w:t>
      </w:r>
      <w:r w:rsidRPr="00E47714">
        <w:t xml:space="preserve"> years were in Māori and Pacific children. In </w:t>
      </w:r>
      <w:r>
        <w:t>contrast</w:t>
      </w:r>
      <w:r w:rsidRPr="00E47714">
        <w:t>, most (68%)</w:t>
      </w:r>
      <w:r>
        <w:t xml:space="preserve"> of the</w:t>
      </w:r>
      <w:r w:rsidRPr="00E47714">
        <w:t xml:space="preserve"> cases aged 15–29 years were European/other.</w:t>
      </w:r>
    </w:p>
    <w:p w14:paraId="76294A6F" w14:textId="47B1C74D" w:rsidR="00C66A54" w:rsidRPr="00E47714" w:rsidRDefault="00C66A54" w:rsidP="009D4BFA">
      <w:pPr>
        <w:pStyle w:val="Bullet"/>
      </w:pPr>
      <w:r w:rsidRPr="00E47714">
        <w:t xml:space="preserve">The cases were </w:t>
      </w:r>
      <w:r>
        <w:t>scattered widely across Aotearoa New Zealand</w:t>
      </w:r>
      <w:r w:rsidRPr="00E47714">
        <w:t xml:space="preserve"> </w:t>
      </w:r>
      <w:r>
        <w:fldChar w:fldCharType="begin"/>
      </w:r>
      <w:r>
        <w:instrText xml:space="preserve"> ADDIN EN.CITE &lt;EndNote&gt;&lt;Cite&gt;&lt;Author&gt;Institute of Environmental Science and Research&lt;/Author&gt;&lt;Year&gt;2024&lt;/Year&gt;&lt;RecNum&gt;469&lt;/RecNum&gt;&lt;DisplayText&gt;(Institute of Environmental Science and Research 2024b)&lt;/DisplayText&gt;&lt;record&gt;&lt;rec-number&gt;469&lt;/rec-number&gt;&lt;foreign-keys&gt;&lt;key app="EN" db-id="aaepvppzs5wtfse95vsp2wahsrtvva2vvdet" timestamp="1716515183"&gt;469&lt;/key&gt;&lt;/foreign-keys&gt;&lt;ref-type name="Report"&gt;27&lt;/ref-type&gt;&lt;contributors&gt;&lt;authors&gt;&lt;author&gt;Institute of Environmental Science and Research,&lt;/author&gt;&lt;/authors&gt;&lt;/contributors&gt;&lt;titles&gt;&lt;title&gt;Invasive Meningococcal Disease Monthly Report January–December 2023&lt;/title&gt;&lt;/titles&gt;&lt;dates&gt;&lt;year&gt;2024&lt;/year&gt;&lt;/dates&gt;&lt;publisher&gt;Environmental Science and Research&lt;/publisher&gt;&lt;urls&gt;&lt;related-urls&gt;&lt;url&gt;https://www.esr.cri.nz/media/x01othnx/20240117-invasive-meningococcal-disease-summary.pdf&lt;/url&gt;&lt;/related-urls&gt;&lt;/urls&gt;&lt;/record&gt;&lt;/Cite&gt;&lt;/EndNote&gt;</w:instrText>
      </w:r>
      <w:r>
        <w:fldChar w:fldCharType="separate"/>
      </w:r>
      <w:r>
        <w:rPr>
          <w:noProof/>
        </w:rPr>
        <w:t>(Institute of Environmental Science and Research 2024b)</w:t>
      </w:r>
      <w:r>
        <w:fldChar w:fldCharType="end"/>
      </w:r>
      <w:r w:rsidRPr="00E47714">
        <w:t xml:space="preserve">. </w:t>
      </w:r>
    </w:p>
    <w:p w14:paraId="29197C5C" w14:textId="77777777" w:rsidR="00C66A54" w:rsidRPr="00E47714" w:rsidRDefault="00C66A54" w:rsidP="00C66A54">
      <w:pPr>
        <w:pStyle w:val="Heading4"/>
      </w:pPr>
      <w:r w:rsidRPr="00E47714">
        <w:t xml:space="preserve">Sexually </w:t>
      </w:r>
      <w:r>
        <w:t>t</w:t>
      </w:r>
      <w:r w:rsidRPr="00E47714">
        <w:t xml:space="preserve">ransmitted </w:t>
      </w:r>
      <w:r>
        <w:t>i</w:t>
      </w:r>
      <w:r w:rsidRPr="00E47714">
        <w:t>nfections</w:t>
      </w:r>
    </w:p>
    <w:p w14:paraId="51C4AEF6" w14:textId="77777777" w:rsidR="00C66A54" w:rsidRDefault="00C66A54" w:rsidP="00C66A54">
      <w:r w:rsidRPr="00E47714">
        <w:t>Sexually transmitted infections (STIs) are common in Aotearoa New Zealand. Associated complications include chronic pain, infertility, neonatal morbidity</w:t>
      </w:r>
      <w:r>
        <w:t>,</w:t>
      </w:r>
      <w:r w:rsidRPr="00E47714">
        <w:t xml:space="preserve"> and genital tract cancer.</w:t>
      </w:r>
      <w:r w:rsidRPr="0087693E">
        <w:t xml:space="preserve"> </w:t>
      </w:r>
      <w:r w:rsidRPr="00E47714">
        <w:t xml:space="preserve">Māori and Pacific peoples continue to be inequitably affected by STIs, as </w:t>
      </w:r>
      <w:r>
        <w:t>do</w:t>
      </w:r>
      <w:r w:rsidRPr="00E47714">
        <w:t xml:space="preserve"> men who have sex with men </w:t>
      </w:r>
      <w:r>
        <w:fldChar w:fldCharType="begin"/>
      </w:r>
      <w:r>
        <w:instrText xml:space="preserve"> ADDIN EN.CITE &lt;EndNote&gt;&lt;Cite&gt;&lt;Author&gt;Institute of Environmental Science and Research&lt;/Author&gt;&lt;Year&gt;2024&lt;/Year&gt;&lt;RecNum&gt;471&lt;/RecNum&gt;&lt;DisplayText&gt;(Institute of Environmental Science and Research 2024c)&lt;/DisplayText&gt;&lt;record&gt;&lt;rec-number&gt;471&lt;/rec-number&gt;&lt;foreign-keys&gt;&lt;key app="EN" db-id="aaepvppzs5wtfse95vsp2wahsrtvva2vvdet" timestamp="1716515651"&gt;471&lt;/key&gt;&lt;/foreign-keys&gt;&lt;ref-type name="Web Page"&gt;12&lt;/ref-type&gt;&lt;contributors&gt;&lt;authors&gt;&lt;author&gt;Institute of Environmental Science and Research,&lt;/author&gt;&lt;/authors&gt;&lt;/contributors&gt;&lt;titles&gt;&lt;title&gt;New Zealand Sexually Transmitted Infection (STI) Surveillance Dashboard &lt;/title&gt;&lt;/titles&gt;&lt;number&gt;24 May 2024&lt;/number&gt;&lt;dates&gt;&lt;year&gt;2024&lt;/year&gt;&lt;/dates&gt;&lt;urls&gt;&lt;related-urls&gt;&lt;url&gt;esr.cri.nz/digital-library/sti-quarterly-dashboard&lt;/url&gt;&lt;/related-urls&gt;&lt;/urls&gt;&lt;/record&gt;&lt;/Cite&gt;&lt;/EndNote&gt;</w:instrText>
      </w:r>
      <w:r>
        <w:fldChar w:fldCharType="separate"/>
      </w:r>
      <w:r>
        <w:rPr>
          <w:noProof/>
        </w:rPr>
        <w:t>(Institute of Environmental Science and Research 2024c)</w:t>
      </w:r>
      <w:r>
        <w:fldChar w:fldCharType="end"/>
      </w:r>
      <w:r w:rsidRPr="00E47714">
        <w:t>.</w:t>
      </w:r>
    </w:p>
    <w:p w14:paraId="0178EF88" w14:textId="77777777" w:rsidR="00C66A54" w:rsidRPr="007541F6" w:rsidRDefault="00C66A54" w:rsidP="00C66A54">
      <w:pPr>
        <w:pStyle w:val="Heading5"/>
      </w:pPr>
      <w:r w:rsidRPr="00C77EEE">
        <w:t>Chlamydia and gonorrhoea</w:t>
      </w:r>
    </w:p>
    <w:p w14:paraId="1789F7EB" w14:textId="0A37BD6D" w:rsidR="00C66A54" w:rsidRDefault="00C66A54" w:rsidP="00C66A54">
      <w:r w:rsidRPr="00C77EEE">
        <w:t>Chlamydia and gonorrhoea</w:t>
      </w:r>
      <w:r w:rsidRPr="00E47714">
        <w:t xml:space="preserve"> can cause pelvic inflammatory disease, which is associated with infertility, chronic pelvic pain</w:t>
      </w:r>
      <w:r>
        <w:t>,</w:t>
      </w:r>
      <w:r w:rsidRPr="00E47714">
        <w:t xml:space="preserve"> and poor pregnancy outcomes</w:t>
      </w:r>
      <w:r>
        <w:t xml:space="preserve"> </w:t>
      </w:r>
      <w:r>
        <w:fldChar w:fldCharType="begin"/>
      </w:r>
      <w:r>
        <w:instrText xml:space="preserve"> ADDIN EN.CITE &lt;EndNote&gt;&lt;Cite&gt;&lt;Author&gt;Ministry of Health&lt;/Author&gt;&lt;Year&gt;2023&lt;/Year&gt;&lt;RecNum&gt;470&lt;/RecNum&gt;&lt;DisplayText&gt;(Ministry of Health 2023g)&lt;/DisplayText&gt;&lt;record&gt;&lt;rec-number&gt;470&lt;/rec-number&gt;&lt;foreign-keys&gt;&lt;key app="EN" db-id="aaepvppzs5wtfse95vsp2wahsrtvva2vvdet" timestamp="1716515457"&gt;470&lt;/key&gt;&lt;/foreign-keys&gt;&lt;ref-type name="Government Document"&gt;46&lt;/ref-type&gt;&lt;contributors&gt;&lt;authors&gt;&lt;author&gt;Ministry of Health,&lt;/author&gt;&lt;/authors&gt;&lt;/contributors&gt;&lt;titles&gt;&lt;title&gt;&lt;style face="normal" font="default" size="100%"&gt;Ng&lt;/style&gt;&lt;style face="normal" font="default" charset="238" size="100%"&gt;ā Pokenga Paipai Me Ngā Pokenga Huaketo Mā Te Toto: Te Rautaki o Aotearoa 2023&lt;/style&gt;&lt;style face="normal" font="default" size="100%"&gt;–2030 | Aotearoa New Zealand Sexually Transmitted and Blood Borne Infection Strategy 2023–2030&lt;/style&gt;&lt;/title&gt;&lt;/titles&gt;&lt;dates&gt;&lt;year&gt;2023&lt;/year&gt;&lt;/dates&gt;&lt;pub-location&gt;Wellington&lt;/pub-location&gt;&lt;publisher&gt;Ministry of Health&lt;/publisher&gt;&lt;urls&gt;&lt;related-urls&gt;&lt;url&gt;https://www.health.govt.nz/system/files/documents/publications/stbbi_strategy_march_2023_final.pdf&lt;/url&gt;&lt;/related-urls&gt;&lt;/urls&gt;&lt;/record&gt;&lt;/Cite&gt;&lt;/EndNote&gt;</w:instrText>
      </w:r>
      <w:r>
        <w:fldChar w:fldCharType="separate"/>
      </w:r>
      <w:r>
        <w:rPr>
          <w:noProof/>
        </w:rPr>
        <w:t>(Ministry of Health 2023g)</w:t>
      </w:r>
      <w:r>
        <w:fldChar w:fldCharType="end"/>
      </w:r>
      <w:r w:rsidRPr="00E47714">
        <w:t xml:space="preserve">. In the 12 months ending September 2023, </w:t>
      </w:r>
      <w:r>
        <w:t>Aotearoa New Zealand had</w:t>
      </w:r>
      <w:r w:rsidRPr="00E47714">
        <w:t xml:space="preserve"> 28,164 reported cases </w:t>
      </w:r>
      <w:r>
        <w:t xml:space="preserve">of </w:t>
      </w:r>
      <w:r w:rsidRPr="00E47714">
        <w:t>chlamydia and 7,794 reported cases</w:t>
      </w:r>
      <w:r>
        <w:t xml:space="preserve"> of</w:t>
      </w:r>
      <w:r w:rsidRPr="00E47714">
        <w:t xml:space="preserve"> gonorrhoea. </w:t>
      </w:r>
    </w:p>
    <w:p w14:paraId="176ABA05" w14:textId="77777777" w:rsidR="009D4BFA" w:rsidRDefault="009D4BFA" w:rsidP="00C66A54"/>
    <w:p w14:paraId="22F8BF1A" w14:textId="77777777" w:rsidR="00C66A54" w:rsidRDefault="00C66A54" w:rsidP="00C66A54">
      <w:r w:rsidRPr="00E47714">
        <w:t>Chlamydia and gonorrhoea cases and rates have remained stable over 2022/23. Gonorrhoea continues to be disproportionally reported among males and people aged 20</w:t>
      </w:r>
      <w:r w:rsidRPr="00E47714">
        <w:rPr>
          <w:rStyle w:val="normaltextrun"/>
          <w:rFonts w:ascii="Calibri" w:hAnsi="Calibri" w:cs="Calibri"/>
          <w:color w:val="000000"/>
          <w:bdr w:val="none" w:sz="0" w:space="0" w:color="auto" w:frame="1"/>
        </w:rPr>
        <w:t>–</w:t>
      </w:r>
      <w:r w:rsidRPr="00E47714">
        <w:t>29 years, while chlamydia cases are most commonly reported among females and people aged 20</w:t>
      </w:r>
      <w:r w:rsidRPr="00E47714">
        <w:rPr>
          <w:rStyle w:val="normaltextrun"/>
          <w:rFonts w:ascii="Calibri" w:hAnsi="Calibri" w:cs="Calibri"/>
          <w:color w:val="000000"/>
          <w:bdr w:val="none" w:sz="0" w:space="0" w:color="auto" w:frame="1"/>
        </w:rPr>
        <w:t>–</w:t>
      </w:r>
      <w:r w:rsidRPr="00E47714">
        <w:t xml:space="preserve">24 years. </w:t>
      </w:r>
    </w:p>
    <w:p w14:paraId="3BC8076C" w14:textId="77777777" w:rsidR="00C66A54" w:rsidRPr="00E47714" w:rsidRDefault="00C66A54" w:rsidP="00C66A54">
      <w:pPr>
        <w:pStyle w:val="Heading5"/>
      </w:pPr>
      <w:r w:rsidRPr="00B6587E">
        <w:lastRenderedPageBreak/>
        <w:t>Syphilis</w:t>
      </w:r>
    </w:p>
    <w:p w14:paraId="03D19A8F" w14:textId="77777777" w:rsidR="00C66A54" w:rsidRPr="00E47714" w:rsidRDefault="00C66A54" w:rsidP="00C66A54">
      <w:r w:rsidRPr="00C77EEE">
        <w:t>Syphilis</w:t>
      </w:r>
      <w:r w:rsidRPr="00E47714">
        <w:t xml:space="preserve"> can cause serious illness if untreated. It can be transmitted from mother to child during pregnancy, leading to stillbirth or congenital syphilis</w:t>
      </w:r>
      <w:r>
        <w:t xml:space="preserve"> </w:t>
      </w:r>
      <w:r>
        <w:fldChar w:fldCharType="begin"/>
      </w:r>
      <w:r>
        <w:instrText xml:space="preserve"> ADDIN EN.CITE &lt;EndNote&gt;&lt;Cite&gt;&lt;Author&gt;Ministry of Health&lt;/Author&gt;&lt;Year&gt;2023&lt;/Year&gt;&lt;RecNum&gt;470&lt;/RecNum&gt;&lt;DisplayText&gt;(Ministry of Health 2023g)&lt;/DisplayText&gt;&lt;record&gt;&lt;rec-number&gt;470&lt;/rec-number&gt;&lt;foreign-keys&gt;&lt;key app="EN" db-id="aaepvppzs5wtfse95vsp2wahsrtvva2vvdet" timestamp="1716515457"&gt;470&lt;/key&gt;&lt;/foreign-keys&gt;&lt;ref-type name="Government Document"&gt;46&lt;/ref-type&gt;&lt;contributors&gt;&lt;authors&gt;&lt;author&gt;Ministry of Health,&lt;/author&gt;&lt;/authors&gt;&lt;/contributors&gt;&lt;titles&gt;&lt;title&gt;&lt;style face="normal" font="default" size="100%"&gt;Ng&lt;/style&gt;&lt;style face="normal" font="default" charset="238" size="100%"&gt;ā Pokenga Paipai Me Ngā Pokenga Huaketo Mā Te Toto: Te Rautaki o Aotearoa 2023&lt;/style&gt;&lt;style face="normal" font="default" size="100%"&gt;–2030 | Aotearoa New Zealand Sexually Transmitted and Blood Borne Infection Strategy 2023–2030&lt;/style&gt;&lt;/title&gt;&lt;/titles&gt;&lt;dates&gt;&lt;year&gt;2023&lt;/year&gt;&lt;/dates&gt;&lt;pub-location&gt;Wellington&lt;/pub-location&gt;&lt;publisher&gt;Ministry of Health&lt;/publisher&gt;&lt;urls&gt;&lt;related-urls&gt;&lt;url&gt;https://www.health.govt.nz/system/files/documents/publications/stbbi_strategy_march_2023_final.pdf&lt;/url&gt;&lt;/related-urls&gt;&lt;/urls&gt;&lt;/record&gt;&lt;/Cite&gt;&lt;/EndNote&gt;</w:instrText>
      </w:r>
      <w:r>
        <w:fldChar w:fldCharType="separate"/>
      </w:r>
      <w:r>
        <w:rPr>
          <w:noProof/>
        </w:rPr>
        <w:t>(Ministry of Health 2023g)</w:t>
      </w:r>
      <w:r>
        <w:fldChar w:fldCharType="end"/>
      </w:r>
      <w:r w:rsidRPr="00E47714">
        <w:t xml:space="preserve">. </w:t>
      </w:r>
      <w:r>
        <w:t>Aotearoa New Zealand had</w:t>
      </w:r>
      <w:r w:rsidRPr="00E47714">
        <w:t xml:space="preserve"> 706 syphilis cases reported in the 12 months ending September 2023. Reported cases and rates of infectious syphilis have been steadily increasing from June 2022, and sporadic cases of congenital syphilis </w:t>
      </w:r>
      <w:r>
        <w:t>are</w:t>
      </w:r>
      <w:r w:rsidRPr="00E47714">
        <w:t xml:space="preserve"> a persistent problem. Men who have sex with men </w:t>
      </w:r>
      <w:r>
        <w:t>are</w:t>
      </w:r>
      <w:r w:rsidRPr="00E47714">
        <w:t xml:space="preserve"> disproportionately affected, as are Māori </w:t>
      </w:r>
      <w:r>
        <w:fldChar w:fldCharType="begin"/>
      </w:r>
      <w:r>
        <w:instrText xml:space="preserve"> ADDIN EN.CITE &lt;EndNote&gt;&lt;Cite&gt;&lt;Author&gt;Institute of Environmental Science and Research&lt;/Author&gt;&lt;Year&gt;2024&lt;/Year&gt;&lt;RecNum&gt;471&lt;/RecNum&gt;&lt;DisplayText&gt;(Institute of Environmental Science and Research 2024c)&lt;/DisplayText&gt;&lt;record&gt;&lt;rec-number&gt;471&lt;/rec-number&gt;&lt;foreign-keys&gt;&lt;key app="EN" db-id="aaepvppzs5wtfse95vsp2wahsrtvva2vvdet" timestamp="1716515651"&gt;471&lt;/key&gt;&lt;/foreign-keys&gt;&lt;ref-type name="Web Page"&gt;12&lt;/ref-type&gt;&lt;contributors&gt;&lt;authors&gt;&lt;author&gt;Institute of Environmental Science and Research,&lt;/author&gt;&lt;/authors&gt;&lt;/contributors&gt;&lt;titles&gt;&lt;title&gt;New Zealand Sexually Transmitted Infection (STI) Surveillance Dashboard &lt;/title&gt;&lt;/titles&gt;&lt;number&gt;24 May 2024&lt;/number&gt;&lt;dates&gt;&lt;year&gt;2024&lt;/year&gt;&lt;/dates&gt;&lt;urls&gt;&lt;related-urls&gt;&lt;url&gt;esr.cri.nz/digital-library/sti-quarterly-dashboard&lt;/url&gt;&lt;/related-urls&gt;&lt;/urls&gt;&lt;/record&gt;&lt;/Cite&gt;&lt;/EndNote&gt;</w:instrText>
      </w:r>
      <w:r>
        <w:fldChar w:fldCharType="separate"/>
      </w:r>
      <w:r>
        <w:rPr>
          <w:noProof/>
        </w:rPr>
        <w:t>(Institute of Environmental Science and Research 2024c)</w:t>
      </w:r>
      <w:r>
        <w:fldChar w:fldCharType="end"/>
      </w:r>
      <w:r w:rsidRPr="00E47714">
        <w:t xml:space="preserve">. </w:t>
      </w:r>
    </w:p>
    <w:p w14:paraId="1B23135A" w14:textId="77777777" w:rsidR="00C66A54" w:rsidRPr="00E47714" w:rsidRDefault="00C66A54" w:rsidP="00C66A54">
      <w:pPr>
        <w:pStyle w:val="Heading5"/>
      </w:pPr>
      <w:r w:rsidRPr="00E47714">
        <w:t>HIV/AIDS</w:t>
      </w:r>
    </w:p>
    <w:p w14:paraId="2BAA2E66" w14:textId="77777777" w:rsidR="00C66A54" w:rsidRPr="00E47714" w:rsidRDefault="00C66A54" w:rsidP="00C66A54">
      <w:r w:rsidRPr="00E47714">
        <w:t xml:space="preserve">Human immunodeficiency virus (HIV) is a virus </w:t>
      </w:r>
      <w:r>
        <w:t>that</w:t>
      </w:r>
      <w:r w:rsidRPr="00E47714">
        <w:t xml:space="preserve"> deplet</w:t>
      </w:r>
      <w:r>
        <w:t>es</w:t>
      </w:r>
      <w:r w:rsidRPr="00E47714">
        <w:t xml:space="preserve"> the body’s normal immune defence mechanism. Without treatment, </w:t>
      </w:r>
      <w:r>
        <w:t>it</w:t>
      </w:r>
      <w:r w:rsidRPr="00E47714">
        <w:t xml:space="preserve"> causes acquired immunodeficiency syndrome (AIDS). Most people get HIV sexually, by injecting drug use or</w:t>
      </w:r>
      <w:r>
        <w:t xml:space="preserve"> by</w:t>
      </w:r>
      <w:r w:rsidRPr="00E47714">
        <w:t xml:space="preserve"> parent-to-child transmission</w:t>
      </w:r>
      <w:r>
        <w:t xml:space="preserve"> during birth</w:t>
      </w:r>
      <w:r w:rsidRPr="00E47714">
        <w:t>.</w:t>
      </w:r>
    </w:p>
    <w:p w14:paraId="3AC2DC91" w14:textId="77777777" w:rsidR="00C66A54" w:rsidRPr="00E47714" w:rsidRDefault="00C66A54" w:rsidP="009D4BFA">
      <w:pPr>
        <w:pStyle w:val="Bullet"/>
      </w:pPr>
      <w:r w:rsidRPr="00E47714">
        <w:t>In 2022, a total of 135 people (109 men</w:t>
      </w:r>
      <w:r>
        <w:t xml:space="preserve"> and</w:t>
      </w:r>
      <w:r w:rsidRPr="00E47714">
        <w:t xml:space="preserve"> 26 women, including 6 transgender women) were notified with HIV in Aotearoa New Zealand</w:t>
      </w:r>
      <w:r>
        <w:t>. Of this total,</w:t>
      </w:r>
      <w:r w:rsidRPr="00E47714">
        <w:t xml:space="preserve"> 76 were first diagnosed in Aotearoa New Zealand</w:t>
      </w:r>
      <w:r>
        <w:t xml:space="preserve"> and</w:t>
      </w:r>
      <w:r w:rsidRPr="00E47714">
        <w:t xml:space="preserve"> 55 had previously been diagnosed overseas</w:t>
      </w:r>
      <w:r>
        <w:t>. For four</w:t>
      </w:r>
      <w:r w:rsidRPr="00E47714">
        <w:t xml:space="preserve"> people</w:t>
      </w:r>
      <w:r>
        <w:t>,</w:t>
      </w:r>
      <w:r w:rsidRPr="00E47714">
        <w:t xml:space="preserve"> the place of first diagnosis was unknown.</w:t>
      </w:r>
    </w:p>
    <w:p w14:paraId="60947486" w14:textId="77777777" w:rsidR="00C66A54" w:rsidRPr="00E47714" w:rsidRDefault="00C66A54" w:rsidP="009D4BFA">
      <w:pPr>
        <w:pStyle w:val="Bullet"/>
      </w:pPr>
      <w:r w:rsidRPr="00E47714">
        <w:t>The total number notified in 2022 (135) represents a slight increase on 2021 (109)</w:t>
      </w:r>
      <w:r>
        <w:t>,</w:t>
      </w:r>
      <w:r w:rsidRPr="00E47714">
        <w:t xml:space="preserve"> mainly due to the increase</w:t>
      </w:r>
      <w:r>
        <w:t xml:space="preserve"> in the</w:t>
      </w:r>
      <w:r w:rsidRPr="00E47714">
        <w:t xml:space="preserve"> number </w:t>
      </w:r>
      <w:r>
        <w:t xml:space="preserve">who had been </w:t>
      </w:r>
      <w:r w:rsidRPr="00E47714">
        <w:t xml:space="preserve">previously diagnosed overseas. </w:t>
      </w:r>
    </w:p>
    <w:p w14:paraId="3A472E51" w14:textId="77777777" w:rsidR="00C66A54" w:rsidRPr="00E47714" w:rsidRDefault="00C66A54" w:rsidP="009D4BFA">
      <w:pPr>
        <w:pStyle w:val="Bullet"/>
      </w:pPr>
      <w:r>
        <w:t>While c</w:t>
      </w:r>
      <w:r w:rsidRPr="00E47714">
        <w:t xml:space="preserve">hildren </w:t>
      </w:r>
      <w:r>
        <w:t xml:space="preserve">can be </w:t>
      </w:r>
      <w:r w:rsidRPr="00E47714">
        <w:t>infected through parent-to-child transmission</w:t>
      </w:r>
      <w:r>
        <w:t xml:space="preserve"> during birth,</w:t>
      </w:r>
      <w:r w:rsidRPr="00E47714">
        <w:t xml:space="preserve"> </w:t>
      </w:r>
      <w:r>
        <w:t>s</w:t>
      </w:r>
      <w:r w:rsidRPr="00E47714">
        <w:t xml:space="preserve">ince 2007 no children </w:t>
      </w:r>
      <w:r>
        <w:t xml:space="preserve">have been infected in this way </w:t>
      </w:r>
      <w:r w:rsidRPr="00E47714">
        <w:t>in Aotearoa New Zealand.</w:t>
      </w:r>
      <w:r w:rsidRPr="00E47714">
        <w:rPr>
          <w:rStyle w:val="FootnoteReference"/>
          <w:rFonts w:cs="Segoe UI"/>
        </w:rPr>
        <w:footnoteReference w:id="20"/>
      </w:r>
    </w:p>
    <w:p w14:paraId="57C8BA02" w14:textId="77777777" w:rsidR="00C66A54" w:rsidRPr="00E47714" w:rsidRDefault="00C66A54" w:rsidP="009D4BFA">
      <w:pPr>
        <w:pStyle w:val="Bullet"/>
      </w:pPr>
      <w:r>
        <w:t xml:space="preserve">In 2022, </w:t>
      </w:r>
      <w:r w:rsidRPr="00E47714">
        <w:t>18 people (14 men</w:t>
      </w:r>
      <w:r>
        <w:t xml:space="preserve"> and</w:t>
      </w:r>
      <w:r w:rsidRPr="00E47714">
        <w:t xml:space="preserve"> 4 women, including 1 transgender woman) were diagnosed with AIDS </w:t>
      </w:r>
      <w:r>
        <w:fldChar w:fldCharType="begin"/>
      </w:r>
      <w:r>
        <w:instrText xml:space="preserve"> ADDIN EN.CITE &lt;EndNote&gt;&lt;Cite&gt;&lt;Author&gt;University of Otago&lt;/Author&gt;&lt;Year&gt;2023&lt;/Year&gt;&lt;RecNum&gt;528&lt;/RecNum&gt;&lt;DisplayText&gt;(University of Otago 2023)&lt;/DisplayText&gt;&lt;record&gt;&lt;rec-number&gt;528&lt;/rec-number&gt;&lt;foreign-keys&gt;&lt;key app="EN" db-id="aaepvppzs5wtfse95vsp2wahsrtvva2vvdet" timestamp="1717549124"&gt;528&lt;/key&gt;&lt;/foreign-keys&gt;&lt;ref-type name="Journal Article"&gt;17&lt;/ref-type&gt;&lt;contributors&gt;&lt;authors&gt;&lt;author&gt;University of Otago,&lt;/author&gt;&lt;/authors&gt;&lt;/contributors&gt;&lt;titles&gt;&lt;title&gt;AIDS diagnoses&lt;/title&gt;&lt;secondary-title&gt;AIDS – New Zealand&lt;/secondary-title&gt;&lt;/titles&gt;&lt;periodical&gt;&lt;full-title&gt;AIDS – New Zealand&lt;/full-title&gt;&lt;/periodical&gt;&lt;pages&gt;3&lt;/pages&gt;&lt;number&gt;82&lt;/number&gt;&lt;dates&gt;&lt;year&gt;2023&lt;/year&gt;&lt;/dates&gt;&lt;urls&gt;&lt;/urls&gt;&lt;/record&gt;&lt;/Cite&gt;&lt;/EndNote&gt;</w:instrText>
      </w:r>
      <w:r>
        <w:fldChar w:fldCharType="separate"/>
      </w:r>
      <w:r>
        <w:rPr>
          <w:noProof/>
        </w:rPr>
        <w:t>(University of Otago 2023)</w:t>
      </w:r>
      <w:r>
        <w:fldChar w:fldCharType="end"/>
      </w:r>
      <w:r w:rsidRPr="00E47714">
        <w:t>.</w:t>
      </w:r>
    </w:p>
    <w:p w14:paraId="4A94BDBC" w14:textId="77777777" w:rsidR="00C66A54" w:rsidRPr="00E47714" w:rsidRDefault="00C66A54" w:rsidP="00C66A54">
      <w:pPr>
        <w:pStyle w:val="Heading3"/>
      </w:pPr>
      <w:r w:rsidRPr="00E47714">
        <w:t xml:space="preserve">Antimicrobial resistance </w:t>
      </w:r>
    </w:p>
    <w:p w14:paraId="473FBB6D" w14:textId="746F06DD" w:rsidR="00C66A54" w:rsidRDefault="00C66A54" w:rsidP="00C66A54">
      <w:pPr>
        <w:rPr>
          <w:shd w:val="clear" w:color="auto" w:fill="FFFFFF"/>
        </w:rPr>
      </w:pPr>
      <w:r w:rsidRPr="00E47714">
        <w:rPr>
          <w:shd w:val="clear" w:color="auto" w:fill="FFFFFF"/>
        </w:rPr>
        <w:t xml:space="preserve">Antimicrobials are medicines </w:t>
      </w:r>
      <w:r>
        <w:rPr>
          <w:shd w:val="clear" w:color="auto" w:fill="FFFFFF"/>
        </w:rPr>
        <w:t>that</w:t>
      </w:r>
      <w:r w:rsidRPr="00E47714">
        <w:rPr>
          <w:shd w:val="clear" w:color="auto" w:fill="FFFFFF"/>
        </w:rPr>
        <w:t xml:space="preserve"> treat or prevent infections </w:t>
      </w:r>
      <w:r>
        <w:rPr>
          <w:shd w:val="clear" w:color="auto" w:fill="FFFFFF"/>
        </w:rPr>
        <w:t>from</w:t>
      </w:r>
      <w:r w:rsidRPr="00E47714">
        <w:rPr>
          <w:shd w:val="clear" w:color="auto" w:fill="FFFFFF"/>
        </w:rPr>
        <w:t xml:space="preserve"> bacteria, viruses, fungi or parasites. Antimicrobial resistance (AMR), also sometimes called antibiotic or drug resistance, occurs when micro</w:t>
      </w:r>
      <w:r>
        <w:rPr>
          <w:shd w:val="clear" w:color="auto" w:fill="FFFFFF"/>
        </w:rPr>
        <w:t>-</w:t>
      </w:r>
      <w:r w:rsidRPr="00E47714">
        <w:rPr>
          <w:shd w:val="clear" w:color="auto" w:fill="FFFFFF"/>
        </w:rPr>
        <w:t xml:space="preserve">organisms evolve and become able to replicate despite antimicrobial treatment. AMR makes infections much harder to treat as the medicines </w:t>
      </w:r>
      <w:r>
        <w:rPr>
          <w:shd w:val="clear" w:color="auto" w:fill="FFFFFF"/>
        </w:rPr>
        <w:t xml:space="preserve">to treat them </w:t>
      </w:r>
      <w:r w:rsidRPr="00E47714">
        <w:rPr>
          <w:shd w:val="clear" w:color="auto" w:fill="FFFFFF"/>
        </w:rPr>
        <w:t>become less effective.</w:t>
      </w:r>
    </w:p>
    <w:p w14:paraId="62673D33" w14:textId="77777777" w:rsidR="009D4BFA" w:rsidRPr="00E47714" w:rsidRDefault="009D4BFA" w:rsidP="00C66A54">
      <w:pPr>
        <w:rPr>
          <w:shd w:val="clear" w:color="auto" w:fill="FFFFFF"/>
        </w:rPr>
      </w:pPr>
    </w:p>
    <w:p w14:paraId="73060E2D" w14:textId="77777777" w:rsidR="00C66A54" w:rsidRPr="00E47714" w:rsidRDefault="00C66A54" w:rsidP="00C66A54">
      <w:r w:rsidRPr="00E47714">
        <w:t xml:space="preserve">AMR includes resistance to antibacterial, antiviral, antiparasitic and antifungal medications </w:t>
      </w:r>
      <w:r>
        <w:fldChar w:fldCharType="begin"/>
      </w:r>
      <w:r>
        <w:instrText xml:space="preserve"> ADDIN EN.CITE &lt;EndNote&gt;&lt;Cite&gt;&lt;Author&gt;Ministry of Health and Ministry for Primary Industries &lt;/Author&gt;&lt;Year&gt;2017&lt;/Year&gt;&lt;RecNum&gt;472&lt;/RecNum&gt;&lt;DisplayText&gt;(Ministry of Health and Ministry for Primary Industries 2017)&lt;/DisplayText&gt;&lt;record&gt;&lt;rec-number&gt;472&lt;/rec-number&gt;&lt;foreign-keys&gt;&lt;key app="EN" db-id="aaepvppzs5wtfse95vsp2wahsrtvva2vvdet" timestamp="1716515999"&gt;472&lt;/key&gt;&lt;/foreign-keys&gt;&lt;ref-type name="Government Document"&gt;46&lt;/ref-type&gt;&lt;contributors&gt;&lt;authors&gt;&lt;author&gt;Ministry of Health and Ministry for Primary Industries ,&lt;/author&gt;&lt;/authors&gt;&lt;/contributors&gt;&lt;titles&gt;&lt;title&gt;New Zealand Antimicrobial Resistance Action Plan&lt;/title&gt;&lt;/titles&gt;&lt;dates&gt;&lt;year&gt;2017&lt;/year&gt;&lt;/dates&gt;&lt;pub-location&gt;Wellington&lt;/pub-location&gt;&lt;publisher&gt;Ministry of Health&lt;/publisher&gt;&lt;urls&gt;&lt;related-urls&gt;&lt;url&gt;https://www.health.govt.nz/system/files/documents/publications/new-zealand-antimicrobial-resistance-action-plan.pdf&lt;/url&gt;&lt;/related-urls&gt;&lt;/urls&gt;&lt;/record&gt;&lt;/Cite&gt;&lt;/EndNote&gt;</w:instrText>
      </w:r>
      <w:r>
        <w:fldChar w:fldCharType="separate"/>
      </w:r>
      <w:r>
        <w:rPr>
          <w:noProof/>
        </w:rPr>
        <w:t>(Ministry of Health and Ministry for Primary Industries 2017)</w:t>
      </w:r>
      <w:r>
        <w:fldChar w:fldCharType="end"/>
      </w:r>
      <w:r w:rsidRPr="00E47714">
        <w:t>.</w:t>
      </w:r>
    </w:p>
    <w:p w14:paraId="4A5ABC6C" w14:textId="77777777" w:rsidR="00C66A54" w:rsidRPr="00E47714" w:rsidRDefault="00C66A54" w:rsidP="00C66A54">
      <w:r w:rsidRPr="00E47714">
        <w:t xml:space="preserve">AMR </w:t>
      </w:r>
      <w:r w:rsidRPr="00E47714">
        <w:rPr>
          <w:shd w:val="clear" w:color="auto" w:fill="FFFFFF"/>
        </w:rPr>
        <w:t xml:space="preserve">represents one of the most serious global public health threats </w:t>
      </w:r>
      <w:r>
        <w:rPr>
          <w:shd w:val="clear" w:color="auto" w:fill="FFFFFF"/>
        </w:rPr>
        <w:t xml:space="preserve">today </w:t>
      </w:r>
      <w:r>
        <w:rPr>
          <w:shd w:val="clear" w:color="auto" w:fill="FFFFFF"/>
        </w:rPr>
        <w:fldChar w:fldCharType="begin"/>
      </w:r>
      <w:r>
        <w:rPr>
          <w:shd w:val="clear" w:color="auto" w:fill="FFFFFF"/>
        </w:rPr>
        <w:instrText xml:space="preserve"> ADDIN EN.CITE &lt;EndNote&gt;&lt;Cite&gt;&lt;Author&gt;Institute of Environmental Science and Research&lt;/Author&gt;&lt;Year&gt;2024&lt;/Year&gt;&lt;RecNum&gt;532&lt;/RecNum&gt;&lt;DisplayText&gt;(Institute of Environmental Science and Research 2024a)&lt;/DisplayText&gt;&lt;record&gt;&lt;rec-number&gt;532&lt;/rec-number&gt;&lt;foreign-keys&gt;&lt;key app="EN" db-id="aaepvppzs5wtfse95vsp2wahsrtvva2vvdet" timestamp="1717554345"&gt;532&lt;/key&gt;&lt;/foreign-keys&gt;&lt;ref-type name="Web Page"&gt;12&lt;/ref-type&gt;&lt;contributors&gt;&lt;authors&gt;&lt;author&gt;Institute of Environmental Science and Research,&lt;/author&gt;&lt;/authors&gt;&lt;/contributors&gt;&lt;titles&gt;&lt;title&gt;Antimicrobial resistance&lt;/title&gt;&lt;/titles&gt;&lt;number&gt;5 June 2024&lt;/number&gt;&lt;dates&gt;&lt;year&gt;2024&lt;/year&gt;&lt;/dates&gt;&lt;urls&gt;&lt;related-urls&gt;&lt;url&gt;esr.cri.nz/expertise/public-health/antimicrobial-resistance&lt;/url&gt;&lt;/related-urls&gt;&lt;/urls&gt;&lt;/record&gt;&lt;/Cite&gt;&lt;/EndNote&gt;</w:instrText>
      </w:r>
      <w:r>
        <w:rPr>
          <w:shd w:val="clear" w:color="auto" w:fill="FFFFFF"/>
        </w:rPr>
        <w:fldChar w:fldCharType="separate"/>
      </w:r>
      <w:r>
        <w:rPr>
          <w:noProof/>
          <w:shd w:val="clear" w:color="auto" w:fill="FFFFFF"/>
        </w:rPr>
        <w:t>(Institute of Environmental Science and Research 2024a)</w:t>
      </w:r>
      <w:r>
        <w:rPr>
          <w:shd w:val="clear" w:color="auto" w:fill="FFFFFF"/>
        </w:rPr>
        <w:fldChar w:fldCharType="end"/>
      </w:r>
      <w:r w:rsidRPr="00E47714">
        <w:rPr>
          <w:shd w:val="clear" w:color="auto" w:fill="FFFFFF"/>
        </w:rPr>
        <w:t>.</w:t>
      </w:r>
    </w:p>
    <w:p w14:paraId="15FB609E" w14:textId="77777777" w:rsidR="00C66A54" w:rsidRPr="00E47714" w:rsidRDefault="00C66A54" w:rsidP="009D4BFA">
      <w:pPr>
        <w:pStyle w:val="Bullet"/>
      </w:pPr>
      <w:r w:rsidRPr="00E47714">
        <w:t>In 2019</w:t>
      </w:r>
      <w:r>
        <w:t xml:space="preserve">, </w:t>
      </w:r>
      <w:r w:rsidRPr="00E47714">
        <w:t>4.95 million people who died</w:t>
      </w:r>
      <w:r>
        <w:t xml:space="preserve"> had</w:t>
      </w:r>
      <w:r w:rsidRPr="00E47714">
        <w:t xml:space="preserve"> suffered from drug-resistant infections.</w:t>
      </w:r>
    </w:p>
    <w:p w14:paraId="67B637A8" w14:textId="77777777" w:rsidR="00C66A54" w:rsidRPr="00E47714" w:rsidRDefault="00C66A54" w:rsidP="009D4BFA">
      <w:pPr>
        <w:pStyle w:val="Bullet"/>
      </w:pPr>
      <w:r w:rsidRPr="00E47714">
        <w:t xml:space="preserve">AMR directly caused 1.3 million of those deaths. </w:t>
      </w:r>
    </w:p>
    <w:p w14:paraId="548212F4" w14:textId="77777777" w:rsidR="00C66A54" w:rsidRPr="00E47714" w:rsidRDefault="00C66A54" w:rsidP="009D4BFA">
      <w:pPr>
        <w:pStyle w:val="Bullet"/>
      </w:pPr>
      <w:r>
        <w:t>One</w:t>
      </w:r>
      <w:r w:rsidRPr="00E47714">
        <w:t xml:space="preserve"> in </w:t>
      </w:r>
      <w:r>
        <w:t>five</w:t>
      </w:r>
      <w:r w:rsidRPr="00E47714">
        <w:t xml:space="preserve"> of those deaths occurred among children under </w:t>
      </w:r>
      <w:r>
        <w:t>five</w:t>
      </w:r>
      <w:r w:rsidRPr="00E47714">
        <w:t xml:space="preserve"> years old. </w:t>
      </w:r>
    </w:p>
    <w:p w14:paraId="7E916231" w14:textId="77777777" w:rsidR="009D4BFA" w:rsidRDefault="009D4BFA" w:rsidP="00C66A54"/>
    <w:p w14:paraId="1D1DFC33" w14:textId="2DA3C38A" w:rsidR="00C66A54" w:rsidRDefault="00C66A54" w:rsidP="00C66A54">
      <w:pPr>
        <w:rPr>
          <w:rFonts w:cs="Segoe UI"/>
        </w:rPr>
      </w:pPr>
      <w:r w:rsidRPr="00E47714">
        <w:t xml:space="preserve">Aotearoa New Zealand currently has the </w:t>
      </w:r>
      <w:r>
        <w:t>eigh</w:t>
      </w:r>
      <w:r w:rsidRPr="00E47714">
        <w:t>th</w:t>
      </w:r>
      <w:r>
        <w:t>-</w:t>
      </w:r>
      <w:r w:rsidRPr="00E47714">
        <w:t>lowest age-standardi</w:t>
      </w:r>
      <w:r>
        <w:t>s</w:t>
      </w:r>
      <w:r w:rsidRPr="00E47714">
        <w:t xml:space="preserve">ed mortality rate per 100,000 population associated with AMR across 204 countries </w:t>
      </w:r>
      <w:r>
        <w:fldChar w:fldCharType="begin"/>
      </w:r>
      <w:r>
        <w:instrText xml:space="preserve"> ADDIN EN.CITE &lt;EndNote&gt;&lt;Cite&gt;&lt;Author&gt;Institute for Health Metrics and Evaluation&lt;/Author&gt;&lt;Year&gt;(nd)&lt;/Year&gt;&lt;RecNum&gt;535&lt;/RecNum&gt;&lt;DisplayText&gt;(Institute for Health Metrics and Evaluation (nd))&lt;/DisplayText&gt;&lt;record&gt;&lt;rec-number&gt;535&lt;/rec-number&gt;&lt;foreign-keys&gt;&lt;key app="EN" db-id="aaepvppzs5wtfse95vsp2wahsrtvva2vvdet" timestamp="1717557595"&gt;535&lt;/key&gt;&lt;/foreign-keys&gt;&lt;ref-type name="Web Page"&gt;12&lt;/ref-type&gt;&lt;contributors&gt;&lt;authors&gt;&lt;author&gt;Institute for Health Metrics and Evaluation,&lt;/author&gt;&lt;/authors&gt;&lt;/contributors&gt;&lt;titles&gt;&lt;title&gt;The burden of antimicrobial resistance (AMR) in New Zealand&lt;/title&gt;&lt;/titles&gt;&lt;number&gt;5 June 2024&lt;/number&gt;&lt;dates&gt;&lt;year&gt;(nd)&lt;/year&gt;&lt;/dates&gt;&lt;urls&gt;&lt;related-urls&gt;&lt;url&gt;healthdata.org/sites/default/files/files/Projects/GRAM/New_Zealand_0.pdf&lt;/url&gt;&lt;/related-urls&gt;&lt;/urls&gt;&lt;/record&gt;&lt;/Cite&gt;&lt;/EndNote&gt;</w:instrText>
      </w:r>
      <w:r>
        <w:fldChar w:fldCharType="separate"/>
      </w:r>
      <w:r>
        <w:rPr>
          <w:noProof/>
        </w:rPr>
        <w:t xml:space="preserve">(Institute for Health </w:t>
      </w:r>
      <w:r>
        <w:rPr>
          <w:noProof/>
        </w:rPr>
        <w:lastRenderedPageBreak/>
        <w:t>Metrics and Evaluation (nd))</w:t>
      </w:r>
      <w:r>
        <w:fldChar w:fldCharType="end"/>
      </w:r>
      <w:r w:rsidRPr="00E47714">
        <w:t>.</w:t>
      </w:r>
      <w:r>
        <w:rPr>
          <w:rFonts w:cs="Segoe UI"/>
        </w:rPr>
        <w:t xml:space="preserve"> </w:t>
      </w:r>
      <w:r w:rsidRPr="00E47714">
        <w:rPr>
          <w:rFonts w:cs="Segoe UI"/>
        </w:rPr>
        <w:t xml:space="preserve">Although </w:t>
      </w:r>
      <w:r>
        <w:rPr>
          <w:rFonts w:cs="Segoe UI"/>
        </w:rPr>
        <w:t xml:space="preserve">this rate is </w:t>
      </w:r>
      <w:r w:rsidRPr="00E47714">
        <w:rPr>
          <w:rFonts w:cs="Segoe UI"/>
        </w:rPr>
        <w:t xml:space="preserve">low compared </w:t>
      </w:r>
      <w:r>
        <w:rPr>
          <w:rFonts w:cs="Segoe UI"/>
        </w:rPr>
        <w:t>with</w:t>
      </w:r>
      <w:r w:rsidRPr="00E47714">
        <w:rPr>
          <w:rFonts w:cs="Segoe UI"/>
        </w:rPr>
        <w:t xml:space="preserve"> other countries, rates are increasing. National surveillance processes are in place to monitor AMR and identify any new AMR threats as they emerge.</w:t>
      </w:r>
    </w:p>
    <w:p w14:paraId="2260F709" w14:textId="77777777" w:rsidR="00C66A54" w:rsidRPr="00E47714" w:rsidRDefault="00C66A54" w:rsidP="00C66A54">
      <w:pPr>
        <w:rPr>
          <w:rFonts w:cs="Segoe UI"/>
        </w:rPr>
      </w:pPr>
      <w:r w:rsidRPr="00E47714">
        <w:rPr>
          <w:rFonts w:cs="Segoe UI"/>
        </w:rPr>
        <w:br w:type="page"/>
      </w:r>
    </w:p>
    <w:p w14:paraId="44C96D94" w14:textId="77777777" w:rsidR="009D4BFA" w:rsidRPr="00E47714" w:rsidRDefault="009D4BFA" w:rsidP="009D4BFA">
      <w:pPr>
        <w:pStyle w:val="Heading1"/>
      </w:pPr>
      <w:bookmarkStart w:id="186" w:name="_Toc171603277"/>
      <w:bookmarkStart w:id="187" w:name="_Toc171944537"/>
      <w:bookmarkStart w:id="188" w:name="_Toc172104677"/>
      <w:r w:rsidRPr="00E47714">
        <w:rPr>
          <w:rStyle w:val="Heading1Char"/>
          <w:b/>
        </w:rPr>
        <w:lastRenderedPageBreak/>
        <w:t>Determinants of health and wellbeing</w:t>
      </w:r>
      <w:r>
        <w:rPr>
          <w:rStyle w:val="Heading1Char"/>
          <w:b/>
        </w:rPr>
        <w:t xml:space="preserve"> - </w:t>
      </w:r>
      <w:proofErr w:type="spellStart"/>
      <w:r w:rsidRPr="008C6CA1">
        <w:t>Ngā</w:t>
      </w:r>
      <w:proofErr w:type="spellEnd"/>
      <w:r w:rsidRPr="008C6CA1">
        <w:t xml:space="preserve"> </w:t>
      </w:r>
      <w:proofErr w:type="spellStart"/>
      <w:r w:rsidRPr="008C6CA1">
        <w:t>tūtohu</w:t>
      </w:r>
      <w:proofErr w:type="spellEnd"/>
      <w:r w:rsidRPr="008C6CA1">
        <w:t xml:space="preserve"> o </w:t>
      </w:r>
      <w:proofErr w:type="spellStart"/>
      <w:r w:rsidRPr="008C6CA1">
        <w:t>te</w:t>
      </w:r>
      <w:proofErr w:type="spellEnd"/>
      <w:r w:rsidRPr="008C6CA1">
        <w:t xml:space="preserve"> </w:t>
      </w:r>
      <w:proofErr w:type="spellStart"/>
      <w:r w:rsidRPr="008C6CA1">
        <w:t>hauora</w:t>
      </w:r>
      <w:proofErr w:type="spellEnd"/>
      <w:r w:rsidRPr="008C6CA1">
        <w:t xml:space="preserve"> me </w:t>
      </w:r>
      <w:proofErr w:type="spellStart"/>
      <w:r w:rsidRPr="008C6CA1">
        <w:t>te</w:t>
      </w:r>
      <w:proofErr w:type="spellEnd"/>
      <w:r w:rsidRPr="008C6CA1">
        <w:t xml:space="preserve"> </w:t>
      </w:r>
      <w:proofErr w:type="spellStart"/>
      <w:r w:rsidRPr="008C6CA1">
        <w:t>oranga</w:t>
      </w:r>
      <w:proofErr w:type="spellEnd"/>
      <w:r w:rsidRPr="008C6CA1">
        <w:t xml:space="preserve"> o </w:t>
      </w:r>
      <w:proofErr w:type="spellStart"/>
      <w:r w:rsidRPr="008C6CA1">
        <w:t>te</w:t>
      </w:r>
      <w:proofErr w:type="spellEnd"/>
      <w:r w:rsidRPr="008C6CA1">
        <w:t xml:space="preserve"> </w:t>
      </w:r>
      <w:proofErr w:type="spellStart"/>
      <w:r w:rsidRPr="008C6CA1">
        <w:t>tangata</w:t>
      </w:r>
      <w:bookmarkEnd w:id="186"/>
      <w:bookmarkEnd w:id="187"/>
      <w:bookmarkEnd w:id="188"/>
      <w:proofErr w:type="spellEnd"/>
    </w:p>
    <w:p w14:paraId="7E7D9643" w14:textId="0D86499A" w:rsidR="009D4BFA" w:rsidRDefault="009D4BFA" w:rsidP="009D4BFA">
      <w:pPr>
        <w:rPr>
          <w:shd w:val="clear" w:color="auto" w:fill="FFFFFF"/>
        </w:rPr>
      </w:pPr>
      <w:r w:rsidRPr="00E47714">
        <w:rPr>
          <w:shd w:val="clear" w:color="auto" w:fill="FFFFFF"/>
        </w:rPr>
        <w:t>Many factors combine to affect the health of individuals and communities. The wider determinants of health are a range of factors that influence people’s mental and physical health. Social determinants are the circumstances and wider forces in the environments in which people are born, grow up, live, learn, work and age. These can affect health, wellbeing and quality of life.</w:t>
      </w:r>
    </w:p>
    <w:p w14:paraId="73C2594E" w14:textId="77777777" w:rsidR="009D4BFA" w:rsidRPr="00E47714" w:rsidRDefault="009D4BFA" w:rsidP="009D4BFA">
      <w:pPr>
        <w:rPr>
          <w:lang w:eastAsia="en-NZ"/>
        </w:rPr>
      </w:pPr>
    </w:p>
    <w:p w14:paraId="32FA7DD4" w14:textId="77777777" w:rsidR="009D4BFA" w:rsidRPr="00E47714" w:rsidRDefault="009D4BFA" w:rsidP="009D4BFA">
      <w:pPr>
        <w:rPr>
          <w:lang w:eastAsia="en-NZ"/>
        </w:rPr>
      </w:pPr>
      <w:r w:rsidRPr="00E47714">
        <w:rPr>
          <w:lang w:eastAsia="en-NZ"/>
        </w:rPr>
        <w:t>The determinants of health</w:t>
      </w:r>
      <w:r>
        <w:rPr>
          <w:lang w:eastAsia="en-NZ"/>
        </w:rPr>
        <w:t xml:space="preserve"> we look at in this section are</w:t>
      </w:r>
      <w:r w:rsidRPr="00E47714">
        <w:rPr>
          <w:lang w:eastAsia="en-NZ"/>
        </w:rPr>
        <w:t>:</w:t>
      </w:r>
    </w:p>
    <w:p w14:paraId="4EBA00A9" w14:textId="77777777" w:rsidR="009D4BFA" w:rsidRPr="00E47714" w:rsidRDefault="009D4BFA" w:rsidP="009D4BFA">
      <w:pPr>
        <w:pStyle w:val="Bullet"/>
        <w:rPr>
          <w:lang w:eastAsia="en-NZ"/>
        </w:rPr>
      </w:pPr>
      <w:r w:rsidRPr="00E47714">
        <w:rPr>
          <w:lang w:eastAsia="en-NZ"/>
        </w:rPr>
        <w:t>the social and economic environment</w:t>
      </w:r>
    </w:p>
    <w:p w14:paraId="50B83AA5" w14:textId="77777777" w:rsidR="009D4BFA" w:rsidRPr="00E47714" w:rsidRDefault="009D4BFA" w:rsidP="009D4BFA">
      <w:pPr>
        <w:pStyle w:val="Bullet"/>
        <w:rPr>
          <w:lang w:eastAsia="en-NZ"/>
        </w:rPr>
      </w:pPr>
      <w:r w:rsidRPr="00E47714">
        <w:rPr>
          <w:lang w:eastAsia="en-NZ"/>
        </w:rPr>
        <w:t>the physical environment</w:t>
      </w:r>
    </w:p>
    <w:p w14:paraId="46AEB152" w14:textId="77777777" w:rsidR="009D4BFA" w:rsidRPr="00E47714" w:rsidRDefault="009D4BFA" w:rsidP="009D4BFA">
      <w:pPr>
        <w:pStyle w:val="Bullet"/>
        <w:rPr>
          <w:lang w:eastAsia="en-NZ"/>
        </w:rPr>
      </w:pPr>
      <w:r w:rsidRPr="00E47714">
        <w:rPr>
          <w:lang w:eastAsia="en-NZ"/>
        </w:rPr>
        <w:t xml:space="preserve">the person’s individual risk factors </w:t>
      </w:r>
    </w:p>
    <w:p w14:paraId="36D5676A" w14:textId="77777777" w:rsidR="009D4BFA" w:rsidRPr="00E47714" w:rsidRDefault="009D4BFA" w:rsidP="009D4BFA">
      <w:pPr>
        <w:pStyle w:val="Bullet"/>
        <w:rPr>
          <w:lang w:eastAsia="en-NZ"/>
        </w:rPr>
      </w:pPr>
      <w:r w:rsidRPr="00E47714">
        <w:rPr>
          <w:lang w:eastAsia="en-NZ"/>
        </w:rPr>
        <w:t xml:space="preserve">access to </w:t>
      </w:r>
      <w:r>
        <w:rPr>
          <w:lang w:eastAsia="en-NZ"/>
        </w:rPr>
        <w:t xml:space="preserve">and experience of </w:t>
      </w:r>
      <w:r w:rsidRPr="00E47714">
        <w:rPr>
          <w:lang w:eastAsia="en-NZ"/>
        </w:rPr>
        <w:t>health care</w:t>
      </w:r>
      <w:r>
        <w:rPr>
          <w:lang w:eastAsia="en-NZ"/>
        </w:rPr>
        <w:t>.</w:t>
      </w:r>
    </w:p>
    <w:p w14:paraId="63B16F03" w14:textId="77777777" w:rsidR="009D4BFA" w:rsidRDefault="009D4BFA" w:rsidP="009D4BFA">
      <w:pPr>
        <w:rPr>
          <w:lang w:eastAsia="en-NZ"/>
        </w:rPr>
      </w:pPr>
    </w:p>
    <w:p w14:paraId="33ED1211" w14:textId="28FCBC55" w:rsidR="009D4BFA" w:rsidRDefault="009D4BFA" w:rsidP="009D4BFA">
      <w:pPr>
        <w:rPr>
          <w:lang w:eastAsia="en-NZ"/>
        </w:rPr>
      </w:pPr>
      <w:r>
        <w:rPr>
          <w:lang w:eastAsia="en-NZ"/>
        </w:rPr>
        <w:t>Because t</w:t>
      </w:r>
      <w:r w:rsidRPr="00E47714">
        <w:rPr>
          <w:lang w:eastAsia="en-NZ"/>
        </w:rPr>
        <w:t xml:space="preserve">he context of people’s lives determines their health, </w:t>
      </w:r>
      <w:r>
        <w:rPr>
          <w:lang w:eastAsia="en-NZ"/>
        </w:rPr>
        <w:t xml:space="preserve">it </w:t>
      </w:r>
      <w:r w:rsidRPr="00E47714">
        <w:rPr>
          <w:lang w:eastAsia="en-NZ"/>
        </w:rPr>
        <w:t>is inappropriate</w:t>
      </w:r>
      <w:r>
        <w:rPr>
          <w:lang w:eastAsia="en-NZ"/>
        </w:rPr>
        <w:t xml:space="preserve"> to either</w:t>
      </w:r>
      <w:r w:rsidRPr="00E47714">
        <w:rPr>
          <w:lang w:eastAsia="en-NZ"/>
        </w:rPr>
        <w:t xml:space="preserve"> blam</w:t>
      </w:r>
      <w:r>
        <w:rPr>
          <w:lang w:eastAsia="en-NZ"/>
        </w:rPr>
        <w:t>e</w:t>
      </w:r>
      <w:r w:rsidRPr="00E47714">
        <w:rPr>
          <w:lang w:eastAsia="en-NZ"/>
        </w:rPr>
        <w:t xml:space="preserve"> individuals for having poor health or credit them for </w:t>
      </w:r>
      <w:r>
        <w:rPr>
          <w:lang w:eastAsia="en-NZ"/>
        </w:rPr>
        <w:t xml:space="preserve">their </w:t>
      </w:r>
      <w:r w:rsidRPr="00E47714">
        <w:rPr>
          <w:lang w:eastAsia="en-NZ"/>
        </w:rPr>
        <w:t xml:space="preserve">good health. Individuals are unlikely to be able to directly control many of the determinants of health </w:t>
      </w:r>
      <w:r>
        <w:rPr>
          <w:lang w:eastAsia="en-NZ"/>
        </w:rPr>
        <w:fldChar w:fldCharType="begin"/>
      </w:r>
      <w:r>
        <w:rPr>
          <w:lang w:eastAsia="en-NZ"/>
        </w:rPr>
        <w:instrText xml:space="preserve"> ADDIN EN.CITE &lt;EndNote&gt;&lt;Cite&gt;&lt;Author&gt;WHO&lt;/Author&gt;&lt;Year&gt;2017&lt;/Year&gt;&lt;RecNum&gt;474&lt;/RecNum&gt;&lt;DisplayText&gt;(WHO 2017)&lt;/DisplayText&gt;&lt;record&gt;&lt;rec-number&gt;474&lt;/rec-number&gt;&lt;foreign-keys&gt;&lt;key app="EN" db-id="aaepvppzs5wtfse95vsp2wahsrtvva2vvdet" timestamp="1716516459"&gt;474&lt;/key&gt;&lt;/foreign-keys&gt;&lt;ref-type name="Web Page"&gt;12&lt;/ref-type&gt;&lt;contributors&gt;&lt;authors&gt;&lt;author&gt;WHO,&lt;/author&gt;&lt;/authors&gt;&lt;/contributors&gt;&lt;titles&gt;&lt;title&gt;Determinants of health&lt;/title&gt;&lt;/titles&gt;&lt;number&gt;24 May 2024&lt;/number&gt;&lt;dates&gt;&lt;year&gt;2017&lt;/year&gt;&lt;/dates&gt;&lt;urls&gt;&lt;related-urls&gt;&lt;url&gt;who.int/news-room/questions-and-answers/item/determinants-of-health&lt;/url&gt;&lt;/related-urls&gt;&lt;/urls&gt;&lt;/record&gt;&lt;/Cite&gt;&lt;/EndNote&gt;</w:instrText>
      </w:r>
      <w:r>
        <w:rPr>
          <w:lang w:eastAsia="en-NZ"/>
        </w:rPr>
        <w:fldChar w:fldCharType="separate"/>
      </w:r>
      <w:r>
        <w:rPr>
          <w:noProof/>
          <w:lang w:eastAsia="en-NZ"/>
        </w:rPr>
        <w:t>(WHO 2017)</w:t>
      </w:r>
      <w:r>
        <w:rPr>
          <w:lang w:eastAsia="en-NZ"/>
        </w:rPr>
        <w:fldChar w:fldCharType="end"/>
      </w:r>
      <w:r w:rsidRPr="00E47714">
        <w:rPr>
          <w:lang w:eastAsia="en-NZ"/>
        </w:rPr>
        <w:t>. </w:t>
      </w:r>
    </w:p>
    <w:p w14:paraId="02D1C520" w14:textId="77777777" w:rsidR="009D4BFA" w:rsidRPr="00E47714" w:rsidRDefault="009D4BFA" w:rsidP="009D4BFA">
      <w:pPr>
        <w:rPr>
          <w:lang w:eastAsia="en-NZ"/>
        </w:rPr>
      </w:pPr>
    </w:p>
    <w:p w14:paraId="28DAF7BC" w14:textId="77777777" w:rsidR="009D4BFA" w:rsidRPr="00E47714" w:rsidRDefault="009D4BFA" w:rsidP="009D4BFA">
      <w:pPr>
        <w:rPr>
          <w:rFonts w:cs="Segoe UI"/>
        </w:rPr>
      </w:pPr>
      <w:r w:rsidRPr="00E47714">
        <w:t>Commercial determinants of health are commercial activities that shape the physical and social environments – both positively and negatively. For example, compan</w:t>
      </w:r>
      <w:r>
        <w:t>ies have an impact in the</w:t>
      </w:r>
      <w:r w:rsidRPr="00E47714">
        <w:t xml:space="preserve"> choices </w:t>
      </w:r>
      <w:r>
        <w:t xml:space="preserve">they make about </w:t>
      </w:r>
      <w:r w:rsidRPr="00E47714">
        <w:t>products such as breast-milk substitutes, ultra-processed foods, tobacco, sugar-sweetened beverages</w:t>
      </w:r>
      <w:r>
        <w:t>,</w:t>
      </w:r>
      <w:r w:rsidRPr="00E47714">
        <w:t xml:space="preserve"> and alcohol</w:t>
      </w:r>
      <w:r>
        <w:t xml:space="preserve">. Their decisions about </w:t>
      </w:r>
      <w:r w:rsidRPr="00E47714">
        <w:t>produc</w:t>
      </w:r>
      <w:r>
        <w:t>ing</w:t>
      </w:r>
      <w:r w:rsidRPr="00E47714">
        <w:t>,</w:t>
      </w:r>
      <w:r>
        <w:t xml:space="preserve"> setting</w:t>
      </w:r>
      <w:r w:rsidRPr="00E47714">
        <w:t xml:space="preserve"> price</w:t>
      </w:r>
      <w:r>
        <w:t>s,</w:t>
      </w:r>
      <w:r w:rsidRPr="00E47714">
        <w:t xml:space="preserve"> and target</w:t>
      </w:r>
      <w:r>
        <w:t>ing</w:t>
      </w:r>
      <w:r w:rsidRPr="00E47714">
        <w:t xml:space="preserve"> marketing </w:t>
      </w:r>
      <w:r>
        <w:t>for these products</w:t>
      </w:r>
      <w:r w:rsidRPr="00E47714">
        <w:t xml:space="preserve"> may contribute to</w:t>
      </w:r>
      <w:r>
        <w:t xml:space="preserve"> or counteract</w:t>
      </w:r>
      <w:r w:rsidRPr="00E47714">
        <w:t xml:space="preserve"> the development of diseases such as cardiovascular disease, type 2 diabetes</w:t>
      </w:r>
      <w:r>
        <w:t>, and</w:t>
      </w:r>
      <w:r w:rsidRPr="00E47714">
        <w:t xml:space="preserve"> certain cancers, as well as hypertension and obesity </w:t>
      </w:r>
      <w:r>
        <w:fldChar w:fldCharType="begin"/>
      </w:r>
      <w:r>
        <w:instrText xml:space="preserve"> ADDIN EN.CITE &lt;EndNote&gt;&lt;Cite&gt;&lt;Author&gt;WHO&lt;/Author&gt;&lt;Year&gt;2023&lt;/Year&gt;&lt;RecNum&gt;475&lt;/RecNum&gt;&lt;DisplayText&gt;(WHO 2023a)&lt;/DisplayText&gt;&lt;record&gt;&lt;rec-number&gt;475&lt;/rec-number&gt;&lt;foreign-keys&gt;&lt;key app="EN" db-id="aaepvppzs5wtfse95vsp2wahsrtvva2vvdet" timestamp="1716516590"&gt;475&lt;/key&gt;&lt;/foreign-keys&gt;&lt;ref-type name="Web Page"&gt;12&lt;/ref-type&gt;&lt;contributors&gt;&lt;authors&gt;&lt;author&gt;WHO&lt;/author&gt;&lt;/authors&gt;&lt;/contributors&gt;&lt;titles&gt;&lt;title&gt;Commercial determinants of health&lt;/title&gt;&lt;/titles&gt;&lt;number&gt;24 May 2024&lt;/number&gt;&lt;dates&gt;&lt;year&gt;2023&lt;/year&gt;&lt;/dates&gt;&lt;urls&gt;&lt;related-urls&gt;&lt;url&gt;who.int/news-room/fact-sheets/detail/commercial-determinants-of-health&lt;/url&gt;&lt;/related-urls&gt;&lt;/urls&gt;&lt;/record&gt;&lt;/Cite&gt;&lt;/EndNote&gt;</w:instrText>
      </w:r>
      <w:r>
        <w:fldChar w:fldCharType="separate"/>
      </w:r>
      <w:r>
        <w:rPr>
          <w:noProof/>
        </w:rPr>
        <w:t>(WHO 2023a)</w:t>
      </w:r>
      <w:r>
        <w:fldChar w:fldCharType="end"/>
      </w:r>
      <w:r w:rsidRPr="00E47714">
        <w:t>.</w:t>
      </w:r>
    </w:p>
    <w:p w14:paraId="735EADCD" w14:textId="77777777" w:rsidR="009D4BFA" w:rsidRPr="00E47714" w:rsidRDefault="009D4BFA" w:rsidP="009D4BFA">
      <w:pPr>
        <w:pStyle w:val="Heading2"/>
      </w:pPr>
      <w:bookmarkStart w:id="189" w:name="_Toc171603278"/>
      <w:bookmarkStart w:id="190" w:name="_Toc171944538"/>
      <w:bookmarkStart w:id="191" w:name="_Toc172104678"/>
      <w:r w:rsidRPr="00E47714">
        <w:t>Social and economic</w:t>
      </w:r>
      <w:r>
        <w:t xml:space="preserve"> environment</w:t>
      </w:r>
      <w:bookmarkEnd w:id="189"/>
      <w:bookmarkEnd w:id="190"/>
      <w:bookmarkEnd w:id="191"/>
    </w:p>
    <w:p w14:paraId="123E8EC2" w14:textId="77777777" w:rsidR="009D4BFA" w:rsidRPr="00E47714" w:rsidRDefault="009D4BFA" w:rsidP="009D4BFA">
      <w:r w:rsidRPr="00E47714">
        <w:t xml:space="preserve">The social </w:t>
      </w:r>
      <w:r>
        <w:t xml:space="preserve">and economic </w:t>
      </w:r>
      <w:r w:rsidRPr="00E47714">
        <w:t xml:space="preserve">determinants of health are non-medical factors that influence health outcomes. These have an important influence on health inequities. </w:t>
      </w:r>
      <w:r>
        <w:t>No matter what a country’s</w:t>
      </w:r>
      <w:r w:rsidRPr="00E47714">
        <w:t xml:space="preserve"> level of income</w:t>
      </w:r>
      <w:r>
        <w:t xml:space="preserve"> is</w:t>
      </w:r>
      <w:r w:rsidRPr="00E47714">
        <w:t xml:space="preserve">, health and illness follow </w:t>
      </w:r>
      <w:r>
        <w:t>the same</w:t>
      </w:r>
      <w:r w:rsidRPr="00E47714">
        <w:t xml:space="preserve"> social gradient: the lower </w:t>
      </w:r>
      <w:r>
        <w:t>someone’s</w:t>
      </w:r>
      <w:r w:rsidRPr="00E47714">
        <w:t xml:space="preserve"> socioeconomic position</w:t>
      </w:r>
      <w:r>
        <w:t xml:space="preserve"> in the country is</w:t>
      </w:r>
      <w:r w:rsidRPr="00E47714">
        <w:t>, the worse the</w:t>
      </w:r>
      <w:r>
        <w:t>ir</w:t>
      </w:r>
      <w:r w:rsidRPr="00E47714">
        <w:t xml:space="preserve"> health </w:t>
      </w:r>
      <w:r>
        <w:t xml:space="preserve">is </w:t>
      </w:r>
      <w:r>
        <w:fldChar w:fldCharType="begin"/>
      </w:r>
      <w:r>
        <w:instrText xml:space="preserve"> ADDIN EN.CITE &lt;EndNote&gt;&lt;Cite&gt;&lt;Author&gt;WHO&lt;/Author&gt;&lt;Year&gt;(nd)&lt;/Year&gt;&lt;RecNum&gt;476&lt;/RecNum&gt;&lt;DisplayText&gt;(WHO (nd)-e)&lt;/DisplayText&gt;&lt;record&gt;&lt;rec-number&gt;476&lt;/rec-number&gt;&lt;foreign-keys&gt;&lt;key app="EN" db-id="aaepvppzs5wtfse95vsp2wahsrtvva2vvdet" timestamp="1716516692"&gt;476&lt;/key&gt;&lt;/foreign-keys&gt;&lt;ref-type name="Web Page"&gt;12&lt;/ref-type&gt;&lt;contributors&gt;&lt;authors&gt;&lt;author&gt;WHO&lt;/author&gt;&lt;/authors&gt;&lt;/contributors&gt;&lt;titles&gt;&lt;title&gt;Social determinants of health&lt;/title&gt;&lt;/titles&gt;&lt;number&gt;24 May 2024&lt;/number&gt;&lt;dates&gt;&lt;year&gt;(nd)&lt;/year&gt;&lt;/dates&gt;&lt;urls&gt;&lt;related-urls&gt;&lt;url&gt;who.int/health-topics/social-determinants-of-health&lt;/url&gt;&lt;/related-urls&gt;&lt;/urls&gt;&lt;/record&gt;&lt;/Cite&gt;&lt;/EndNote&gt;</w:instrText>
      </w:r>
      <w:r>
        <w:fldChar w:fldCharType="separate"/>
      </w:r>
      <w:r>
        <w:rPr>
          <w:noProof/>
        </w:rPr>
        <w:t>(WHO (nd)-e)</w:t>
      </w:r>
      <w:r>
        <w:fldChar w:fldCharType="end"/>
      </w:r>
      <w:r w:rsidRPr="00E47714">
        <w:rPr>
          <w:color w:val="3C4245"/>
          <w:shd w:val="clear" w:color="auto" w:fill="FFFFFF"/>
        </w:rPr>
        <w:t xml:space="preserve">. </w:t>
      </w:r>
      <w:r w:rsidRPr="00E47714">
        <w:t>Unacceptable gaps persist in how long people can expect to be healthy and</w:t>
      </w:r>
      <w:r>
        <w:t xml:space="preserve"> to</w:t>
      </w:r>
      <w:r w:rsidRPr="00E47714">
        <w:t xml:space="preserve"> live, according to</w:t>
      </w:r>
      <w:r w:rsidRPr="00492615">
        <w:t xml:space="preserve"> </w:t>
      </w:r>
      <w:r w:rsidRPr="00E47714">
        <w:t>characteristics</w:t>
      </w:r>
      <w:r>
        <w:t xml:space="preserve"> such as</w:t>
      </w:r>
      <w:r w:rsidRPr="00E47714">
        <w:t xml:space="preserve"> where they </w:t>
      </w:r>
      <w:r>
        <w:t>live</w:t>
      </w:r>
      <w:r w:rsidRPr="00E47714">
        <w:t xml:space="preserve">, how much money they </w:t>
      </w:r>
      <w:r w:rsidRPr="00E47714">
        <w:lastRenderedPageBreak/>
        <w:t>have, their education level, their skin colour, their ethnic group</w:t>
      </w:r>
      <w:r>
        <w:t xml:space="preserve"> and</w:t>
      </w:r>
      <w:r w:rsidRPr="00E47714">
        <w:t xml:space="preserve"> whether they have a disability </w:t>
      </w:r>
      <w:r>
        <w:fldChar w:fldCharType="begin"/>
      </w:r>
      <w:r>
        <w:instrText xml:space="preserve"> ADDIN EN.CITE &lt;EndNote&gt;&lt;Cite&gt;&lt;Author&gt;WHO&lt;/Author&gt;&lt;Year&gt;2024&lt;/Year&gt;&lt;RecNum&gt;477&lt;/RecNum&gt;&lt;DisplayText&gt;(WHO 2024)&lt;/DisplayText&gt;&lt;record&gt;&lt;rec-number&gt;477&lt;/rec-number&gt;&lt;foreign-keys&gt;&lt;key app="EN" db-id="aaepvppzs5wtfse95vsp2wahsrtvva2vvdet" timestamp="1716516899"&gt;477&lt;/key&gt;&lt;/foreign-keys&gt;&lt;ref-type name="Generic"&gt;13&lt;/ref-type&gt;&lt;contributors&gt;&lt;authors&gt;&lt;author&gt;WHO&lt;/author&gt;&lt;/authors&gt;&lt;/contributors&gt;&lt;titles&gt;&lt;title&gt;Operational framework for monitoring social determinants of health equity&lt;/title&gt;&lt;/titles&gt;&lt;dates&gt;&lt;year&gt;2024&lt;/year&gt;&lt;/dates&gt;&lt;pub-location&gt;Geneva&lt;/pub-location&gt;&lt;publisher&gt;World Health Organization&lt;/publisher&gt;&lt;urls&gt;&lt;related-urls&gt;&lt;url&gt;https://www.who.int/publications/i/item/9789240088320&lt;/url&gt;&lt;/related-urls&gt;&lt;/urls&gt;&lt;/record&gt;&lt;/Cite&gt;&lt;/EndNote&gt;</w:instrText>
      </w:r>
      <w:r>
        <w:fldChar w:fldCharType="separate"/>
      </w:r>
      <w:r>
        <w:rPr>
          <w:noProof/>
        </w:rPr>
        <w:t>(WHO 2024)</w:t>
      </w:r>
      <w:r>
        <w:fldChar w:fldCharType="end"/>
      </w:r>
      <w:r w:rsidRPr="00E47714">
        <w:t xml:space="preserve">. </w:t>
      </w:r>
    </w:p>
    <w:p w14:paraId="04F75091" w14:textId="77777777" w:rsidR="009D4BFA" w:rsidRPr="00E47714" w:rsidRDefault="009D4BFA" w:rsidP="009D4BFA">
      <w:pPr>
        <w:pStyle w:val="Heading3"/>
      </w:pPr>
      <w:r w:rsidRPr="00E47714">
        <w:t xml:space="preserve">Racism </w:t>
      </w:r>
    </w:p>
    <w:p w14:paraId="1EDA84F9" w14:textId="77777777" w:rsidR="009D4BFA" w:rsidRPr="00E47714" w:rsidRDefault="009D4BFA" w:rsidP="009D4BFA">
      <w:r w:rsidRPr="00E47714">
        <w:t xml:space="preserve">Racism is an important determinant of health that contributes to health inequities </w:t>
      </w:r>
      <w:r>
        <w:fldChar w:fldCharType="begin"/>
      </w:r>
      <w:r>
        <w:instrText xml:space="preserve"> ADDIN EN.CITE &lt;EndNote&gt;&lt;Cite&gt;&lt;Author&gt;Ministry of Health &lt;/Author&gt;&lt;Year&gt;2023&lt;/Year&gt;&lt;RecNum&gt;478&lt;/RecNum&gt;&lt;DisplayText&gt;(Ministry of Health 2023h)&lt;/DisplayText&gt;&lt;record&gt;&lt;rec-number&gt;478&lt;/rec-number&gt;&lt;foreign-keys&gt;&lt;key app="EN" db-id="aaepvppzs5wtfse95vsp2wahsrtvva2vvdet" timestamp="1716517066"&gt;478&lt;/key&gt;&lt;/foreign-keys&gt;&lt;ref-type name="Government Document"&gt;46&lt;/ref-type&gt;&lt;contributors&gt;&lt;authors&gt;&lt;author&gt;Ministry of Health ,&lt;/author&gt;&lt;/authors&gt;&lt;/contributors&gt;&lt;titles&gt;&lt;title&gt;Racial Discrimination 2011/12, 2016/17 and 2020/21: New Zealand Health Survey&lt;/title&gt;&lt;/titles&gt;&lt;dates&gt;&lt;year&gt;2023&lt;/year&gt;&lt;/dates&gt;&lt;pub-location&gt;Wellington&lt;/pub-location&gt;&lt;publisher&gt;Ministry of Health&lt;/publisher&gt;&lt;urls&gt;&lt;related-urls&gt;&lt;url&gt;https://www.health.govt.nz/system/files/documents/publications/racial_discrimination_201112_201617_and_202021.pdf&lt;/url&gt;&lt;/related-urls&gt;&lt;/urls&gt;&lt;/record&gt;&lt;/Cite&gt;&lt;/EndNote&gt;</w:instrText>
      </w:r>
      <w:r>
        <w:fldChar w:fldCharType="separate"/>
      </w:r>
      <w:r>
        <w:rPr>
          <w:noProof/>
        </w:rPr>
        <w:t>(Ministry of Health 2023h)</w:t>
      </w:r>
      <w:r>
        <w:fldChar w:fldCharType="end"/>
      </w:r>
      <w:r w:rsidRPr="00E47714">
        <w:t xml:space="preserve">. A report </w:t>
      </w:r>
      <w:r>
        <w:t>from</w:t>
      </w:r>
      <w:r w:rsidRPr="00E47714">
        <w:t xml:space="preserve"> the Ministry of Health in 2023 (</w:t>
      </w:r>
      <w:r w:rsidRPr="00E47714">
        <w:rPr>
          <w:i/>
        </w:rPr>
        <w:t xml:space="preserve">Racial Discrimination 2011/12, 2016/17 and 2020/21: New Zealand Health Survey) </w:t>
      </w:r>
      <w:r w:rsidRPr="00E47714">
        <w:t xml:space="preserve">presents key results from a racial discrimination module included in the Health Survey in 2011/12, 2016/17 and 2020/21. </w:t>
      </w:r>
    </w:p>
    <w:p w14:paraId="402C0412" w14:textId="77777777" w:rsidR="009D4BFA" w:rsidRPr="00E47714" w:rsidRDefault="009D4BFA" w:rsidP="009D4BFA">
      <w:pPr>
        <w:pStyle w:val="Bullet"/>
        <w:rPr>
          <w:iCs/>
        </w:rPr>
      </w:pPr>
      <w:r w:rsidRPr="00E47714">
        <w:t xml:space="preserve">Māori, Pacific and Asian adults are more likely than </w:t>
      </w:r>
      <w:bookmarkStart w:id="192" w:name="_Hlk132978420"/>
      <w:r w:rsidRPr="00E47714">
        <w:t xml:space="preserve">non-Māori, non-Pacific, </w:t>
      </w:r>
      <w:proofErr w:type="spellStart"/>
      <w:r w:rsidRPr="00E47714">
        <w:t>non-Asian</w:t>
      </w:r>
      <w:proofErr w:type="spellEnd"/>
      <w:r w:rsidRPr="00E47714">
        <w:t xml:space="preserve"> </w:t>
      </w:r>
      <w:bookmarkEnd w:id="192"/>
      <w:r w:rsidRPr="00E47714">
        <w:t>(non-MPA) adults to experience racial discrimination.</w:t>
      </w:r>
    </w:p>
    <w:p w14:paraId="73A5088B" w14:textId="77777777" w:rsidR="009D4BFA" w:rsidRPr="00E47714" w:rsidRDefault="009D4BFA" w:rsidP="009D4BFA">
      <w:pPr>
        <w:pStyle w:val="Bullet"/>
        <w:rPr>
          <w:iCs/>
        </w:rPr>
      </w:pPr>
      <w:r w:rsidRPr="00E47714">
        <w:t xml:space="preserve">In the 12 months before the 2020/21 survey, 13.8% of Māori, 9.5% of Pacific, 12.3% of Asian and 4.8% of non-MPA adults experienced racial discrimination. </w:t>
      </w:r>
    </w:p>
    <w:p w14:paraId="1D45ACD1" w14:textId="77777777" w:rsidR="009D4BFA" w:rsidRPr="00E47714" w:rsidRDefault="009D4BFA" w:rsidP="009D4BFA">
      <w:pPr>
        <w:pStyle w:val="Bullet"/>
        <w:rPr>
          <w:iCs/>
        </w:rPr>
      </w:pPr>
      <w:r w:rsidRPr="00E47714">
        <w:t xml:space="preserve">Verbal abuse was the most common type of racial discrimination </w:t>
      </w:r>
      <w:r>
        <w:t xml:space="preserve">people </w:t>
      </w:r>
      <w:r w:rsidRPr="00E47714">
        <w:t xml:space="preserve">experienced, followed by unfair treatment by a health professional. </w:t>
      </w:r>
    </w:p>
    <w:p w14:paraId="15038C32" w14:textId="77777777" w:rsidR="009D4BFA" w:rsidRPr="00E47714" w:rsidRDefault="009D4BFA" w:rsidP="009D4BFA">
      <w:pPr>
        <w:pStyle w:val="Bullet"/>
        <w:rPr>
          <w:iCs/>
        </w:rPr>
      </w:pPr>
      <w:r w:rsidRPr="00E47714">
        <w:t xml:space="preserve">Racial discrimination was associated with higher rates of psychological distress, lower rates of good/very good/excellent self-rated health and higher rates of unmet need for primary health care </w:t>
      </w:r>
      <w:r>
        <w:fldChar w:fldCharType="begin"/>
      </w:r>
      <w:r>
        <w:instrText xml:space="preserve"> ADDIN EN.CITE &lt;EndNote&gt;&lt;Cite&gt;&lt;Author&gt;Ministry of Health &lt;/Author&gt;&lt;Year&gt;2023&lt;/Year&gt;&lt;RecNum&gt;478&lt;/RecNum&gt;&lt;DisplayText&gt;(Ministry of Health 2023h)&lt;/DisplayText&gt;&lt;record&gt;&lt;rec-number&gt;478&lt;/rec-number&gt;&lt;foreign-keys&gt;&lt;key app="EN" db-id="aaepvppzs5wtfse95vsp2wahsrtvva2vvdet" timestamp="1716517066"&gt;478&lt;/key&gt;&lt;/foreign-keys&gt;&lt;ref-type name="Government Document"&gt;46&lt;/ref-type&gt;&lt;contributors&gt;&lt;authors&gt;&lt;author&gt;Ministry of Health ,&lt;/author&gt;&lt;/authors&gt;&lt;/contributors&gt;&lt;titles&gt;&lt;title&gt;Racial Discrimination 2011/12, 2016/17 and 2020/21: New Zealand Health Survey&lt;/title&gt;&lt;/titles&gt;&lt;dates&gt;&lt;year&gt;2023&lt;/year&gt;&lt;/dates&gt;&lt;pub-location&gt;Wellington&lt;/pub-location&gt;&lt;publisher&gt;Ministry of Health&lt;/publisher&gt;&lt;urls&gt;&lt;related-urls&gt;&lt;url&gt;https://www.health.govt.nz/system/files/documents/publications/racial_discrimination_201112_201617_and_202021.pdf&lt;/url&gt;&lt;/related-urls&gt;&lt;/urls&gt;&lt;/record&gt;&lt;/Cite&gt;&lt;/EndNote&gt;</w:instrText>
      </w:r>
      <w:r>
        <w:fldChar w:fldCharType="separate"/>
      </w:r>
      <w:r>
        <w:rPr>
          <w:noProof/>
        </w:rPr>
        <w:t>(Ministry of Health 2023h)</w:t>
      </w:r>
      <w:r>
        <w:fldChar w:fldCharType="end"/>
      </w:r>
      <w:r w:rsidRPr="00E47714">
        <w:t>.</w:t>
      </w:r>
      <w:r w:rsidRPr="00E47714">
        <w:rPr>
          <w:rStyle w:val="FootnoteReference"/>
          <w:rFonts w:cs="Segoe UI"/>
        </w:rPr>
        <w:t xml:space="preserve"> </w:t>
      </w:r>
    </w:p>
    <w:p w14:paraId="44260B78" w14:textId="77777777" w:rsidR="009D4BFA" w:rsidRPr="00E47714" w:rsidRDefault="009D4BFA" w:rsidP="009D4BFA">
      <w:pPr>
        <w:pStyle w:val="Heading3"/>
      </w:pPr>
      <w:r w:rsidRPr="00E47714">
        <w:t>Poverty</w:t>
      </w:r>
    </w:p>
    <w:p w14:paraId="0292C201" w14:textId="33507FEB" w:rsidR="009D4BFA" w:rsidRDefault="009D4BFA" w:rsidP="009D4BFA">
      <w:r w:rsidRPr="00E47714">
        <w:t xml:space="preserve">Poverty is a major cause of ill health and </w:t>
      </w:r>
      <w:r>
        <w:t xml:space="preserve">a </w:t>
      </w:r>
      <w:r w:rsidRPr="00E47714">
        <w:t>barrier to accessing health care. This relationship is</w:t>
      </w:r>
      <w:r>
        <w:t xml:space="preserve"> in large part</w:t>
      </w:r>
      <w:r w:rsidRPr="00E47714">
        <w:t xml:space="preserve"> financial: </w:t>
      </w:r>
      <w:r>
        <w:t>people cannot</w:t>
      </w:r>
      <w:r w:rsidRPr="00E47714">
        <w:t xml:space="preserve"> afford </w:t>
      </w:r>
      <w:r>
        <w:t>what they need</w:t>
      </w:r>
      <w:r w:rsidRPr="00E47714">
        <w:t xml:space="preserve"> for good health, including enough </w:t>
      </w:r>
      <w:r>
        <w:t>good-</w:t>
      </w:r>
      <w:r w:rsidRPr="00E47714">
        <w:t>quality food and health care. But other factors related to poverty</w:t>
      </w:r>
      <w:r>
        <w:t xml:space="preserve"> also contribute</w:t>
      </w:r>
      <w:r w:rsidRPr="00E47714">
        <w:t xml:space="preserve">, such as lack of information or lack of voice to access health and social services </w:t>
      </w:r>
      <w:r>
        <w:fldChar w:fldCharType="begin"/>
      </w:r>
      <w:r>
        <w:instrText xml:space="preserve"> ADDIN EN.CITE &lt;EndNote&gt;&lt;Cite&gt;&lt;Author&gt;World Bank &lt;/Author&gt;&lt;Year&gt;2014&lt;/Year&gt;&lt;RecNum&gt;479&lt;/RecNum&gt;&lt;DisplayText&gt;(World Bank 2014)&lt;/DisplayText&gt;&lt;record&gt;&lt;rec-number&gt;479&lt;/rec-number&gt;&lt;foreign-keys&gt;&lt;key app="EN" db-id="aaepvppzs5wtfse95vsp2wahsrtvva2vvdet" timestamp="1716517159"&gt;479&lt;/key&gt;&lt;/foreign-keys&gt;&lt;ref-type name="Web Page"&gt;12&lt;/ref-type&gt;&lt;contributors&gt;&lt;authors&gt;&lt;author&gt;World Bank ,&lt;/author&gt;&lt;/authors&gt;&lt;/contributors&gt;&lt;titles&gt;&lt;title&gt;Poverty and Health&lt;/title&gt;&lt;/titles&gt;&lt;number&gt;24 May 2024&lt;/number&gt;&lt;dates&gt;&lt;year&gt;2014&lt;/year&gt;&lt;/dates&gt;&lt;urls&gt;&lt;related-urls&gt;&lt;url&gt;worldbank.org/en/topic/health/brief/poverty-health&lt;/url&gt;&lt;/related-urls&gt;&lt;/urls&gt;&lt;/record&gt;&lt;/Cite&gt;&lt;/EndNote&gt;</w:instrText>
      </w:r>
      <w:r>
        <w:fldChar w:fldCharType="separate"/>
      </w:r>
      <w:r>
        <w:rPr>
          <w:noProof/>
        </w:rPr>
        <w:t>(World Bank 2014)</w:t>
      </w:r>
      <w:r>
        <w:fldChar w:fldCharType="end"/>
      </w:r>
      <w:r w:rsidRPr="00E47714">
        <w:t xml:space="preserve">. </w:t>
      </w:r>
    </w:p>
    <w:p w14:paraId="32482886" w14:textId="77777777" w:rsidR="009D4BFA" w:rsidRPr="00E47714" w:rsidRDefault="009D4BFA" w:rsidP="009D4BFA"/>
    <w:p w14:paraId="532957CF" w14:textId="77777777" w:rsidR="009D4BFA" w:rsidRPr="00E47714" w:rsidRDefault="009D4BFA" w:rsidP="009D4BFA">
      <w:r w:rsidRPr="00E47714">
        <w:t xml:space="preserve">Poverty has been described as a carcinogen: something that causes cancer. </w:t>
      </w:r>
      <w:r>
        <w:t>It</w:t>
      </w:r>
      <w:r w:rsidRPr="00E47714">
        <w:t xml:space="preserve"> is identified as a barrier to accessing early diagnosis and best-practice treatment for cancers, leading to inequities in cancer survival between the poor and the </w:t>
      </w:r>
      <w:r>
        <w:t>rich</w:t>
      </w:r>
      <w:r w:rsidRPr="00E47714">
        <w:t xml:space="preserve">. </w:t>
      </w:r>
      <w:r>
        <w:t>A person’s chance of surviving c</w:t>
      </w:r>
      <w:r w:rsidRPr="00E47714">
        <w:t xml:space="preserve">ancer </w:t>
      </w:r>
      <w:r>
        <w:t xml:space="preserve">reduces </w:t>
      </w:r>
      <w:r w:rsidRPr="00E47714">
        <w:t xml:space="preserve">as </w:t>
      </w:r>
      <w:r>
        <w:t xml:space="preserve">their level of </w:t>
      </w:r>
      <w:r w:rsidRPr="00E47714">
        <w:t>deprivation increases</w:t>
      </w:r>
      <w:r>
        <w:t xml:space="preserve"> </w:t>
      </w:r>
      <w:r>
        <w:fldChar w:fldCharType="begin"/>
      </w:r>
      <w:r>
        <w:instrText xml:space="preserve"> ADDIN EN.CITE &lt;EndNote&gt;&lt;Cite&gt;&lt;Author&gt;Te Aho o Te Kahu &lt;/Author&gt;&lt;Year&gt;2021&lt;/Year&gt;&lt;RecNum&gt;428&lt;/RecNum&gt;&lt;DisplayText&gt;(Te Aho o Te Kahu 2021)&lt;/DisplayText&gt;&lt;record&gt;&lt;rec-number&gt;428&lt;/rec-number&gt;&lt;foreign-keys&gt;&lt;key app="EN" db-id="aaepvppzs5wtfse95vsp2wahsrtvva2vvdet" timestamp="1716422861"&gt;428&lt;/key&gt;&lt;/foreign-keys&gt;&lt;ref-type name="Generic"&gt;13&lt;/ref-type&gt;&lt;contributors&gt;&lt;authors&gt;&lt;author&gt;Te Aho o Te Kahu ,&lt;/author&gt;&lt;/authors&gt;&lt;/contributors&gt;&lt;titles&gt;&lt;title&gt;&lt;style face="normal" font="default" size="100%"&gt;He P&lt;/style&gt;&lt;style face="normal" font="default" charset="238" size="100%"&gt;ūrongo Mate Pukupuku o Aotearoa 2020: The State of Cancer in New Zealand 2020.&lt;/style&gt;&lt;/title&gt;&lt;/titles&gt;&lt;dates&gt;&lt;year&gt;2021&lt;/year&gt;&lt;/dates&gt;&lt;pub-location&gt;Wellington&lt;/pub-location&gt;&lt;publisher&gt;Te Aho o Te Kahu – Cancer Control Agency&lt;/publisher&gt;&lt;urls&gt;&lt;related-urls&gt;&lt;url&gt;https://teaho.govt.nz/static/reports/state-of-cancer-in-new-zealand-2020%20(revised%20March%202021).pdf&lt;/url&gt;&lt;/related-urls&gt;&lt;/urls&gt;&lt;/record&gt;&lt;/Cite&gt;&lt;/EndNote&gt;</w:instrText>
      </w:r>
      <w:r>
        <w:fldChar w:fldCharType="separate"/>
      </w:r>
      <w:r>
        <w:rPr>
          <w:noProof/>
        </w:rPr>
        <w:t>(Te Aho o Te Kahu 2021)</w:t>
      </w:r>
      <w:r>
        <w:fldChar w:fldCharType="end"/>
      </w:r>
      <w:r w:rsidRPr="00E47714">
        <w:t>.</w:t>
      </w:r>
    </w:p>
    <w:p w14:paraId="741A89EC" w14:textId="77777777" w:rsidR="009D4BFA" w:rsidRPr="00E47714" w:rsidRDefault="009D4BFA" w:rsidP="009D4BFA">
      <w:pPr>
        <w:pStyle w:val="Heading4"/>
      </w:pPr>
      <w:r w:rsidRPr="00E47714">
        <w:t>Child poverty</w:t>
      </w:r>
    </w:p>
    <w:p w14:paraId="392A1EE4" w14:textId="77777777" w:rsidR="009D4BFA" w:rsidRPr="00E47714" w:rsidRDefault="009D4BFA" w:rsidP="009D4BFA">
      <w:r w:rsidRPr="00E47714">
        <w:t xml:space="preserve">Stats NZ measures child poverty rates in Aotearoa New Zealand </w:t>
      </w:r>
      <w:r>
        <w:fldChar w:fldCharType="begin"/>
      </w:r>
      <w:r>
        <w:instrText xml:space="preserve"> ADDIN EN.CITE &lt;EndNote&gt;&lt;Cite&gt;&lt;Author&gt;Stats NZ &lt;/Author&gt;&lt;Year&gt;2024&lt;/Year&gt;&lt;RecNum&gt;480&lt;/RecNum&gt;&lt;DisplayText&gt;(Stats NZ 2024g)&lt;/DisplayText&gt;&lt;record&gt;&lt;rec-number&gt;480&lt;/rec-number&gt;&lt;foreign-keys&gt;&lt;key app="EN" db-id="aaepvppzs5wtfse95vsp2wahsrtvva2vvdet" timestamp="1716517378"&gt;480&lt;/key&gt;&lt;/foreign-keys&gt;&lt;ref-type name="Web Page"&gt;12&lt;/ref-type&gt;&lt;contributors&gt;&lt;authors&gt;&lt;author&gt;Stats NZ ,&lt;/author&gt;&lt;/authors&gt;&lt;/contributors&gt;&lt;titles&gt;&lt;title&gt;How we measure child poverty&lt;/title&gt;&lt;/titles&gt;&lt;number&gt;24 May 2024&lt;/number&gt;&lt;dates&gt;&lt;year&gt;2024&lt;/year&gt;&lt;/dates&gt;&lt;urls&gt;&lt;related-urls&gt;&lt;url&gt;stats.govt.nz/infographics/how-we-measure-child-poverty&lt;/url&gt;&lt;/related-urls&gt;&lt;/urls&gt;&lt;/record&gt;&lt;/Cite&gt;&lt;/EndNote&gt;</w:instrText>
      </w:r>
      <w:r>
        <w:fldChar w:fldCharType="separate"/>
      </w:r>
      <w:r>
        <w:rPr>
          <w:noProof/>
        </w:rPr>
        <w:t>(Stats NZ 2024g)</w:t>
      </w:r>
      <w:r>
        <w:fldChar w:fldCharType="end"/>
      </w:r>
      <w:r w:rsidRPr="00E47714">
        <w:t xml:space="preserve">. For the year ended June 2023, </w:t>
      </w:r>
      <w:r>
        <w:t>three</w:t>
      </w:r>
      <w:r w:rsidRPr="00E47714">
        <w:t xml:space="preserve"> of the </w:t>
      </w:r>
      <w:r>
        <w:t>nine</w:t>
      </w:r>
      <w:r w:rsidRPr="00E47714">
        <w:t xml:space="preserve"> measures of child poverty increased compared with the previous year.</w:t>
      </w:r>
    </w:p>
    <w:p w14:paraId="1FEFE9EC" w14:textId="77777777" w:rsidR="009D4BFA" w:rsidRPr="00E70336" w:rsidRDefault="009D4BFA" w:rsidP="00E70336">
      <w:pPr>
        <w:pStyle w:val="Bullet"/>
      </w:pPr>
      <w:r w:rsidRPr="00E70336">
        <w:t xml:space="preserve">One in eight children (12.6%) lived in low-income households that had less than 50% of the median equivalised disposable household income before deducting housing costs (measure (a) of the Child Poverty Reduction Act 2018). </w:t>
      </w:r>
    </w:p>
    <w:p w14:paraId="51EDB516" w14:textId="77777777" w:rsidR="009D4BFA" w:rsidRPr="00E70336" w:rsidRDefault="009D4BFA" w:rsidP="00E70336">
      <w:pPr>
        <w:pStyle w:val="Bullet"/>
      </w:pPr>
      <w:r w:rsidRPr="00E70336">
        <w:t>One in six children (17.5%) lived in low-income households that had an after-housing-costs income that was less than 50% of the baseline year’s median after-housing-costs equivalised disposable household income (measure (b)).</w:t>
      </w:r>
    </w:p>
    <w:p w14:paraId="2748E93B" w14:textId="77777777" w:rsidR="009D4BFA" w:rsidRPr="00E70336" w:rsidRDefault="009D4BFA" w:rsidP="00E70336">
      <w:pPr>
        <w:pStyle w:val="Bullet"/>
      </w:pPr>
      <w:r w:rsidRPr="00E70336">
        <w:t>One in eight children (12.5%) lived in households experiencing material hardship.</w:t>
      </w:r>
    </w:p>
    <w:p w14:paraId="332846EA" w14:textId="77777777" w:rsidR="009D4BFA" w:rsidRPr="00E47714" w:rsidRDefault="009D4BFA" w:rsidP="009D4BFA">
      <w:pPr>
        <w:pStyle w:val="Heading4"/>
      </w:pPr>
      <w:r w:rsidRPr="00E47714">
        <w:lastRenderedPageBreak/>
        <w:t>Material hardship</w:t>
      </w:r>
    </w:p>
    <w:p w14:paraId="2B35479D" w14:textId="15476177" w:rsidR="009D4BFA" w:rsidRDefault="009D4BFA" w:rsidP="009D4BFA">
      <w:r w:rsidRPr="00E47714">
        <w:t>Child poverty statistics include rates of children living in material hardship. A household is in material hardship if it is going without 6 or more of 17 essential consumption items due to cost</w:t>
      </w:r>
      <w:r>
        <w:t>. It is in</w:t>
      </w:r>
      <w:r w:rsidRPr="00E47714">
        <w:t xml:space="preserve"> severe material hardship if it is going without 9 or more</w:t>
      </w:r>
      <w:r>
        <w:t xml:space="preserve"> of those</w:t>
      </w:r>
      <w:r w:rsidRPr="00E47714">
        <w:t xml:space="preserve"> items. The</w:t>
      </w:r>
      <w:r>
        <w:t xml:space="preserve"> essential consumption</w:t>
      </w:r>
      <w:r w:rsidRPr="00E47714">
        <w:t xml:space="preserve"> items include fresh fruit and vegetables, doctor’s visits, good pairs of shoes, car upkeep and unexpected expenses of $500 or more.</w:t>
      </w:r>
    </w:p>
    <w:p w14:paraId="6E72E254" w14:textId="77777777" w:rsidR="009D4BFA" w:rsidRPr="00E47714" w:rsidRDefault="009D4BFA" w:rsidP="009D4BFA"/>
    <w:p w14:paraId="36092C40" w14:textId="48619106" w:rsidR="009D4BFA" w:rsidRDefault="009D4BFA" w:rsidP="009D4BFA">
      <w:r w:rsidRPr="00E47714">
        <w:t xml:space="preserve">In 2023, the rate of children living in material hardship increased by 2.0 percentage points to 12.5% of children, compared with the year ended June 2022 (10.5%). Severe material hardship increased by 1.5 percentage points, rising to 5.5% of all children </w:t>
      </w:r>
      <w:r>
        <w:fldChar w:fldCharType="begin"/>
      </w:r>
      <w:r>
        <w:instrText xml:space="preserve"> ADDIN EN.CITE &lt;EndNote&gt;&lt;Cite&gt;&lt;Author&gt;Stats NZ&lt;/Author&gt;&lt;Year&gt;2024&lt;/Year&gt;&lt;RecNum&gt;481&lt;/RecNum&gt;&lt;DisplayText&gt;(Stats NZ 2024b)&lt;/DisplayText&gt;&lt;record&gt;&lt;rec-number&gt;481&lt;/rec-number&gt;&lt;foreign-keys&gt;&lt;key app="EN" db-id="aaepvppzs5wtfse95vsp2wahsrtvva2vvdet" timestamp="1716517574"&gt;481&lt;/key&gt;&lt;/foreign-keys&gt;&lt;ref-type name="Web Page"&gt;12&lt;/ref-type&gt;&lt;contributors&gt;&lt;authors&gt;&lt;author&gt;Stats NZ,&lt;/author&gt;&lt;/authors&gt;&lt;/contributors&gt;&lt;titles&gt;&lt;title&gt;Child poverty statistics show increase in material hardship for the year ended June 2023&lt;/title&gt;&lt;/titles&gt;&lt;number&gt;24 May 2024&lt;/number&gt;&lt;dates&gt;&lt;year&gt;2024&lt;/year&gt;&lt;/dates&gt;&lt;urls&gt;&lt;related-urls&gt;&lt;url&gt;stats.govt.nz/news/child-poverty-statistics-show-increase-in-material-hardship-for-the-year-ended-june-2023&lt;/url&gt;&lt;/related-urls&gt;&lt;/urls&gt;&lt;/record&gt;&lt;/Cite&gt;&lt;/EndNote&gt;</w:instrText>
      </w:r>
      <w:r>
        <w:fldChar w:fldCharType="separate"/>
      </w:r>
      <w:r>
        <w:rPr>
          <w:noProof/>
        </w:rPr>
        <w:t>(Stats NZ 2024b)</w:t>
      </w:r>
      <w:r>
        <w:fldChar w:fldCharType="end"/>
      </w:r>
      <w:r w:rsidRPr="00E47714">
        <w:t xml:space="preserve">. </w:t>
      </w:r>
    </w:p>
    <w:p w14:paraId="62056B38" w14:textId="77777777" w:rsidR="009D4BFA" w:rsidRPr="00E47714" w:rsidRDefault="009D4BFA" w:rsidP="009D4BFA"/>
    <w:p w14:paraId="18F36167" w14:textId="2E418ED9" w:rsidR="009D4BFA" w:rsidRDefault="009D4BFA" w:rsidP="009D4BFA">
      <w:r w:rsidRPr="00E47714">
        <w:fldChar w:fldCharType="begin"/>
      </w:r>
      <w:r w:rsidRPr="00E47714">
        <w:instrText xml:space="preserve"> REF _Ref167436137 \h  \* MERGEFORMAT </w:instrText>
      </w:r>
      <w:r w:rsidRPr="00E47714">
        <w:fldChar w:fldCharType="separate"/>
      </w:r>
      <w:r w:rsidR="009A6F87" w:rsidRPr="00E47714">
        <w:t xml:space="preserve">Figure </w:t>
      </w:r>
      <w:r w:rsidR="009A6F87">
        <w:t>33</w:t>
      </w:r>
      <w:r w:rsidRPr="00E47714">
        <w:fldChar w:fldCharType="end"/>
      </w:r>
      <w:r w:rsidRPr="00E47714">
        <w:t xml:space="preserve"> shows the percentage of children living in households experiencing material hardship by ethnic group. Rates were disproportionately high for Māori (21.5%) and Pacific (28.9%) children, compared </w:t>
      </w:r>
      <w:r>
        <w:t>with</w:t>
      </w:r>
      <w:r w:rsidRPr="00E47714">
        <w:t xml:space="preserve"> Asian (3.7%) and European/other (9.4%) children.</w:t>
      </w:r>
    </w:p>
    <w:p w14:paraId="66B4E96C" w14:textId="77777777" w:rsidR="009D4BFA" w:rsidRPr="00E47714" w:rsidRDefault="009D4BFA" w:rsidP="009D4BFA"/>
    <w:p w14:paraId="4BEC7134" w14:textId="77777777" w:rsidR="009D4BFA" w:rsidRPr="00E47714" w:rsidRDefault="009D4BFA" w:rsidP="009D4BFA">
      <w:pPr>
        <w:rPr>
          <w:rFonts w:cs="Segoe UI"/>
          <w:lang w:eastAsia="en-NZ"/>
        </w:rPr>
      </w:pPr>
      <w:r w:rsidRPr="00E47714">
        <w:t>Child poverty statistics</w:t>
      </w:r>
      <w:r>
        <w:t xml:space="preserve"> for 2023</w:t>
      </w:r>
      <w:r w:rsidRPr="00E47714">
        <w:t xml:space="preserve"> show that 22.3% of </w:t>
      </w:r>
      <w:r w:rsidRPr="00E47714">
        <w:rPr>
          <w:color w:val="0B0C0C"/>
          <w:shd w:val="clear" w:color="auto" w:fill="FFFFFF"/>
        </w:rPr>
        <w:t xml:space="preserve">disabled children were living in households that </w:t>
      </w:r>
      <w:r w:rsidRPr="00E47714">
        <w:rPr>
          <w:lang w:eastAsia="en-NZ"/>
        </w:rPr>
        <w:t xml:space="preserve">experienced material hardship, compared </w:t>
      </w:r>
      <w:r>
        <w:rPr>
          <w:lang w:eastAsia="en-NZ"/>
        </w:rPr>
        <w:t>with</w:t>
      </w:r>
      <w:r w:rsidRPr="00E47714">
        <w:rPr>
          <w:lang w:eastAsia="en-NZ"/>
        </w:rPr>
        <w:t xml:space="preserve"> 11.1% of non-disabled children</w:t>
      </w:r>
      <w:r>
        <w:rPr>
          <w:lang w:eastAsia="en-NZ"/>
        </w:rPr>
        <w:t xml:space="preserve"> </w:t>
      </w:r>
      <w:r>
        <w:rPr>
          <w:lang w:eastAsia="en-NZ"/>
        </w:rPr>
        <w:fldChar w:fldCharType="begin"/>
      </w:r>
      <w:r>
        <w:rPr>
          <w:lang w:eastAsia="en-NZ"/>
        </w:rPr>
        <w:instrText xml:space="preserve"> ADDIN EN.CITE &lt;EndNote&gt;&lt;Cite&gt;&lt;Author&gt;Stats NZ&lt;/Author&gt;&lt;Year&gt;2024&lt;/Year&gt;&lt;RecNum&gt;482&lt;/RecNum&gt;&lt;DisplayText&gt;(Stats NZ 2024h)&lt;/DisplayText&gt;&lt;record&gt;&lt;rec-number&gt;482&lt;/rec-number&gt;&lt;foreign-keys&gt;&lt;key app="EN" db-id="aaepvppzs5wtfse95vsp2wahsrtvva2vvdet" timestamp="1716518905"&gt;482&lt;/key&gt;&lt;/foreign-keys&gt;&lt;ref-type name="Web Page"&gt;12&lt;/ref-type&gt;&lt;contributors&gt;&lt;authors&gt;&lt;author&gt;Stats NZ,&lt;/author&gt;&lt;/authors&gt;&lt;/contributors&gt;&lt;titles&gt;&lt;title&gt;Indicators Aotearoa New Zealand&lt;/title&gt;&lt;/titles&gt;&lt;number&gt;24 May 2024&lt;/number&gt;&lt;dates&gt;&lt;year&gt;2024&lt;/year&gt;&lt;/dates&gt;&lt;urls&gt;&lt;related-urls&gt;&lt;url&gt;statisticsnz.shinyapps.io/wellbeingindicators&lt;/url&gt;&lt;/related-urls&gt;&lt;/urls&gt;&lt;/record&gt;&lt;/Cite&gt;&lt;/EndNote&gt;</w:instrText>
      </w:r>
      <w:r>
        <w:rPr>
          <w:lang w:eastAsia="en-NZ"/>
        </w:rPr>
        <w:fldChar w:fldCharType="separate"/>
      </w:r>
      <w:r>
        <w:rPr>
          <w:noProof/>
          <w:lang w:eastAsia="en-NZ"/>
        </w:rPr>
        <w:t>(Stats NZ 2024h)</w:t>
      </w:r>
      <w:r>
        <w:rPr>
          <w:lang w:eastAsia="en-NZ"/>
        </w:rPr>
        <w:fldChar w:fldCharType="end"/>
      </w:r>
      <w:r w:rsidRPr="00E47714">
        <w:rPr>
          <w:lang w:eastAsia="en-NZ"/>
        </w:rPr>
        <w:t>.</w:t>
      </w:r>
    </w:p>
    <w:p w14:paraId="48BFA7FD" w14:textId="23516367" w:rsidR="009D4BFA" w:rsidRPr="00E47714" w:rsidRDefault="009D4BFA" w:rsidP="009D4BFA">
      <w:pPr>
        <w:pStyle w:val="Figure"/>
      </w:pPr>
      <w:bookmarkStart w:id="193" w:name="_Ref167436137"/>
      <w:bookmarkStart w:id="194" w:name="_Toc171330680"/>
      <w:bookmarkStart w:id="195" w:name="_Toc172104716"/>
      <w:r w:rsidRPr="00E47714">
        <w:t xml:space="preserve">Figure </w:t>
      </w:r>
      <w:fldSimple w:instr=" SEQ Figure \* ARABIC ">
        <w:r w:rsidR="009A6F87">
          <w:rPr>
            <w:noProof/>
          </w:rPr>
          <w:t>33</w:t>
        </w:r>
      </w:fldSimple>
      <w:bookmarkEnd w:id="193"/>
      <w:r w:rsidRPr="00E47714">
        <w:t>: Percentage of children living in household experiencing material hardship, by ethnic group (total response), 2019–</w:t>
      </w:r>
      <w:proofErr w:type="gramStart"/>
      <w:r w:rsidRPr="00E47714">
        <w:t>2023</w:t>
      </w:r>
      <w:bookmarkEnd w:id="194"/>
      <w:bookmarkEnd w:id="195"/>
      <w:proofErr w:type="gramEnd"/>
    </w:p>
    <w:p w14:paraId="7B9C756A" w14:textId="77777777" w:rsidR="009D4BFA" w:rsidRPr="00E47714" w:rsidRDefault="009D4BFA" w:rsidP="009D4BFA">
      <w:pPr>
        <w:pStyle w:val="NormalWeb"/>
        <w:spacing w:before="0" w:beforeAutospacing="0" w:after="0" w:afterAutospacing="0"/>
      </w:pPr>
      <w:r w:rsidRPr="00E47714">
        <w:rPr>
          <w:noProof/>
        </w:rPr>
        <w:drawing>
          <wp:inline distT="0" distB="0" distL="0" distR="0" wp14:anchorId="78314E7F" wp14:editId="165C1BF2">
            <wp:extent cx="5094514" cy="3133596"/>
            <wp:effectExtent l="0" t="0" r="0" b="0"/>
            <wp:docPr id="1286808693" name="Picture 1286808693" descr="A series of four timeseries line charts showing the percentage of children living in a household experiencing material hardship from 2019 to 2023 by ethnic group. Māori and Pacific peoples had higher rates of children living in a household experiencing material hardship of approximately 20% and 25 to 30% respectively with only small fluctuations in the percentage across time. For Asian children the percentage was just above 5% in 2019, falling to just below 5% by 2023. For European/other children, the percentage was around 10% or slightly below 10% acros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08693" name="Picture 1286808693" descr="A series of four timeseries line charts showing the percentage of children living in a household experiencing material hardship from 2019 to 2023 by ethnic group. Māori and Pacific peoples had higher rates of children living in a household experiencing material hardship of approximately 20% and 25 to 30% respectively with only small fluctuations in the percentage across time. For Asian children the percentage was just above 5% in 2019, falling to just below 5% by 2023. For European/other children, the percentage was around 10% or slightly below 10% across time."/>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5107394" cy="3141518"/>
                    </a:xfrm>
                    <a:prstGeom prst="rect">
                      <a:avLst/>
                    </a:prstGeom>
                    <a:noFill/>
                    <a:ln>
                      <a:noFill/>
                    </a:ln>
                  </pic:spPr>
                </pic:pic>
              </a:graphicData>
            </a:graphic>
          </wp:inline>
        </w:drawing>
      </w:r>
    </w:p>
    <w:p w14:paraId="3C5161EA" w14:textId="77777777" w:rsidR="009D4BFA" w:rsidRPr="00C77EEE" w:rsidRDefault="009D4BFA" w:rsidP="009D4BFA">
      <w:pPr>
        <w:pStyle w:val="Source"/>
      </w:pPr>
      <w:r w:rsidRPr="00C77EEE">
        <w:t>Note</w:t>
      </w:r>
      <w:r w:rsidRPr="00007656">
        <w:t>:</w:t>
      </w:r>
      <w:r>
        <w:t xml:space="preserve"> </w:t>
      </w:r>
      <w:r w:rsidRPr="00E47714">
        <w:t>Shaded area indicates 95% confidence intervals.</w:t>
      </w:r>
    </w:p>
    <w:p w14:paraId="192611F8" w14:textId="77777777" w:rsidR="009D4BFA" w:rsidRPr="00E47714" w:rsidRDefault="009D4BFA" w:rsidP="009D4BFA">
      <w:pPr>
        <w:pStyle w:val="Source"/>
      </w:pPr>
      <w:r w:rsidRPr="00E47714">
        <w:rPr>
          <w:b/>
          <w:bCs/>
        </w:rPr>
        <w:t>Source:</w:t>
      </w:r>
      <w:r>
        <w:rPr>
          <w:b/>
          <w:bCs/>
        </w:rPr>
        <w:t xml:space="preserve"> </w:t>
      </w:r>
      <w:r>
        <w:fldChar w:fldCharType="begin"/>
      </w:r>
      <w:r>
        <w:instrText xml:space="preserve"> ADDIN EN.CITE &lt;EndNote&gt;&lt;Cite AuthorYear="1"&gt;&lt;Author&gt;Stats NZ&lt;/Author&gt;&lt;Year&gt;2024&lt;/Year&gt;&lt;RecNum&gt;482&lt;/RecNum&gt;&lt;DisplayText&gt;Stats NZ (2024h)&lt;/DisplayText&gt;&lt;record&gt;&lt;rec-number&gt;482&lt;/rec-number&gt;&lt;foreign-keys&gt;&lt;key app="EN" db-id="aaepvppzs5wtfse95vsp2wahsrtvva2vvdet" timestamp="1716518905"&gt;482&lt;/key&gt;&lt;/foreign-keys&gt;&lt;ref-type name="Web Page"&gt;12&lt;/ref-type&gt;&lt;contributors&gt;&lt;authors&gt;&lt;author&gt;Stats NZ,&lt;/author&gt;&lt;/authors&gt;&lt;/contributors&gt;&lt;titles&gt;&lt;title&gt;Indicators Aotearoa New Zealand&lt;/title&gt;&lt;/titles&gt;&lt;number&gt;24 May 2024&lt;/number&gt;&lt;dates&gt;&lt;year&gt;2024&lt;/year&gt;&lt;/dates&gt;&lt;urls&gt;&lt;related-urls&gt;&lt;url&gt;statisticsnz.shinyapps.io/wellbeingindicators&lt;/url&gt;&lt;/related-urls&gt;&lt;/urls&gt;&lt;/record&gt;&lt;/Cite&gt;&lt;/EndNote&gt;</w:instrText>
      </w:r>
      <w:r>
        <w:fldChar w:fldCharType="separate"/>
      </w:r>
      <w:r>
        <w:rPr>
          <w:noProof/>
        </w:rPr>
        <w:t>Stats NZ (2024h)</w:t>
      </w:r>
      <w:r>
        <w:fldChar w:fldCharType="end"/>
      </w:r>
    </w:p>
    <w:p w14:paraId="648C2744" w14:textId="77777777" w:rsidR="009D4BFA" w:rsidRPr="00E47714" w:rsidRDefault="009D4BFA" w:rsidP="009D4BFA">
      <w:pPr>
        <w:pStyle w:val="Heading4"/>
      </w:pPr>
      <w:r w:rsidRPr="00E47714">
        <w:t xml:space="preserve">Household food insecurity </w:t>
      </w:r>
    </w:p>
    <w:p w14:paraId="6FCB432D" w14:textId="6DC5AA0B" w:rsidR="009D4BFA" w:rsidRDefault="009D4BFA" w:rsidP="009D4BFA">
      <w:r w:rsidRPr="00E47714">
        <w:t>Food insecurity is defined as a limited or uncertain availability of nutritionally adequate and safe foods, or limited ability to acquire personally acceptable foods that meet cultural needs in a socially acceptable way.</w:t>
      </w:r>
    </w:p>
    <w:p w14:paraId="53195A69" w14:textId="77777777" w:rsidR="009D4BFA" w:rsidRPr="00E47714" w:rsidRDefault="009D4BFA" w:rsidP="009D4BFA"/>
    <w:p w14:paraId="63DD0FA1" w14:textId="66A8C5F0" w:rsidR="009D4BFA" w:rsidRDefault="009D4BFA" w:rsidP="009D4BFA">
      <w:r w:rsidRPr="00E47714">
        <w:lastRenderedPageBreak/>
        <w:t>According to the Health Survey, for the single year 2022/23, 21.3% of children liv</w:t>
      </w:r>
      <w:r>
        <w:t>ed</w:t>
      </w:r>
      <w:r w:rsidRPr="00E47714">
        <w:t xml:space="preserve"> in a household where food runs out often or sometimes</w:t>
      </w:r>
      <w:r>
        <w:t>.</w:t>
      </w:r>
      <w:r w:rsidRPr="00E47714">
        <w:t xml:space="preserve"> </w:t>
      </w:r>
      <w:r>
        <w:t>T</w:t>
      </w:r>
      <w:r w:rsidRPr="00E47714">
        <w:t>his</w:t>
      </w:r>
      <w:r>
        <w:t xml:space="preserve"> percentage</w:t>
      </w:r>
      <w:r w:rsidRPr="00E47714">
        <w:t xml:space="preserve"> was higher than the previous </w:t>
      </w:r>
      <w:r>
        <w:t>two</w:t>
      </w:r>
      <w:r w:rsidRPr="00E47714">
        <w:t xml:space="preserve"> annual surveys, </w:t>
      </w:r>
      <w:r>
        <w:t xml:space="preserve">which reported </w:t>
      </w:r>
      <w:r w:rsidRPr="00E47714">
        <w:t>14.4% in 2021/22 and 14.9% in 2020/21</w:t>
      </w:r>
      <w:r>
        <w:t xml:space="preserve"> </w:t>
      </w:r>
      <w:r>
        <w:fldChar w:fldCharType="begin"/>
      </w:r>
      <w:r>
        <w:instrText xml:space="preserve"> ADDIN EN.CITE &lt;EndNote&gt;&lt;Cite&gt;&lt;Author&gt;Ministry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r w:rsidRPr="00E47714">
        <w:t>.</w:t>
      </w:r>
    </w:p>
    <w:p w14:paraId="73BE7CC6" w14:textId="77777777" w:rsidR="009D4BFA" w:rsidRPr="00E47714" w:rsidRDefault="009D4BFA" w:rsidP="009D4BFA"/>
    <w:p w14:paraId="32AD7E1D" w14:textId="77777777" w:rsidR="009D4BFA" w:rsidRPr="00E47714" w:rsidRDefault="009D4BFA" w:rsidP="009D4BFA">
      <w:r w:rsidRPr="00E47714">
        <w:t>The level of household food insecurity differed by population groups. For the single year 2022/23</w:t>
      </w:r>
      <w:r>
        <w:t>,</w:t>
      </w:r>
      <w:r w:rsidRPr="00E47714">
        <w:t xml:space="preserve"> food runs out often or sometimes for:</w:t>
      </w:r>
    </w:p>
    <w:p w14:paraId="44CBE438" w14:textId="77777777" w:rsidR="009D4BFA" w:rsidRPr="00E47714" w:rsidRDefault="009D4BFA" w:rsidP="009D4BFA">
      <w:pPr>
        <w:pStyle w:val="Bullet"/>
      </w:pPr>
      <w:r w:rsidRPr="00E47714">
        <w:t xml:space="preserve">35.1% of Māori children </w:t>
      </w:r>
    </w:p>
    <w:p w14:paraId="5CFF0F56" w14:textId="77777777" w:rsidR="009D4BFA" w:rsidRPr="00E47714" w:rsidRDefault="009D4BFA" w:rsidP="009D4BFA">
      <w:pPr>
        <w:pStyle w:val="Bullet"/>
      </w:pPr>
      <w:r w:rsidRPr="00E47714">
        <w:t xml:space="preserve">39.6% of Pacific children </w:t>
      </w:r>
    </w:p>
    <w:p w14:paraId="3FFC2BA9" w14:textId="77777777" w:rsidR="009D4BFA" w:rsidRPr="00E47714" w:rsidRDefault="009D4BFA" w:rsidP="009D4BFA">
      <w:pPr>
        <w:pStyle w:val="Bullet"/>
      </w:pPr>
      <w:r w:rsidRPr="00E47714">
        <w:t>12.3% of Asian children</w:t>
      </w:r>
    </w:p>
    <w:p w14:paraId="4823CEEE" w14:textId="77777777" w:rsidR="009D4BFA" w:rsidRPr="00E47714" w:rsidRDefault="009D4BFA" w:rsidP="009D4BFA">
      <w:pPr>
        <w:pStyle w:val="Bullet"/>
      </w:pPr>
      <w:r w:rsidRPr="00E47714">
        <w:t>18.0% of European children</w:t>
      </w:r>
    </w:p>
    <w:p w14:paraId="20C666D1" w14:textId="77777777" w:rsidR="009D4BFA" w:rsidRPr="00E47714" w:rsidRDefault="009D4BFA" w:rsidP="009D4BFA">
      <w:pPr>
        <w:pStyle w:val="Bullet"/>
      </w:pPr>
      <w:r w:rsidRPr="00E47714">
        <w:t xml:space="preserve">35.0% of disabled children, compared </w:t>
      </w:r>
      <w:r>
        <w:t>with</w:t>
      </w:r>
      <w:r w:rsidRPr="00E47714">
        <w:t xml:space="preserve"> 19.5% </w:t>
      </w:r>
      <w:r>
        <w:t>of</w:t>
      </w:r>
      <w:r w:rsidRPr="00E47714">
        <w:t xml:space="preserve"> non-disabled children.</w:t>
      </w:r>
    </w:p>
    <w:p w14:paraId="7663180B" w14:textId="77777777" w:rsidR="009D4BFA" w:rsidRPr="00007656" w:rsidRDefault="009D4BFA" w:rsidP="009D4BFA">
      <w:pPr>
        <w:pStyle w:val="Bullet"/>
        <w:rPr>
          <w:rFonts w:cs="Segoe UI"/>
        </w:rPr>
      </w:pPr>
      <w:r w:rsidRPr="00E47714">
        <w:t xml:space="preserve">36.1% of children </w:t>
      </w:r>
      <w:r>
        <w:t xml:space="preserve">living </w:t>
      </w:r>
      <w:r w:rsidRPr="00E47714">
        <w:t xml:space="preserve">in the most deprived areas, compared </w:t>
      </w:r>
      <w:r>
        <w:t>with</w:t>
      </w:r>
      <w:r w:rsidRPr="00E47714">
        <w:t xml:space="preserve"> 5.5% of children living in the least deprived areas.</w:t>
      </w:r>
    </w:p>
    <w:p w14:paraId="529E6012" w14:textId="77777777" w:rsidR="009D4BFA" w:rsidRPr="00E47714" w:rsidRDefault="009D4BFA" w:rsidP="009D4BFA">
      <w:pPr>
        <w:pStyle w:val="Heading3"/>
      </w:pPr>
      <w:r w:rsidRPr="00E47714">
        <w:t>Employment</w:t>
      </w:r>
    </w:p>
    <w:p w14:paraId="20D878F8" w14:textId="77777777" w:rsidR="009D4BFA" w:rsidRPr="00E47714" w:rsidRDefault="009D4BFA" w:rsidP="009D4BFA">
      <w:pPr>
        <w:pStyle w:val="Heading4"/>
      </w:pPr>
      <w:r w:rsidRPr="00E47714">
        <w:t xml:space="preserve">Employment </w:t>
      </w:r>
      <w:r>
        <w:t>r</w:t>
      </w:r>
      <w:r w:rsidRPr="00E47714">
        <w:t>ate</w:t>
      </w:r>
    </w:p>
    <w:p w14:paraId="2BA5812F" w14:textId="77777777" w:rsidR="009D4BFA" w:rsidRPr="00E47714" w:rsidRDefault="009D4BFA" w:rsidP="009D4BFA">
      <w:r w:rsidRPr="00E47714">
        <w:t>The employment rate reflects the number of people in Aotearoa New Zealand aged 15</w:t>
      </w:r>
      <w:r>
        <w:t xml:space="preserve"> years</w:t>
      </w:r>
      <w:r w:rsidRPr="00E47714">
        <w:t xml:space="preserve"> and over who are in employment. The employment rate for the quarter ending 31 December 2023 was 69.0%, down from a high of 69.8% in June 2023. By </w:t>
      </w:r>
      <w:r>
        <w:t>gender</w:t>
      </w:r>
      <w:r w:rsidRPr="00E47714">
        <w:t xml:space="preserve">, the employment rate was 73.6% for men and 64.5% for women </w:t>
      </w:r>
      <w:r>
        <w:fldChar w:fldCharType="begin"/>
      </w:r>
      <w:r>
        <w:instrText xml:space="preserve"> ADDIN EN.CITE &lt;EndNote&gt;&lt;Cite&gt;&lt;Author&gt;Stats NZ&lt;/Author&gt;&lt;Year&gt;2024&lt;/Year&gt;&lt;RecNum&gt;483&lt;/RecNum&gt;&lt;DisplayText&gt;(Stats NZ 2024d)&lt;/DisplayText&gt;&lt;record&gt;&lt;rec-number&gt;483&lt;/rec-number&gt;&lt;foreign-keys&gt;&lt;key app="EN" db-id="aaepvppzs5wtfse95vsp2wahsrtvva2vvdet" timestamp="1716519056"&gt;483&lt;/key&gt;&lt;/foreign-keys&gt;&lt;ref-type name="Web Page"&gt;12&lt;/ref-type&gt;&lt;contributors&gt;&lt;authors&gt;&lt;author&gt;Stats NZ,&lt;/author&gt;&lt;/authors&gt;&lt;/contributors&gt;&lt;titles&gt;&lt;title&gt;Employment rate&lt;/title&gt;&lt;/titles&gt;&lt;number&gt;24 May 2024&lt;/number&gt;&lt;dates&gt;&lt;year&gt;2024&lt;/year&gt;&lt;/dates&gt;&lt;urls&gt;&lt;related-urls&gt;&lt;url&gt;stats.govt.nz/indicators/employment-rate&lt;/url&gt;&lt;/related-urls&gt;&lt;/urls&gt;&lt;/record&gt;&lt;/Cite&gt;&lt;/EndNote&gt;</w:instrText>
      </w:r>
      <w:r>
        <w:fldChar w:fldCharType="separate"/>
      </w:r>
      <w:r>
        <w:rPr>
          <w:noProof/>
        </w:rPr>
        <w:t>(Stats NZ 2024d)</w:t>
      </w:r>
      <w:r>
        <w:fldChar w:fldCharType="end"/>
      </w:r>
      <w:r w:rsidRPr="00E47714">
        <w:t>.</w:t>
      </w:r>
    </w:p>
    <w:p w14:paraId="0759BFAB" w14:textId="77777777" w:rsidR="009D4BFA" w:rsidRPr="00E47714" w:rsidRDefault="009D4BFA" w:rsidP="009D4BFA">
      <w:pPr>
        <w:pStyle w:val="Heading4"/>
      </w:pPr>
      <w:r w:rsidRPr="00E47714">
        <w:t>Unemployment rate</w:t>
      </w:r>
    </w:p>
    <w:p w14:paraId="191AC390" w14:textId="77777777" w:rsidR="009D4BFA" w:rsidRPr="00E47714" w:rsidRDefault="009D4BFA" w:rsidP="009D4BFA">
      <w:r w:rsidRPr="00E47714">
        <w:t>The seasonally adjusted unemployment rate was 4.0% in the December 2023 quarter, compared with 3.9% in the previous quarter (ending 30 September 2023). The number of unemployed people rose to 122,000 (up 3,000).</w:t>
      </w:r>
    </w:p>
    <w:p w14:paraId="32CD26E2" w14:textId="77777777" w:rsidR="009D4BFA" w:rsidRPr="00E47714" w:rsidRDefault="009D4BFA" w:rsidP="00E70336">
      <w:pPr>
        <w:pStyle w:val="Bullet"/>
      </w:pPr>
      <w:r w:rsidRPr="00E47714">
        <w:t>For men, the unemployment rate was 3.7%, compared with 3.8% in the previous quarter.</w:t>
      </w:r>
    </w:p>
    <w:p w14:paraId="03596F17" w14:textId="77777777" w:rsidR="009D4BFA" w:rsidRPr="00E47714" w:rsidRDefault="009D4BFA" w:rsidP="00E70336">
      <w:pPr>
        <w:pStyle w:val="Bullet"/>
      </w:pPr>
      <w:r w:rsidRPr="00E47714">
        <w:t xml:space="preserve">For women, the unemployment rate was 4.3%, compared with 4.1% in the previous quarter </w:t>
      </w:r>
      <w:r>
        <w:fldChar w:fldCharType="begin"/>
      </w:r>
      <w:r>
        <w:instrText xml:space="preserve"> ADDIN EN.CITE &lt;EndNote&gt;&lt;Cite&gt;&lt;Author&gt;Stats NZ &lt;/Author&gt;&lt;Year&gt;2024&lt;/Year&gt;&lt;RecNum&gt;537&lt;/RecNum&gt;&lt;DisplayText&gt;(Stats NZ 2024l)&lt;/DisplayText&gt;&lt;record&gt;&lt;rec-number&gt;537&lt;/rec-number&gt;&lt;foreign-keys&gt;&lt;key app="EN" db-id="aaepvppzs5wtfse95vsp2wahsrtvva2vvdet" timestamp="1717627540"&gt;537&lt;/key&gt;&lt;/foreign-keys&gt;&lt;ref-type name="Web Page"&gt;12&lt;/ref-type&gt;&lt;contributors&gt;&lt;authors&gt;&lt;author&gt;Stats NZ ,&lt;/author&gt;&lt;/authors&gt;&lt;/contributors&gt;&lt;titles&gt;&lt;title&gt;Unemployment rate&lt;/title&gt;&lt;/titles&gt;&lt;number&gt;6 June 2024&lt;/number&gt;&lt;dates&gt;&lt;year&gt;2024&lt;/year&gt;&lt;/dates&gt;&lt;urls&gt;&lt;related-urls&gt;&lt;url&gt;stats.govt.nz/indicators/unemployment-rate&lt;/url&gt;&lt;/related-urls&gt;&lt;/urls&gt;&lt;/record&gt;&lt;/Cite&gt;&lt;/EndNote&gt;</w:instrText>
      </w:r>
      <w:r>
        <w:fldChar w:fldCharType="separate"/>
      </w:r>
      <w:r>
        <w:rPr>
          <w:noProof/>
        </w:rPr>
        <w:t>(Stats NZ 2024l)</w:t>
      </w:r>
      <w:r>
        <w:fldChar w:fldCharType="end"/>
      </w:r>
      <w:r w:rsidRPr="00E47714">
        <w:t>.</w:t>
      </w:r>
    </w:p>
    <w:p w14:paraId="50EC7B72" w14:textId="77777777" w:rsidR="009D4BFA" w:rsidRPr="00E47714" w:rsidRDefault="009D4BFA" w:rsidP="009D4BFA">
      <w:pPr>
        <w:pStyle w:val="Heading2"/>
      </w:pPr>
      <w:bookmarkStart w:id="196" w:name="_Toc171603279"/>
      <w:bookmarkStart w:id="197" w:name="_Toc171944539"/>
      <w:bookmarkStart w:id="198" w:name="_Toc172104679"/>
      <w:r w:rsidRPr="00E47714">
        <w:t>Physical environment</w:t>
      </w:r>
      <w:bookmarkEnd w:id="196"/>
      <w:bookmarkEnd w:id="197"/>
      <w:bookmarkEnd w:id="198"/>
    </w:p>
    <w:p w14:paraId="1B489377" w14:textId="535943F6" w:rsidR="009D4BFA" w:rsidRDefault="009D4BFA" w:rsidP="009D4BFA">
      <w:r w:rsidRPr="00E47714">
        <w:t>The</w:t>
      </w:r>
      <w:r>
        <w:t xml:space="preserve"> physical</w:t>
      </w:r>
      <w:r w:rsidRPr="00E47714">
        <w:t xml:space="preserve"> environment is a key determinant of human health and wellbeing. Included in this </w:t>
      </w:r>
      <w:r>
        <w:t>category</w:t>
      </w:r>
      <w:r w:rsidRPr="00E47714">
        <w:t xml:space="preserve"> are housing, air quality, drinking water, recreational water and climate change.</w:t>
      </w:r>
    </w:p>
    <w:p w14:paraId="2291236A" w14:textId="77777777" w:rsidR="00E70336" w:rsidRPr="00E47714" w:rsidRDefault="00E70336" w:rsidP="009D4BFA"/>
    <w:p w14:paraId="4A4E07E8" w14:textId="77777777" w:rsidR="009D4BFA" w:rsidRPr="00E47714" w:rsidRDefault="009D4BFA" w:rsidP="009D4BFA">
      <w:r w:rsidRPr="00E47714">
        <w:t xml:space="preserve">In general, people who live in more deprived areas are more </w:t>
      </w:r>
      <w:r>
        <w:t>vulnerable</w:t>
      </w:r>
      <w:r w:rsidRPr="00E47714" w:rsidDel="00D5428B">
        <w:t xml:space="preserve"> </w:t>
      </w:r>
      <w:r w:rsidRPr="00E47714">
        <w:t xml:space="preserve">to environmental risks and may have less capacity to cope with the effects of </w:t>
      </w:r>
      <w:r>
        <w:t>those</w:t>
      </w:r>
      <w:r w:rsidRPr="00E47714">
        <w:t xml:space="preserve"> risks</w:t>
      </w:r>
      <w:r>
        <w:t>. They may also have</w:t>
      </w:r>
      <w:r w:rsidRPr="00E47714">
        <w:t xml:space="preserve"> fewer resources to protect themselves from environmental hazards. For example</w:t>
      </w:r>
      <w:r>
        <w:t>, they may be at greater risk because they</w:t>
      </w:r>
      <w:r w:rsidRPr="00E47714">
        <w:t>:</w:t>
      </w:r>
    </w:p>
    <w:p w14:paraId="2E923AA8" w14:textId="77777777" w:rsidR="009D4BFA" w:rsidRPr="00E47714" w:rsidRDefault="009D4BFA" w:rsidP="00E70336">
      <w:pPr>
        <w:pStyle w:val="Bullet"/>
      </w:pPr>
      <w:r>
        <w:t xml:space="preserve">are </w:t>
      </w:r>
      <w:r w:rsidRPr="00E47714">
        <w:t>unable to afford good</w:t>
      </w:r>
      <w:r>
        <w:t>-</w:t>
      </w:r>
      <w:r w:rsidRPr="00E47714">
        <w:t xml:space="preserve">quality housing or a house large enough for the </w:t>
      </w:r>
      <w:proofErr w:type="gramStart"/>
      <w:r w:rsidRPr="00E47714">
        <w:t>family</w:t>
      </w:r>
      <w:proofErr w:type="gramEnd"/>
    </w:p>
    <w:p w14:paraId="3AE0FDAC" w14:textId="77777777" w:rsidR="009D4BFA" w:rsidRPr="00E47714" w:rsidRDefault="009D4BFA" w:rsidP="00E70336">
      <w:pPr>
        <w:pStyle w:val="Bullet"/>
      </w:pPr>
      <w:r>
        <w:t xml:space="preserve">are </w:t>
      </w:r>
      <w:r w:rsidRPr="00E47714">
        <w:t xml:space="preserve">unable to afford to heat their house adequately or insulate </w:t>
      </w:r>
      <w:proofErr w:type="gramStart"/>
      <w:r w:rsidRPr="00E47714">
        <w:t>it</w:t>
      </w:r>
      <w:proofErr w:type="gramEnd"/>
    </w:p>
    <w:p w14:paraId="647083A0" w14:textId="77777777" w:rsidR="009D4BFA" w:rsidRPr="00E47714" w:rsidRDefault="009D4BFA" w:rsidP="00E70336">
      <w:pPr>
        <w:pStyle w:val="Bullet"/>
      </w:pPr>
      <w:r w:rsidRPr="00E47714">
        <w:lastRenderedPageBreak/>
        <w:t>live closer to environmental hazards such as industrial sites or main transport routes (and be exposed to more polluted air)</w:t>
      </w:r>
    </w:p>
    <w:p w14:paraId="4B7690A7" w14:textId="77777777" w:rsidR="009D4BFA" w:rsidRPr="00E47714" w:rsidRDefault="009D4BFA" w:rsidP="00E70336">
      <w:pPr>
        <w:pStyle w:val="Bullet"/>
      </w:pPr>
      <w:r w:rsidRPr="00E47714">
        <w:t>work and live with much higher levels of environmental stress (such as</w:t>
      </w:r>
      <w:r>
        <w:t xml:space="preserve"> in</w:t>
      </w:r>
      <w:r w:rsidRPr="00E47714">
        <w:t xml:space="preserve"> </w:t>
      </w:r>
      <w:r>
        <w:t xml:space="preserve">environments with more </w:t>
      </w:r>
      <w:r w:rsidRPr="00E47714">
        <w:t>noise</w:t>
      </w:r>
      <w:r>
        <w:t xml:space="preserve"> and</w:t>
      </w:r>
      <w:r w:rsidRPr="00E47714">
        <w:t xml:space="preserve"> overcrowding, and less security), which may put them at higher risk of psychosocial health </w:t>
      </w:r>
      <w:proofErr w:type="gramStart"/>
      <w:r w:rsidRPr="00E47714">
        <w:t>problems</w:t>
      </w:r>
      <w:proofErr w:type="gramEnd"/>
    </w:p>
    <w:p w14:paraId="1E98365B" w14:textId="77777777" w:rsidR="009D4BFA" w:rsidRPr="00E47714" w:rsidRDefault="009D4BFA" w:rsidP="00E70336">
      <w:pPr>
        <w:pStyle w:val="Bullet"/>
      </w:pPr>
      <w:r>
        <w:t>are</w:t>
      </w:r>
      <w:r w:rsidRPr="00E47714">
        <w:t xml:space="preserve"> more likely to have access to poor</w:t>
      </w:r>
      <w:r>
        <w:t>-</w:t>
      </w:r>
      <w:r w:rsidRPr="00E47714">
        <w:t xml:space="preserve">quality drinking-water supplies </w:t>
      </w:r>
      <w:r>
        <w:fldChar w:fldCharType="begin"/>
      </w:r>
      <w:r>
        <w:instrText xml:space="preserve"> ADDIN EN.CITE &lt;EndNote&gt;&lt;Cite&gt;&lt;Author&gt;Environmental Health Intelligence New Zealand&lt;/Author&gt;&lt;Year&gt;(nd)&lt;/Year&gt;&lt;RecNum&gt;484&lt;/RecNum&gt;&lt;DisplayText&gt;(Environmental Health Intelligence New Zealand (nd))&lt;/DisplayText&gt;&lt;record&gt;&lt;rec-number&gt;484&lt;/rec-number&gt;&lt;foreign-keys&gt;&lt;key app="EN" db-id="aaepvppzs5wtfse95vsp2wahsrtvva2vvdet" timestamp="1716519286"&gt;484&lt;/key&gt;&lt;/foreign-keys&gt;&lt;ref-type name="Web Page"&gt;12&lt;/ref-type&gt;&lt;contributors&gt;&lt;authors&gt;&lt;author&gt;Environmental Health Intelligence New Zealand,&lt;/author&gt;&lt;/authors&gt;&lt;/contributors&gt;&lt;titles&gt;&lt;title&gt;Socioeconomic deprivation profile&lt;/title&gt;&lt;/titles&gt;&lt;number&gt;24 May 2024&lt;/number&gt;&lt;dates&gt;&lt;year&gt;(nd)&lt;/year&gt;&lt;/dates&gt;&lt;urls&gt;&lt;related-urls&gt;&lt;url&gt;ehinz.ac.nz/indicators/population-vulnerability/socioeconomic-deprivation-profile&lt;/url&gt;&lt;/related-urls&gt;&lt;/urls&gt;&lt;/record&gt;&lt;/Cite&gt;&lt;/EndNote&gt;</w:instrText>
      </w:r>
      <w:r>
        <w:fldChar w:fldCharType="separate"/>
      </w:r>
      <w:r>
        <w:rPr>
          <w:noProof/>
        </w:rPr>
        <w:t>(Environmental Health Intelligence New Zealand (nd))</w:t>
      </w:r>
      <w:r>
        <w:fldChar w:fldCharType="end"/>
      </w:r>
      <w:r w:rsidRPr="00E47714">
        <w:t>.</w:t>
      </w:r>
      <w:r>
        <w:t xml:space="preserve"> </w:t>
      </w:r>
    </w:p>
    <w:p w14:paraId="5069F2CF" w14:textId="77777777" w:rsidR="009D4BFA" w:rsidRPr="00E47714" w:rsidRDefault="009D4BFA" w:rsidP="009D4BFA">
      <w:pPr>
        <w:pStyle w:val="Heading3"/>
      </w:pPr>
      <w:r w:rsidRPr="00E47714">
        <w:t>Housing</w:t>
      </w:r>
    </w:p>
    <w:p w14:paraId="0B94E06B" w14:textId="77777777" w:rsidR="009D4BFA" w:rsidRPr="00E47714" w:rsidRDefault="009D4BFA" w:rsidP="009D4BFA">
      <w:pPr>
        <w:pStyle w:val="Heading4"/>
      </w:pPr>
      <w:r w:rsidRPr="00E47714">
        <w:t>Home ownership</w:t>
      </w:r>
    </w:p>
    <w:p w14:paraId="69722DF4" w14:textId="77777777" w:rsidR="009D4BFA" w:rsidRPr="00E47714" w:rsidRDefault="009D4BFA" w:rsidP="009D4BFA">
      <w:pPr>
        <w:rPr>
          <w:rFonts w:cs="Segoe UI"/>
        </w:rPr>
      </w:pPr>
      <w:r w:rsidRPr="00E47714">
        <w:t>At the time of the 2018 Census, the proportion of people living in their own home was the lowest in almost 70 years, and home</w:t>
      </w:r>
      <w:r>
        <w:t xml:space="preserve"> </w:t>
      </w:r>
      <w:r w:rsidRPr="00E47714">
        <w:t xml:space="preserve">ownership is becoming much less common </w:t>
      </w:r>
      <w:r>
        <w:t>among</w:t>
      </w:r>
      <w:r w:rsidRPr="00E47714">
        <w:t xml:space="preserve"> younger people. Census data shows that home</w:t>
      </w:r>
      <w:r>
        <w:t xml:space="preserve"> </w:t>
      </w:r>
      <w:r w:rsidRPr="00E47714">
        <w:t xml:space="preserve">ownership peaked in the 1990s at 73.8% and by 2018 had fallen to 64.5% of households, the lowest rate since 1951 </w:t>
      </w:r>
      <w:r>
        <w:fldChar w:fldCharType="begin"/>
      </w:r>
      <w:r>
        <w:instrText xml:space="preserve"> ADDIN EN.CITE &lt;EndNote&gt;&lt;Cite&gt;&lt;Author&gt;Stats NZ &lt;/Author&gt;&lt;Year&gt;2020&lt;/Year&gt;&lt;RecNum&gt;485&lt;/RecNum&gt;&lt;DisplayText&gt;(Stats NZ 2020c)&lt;/DisplayText&gt;&lt;record&gt;&lt;rec-number&gt;485&lt;/rec-number&gt;&lt;foreign-keys&gt;&lt;key app="EN" db-id="aaepvppzs5wtfse95vsp2wahsrtvva2vvdet" timestamp="1716519367"&gt;485&lt;/key&gt;&lt;/foreign-keys&gt;&lt;ref-type name="Web Page"&gt;12&lt;/ref-type&gt;&lt;contributors&gt;&lt;authors&gt;&lt;author&gt;Stats NZ ,&lt;/author&gt;&lt;/authors&gt;&lt;/contributors&gt;&lt;titles&gt;&lt;title&gt;Homeownership rate lowest in almost 70 years&lt;/title&gt;&lt;/titles&gt;&lt;number&gt;24 May 2024&lt;/number&gt;&lt;dates&gt;&lt;year&gt;2020&lt;/year&gt;&lt;/dates&gt;&lt;urls&gt;&lt;related-urls&gt;&lt;url&gt;stats.govt.nz/news/homeownership-rate-lowest-in-almost-70-years&lt;/url&gt;&lt;/related-urls&gt;&lt;/urls&gt;&lt;/record&gt;&lt;/Cite&gt;&lt;/EndNote&gt;</w:instrText>
      </w:r>
      <w:r>
        <w:fldChar w:fldCharType="separate"/>
      </w:r>
      <w:r>
        <w:rPr>
          <w:noProof/>
        </w:rPr>
        <w:t>(Stats NZ 2020c)</w:t>
      </w:r>
      <w:r>
        <w:fldChar w:fldCharType="end"/>
      </w:r>
      <w:r w:rsidRPr="00E47714">
        <w:t>.</w:t>
      </w:r>
    </w:p>
    <w:p w14:paraId="5C59D59C" w14:textId="77777777" w:rsidR="009D4BFA" w:rsidRPr="00E47714" w:rsidRDefault="009D4BFA" w:rsidP="009D4BFA">
      <w:pPr>
        <w:pStyle w:val="Heading4"/>
      </w:pPr>
      <w:r w:rsidRPr="00E47714">
        <w:t>Housing affordability and quality</w:t>
      </w:r>
    </w:p>
    <w:p w14:paraId="7D64B80E" w14:textId="77777777" w:rsidR="009D4BFA" w:rsidRPr="00E47714" w:rsidRDefault="009D4BFA" w:rsidP="009D4BFA">
      <w:r w:rsidRPr="00E47714">
        <w:t>As housing costs approach 40% or more of a household</w:t>
      </w:r>
      <w:r>
        <w:t>’</w:t>
      </w:r>
      <w:r w:rsidRPr="00E47714">
        <w:t xml:space="preserve">s income, it becomes more likely that a household will find it difficult to meet other everyday expenses, particularly </w:t>
      </w:r>
      <w:r>
        <w:t>if it is a</w:t>
      </w:r>
      <w:r w:rsidRPr="00E47714">
        <w:t xml:space="preserve"> low-income household. In the year ended June 2023, the proportion of households spending more than 40% of their income on housing costs was:</w:t>
      </w:r>
    </w:p>
    <w:p w14:paraId="1BF5F0FE" w14:textId="77777777" w:rsidR="009D4BFA" w:rsidRPr="00E47714" w:rsidRDefault="009D4BFA" w:rsidP="00E70336">
      <w:pPr>
        <w:pStyle w:val="Bullet"/>
      </w:pPr>
      <w:r w:rsidRPr="00E47714">
        <w:t>18.2% for all households (up 2.9</w:t>
      </w:r>
      <w:r>
        <w:t xml:space="preserve"> percentage points</w:t>
      </w:r>
      <w:r w:rsidRPr="00E47714">
        <w:t>)</w:t>
      </w:r>
    </w:p>
    <w:p w14:paraId="452AF626" w14:textId="77777777" w:rsidR="009D4BFA" w:rsidRPr="00E47714" w:rsidRDefault="009D4BFA" w:rsidP="00E70336">
      <w:pPr>
        <w:pStyle w:val="Bullet"/>
      </w:pPr>
      <w:r w:rsidRPr="00E47714">
        <w:t>27.5% for households that did not own their dwelling (up 3.4</w:t>
      </w:r>
      <w:r>
        <w:t xml:space="preserve"> percentage points</w:t>
      </w:r>
      <w:r w:rsidRPr="00E47714">
        <w:t>)</w:t>
      </w:r>
    </w:p>
    <w:p w14:paraId="1C31DA49" w14:textId="77777777" w:rsidR="009D4BFA" w:rsidRPr="00E47714" w:rsidRDefault="009D4BFA" w:rsidP="00E70336">
      <w:pPr>
        <w:pStyle w:val="Bullet"/>
      </w:pPr>
      <w:r w:rsidRPr="00E47714">
        <w:t>13.3% for households that owned or partly</w:t>
      </w:r>
      <w:r>
        <w:t xml:space="preserve"> </w:t>
      </w:r>
      <w:r w:rsidRPr="00E47714">
        <w:t>owned their dwelling (including dwellings held in a family trust) (up 2.6</w:t>
      </w:r>
      <w:r>
        <w:t xml:space="preserve"> percentage points</w:t>
      </w:r>
      <w:r w:rsidRPr="00E47714">
        <w:t>)</w:t>
      </w:r>
      <w:r>
        <w:t xml:space="preserve"> </w:t>
      </w:r>
      <w:r>
        <w:fldChar w:fldCharType="begin"/>
      </w:r>
      <w:r>
        <w:instrText xml:space="preserve"> ADDIN EN.CITE &lt;EndNote&gt;&lt;Cite&gt;&lt;Author&gt;Stats NZ&lt;/Author&gt;&lt;Year&gt;2024&lt;/Year&gt;&lt;RecNum&gt;541&lt;/RecNum&gt;&lt;DisplayText&gt;(Stats NZ 2024m)&lt;/DisplayText&gt;&lt;record&gt;&lt;rec-number&gt;541&lt;/rec-number&gt;&lt;foreign-keys&gt;&lt;key app="EN" db-id="aaepvppzs5wtfse95vsp2wahsrtvva2vvdet" timestamp="1719799196"&gt;541&lt;/key&gt;&lt;/foreign-keys&gt;&lt;ref-type name="Web Page"&gt;12&lt;/ref-type&gt;&lt;contributors&gt;&lt;authors&gt;&lt;author&gt;Stats NZ,&lt;/author&gt;&lt;/authors&gt;&lt;/contributors&gt;&lt;titles&gt;&lt;title&gt;Weekly mortgage payments up from 2022&lt;/title&gt;&lt;/titles&gt;&lt;number&gt;1 July 2024&lt;/number&gt;&lt;dates&gt;&lt;year&gt;2024&lt;/year&gt;&lt;/dates&gt;&lt;urls&gt;&lt;related-urls&gt;&lt;url&gt;stats.govt.nz/news/weekly-mortgage-payments-up-from-2022&lt;/url&gt;&lt;/related-urls&gt;&lt;/urls&gt;&lt;/record&gt;&lt;/Cite&gt;&lt;/EndNote&gt;</w:instrText>
      </w:r>
      <w:r>
        <w:fldChar w:fldCharType="separate"/>
      </w:r>
      <w:r>
        <w:rPr>
          <w:noProof/>
        </w:rPr>
        <w:t>(Stats NZ 2024m)</w:t>
      </w:r>
      <w:r>
        <w:fldChar w:fldCharType="end"/>
      </w:r>
      <w:r w:rsidRPr="00E47714">
        <w:t>.</w:t>
      </w:r>
    </w:p>
    <w:p w14:paraId="5CB9DB25" w14:textId="77777777" w:rsidR="00E70336" w:rsidRDefault="00E70336" w:rsidP="009D4BFA"/>
    <w:p w14:paraId="3F8FEB20" w14:textId="173B65B7" w:rsidR="009D4BFA" w:rsidRPr="00E47714" w:rsidRDefault="009D4BFA" w:rsidP="009D4BFA">
      <w:r w:rsidRPr="00E47714">
        <w:t>Housing quality refers to aspects of housing that often influence costs or are made more difficult due to the cost of housing. In the year ended June 2023:</w:t>
      </w:r>
    </w:p>
    <w:p w14:paraId="0F3C04D8" w14:textId="77777777" w:rsidR="009D4BFA" w:rsidRPr="00E47714" w:rsidRDefault="009D4BFA" w:rsidP="00E70336">
      <w:pPr>
        <w:pStyle w:val="Bullet"/>
      </w:pPr>
      <w:r w:rsidRPr="00E47714">
        <w:t xml:space="preserve">25.7% of households had either a major or minor issue with dampness or mould (up 1.8 </w:t>
      </w:r>
      <w:r>
        <w:t xml:space="preserve">percentage points </w:t>
      </w:r>
      <w:r w:rsidRPr="00E47714">
        <w:t>from the previous year)</w:t>
      </w:r>
    </w:p>
    <w:p w14:paraId="0C927A42" w14:textId="77777777" w:rsidR="009D4BFA" w:rsidRPr="00E47714" w:rsidRDefault="009D4BFA" w:rsidP="00E70336">
      <w:pPr>
        <w:pStyle w:val="Bullet"/>
      </w:pPr>
      <w:r w:rsidRPr="00E47714">
        <w:t xml:space="preserve">20.5% of households had either a major or </w:t>
      </w:r>
      <w:r>
        <w:t xml:space="preserve">a </w:t>
      </w:r>
      <w:r w:rsidRPr="00E47714">
        <w:t>minor issue with heating and/or keeping warm enough in winter (unchanged from the previous year)</w:t>
      </w:r>
      <w:r>
        <w:t xml:space="preserve"> </w:t>
      </w:r>
      <w:r>
        <w:fldChar w:fldCharType="begin"/>
      </w:r>
      <w:r>
        <w:instrText xml:space="preserve"> ADDIN EN.CITE &lt;EndNote&gt;&lt;Cite&gt;&lt;Author&gt;Stats NZ &lt;/Author&gt;&lt;Year&gt;2024&lt;/Year&gt;&lt;RecNum&gt;486&lt;/RecNum&gt;&lt;DisplayText&gt;(Stats NZ 2024f)&lt;/DisplayText&gt;&lt;record&gt;&lt;rec-number&gt;486&lt;/rec-number&gt;&lt;foreign-keys&gt;&lt;key app="EN" db-id="aaepvppzs5wtfse95vsp2wahsrtvva2vvdet" timestamp="1716519450"&gt;486&lt;/key&gt;&lt;/foreign-keys&gt;&lt;ref-type name="Web Page"&gt;12&lt;/ref-type&gt;&lt;contributors&gt;&lt;authors&gt;&lt;author&gt;Stats NZ ,&lt;/author&gt;&lt;/authors&gt;&lt;/contributors&gt;&lt;titles&gt;&lt;title&gt;Household income and housing-cost statistics: Year ended June 2023&lt;/title&gt;&lt;/titles&gt;&lt;number&gt;24 May 2024&lt;/number&gt;&lt;dates&gt;&lt;year&gt;2024&lt;/year&gt;&lt;/dates&gt;&lt;urls&gt;&lt;related-urls&gt;&lt;url&gt;stats.govt.nz/information-releases/household-income-and-housing-cost-statistics-year-ended-june-2023&lt;/url&gt;&lt;/related-urls&gt;&lt;/urls&gt;&lt;/record&gt;&lt;/Cite&gt;&lt;/EndNote&gt;</w:instrText>
      </w:r>
      <w:r>
        <w:fldChar w:fldCharType="separate"/>
      </w:r>
      <w:r>
        <w:rPr>
          <w:noProof/>
        </w:rPr>
        <w:t>(Stats NZ 2024f)</w:t>
      </w:r>
      <w:r>
        <w:fldChar w:fldCharType="end"/>
      </w:r>
      <w:r w:rsidRPr="00E47714">
        <w:t>.</w:t>
      </w:r>
    </w:p>
    <w:p w14:paraId="6A68FAC2" w14:textId="77777777" w:rsidR="009D4BFA" w:rsidRPr="00E47714" w:rsidRDefault="009D4BFA" w:rsidP="009D4BFA">
      <w:pPr>
        <w:pStyle w:val="Heading4"/>
      </w:pPr>
      <w:r w:rsidRPr="00E47714">
        <w:t>Housing-related hospitalisations</w:t>
      </w:r>
    </w:p>
    <w:p w14:paraId="5868DAF0" w14:textId="61190716" w:rsidR="009D4BFA" w:rsidRDefault="009D4BFA" w:rsidP="009D4BFA">
      <w:r w:rsidRPr="00E47714">
        <w:t>The quality of housing is strongly associated with tenure, as rental housing is generally older, colder, damper and mouldier than owner-occupied h</w:t>
      </w:r>
      <w:r>
        <w:t>o</w:t>
      </w:r>
      <w:r w:rsidRPr="00E47714">
        <w:t>using. Māori, Pacific peoples, disabled and low-income people with lower rates of home</w:t>
      </w:r>
      <w:r>
        <w:t xml:space="preserve"> </w:t>
      </w:r>
      <w:r w:rsidRPr="00E47714">
        <w:t>ownership are more likely to be exposed to these poorer rental housing conditions</w:t>
      </w:r>
      <w:r>
        <w:t>. For this reason, these groups</w:t>
      </w:r>
      <w:r w:rsidRPr="00E47714">
        <w:t xml:space="preserve"> have higher levels of potentially avoidable housing-related hospitalisations </w:t>
      </w:r>
      <w:r w:rsidRPr="00E47714">
        <w:fldChar w:fldCharType="begin"/>
      </w:r>
      <w:r>
        <w:instrText xml:space="preserve"> ADDIN EN.CITE &lt;EndNote&gt;&lt;Cite&gt;&lt;Author&gt;Howden-Chapman&lt;/Author&gt;&lt;Year&gt;2021&lt;/Year&gt;&lt;RecNum&gt;487&lt;/RecNum&gt;&lt;DisplayText&gt;(Howden-Chapman et al 2021)&lt;/DisplayText&gt;&lt;record&gt;&lt;rec-number&gt;487&lt;/rec-number&gt;&lt;foreign-keys&gt;&lt;key app="EN" db-id="aaepvppzs5wtfse95vsp2wahsrtvva2vvdet" timestamp="1716519552"&gt;487&lt;/key&gt;&lt;/foreign-keys&gt;&lt;ref-type name="Journal Article"&gt;17&lt;/ref-type&gt;&lt;contributors&gt;&lt;authors&gt;&lt;author&gt;Howden-Chapman, Philippa&lt;/author&gt;&lt;author&gt;Fyfe, Caroline&lt;/author&gt;&lt;author&gt;Nathan, Kim&lt;/author&gt;&lt;author&gt;Keall, Michael&lt;/author&gt;&lt;author&gt;Riggs, Lynn&lt;/author&gt;&lt;author&gt;Pierse, Nevil&lt;/author&gt;&lt;/authors&gt;&lt;/contributors&gt;&lt;titles&gt;&lt;title&gt;The effects of housing on health and well-being in Aotearoa New Zealand&lt;/title&gt;&lt;secondary-title&gt;New Zealand Population Review&lt;/secondary-title&gt;&lt;/titles&gt;&lt;periodical&gt;&lt;full-title&gt;New Zealand Population Review&lt;/full-title&gt;&lt;/periodical&gt;&lt;pages&gt;16-32&lt;/pages&gt;&lt;volume&gt;47&lt;/volume&gt;&lt;dates&gt;&lt;year&gt;2021&lt;/year&gt;&lt;/dates&gt;&lt;isbn&gt;0111-199X&lt;/isbn&gt;&lt;urls&gt;&lt;/urls&gt;&lt;/record&gt;&lt;/Cite&gt;&lt;Cite&gt;&lt;Author&gt;Howden-Chapman&lt;/Author&gt;&lt;Year&gt;2021&lt;/Year&gt;&lt;RecNum&gt;487&lt;/RecNum&gt;&lt;record&gt;&lt;rec-number&gt;487&lt;/rec-number&gt;&lt;foreign-keys&gt;&lt;key app="EN" db-id="aaepvppzs5wtfse95vsp2wahsrtvva2vvdet" timestamp="1716519552"&gt;487&lt;/key&gt;&lt;/foreign-keys&gt;&lt;ref-type name="Journal Article"&gt;17&lt;/ref-type&gt;&lt;contributors&gt;&lt;authors&gt;&lt;author&gt;Howden-Chapman, Philippa&lt;/author&gt;&lt;author&gt;Fyfe, Caroline&lt;/author&gt;&lt;author&gt;Nathan, Kim&lt;/author&gt;&lt;author&gt;Keall, Michael&lt;/author&gt;&lt;author&gt;Riggs, Lynn&lt;/author&gt;&lt;author&gt;Pierse, Nevil&lt;/author&gt;&lt;/authors&gt;&lt;/contributors&gt;&lt;titles&gt;&lt;title&gt;The effects of housing on health and well-being in Aotearoa New Zealand&lt;/title&gt;&lt;secondary-title&gt;New Zealand Population Review&lt;/secondary-title&gt;&lt;/titles&gt;&lt;periodical&gt;&lt;full-title&gt;New Zealand Population Review&lt;/full-title&gt;&lt;/periodical&gt;&lt;pages&gt;16-32&lt;/pages&gt;&lt;volume&gt;47&lt;/volume&gt;&lt;dates&gt;&lt;year&gt;2021&lt;/year&gt;&lt;/dates&gt;&lt;isbn&gt;0111-199X&lt;/isbn&gt;&lt;urls&gt;&lt;/urls&gt;&lt;/record&gt;&lt;/Cite&gt;&lt;/EndNote&gt;</w:instrText>
      </w:r>
      <w:r w:rsidRPr="00E47714">
        <w:fldChar w:fldCharType="separate"/>
      </w:r>
      <w:r w:rsidRPr="00E47714">
        <w:rPr>
          <w:noProof/>
        </w:rPr>
        <w:t>(Howden-Chapman et al 2021)</w:t>
      </w:r>
      <w:r w:rsidRPr="00E47714">
        <w:fldChar w:fldCharType="end"/>
      </w:r>
      <w:r w:rsidRPr="00E47714">
        <w:t xml:space="preserve">. </w:t>
      </w:r>
    </w:p>
    <w:p w14:paraId="1831BF5F" w14:textId="77777777" w:rsidR="00E70336" w:rsidRPr="00E47714" w:rsidRDefault="00E70336" w:rsidP="009D4BFA"/>
    <w:p w14:paraId="49A409B2" w14:textId="03E5265A" w:rsidR="009D4BFA" w:rsidRPr="00E47714" w:rsidRDefault="009D4BFA" w:rsidP="009D4BFA">
      <w:pPr>
        <w:rPr>
          <w:i/>
          <w:iCs/>
          <w:color w:val="1F497D" w:themeColor="text2"/>
          <w:sz w:val="18"/>
          <w:szCs w:val="18"/>
        </w:rPr>
      </w:pPr>
      <w:r w:rsidRPr="00E47714">
        <w:fldChar w:fldCharType="begin"/>
      </w:r>
      <w:r w:rsidRPr="00E47714">
        <w:instrText xml:space="preserve"> REF _Ref167437909 \h  \* MERGEFORMAT </w:instrText>
      </w:r>
      <w:r w:rsidRPr="00E47714">
        <w:fldChar w:fldCharType="separate"/>
      </w:r>
      <w:r w:rsidR="009A6F87" w:rsidRPr="00E47714">
        <w:t xml:space="preserve">Figure </w:t>
      </w:r>
      <w:r w:rsidR="009A6F87">
        <w:t>34</w:t>
      </w:r>
      <w:r w:rsidRPr="00E47714">
        <w:fldChar w:fldCharType="end"/>
      </w:r>
      <w:r w:rsidRPr="00E47714">
        <w:t xml:space="preserve"> shows the age-standardised rate of hospitalisations per 1,000 population where housing was </w:t>
      </w:r>
      <w:r>
        <w:t>given</w:t>
      </w:r>
      <w:r w:rsidRPr="00E47714">
        <w:t xml:space="preserve"> as the primary cause of admission. In 2023, the age-standardised rates per 1,000 were </w:t>
      </w:r>
      <w:r>
        <w:t>Māori (</w:t>
      </w:r>
      <w:r w:rsidRPr="00E47714">
        <w:t>11.9 for men and 10.2 for women</w:t>
      </w:r>
      <w:r>
        <w:t xml:space="preserve">); Pacific </w:t>
      </w:r>
      <w:r>
        <w:lastRenderedPageBreak/>
        <w:t>(</w:t>
      </w:r>
      <w:r w:rsidRPr="00E47714">
        <w:t>18.6 for men and 14.6 for women</w:t>
      </w:r>
      <w:r>
        <w:t>); Asian (</w:t>
      </w:r>
      <w:r w:rsidRPr="00E47714">
        <w:t>4.4 for men and 3.6 for women</w:t>
      </w:r>
      <w:r>
        <w:t>); and</w:t>
      </w:r>
      <w:r w:rsidRPr="00E47714">
        <w:t xml:space="preserve"> European/other </w:t>
      </w:r>
      <w:r>
        <w:t>(</w:t>
      </w:r>
      <w:r w:rsidRPr="00E47714">
        <w:t>5.9 for men and 5.0 for women</w:t>
      </w:r>
      <w:r>
        <w:t>)</w:t>
      </w:r>
      <w:r w:rsidRPr="00E47714">
        <w:t>.</w:t>
      </w:r>
      <w:r w:rsidRPr="00E47714">
        <w:rPr>
          <w:i/>
          <w:iCs/>
          <w:color w:val="1F497D" w:themeColor="text2"/>
          <w:sz w:val="18"/>
          <w:szCs w:val="18"/>
        </w:rPr>
        <w:t xml:space="preserve"> </w:t>
      </w:r>
    </w:p>
    <w:p w14:paraId="3514C9B5" w14:textId="6426BCE7" w:rsidR="009D4BFA" w:rsidRPr="00E47714" w:rsidRDefault="009D4BFA" w:rsidP="00E70336">
      <w:pPr>
        <w:pStyle w:val="Figure"/>
      </w:pPr>
      <w:bookmarkStart w:id="199" w:name="_Ref167437909"/>
      <w:bookmarkStart w:id="200" w:name="_Toc171330681"/>
      <w:bookmarkStart w:id="201" w:name="_Toc172104717"/>
      <w:r w:rsidRPr="00E47714">
        <w:t xml:space="preserve">Figure </w:t>
      </w:r>
      <w:fldSimple w:instr=" SEQ Figure \* ARABIC ">
        <w:r w:rsidR="009A6F87">
          <w:rPr>
            <w:noProof/>
          </w:rPr>
          <w:t>34</w:t>
        </w:r>
      </w:fldSimple>
      <w:bookmarkEnd w:id="199"/>
      <w:r w:rsidRPr="00E47714">
        <w:t>: Age-standardised rate of housing-related hospitalisations, by gender</w:t>
      </w:r>
      <w:r>
        <w:t xml:space="preserve"> and ethnic group (prioritised ethnicity)</w:t>
      </w:r>
      <w:r w:rsidRPr="00E47714">
        <w:t>, 2014–2023</w:t>
      </w:r>
      <w:bookmarkEnd w:id="200"/>
      <w:bookmarkEnd w:id="201"/>
    </w:p>
    <w:p w14:paraId="798AE8A3" w14:textId="77777777" w:rsidR="009D4BFA" w:rsidRPr="00E47714" w:rsidRDefault="009D4BFA" w:rsidP="00E70336">
      <w:pPr>
        <w:pStyle w:val="NormalWeb"/>
        <w:spacing w:before="0" w:beforeAutospacing="0" w:after="0" w:afterAutospacing="0"/>
      </w:pPr>
      <w:r w:rsidRPr="00E47714">
        <w:rPr>
          <w:noProof/>
        </w:rPr>
        <w:drawing>
          <wp:inline distT="0" distB="0" distL="0" distR="0" wp14:anchorId="2F473532" wp14:editId="67F99547">
            <wp:extent cx="5088467" cy="2994260"/>
            <wp:effectExtent l="0" t="0" r="0" b="0"/>
            <wp:docPr id="1286808701" name="Picture 1286808701" descr="A series of two timeseries line charts showing the age-standardised rate of housing-related hospitalisations from 2014 to 2023 by ethnicity. The two charts are separate for females and males. The rates are similar and lowest for European/other and Asian ethnic groups. Rates for Māori are higher and rates for Pacific peoples are the highest. There is a notable reduction in the rates of housing-related hospitalisations in 2020 and 2021. Rates of housing-related hospitalisations are higher among males for all ethn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08701" name="Picture 1286808701" descr="A series of two timeseries line charts showing the age-standardised rate of housing-related hospitalisations from 2014 to 2023 by ethnicity. The two charts are separate for females and males. The rates are similar and lowest for European/other and Asian ethnic groups. Rates for Māori are higher and rates for Pacific peoples are the highest. There is a notable reduction in the rates of housing-related hospitalisations in 2020 and 2021. Rates of housing-related hospitalisations are higher among males for all ethnic groups."/>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5095852" cy="2998605"/>
                    </a:xfrm>
                    <a:prstGeom prst="rect">
                      <a:avLst/>
                    </a:prstGeom>
                    <a:noFill/>
                    <a:ln>
                      <a:noFill/>
                    </a:ln>
                  </pic:spPr>
                </pic:pic>
              </a:graphicData>
            </a:graphic>
          </wp:inline>
        </w:drawing>
      </w:r>
    </w:p>
    <w:p w14:paraId="610BA4C8" w14:textId="77777777" w:rsidR="009D4BFA" w:rsidRPr="00E47714" w:rsidRDefault="009D4BFA" w:rsidP="009D4BFA">
      <w:pPr>
        <w:pStyle w:val="Source"/>
        <w:rPr>
          <w:b/>
          <w:bCs/>
        </w:rPr>
      </w:pPr>
      <w:r w:rsidRPr="00E47714">
        <w:rPr>
          <w:b/>
          <w:bCs/>
        </w:rPr>
        <w:t xml:space="preserve">Source: </w:t>
      </w:r>
      <w:r w:rsidRPr="00E47714">
        <w:t>Ministry of Health unpublished data (2024)</w:t>
      </w:r>
    </w:p>
    <w:p w14:paraId="16BD7855" w14:textId="77777777" w:rsidR="009D4BFA" w:rsidRPr="00E47714" w:rsidRDefault="009D4BFA" w:rsidP="009D4BFA">
      <w:pPr>
        <w:pStyle w:val="Heading3"/>
      </w:pPr>
      <w:r w:rsidRPr="00E47714">
        <w:t xml:space="preserve">Air and </w:t>
      </w:r>
      <w:r>
        <w:t>w</w:t>
      </w:r>
      <w:r w:rsidRPr="00E47714">
        <w:t>ater quality</w:t>
      </w:r>
    </w:p>
    <w:p w14:paraId="7DBE0907" w14:textId="77777777" w:rsidR="009D4BFA" w:rsidRPr="00E47714" w:rsidRDefault="009D4BFA" w:rsidP="009D4BFA">
      <w:pPr>
        <w:pStyle w:val="Heading4"/>
      </w:pPr>
      <w:r w:rsidRPr="00E47714">
        <w:t>Air quality</w:t>
      </w:r>
    </w:p>
    <w:p w14:paraId="7E6D3B90" w14:textId="6CE0B1E3" w:rsidR="009D4BFA" w:rsidRDefault="009D4BFA" w:rsidP="009D4BFA">
      <w:r w:rsidRPr="00E47714">
        <w:t>The W</w:t>
      </w:r>
      <w:r>
        <w:t>HO</w:t>
      </w:r>
      <w:r w:rsidRPr="00E47714">
        <w:t xml:space="preserve"> air quality guidelines were exceeded at most </w:t>
      </w:r>
      <w:r>
        <w:t xml:space="preserve">Aotearoa </w:t>
      </w:r>
      <w:r w:rsidRPr="00E47714">
        <w:t xml:space="preserve">New Zealand stations monitoring nitrogen dioxide </w:t>
      </w:r>
      <w:r>
        <w:t>(</w:t>
      </w:r>
      <w:r w:rsidRPr="00E47714">
        <w:t>NO</w:t>
      </w:r>
      <w:r w:rsidRPr="00E47714">
        <w:rPr>
          <w:vertAlign w:val="subscript"/>
        </w:rPr>
        <w:t>2</w:t>
      </w:r>
      <w:r>
        <w:t xml:space="preserve">) </w:t>
      </w:r>
      <w:r w:rsidRPr="00E47714">
        <w:t>and fine particulate matter less than 2.5 micrometres in diameter</w:t>
      </w:r>
      <w:r>
        <w:t xml:space="preserve"> (</w:t>
      </w:r>
      <w:r w:rsidRPr="00E47714">
        <w:t>PM</w:t>
      </w:r>
      <w:r w:rsidRPr="00E47714">
        <w:rPr>
          <w:vertAlign w:val="subscript"/>
        </w:rPr>
        <w:t>2.5</w:t>
      </w:r>
      <w:r>
        <w:t>)</w:t>
      </w:r>
      <w:r w:rsidRPr="00E47714">
        <w:t xml:space="preserve"> in 2020 </w:t>
      </w:r>
      <w:r>
        <w:fldChar w:fldCharType="begin"/>
      </w:r>
      <w:r>
        <w:instrText xml:space="preserve"> ADDIN EN.CITE &lt;EndNote&gt;&lt;Cite&gt;&lt;Author&gt;Environmental Health Intelligence New Zealand&lt;/Author&gt;&lt;Year&gt;2024&lt;/Year&gt;&lt;RecNum&gt;488&lt;/RecNum&gt;&lt;DisplayText&gt;(Environmental Health Intelligence New Zealand 2024)&lt;/DisplayText&gt;&lt;record&gt;&lt;rec-number&gt;488&lt;/rec-number&gt;&lt;foreign-keys&gt;&lt;key app="EN" db-id="aaepvppzs5wtfse95vsp2wahsrtvva2vvdet" timestamp="1716519748"&gt;488&lt;/key&gt;&lt;/foreign-keys&gt;&lt;ref-type name="Web Page"&gt;12&lt;/ref-type&gt;&lt;contributors&gt;&lt;authors&gt;&lt;author&gt;Environmental Health Intelligence New Zealand,&lt;/author&gt;&lt;/authors&gt;&lt;/contributors&gt;&lt;titles&gt;&lt;title&gt;Aotearoa New Zealand&amp;apos;s environmental health: 2023&lt;/title&gt;&lt;/titles&gt;&lt;number&gt;24 May 2024&lt;/number&gt;&lt;dates&gt;&lt;year&gt;2024&lt;/year&gt;&lt;/dates&gt;&lt;urls&gt;&lt;related-urls&gt;&lt;url&gt;ehinz.ac.nz/indicators/overview/key-findings&lt;/url&gt;&lt;/related-urls&gt;&lt;/urls&gt;&lt;/record&gt;&lt;/Cite&gt;&lt;/EndNote&gt;</w:instrText>
      </w:r>
      <w:r>
        <w:fldChar w:fldCharType="separate"/>
      </w:r>
      <w:r>
        <w:rPr>
          <w:noProof/>
        </w:rPr>
        <w:t>(Environmental Health Intelligence New Zealand 2024)</w:t>
      </w:r>
      <w:r>
        <w:fldChar w:fldCharType="end"/>
      </w:r>
      <w:r w:rsidRPr="00E47714">
        <w:t>.</w:t>
      </w:r>
      <w:r>
        <w:t xml:space="preserve"> </w:t>
      </w:r>
    </w:p>
    <w:p w14:paraId="03153D4A" w14:textId="77777777" w:rsidR="00E70336" w:rsidRPr="00E47714" w:rsidRDefault="00E70336" w:rsidP="009D4BFA"/>
    <w:p w14:paraId="3F93046A" w14:textId="60DD020B" w:rsidR="009D4BFA" w:rsidRDefault="009D4BFA" w:rsidP="009D4BFA">
      <w:r w:rsidRPr="00E47714">
        <w:t xml:space="preserve">Emerging evidence shows that exposure to </w:t>
      </w:r>
      <w:r>
        <w:t>two</w:t>
      </w:r>
      <w:r w:rsidRPr="00E47714">
        <w:t xml:space="preserve"> human-made air pollutants is associated with significant health impacts.</w:t>
      </w:r>
      <w:r w:rsidRPr="00E47714">
        <w:rPr>
          <w:color w:val="0B0C0C"/>
          <w:sz w:val="29"/>
          <w:szCs w:val="29"/>
          <w:shd w:val="clear" w:color="auto" w:fill="FFFFFF"/>
        </w:rPr>
        <w:t xml:space="preserve"> </w:t>
      </w:r>
      <w:r w:rsidRPr="00E47714">
        <w:t>The indicator </w:t>
      </w:r>
      <w:hyperlink r:id="rId77" w:history="1">
        <w:r w:rsidRPr="00E47714">
          <w:rPr>
            <w:i/>
            <w:iCs/>
          </w:rPr>
          <w:t>Human health impacts of PM</w:t>
        </w:r>
        <w:r w:rsidRPr="00E47714">
          <w:rPr>
            <w:i/>
            <w:iCs/>
            <w:vertAlign w:val="subscript"/>
          </w:rPr>
          <w:t>2.5</w:t>
        </w:r>
        <w:r w:rsidRPr="00E47714">
          <w:rPr>
            <w:i/>
            <w:iCs/>
          </w:rPr>
          <w:t> and NO</w:t>
        </w:r>
        <w:r w:rsidRPr="00E47714">
          <w:rPr>
            <w:i/>
            <w:iCs/>
            <w:vertAlign w:val="subscript"/>
          </w:rPr>
          <w:t>2</w:t>
        </w:r>
      </w:hyperlink>
      <w:r w:rsidRPr="00E47714">
        <w:t> reports on the health impacts associated with exposure to PM</w:t>
      </w:r>
      <w:r w:rsidRPr="00E47714">
        <w:rPr>
          <w:vertAlign w:val="subscript"/>
        </w:rPr>
        <w:t>2.5</w:t>
      </w:r>
      <w:r w:rsidRPr="00E47714">
        <w:t> (mainly from combustion) and NO</w:t>
      </w:r>
      <w:r w:rsidRPr="00E47714">
        <w:rPr>
          <w:vertAlign w:val="subscript"/>
        </w:rPr>
        <w:t>2</w:t>
      </w:r>
      <w:r w:rsidRPr="00E47714">
        <w:t> (mainly from vehicle emissions)</w:t>
      </w:r>
      <w:r>
        <w:t>, the two</w:t>
      </w:r>
      <w:r w:rsidRPr="00E47714">
        <w:t xml:space="preserve"> human-made air pollutants now known to be of </w:t>
      </w:r>
      <w:r>
        <w:t>greatest</w:t>
      </w:r>
      <w:r w:rsidRPr="00E47714">
        <w:t xml:space="preserve"> concern in Aotearoa New Zealand.</w:t>
      </w:r>
    </w:p>
    <w:p w14:paraId="19A448C0" w14:textId="77777777" w:rsidR="00E70336" w:rsidRPr="00E47714" w:rsidRDefault="00E70336" w:rsidP="009D4BFA"/>
    <w:p w14:paraId="061D2F27" w14:textId="77777777" w:rsidR="009D4BFA" w:rsidRPr="00E47714" w:rsidRDefault="009D4BFA" w:rsidP="009D4BFA">
      <w:r>
        <w:t>In 2016</w:t>
      </w:r>
      <w:r w:rsidRPr="00E47714">
        <w:t>, NO</w:t>
      </w:r>
      <w:r w:rsidRPr="00E47714">
        <w:rPr>
          <w:vertAlign w:val="subscript"/>
        </w:rPr>
        <w:t>2</w:t>
      </w:r>
      <w:r w:rsidRPr="00E47714">
        <w:t xml:space="preserve"> and PM</w:t>
      </w:r>
      <w:r w:rsidRPr="00E47714">
        <w:rPr>
          <w:vertAlign w:val="subscript"/>
        </w:rPr>
        <w:t>2.5</w:t>
      </w:r>
      <w:r w:rsidRPr="00E47714">
        <w:t xml:space="preserve"> were linked to an estimated 13,155 hospitalisations and an estimated 3,317 premature deaths in Aotearoa New Zealand. Of the estimated hospitalisations (all ages) attributed to exposure to human-made air pollution in 2016</w:t>
      </w:r>
      <w:r>
        <w:t>, it is estimated</w:t>
      </w:r>
      <w:r w:rsidRPr="00E47714">
        <w:t>:</w:t>
      </w:r>
    </w:p>
    <w:p w14:paraId="28A69A13" w14:textId="77777777" w:rsidR="009D4BFA" w:rsidRPr="00E47714" w:rsidRDefault="009D4BFA" w:rsidP="00E70336">
      <w:pPr>
        <w:pStyle w:val="Bullet"/>
      </w:pPr>
      <w:r w:rsidRPr="00E47714">
        <w:t>71% (9,376 cases) were associated with motor vehicle emissions (mainly NO</w:t>
      </w:r>
      <w:r w:rsidRPr="00E47714">
        <w:rPr>
          <w:vertAlign w:val="subscript"/>
        </w:rPr>
        <w:t>2</w:t>
      </w:r>
      <w:r w:rsidRPr="00E47714">
        <w:t> with some PM</w:t>
      </w:r>
      <w:r w:rsidRPr="00E47714">
        <w:rPr>
          <w:vertAlign w:val="subscript"/>
        </w:rPr>
        <w:t>2.5</w:t>
      </w:r>
      <w:r w:rsidRPr="00E47714">
        <w:t>)</w:t>
      </w:r>
    </w:p>
    <w:p w14:paraId="1A719981" w14:textId="77777777" w:rsidR="009D4BFA" w:rsidRPr="00E47714" w:rsidRDefault="009D4BFA" w:rsidP="00E70336">
      <w:pPr>
        <w:pStyle w:val="Bullet"/>
      </w:pPr>
      <w:r w:rsidRPr="00E47714">
        <w:t>26% (3,375 cases) were associated with PM</w:t>
      </w:r>
      <w:r w:rsidRPr="00E47714">
        <w:rPr>
          <w:vertAlign w:val="subscript"/>
        </w:rPr>
        <w:t>2.5</w:t>
      </w:r>
      <w:r w:rsidRPr="00E47714">
        <w:t> emissions from domestic fires.</w:t>
      </w:r>
    </w:p>
    <w:p w14:paraId="4751BC70" w14:textId="77777777" w:rsidR="00E70336" w:rsidRDefault="00E70336" w:rsidP="009D4BFA"/>
    <w:p w14:paraId="131AB219" w14:textId="4E87B5AE" w:rsidR="009D4BFA" w:rsidRPr="00E47714" w:rsidRDefault="009D4BFA" w:rsidP="009D4BFA">
      <w:r w:rsidRPr="00E47714">
        <w:t>Of the estimated premature deaths (age 30+ years) attributed to exposure to human-made air pollution in 2016</w:t>
      </w:r>
      <w:r>
        <w:t>, it is estimated</w:t>
      </w:r>
      <w:r w:rsidRPr="00E47714">
        <w:t>:</w:t>
      </w:r>
    </w:p>
    <w:p w14:paraId="022F2075" w14:textId="77777777" w:rsidR="009D4BFA" w:rsidRPr="00E47714" w:rsidRDefault="009D4BFA" w:rsidP="00E70336">
      <w:pPr>
        <w:pStyle w:val="Bullet"/>
      </w:pPr>
      <w:r w:rsidRPr="00E47714">
        <w:lastRenderedPageBreak/>
        <w:t>68% (2,247 cases) were associated with motor vehicle emissions (mainly NO</w:t>
      </w:r>
      <w:r w:rsidRPr="00E47714">
        <w:rPr>
          <w:vertAlign w:val="subscript"/>
        </w:rPr>
        <w:t>2</w:t>
      </w:r>
      <w:r w:rsidRPr="00E47714">
        <w:t> with some PM</w:t>
      </w:r>
      <w:r w:rsidRPr="00E47714">
        <w:rPr>
          <w:vertAlign w:val="subscript"/>
        </w:rPr>
        <w:t>2.5</w:t>
      </w:r>
      <w:r w:rsidRPr="00E47714">
        <w:t>)</w:t>
      </w:r>
    </w:p>
    <w:p w14:paraId="64FCE4E5" w14:textId="77777777" w:rsidR="009D4BFA" w:rsidRPr="00E47714" w:rsidRDefault="009D4BFA" w:rsidP="00E70336">
      <w:pPr>
        <w:pStyle w:val="Bullet"/>
      </w:pPr>
      <w:r w:rsidRPr="00E47714">
        <w:t>29% (962 cases) were associated with PM</w:t>
      </w:r>
      <w:r w:rsidRPr="00E47714">
        <w:rPr>
          <w:vertAlign w:val="subscript"/>
        </w:rPr>
        <w:t>2.5</w:t>
      </w:r>
      <w:r w:rsidRPr="00E47714">
        <w:t> emissions from domestic fires.</w:t>
      </w:r>
    </w:p>
    <w:p w14:paraId="73F83916" w14:textId="77777777" w:rsidR="00E70336" w:rsidRDefault="00E70336" w:rsidP="009D4BFA"/>
    <w:p w14:paraId="54E60E78" w14:textId="25B6E191" w:rsidR="009D4BFA" w:rsidRPr="00E47714" w:rsidRDefault="009D4BFA" w:rsidP="009D4BFA">
      <w:r>
        <w:t>F</w:t>
      </w:r>
      <w:r w:rsidRPr="00E47714">
        <w:t>rom 2006 to 2016, estimated rates of premature deaths (per 100,000 people age</w:t>
      </w:r>
      <w:r>
        <w:t>d</w:t>
      </w:r>
      <w:r w:rsidRPr="00E47714">
        <w:t xml:space="preserve"> 30+ years) attributed to NO</w:t>
      </w:r>
      <w:r w:rsidRPr="00C77EEE">
        <w:rPr>
          <w:vertAlign w:val="subscript"/>
        </w:rPr>
        <w:t>2</w:t>
      </w:r>
      <w:r w:rsidRPr="00E47714">
        <w:t> emissions increased by 12%</w:t>
      </w:r>
      <w:r>
        <w:t xml:space="preserve"> </w:t>
      </w:r>
      <w:r w:rsidRPr="00E47714">
        <w:t>and hospitalisations (per 100,000 people all ages) attributed to NO</w:t>
      </w:r>
      <w:r w:rsidRPr="00C77EEE">
        <w:rPr>
          <w:vertAlign w:val="subscript"/>
        </w:rPr>
        <w:t>2</w:t>
      </w:r>
      <w:r w:rsidRPr="00E47714">
        <w:t> emissions increased by 23%. In contrast, the estimated rates of premature deaths (per 100,000 people age</w:t>
      </w:r>
      <w:r>
        <w:t>d</w:t>
      </w:r>
      <w:r w:rsidRPr="00E47714">
        <w:t xml:space="preserve"> 30+years) and hospitalisations (per 100,000 people all ages) from PM</w:t>
      </w:r>
      <w:r w:rsidRPr="00C77EEE">
        <w:rPr>
          <w:vertAlign w:val="subscript"/>
        </w:rPr>
        <w:t>2.5</w:t>
      </w:r>
      <w:r w:rsidRPr="00E47714">
        <w:t xml:space="preserve"> exposure both decreased by 21%, most likely due to improvements made in domestic fire emissions </w:t>
      </w:r>
      <w:r>
        <w:fldChar w:fldCharType="begin"/>
      </w:r>
      <w:r>
        <w:instrText xml:space="preserve"> ADDIN EN.CITE &lt;EndNote&gt;&lt;Cite&gt;&lt;Author&gt;Stats NZ &lt;/Author&gt;&lt;Year&gt;2023&lt;/Year&gt;&lt;RecNum&gt;489&lt;/RecNum&gt;&lt;DisplayText&gt;(Stats NZ 2023b)&lt;/DisplayText&gt;&lt;record&gt;&lt;rec-number&gt;489&lt;/rec-number&gt;&lt;foreign-keys&gt;&lt;key app="EN" db-id="aaepvppzs5wtfse95vsp2wahsrtvva2vvdet" timestamp="1716519923"&gt;489&lt;/key&gt;&lt;/foreign-keys&gt;&lt;ref-type name="Web Page"&gt;12&lt;/ref-type&gt;&lt;contributors&gt;&lt;authors&gt;&lt;author&gt;Stats NZ ,&lt;/author&gt;&lt;/authors&gt;&lt;/contributors&gt;&lt;titles&gt;&lt;title&gt;Health impacts of exposure to human-made air pollution&lt;/title&gt;&lt;/titles&gt;&lt;number&gt;24 May 2024&lt;/number&gt;&lt;dates&gt;&lt;year&gt;2023&lt;/year&gt;&lt;/dates&gt;&lt;urls&gt;&lt;related-urls&gt;&lt;url&gt;stats.govt.nz/news/health-impacts-of-exposure-to-human-made-air-pollution&lt;/url&gt;&lt;/related-urls&gt;&lt;/urls&gt;&lt;/record&gt;&lt;/Cite&gt;&lt;/EndNote&gt;</w:instrText>
      </w:r>
      <w:r>
        <w:fldChar w:fldCharType="separate"/>
      </w:r>
      <w:r>
        <w:rPr>
          <w:noProof/>
        </w:rPr>
        <w:t>(Stats NZ 2023b)</w:t>
      </w:r>
      <w:r>
        <w:fldChar w:fldCharType="end"/>
      </w:r>
      <w:r w:rsidRPr="00E47714">
        <w:t>.</w:t>
      </w:r>
      <w:r w:rsidRPr="00E47714">
        <w:rPr>
          <w:rStyle w:val="FootnoteReference"/>
          <w:rFonts w:cs="Segoe UI"/>
        </w:rPr>
        <w:t xml:space="preserve"> </w:t>
      </w:r>
    </w:p>
    <w:p w14:paraId="18C5E3F1" w14:textId="77777777" w:rsidR="009D4BFA" w:rsidRPr="00E47714" w:rsidRDefault="009D4BFA" w:rsidP="009D4BFA">
      <w:pPr>
        <w:pStyle w:val="Heading4"/>
      </w:pPr>
      <w:r w:rsidRPr="00E47714">
        <w:t>Water quality</w:t>
      </w:r>
    </w:p>
    <w:p w14:paraId="7AC65FED" w14:textId="77777777" w:rsidR="009D4BFA" w:rsidRPr="00B81639" w:rsidRDefault="009D4BFA" w:rsidP="009D4BFA">
      <w:r>
        <w:t>This section covers water quality compliance for drinking water supplies, and water quality at recreational bathing sites (beaches, rivers, and lakes).</w:t>
      </w:r>
    </w:p>
    <w:p w14:paraId="275AFCF6" w14:textId="77777777" w:rsidR="009D4BFA" w:rsidRPr="00E47714" w:rsidRDefault="009D4BFA" w:rsidP="009D4BFA">
      <w:pPr>
        <w:pStyle w:val="Heading5"/>
      </w:pPr>
      <w:r w:rsidRPr="00E47714">
        <w:t>Drinking</w:t>
      </w:r>
      <w:r>
        <w:t xml:space="preserve"> water</w:t>
      </w:r>
    </w:p>
    <w:p w14:paraId="68A73890" w14:textId="14B2F0CA" w:rsidR="009D4BFA" w:rsidRDefault="009D4BFA" w:rsidP="009D4BFA">
      <w:r w:rsidRPr="00E47714">
        <w:t>The Ministry of Health</w:t>
      </w:r>
      <w:r>
        <w:t>’s</w:t>
      </w:r>
      <w:r w:rsidRPr="00E47714">
        <w:t xml:space="preserve"> </w:t>
      </w:r>
      <w:r w:rsidRPr="00C77EEE">
        <w:rPr>
          <w:i/>
          <w:iCs/>
        </w:rPr>
        <w:t>Annual Report on Drinking-</w:t>
      </w:r>
      <w:r>
        <w:rPr>
          <w:i/>
          <w:iCs/>
        </w:rPr>
        <w:t>w</w:t>
      </w:r>
      <w:r w:rsidRPr="00C77EEE">
        <w:rPr>
          <w:i/>
          <w:iCs/>
        </w:rPr>
        <w:t>ater Quality</w:t>
      </w:r>
      <w:r w:rsidRPr="00E47714">
        <w:t xml:space="preserve"> summarises drinking-water compliance for 485 registered networked drinking-water supplies that serve populations of more than 100 people, collectively supplying water to 4,202,000 people. To fully comply with the </w:t>
      </w:r>
      <w:r w:rsidRPr="00C77EEE">
        <w:rPr>
          <w:i/>
          <w:iCs/>
        </w:rPr>
        <w:t>Drinking-water Standards for New Zealand 2005 (revised 2018)</w:t>
      </w:r>
      <w:r>
        <w:t xml:space="preserve"> (the Standards)</w:t>
      </w:r>
      <w:r w:rsidRPr="00E47714">
        <w:t>, a supply must comply with all the bacteriological, protozoal</w:t>
      </w:r>
      <w:r>
        <w:t>,</w:t>
      </w:r>
      <w:r w:rsidRPr="00E47714">
        <w:t xml:space="preserve"> and chemical requirements, including </w:t>
      </w:r>
      <w:r>
        <w:t xml:space="preserve">by </w:t>
      </w:r>
      <w:r w:rsidRPr="00E47714">
        <w:t xml:space="preserve">following the prescribed sampling and monitoring schedule. </w:t>
      </w:r>
    </w:p>
    <w:p w14:paraId="2FCC2929" w14:textId="77777777" w:rsidR="00E70336" w:rsidRPr="00E47714" w:rsidRDefault="00E70336" w:rsidP="009D4BFA"/>
    <w:p w14:paraId="7231EC4A" w14:textId="4653D114" w:rsidR="009D4BFA" w:rsidRDefault="009D4BFA" w:rsidP="009D4BFA">
      <w:r w:rsidRPr="00E47714">
        <w:t>In the 2020/21 reporting period, 78% of the report population received drinking-water that complied with all the Standards. This was a decrease of 0.6</w:t>
      </w:r>
      <w:r>
        <w:t xml:space="preserve"> percentage points</w:t>
      </w:r>
      <w:r w:rsidRPr="00E47714">
        <w:t xml:space="preserve"> compared with the previous reporting period. People living in rural areas and small communities were less likely to have drinking-water that met safety standards </w:t>
      </w:r>
      <w:r>
        <w:fldChar w:fldCharType="begin"/>
      </w:r>
      <w:r>
        <w:instrText xml:space="preserve"> ADDIN EN.CITE &lt;EndNote&gt;&lt;Cite&gt;&lt;Author&gt;Ministry of Health &lt;/Author&gt;&lt;Year&gt;2022&lt;/Year&gt;&lt;RecNum&gt;490&lt;/RecNum&gt;&lt;DisplayText&gt;(Ministry of Health 2022a)&lt;/DisplayText&gt;&lt;record&gt;&lt;rec-number&gt;490&lt;/rec-number&gt;&lt;foreign-keys&gt;&lt;key app="EN" db-id="aaepvppzs5wtfse95vsp2wahsrtvva2vvdet" timestamp="1716520193"&gt;490&lt;/key&gt;&lt;/foreign-keys&gt;&lt;ref-type name="Government Document"&gt;46&lt;/ref-type&gt;&lt;contributors&gt;&lt;authors&gt;&lt;author&gt; Ministry of Health ,&lt;/author&gt;&lt;/authors&gt;&lt;/contributors&gt;&lt;titles&gt;&lt;title&gt;Annual Report on Drinking-water Quality 2020–2021&lt;/title&gt;&lt;/titles&gt;&lt;dates&gt;&lt;year&gt;2022&lt;/year&gt;&lt;/dates&gt;&lt;pub-location&gt;Wellington&lt;/pub-location&gt;&lt;publisher&gt;Ministry of Health&lt;/publisher&gt;&lt;urls&gt;&lt;related-urls&gt;&lt;url&gt;https://www.health.govt.nz/system/files/documents/publications/annual-report-on-drinking-water-quality-2020-2021-mar22.pdf&lt;/url&gt;&lt;/related-urls&gt;&lt;/urls&gt;&lt;/record&gt;&lt;/Cite&gt;&lt;/EndNote&gt;</w:instrText>
      </w:r>
      <w:r>
        <w:fldChar w:fldCharType="separate"/>
      </w:r>
      <w:r>
        <w:rPr>
          <w:noProof/>
        </w:rPr>
        <w:t>(Ministry of Health 2022a)</w:t>
      </w:r>
      <w:r>
        <w:fldChar w:fldCharType="end"/>
      </w:r>
      <w:r w:rsidRPr="00E47714">
        <w:t>.</w:t>
      </w:r>
    </w:p>
    <w:p w14:paraId="1888B52C" w14:textId="77777777" w:rsidR="00E70336" w:rsidRPr="00E47714" w:rsidRDefault="00E70336" w:rsidP="009D4BFA"/>
    <w:p w14:paraId="0042B604" w14:textId="1F282070" w:rsidR="009D4BFA" w:rsidRPr="00E47714" w:rsidRDefault="009D4BFA" w:rsidP="009D4BFA">
      <w:r w:rsidRPr="00E47714">
        <w:fldChar w:fldCharType="begin"/>
      </w:r>
      <w:r w:rsidRPr="00E47714">
        <w:instrText xml:space="preserve"> REF _Ref167433973 \h  \* MERGEFORMAT </w:instrText>
      </w:r>
      <w:r w:rsidRPr="00E47714">
        <w:fldChar w:fldCharType="separate"/>
      </w:r>
      <w:r w:rsidR="009A6F87" w:rsidRPr="00E47714">
        <w:t xml:space="preserve">Figure </w:t>
      </w:r>
      <w:r w:rsidR="009A6F87">
        <w:t>35</w:t>
      </w:r>
      <w:r w:rsidRPr="00E47714">
        <w:fldChar w:fldCharType="end"/>
      </w:r>
      <w:r w:rsidRPr="00E47714">
        <w:t xml:space="preserve"> show</w:t>
      </w:r>
      <w:r>
        <w:t>s</w:t>
      </w:r>
      <w:r w:rsidRPr="00E47714">
        <w:t xml:space="preserve"> the proportion of the report population that received drinking</w:t>
      </w:r>
      <w:r>
        <w:t>-</w:t>
      </w:r>
      <w:r w:rsidRPr="00E47714">
        <w:t xml:space="preserve">water that complied with all Standards over the last 10 reporting periods. Overall, compliance with the </w:t>
      </w:r>
      <w:r>
        <w:t>S</w:t>
      </w:r>
      <w:r w:rsidRPr="00E47714">
        <w:t xml:space="preserve">tandards dropped in the current reporting period for the first time since the introduction of the revised Standards in 2018. </w:t>
      </w:r>
    </w:p>
    <w:p w14:paraId="1A4D76EC" w14:textId="0C23C5A9" w:rsidR="009D4BFA" w:rsidRPr="00E47714" w:rsidRDefault="009D4BFA" w:rsidP="00E70336">
      <w:pPr>
        <w:pStyle w:val="Figure"/>
      </w:pPr>
      <w:bookmarkStart w:id="202" w:name="_Ref167433973"/>
      <w:bookmarkStart w:id="203" w:name="_Toc171330682"/>
      <w:bookmarkStart w:id="204" w:name="_Toc172104718"/>
      <w:r w:rsidRPr="00E47714">
        <w:lastRenderedPageBreak/>
        <w:t xml:space="preserve">Figure </w:t>
      </w:r>
      <w:fldSimple w:instr=" SEQ Figure \* ARABIC ">
        <w:r w:rsidR="009A6F87">
          <w:rPr>
            <w:noProof/>
          </w:rPr>
          <w:t>35</w:t>
        </w:r>
      </w:fldSimple>
      <w:bookmarkEnd w:id="202"/>
      <w:r w:rsidRPr="00E47714">
        <w:t>: Proportion of report population receiving drinking</w:t>
      </w:r>
      <w:r>
        <w:t>-</w:t>
      </w:r>
      <w:r w:rsidRPr="00E47714">
        <w:t>water that complied with all</w:t>
      </w:r>
      <w:r>
        <w:t xml:space="preserve"> Drinking-water</w:t>
      </w:r>
      <w:r w:rsidRPr="00E47714">
        <w:t xml:space="preserve"> </w:t>
      </w:r>
      <w:r>
        <w:t>S</w:t>
      </w:r>
      <w:r w:rsidRPr="00E47714">
        <w:t>tandards</w:t>
      </w:r>
      <w:r>
        <w:t xml:space="preserve"> for New Zealand</w:t>
      </w:r>
      <w:r w:rsidRPr="00E47714">
        <w:t>, 2011/12–2020/</w:t>
      </w:r>
      <w:proofErr w:type="gramStart"/>
      <w:r w:rsidRPr="00E47714">
        <w:t>21</w:t>
      </w:r>
      <w:bookmarkEnd w:id="203"/>
      <w:bookmarkEnd w:id="204"/>
      <w:proofErr w:type="gramEnd"/>
    </w:p>
    <w:p w14:paraId="28D7E972" w14:textId="77777777" w:rsidR="009D4BFA" w:rsidRPr="00E47714" w:rsidRDefault="009D4BFA" w:rsidP="00E70336">
      <w:pPr>
        <w:pStyle w:val="NormalWeb"/>
        <w:spacing w:before="0" w:beforeAutospacing="0" w:after="0" w:afterAutospacing="0"/>
      </w:pPr>
      <w:r w:rsidRPr="00E47714">
        <w:rPr>
          <w:noProof/>
        </w:rPr>
        <w:drawing>
          <wp:inline distT="0" distB="0" distL="0" distR="0" wp14:anchorId="32F4E840" wp14:editId="659D7965">
            <wp:extent cx="5113867" cy="3145500"/>
            <wp:effectExtent l="0" t="0" r="0" b="0"/>
            <wp:docPr id="1286808697" name="Picture 1286808697" descr="A timeseries graph showing the percentage of the population for 485 registered networked drinking-water supplies serving populations of greater than 100 people who received water complying with drinking-water standards. The chart shows the percentage was 76.7 in 2011/12 and increased to 81.1% in 2016/17 before dropping to 73.7% in 2017/18 against the 2005 standards. In 2017/18 the percentage was 72.6% against the 2018 standards and increased to 78% by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08697" name="Picture 1286808697" descr="A timeseries graph showing the percentage of the population for 485 registered networked drinking-water supplies serving populations of greater than 100 people who received water complying with drinking-water standards. The chart shows the percentage was 76.7 in 2011/12 and increased to 81.1% in 2016/17 before dropping to 73.7% in 2017/18 against the 2005 standards. In 2017/18 the percentage was 72.6% against the 2018 standards and increased to 78% by 2020/21."/>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5124694" cy="3152160"/>
                    </a:xfrm>
                    <a:prstGeom prst="rect">
                      <a:avLst/>
                    </a:prstGeom>
                    <a:noFill/>
                    <a:ln>
                      <a:noFill/>
                    </a:ln>
                  </pic:spPr>
                </pic:pic>
              </a:graphicData>
            </a:graphic>
          </wp:inline>
        </w:drawing>
      </w:r>
    </w:p>
    <w:p w14:paraId="7E23749C" w14:textId="77777777" w:rsidR="009D4BFA" w:rsidRPr="00C77EEE" w:rsidRDefault="009D4BFA" w:rsidP="009D4BFA">
      <w:pPr>
        <w:pStyle w:val="Source"/>
      </w:pPr>
      <w:r>
        <w:t>Note: B</w:t>
      </w:r>
      <w:r w:rsidRPr="00E47714">
        <w:t xml:space="preserve">lue line </w:t>
      </w:r>
      <w:r>
        <w:t>=</w:t>
      </w:r>
      <w:r w:rsidRPr="00E47714">
        <w:t xml:space="preserve"> years measured against the 2006 </w:t>
      </w:r>
      <w:r>
        <w:t>S</w:t>
      </w:r>
      <w:r w:rsidRPr="00E47714">
        <w:t>tandards</w:t>
      </w:r>
      <w:r>
        <w:t>.</w:t>
      </w:r>
      <w:r w:rsidRPr="00E47714">
        <w:t xml:space="preserve"> </w:t>
      </w:r>
      <w:r>
        <w:t>O</w:t>
      </w:r>
      <w:r w:rsidRPr="00E47714">
        <w:t>range line</w:t>
      </w:r>
      <w:r>
        <w:t xml:space="preserve"> = years measured against</w:t>
      </w:r>
      <w:r w:rsidRPr="00E47714">
        <w:t xml:space="preserve"> the 2018 </w:t>
      </w:r>
      <w:r>
        <w:t>S</w:t>
      </w:r>
      <w:r w:rsidRPr="00E47714">
        <w:t>tandards.</w:t>
      </w:r>
    </w:p>
    <w:p w14:paraId="313D91EA" w14:textId="6546F6D9" w:rsidR="009D4BFA" w:rsidRDefault="009D4BFA" w:rsidP="009D4BFA">
      <w:pPr>
        <w:pStyle w:val="Source"/>
      </w:pPr>
      <w:r w:rsidRPr="00E47714">
        <w:rPr>
          <w:b/>
          <w:bCs/>
        </w:rPr>
        <w:t xml:space="preserve">Source: </w:t>
      </w:r>
      <w:r>
        <w:fldChar w:fldCharType="begin"/>
      </w:r>
      <w:r>
        <w:instrText xml:space="preserve"> ADDIN EN.CITE &lt;EndNote&gt;&lt;Cite AuthorYear="1"&gt;&lt;Author&gt;Stats NZ&lt;/Author&gt;&lt;Year&gt;2024&lt;/Year&gt;&lt;RecNum&gt;482&lt;/RecNum&gt;&lt;DisplayText&gt;Stats NZ (2024h)&lt;/DisplayText&gt;&lt;record&gt;&lt;rec-number&gt;482&lt;/rec-number&gt;&lt;foreign-keys&gt;&lt;key app="EN" db-id="aaepvppzs5wtfse95vsp2wahsrtvva2vvdet" timestamp="1716518905"&gt;482&lt;/key&gt;&lt;/foreign-keys&gt;&lt;ref-type name="Web Page"&gt;12&lt;/ref-type&gt;&lt;contributors&gt;&lt;authors&gt;&lt;author&gt;Stats NZ,&lt;/author&gt;&lt;/authors&gt;&lt;/contributors&gt;&lt;titles&gt;&lt;title&gt;Indicators Aotearoa New Zealand&lt;/title&gt;&lt;/titles&gt;&lt;number&gt;24 May 2024&lt;/number&gt;&lt;dates&gt;&lt;year&gt;2024&lt;/year&gt;&lt;/dates&gt;&lt;urls&gt;&lt;related-urls&gt;&lt;url&gt;statisticsnz.shinyapps.io/wellbeingindicators&lt;/url&gt;&lt;/related-urls&gt;&lt;/urls&gt;&lt;/record&gt;&lt;/Cite&gt;&lt;/EndNote&gt;</w:instrText>
      </w:r>
      <w:r>
        <w:fldChar w:fldCharType="separate"/>
      </w:r>
      <w:r>
        <w:rPr>
          <w:noProof/>
        </w:rPr>
        <w:t>Stats NZ (2024h)</w:t>
      </w:r>
      <w:r>
        <w:fldChar w:fldCharType="end"/>
      </w:r>
    </w:p>
    <w:p w14:paraId="6E78D6E5" w14:textId="77777777" w:rsidR="00E70336" w:rsidRPr="00E70336" w:rsidRDefault="00E70336" w:rsidP="00E70336"/>
    <w:p w14:paraId="2213809F" w14:textId="77777777" w:rsidR="009D4BFA" w:rsidRPr="00E47714" w:rsidRDefault="009D4BFA" w:rsidP="009D4BFA">
      <w:pPr>
        <w:pStyle w:val="Heading5"/>
      </w:pPr>
      <w:r>
        <w:t>R</w:t>
      </w:r>
      <w:r w:rsidRPr="00E47714">
        <w:t>ecreational bathing sites</w:t>
      </w:r>
    </w:p>
    <w:p w14:paraId="613A1998" w14:textId="77777777" w:rsidR="009D4BFA" w:rsidRPr="00E47714" w:rsidRDefault="009D4BFA" w:rsidP="009D4BFA">
      <w:pPr>
        <w:rPr>
          <w:rFonts w:cs="Segoe UI"/>
          <w:lang w:eastAsia="en-NZ"/>
        </w:rPr>
      </w:pPr>
      <w:r w:rsidRPr="00E47714">
        <w:rPr>
          <w:lang w:eastAsia="en-NZ"/>
        </w:rPr>
        <w:t xml:space="preserve">In the 2021/22 bathing season, 63.4% of all 536 tested sites were unsafe to swim at least once. Of these, 166 beaches (57.2% of those surveyed that season) were unsafe to swim at on at least one occasion, as were 159 (84.6%) rivers and 15 (25.9%) lakes </w:t>
      </w:r>
      <w:r>
        <w:rPr>
          <w:lang w:eastAsia="en-NZ"/>
        </w:rPr>
        <w:fldChar w:fldCharType="begin"/>
      </w:r>
      <w:r>
        <w:rPr>
          <w:lang w:eastAsia="en-NZ"/>
        </w:rPr>
        <w:instrText xml:space="preserve"> ADDIN EN.CITE &lt;EndNote&gt;&lt;Cite&gt;&lt;Author&gt;Environmental Health Intelligence New Zealand&lt;/Author&gt;&lt;Year&gt;2023&lt;/Year&gt;&lt;RecNum&gt;491&lt;/RecNum&gt;&lt;DisplayText&gt;(Environmental Health Intelligence New Zealand 2023)&lt;/DisplayText&gt;&lt;record&gt;&lt;rec-number&gt;491&lt;/rec-number&gt;&lt;foreign-keys&gt;&lt;key app="EN" db-id="aaepvppzs5wtfse95vsp2wahsrtvva2vvdet" timestamp="1716520377"&gt;491&lt;/key&gt;&lt;/foreign-keys&gt;&lt;ref-type name="Government Document"&gt;46&lt;/ref-type&gt;&lt;contributors&gt;&lt;authors&gt;&lt;author&gt;Environmental Health Intelligence New Zealand,&lt;/author&gt;&lt;/authors&gt;&lt;/contributors&gt;&lt;titles&gt;&lt;title&gt;Faecal indictor bacteria at recreational bathing sites&lt;/title&gt;&lt;/titles&gt;&lt;dates&gt;&lt;year&gt;2023&lt;/year&gt;&lt;/dates&gt;&lt;pub-location&gt;Wellington&lt;/pub-location&gt;&lt;publisher&gt;Environmental Health Intelligence NZ, Massey University&lt;/publisher&gt;&lt;urls&gt;&lt;related-urls&gt;&lt;url&gt;ehinz.ac.nz/assets/Factsheets/Released_2023/Faecal-indicator-bacteria-at-recreational-bathing-sites-May2023.pdf&lt;/url&gt;&lt;/related-urls&gt;&lt;/urls&gt;&lt;/record&gt;&lt;/Cite&gt;&lt;/EndNote&gt;</w:instrText>
      </w:r>
      <w:r>
        <w:rPr>
          <w:lang w:eastAsia="en-NZ"/>
        </w:rPr>
        <w:fldChar w:fldCharType="separate"/>
      </w:r>
      <w:r>
        <w:rPr>
          <w:noProof/>
          <w:lang w:eastAsia="en-NZ"/>
        </w:rPr>
        <w:t>(Environmental Health Intelligence New Zealand 2023)</w:t>
      </w:r>
      <w:r>
        <w:rPr>
          <w:lang w:eastAsia="en-NZ"/>
        </w:rPr>
        <w:fldChar w:fldCharType="end"/>
      </w:r>
      <w:r w:rsidRPr="00E47714">
        <w:rPr>
          <w:lang w:eastAsia="en-NZ"/>
        </w:rPr>
        <w:t>.</w:t>
      </w:r>
    </w:p>
    <w:p w14:paraId="0CF4C127" w14:textId="77777777" w:rsidR="009D4BFA" w:rsidRPr="00E47714" w:rsidRDefault="009D4BFA" w:rsidP="009D4BFA">
      <w:pPr>
        <w:pStyle w:val="Heading3"/>
      </w:pPr>
      <w:r w:rsidRPr="00E47714">
        <w:t>Climate change</w:t>
      </w:r>
    </w:p>
    <w:p w14:paraId="24A29BFC" w14:textId="084C7269" w:rsidR="009D4BFA" w:rsidRDefault="009D4BFA" w:rsidP="009D4BFA">
      <w:r w:rsidRPr="00E47714">
        <w:t xml:space="preserve">Most years since 2010 had more hot and fewer cold days compared </w:t>
      </w:r>
      <w:r>
        <w:t>with</w:t>
      </w:r>
      <w:r w:rsidRPr="00E47714">
        <w:t xml:space="preserve"> the baseline (Climate Normal Period 1981</w:t>
      </w:r>
      <w:r>
        <w:t>–</w:t>
      </w:r>
      <w:r w:rsidRPr="00E47714">
        <w:t>2010)</w:t>
      </w:r>
      <w:r>
        <w:t xml:space="preserve"> </w:t>
      </w:r>
      <w:r>
        <w:fldChar w:fldCharType="begin"/>
      </w:r>
      <w:r>
        <w:instrText xml:space="preserve"> ADDIN EN.CITE &lt;EndNote&gt;&lt;Cite&gt;&lt;Author&gt;Ministry for the Environment and Stats NZ&lt;/Author&gt;&lt;Year&gt;2020&lt;/Year&gt;&lt;RecNum&gt;542&lt;/RecNum&gt;&lt;DisplayText&gt;(Ministry for the Environment and Stats NZ 2020)&lt;/DisplayText&gt;&lt;record&gt;&lt;rec-number&gt;542&lt;/rec-number&gt;&lt;foreign-keys&gt;&lt;key app="EN" db-id="aaepvppzs5wtfse95vsp2wahsrtvva2vvdet" timestamp="1719799479"&gt;542&lt;/key&gt;&lt;/foreign-keys&gt;&lt;ref-type name="Generic"&gt;13&lt;/ref-type&gt;&lt;contributors&gt;&lt;authors&gt;&lt;author&gt;Ministry for the Environment and Stats NZ,&lt;/author&gt;&lt;/authors&gt;&lt;/contributors&gt;&lt;titles&gt;&lt;title&gt;New Zealand’s Environmental Reporting Series: Our atmosphere and climate 2020&lt;/title&gt;&lt;/titles&gt;&lt;dates&gt;&lt;year&gt;2020&lt;/year&gt;&lt;/dates&gt;&lt;pub-location&gt;Wellington&lt;/pub-location&gt;&lt;publisher&gt;Ministry for the Environment and Stats NZ&lt;/publisher&gt;&lt;urls&gt;&lt;/urls&gt;&lt;/record&gt;&lt;/Cite&gt;&lt;/EndNote&gt;</w:instrText>
      </w:r>
      <w:r>
        <w:fldChar w:fldCharType="separate"/>
      </w:r>
      <w:r>
        <w:rPr>
          <w:noProof/>
        </w:rPr>
        <w:t>(Ministry for the Environment and Stats NZ 2020)</w:t>
      </w:r>
      <w:r>
        <w:fldChar w:fldCharType="end"/>
      </w:r>
      <w:r w:rsidRPr="00E47714">
        <w:t xml:space="preserve">. Extreme rainfall affected the same regions in 2022 as Cyclone Gabrielle did in 2023 </w:t>
      </w:r>
      <w:r>
        <w:fldChar w:fldCharType="begin"/>
      </w:r>
      <w:r>
        <w:instrText xml:space="preserve"> ADDIN EN.CITE &lt;EndNote&gt;&lt;Cite&gt;&lt;Author&gt;Environmental Health Intelligence New Zealand&lt;/Author&gt;&lt;Year&gt;2024&lt;/Year&gt;&lt;RecNum&gt;488&lt;/RecNum&gt;&lt;DisplayText&gt;(Environmental Health Intelligence New Zealand 2024)&lt;/DisplayText&gt;&lt;record&gt;&lt;rec-number&gt;488&lt;/rec-number&gt;&lt;foreign-keys&gt;&lt;key app="EN" db-id="aaepvppzs5wtfse95vsp2wahsrtvva2vvdet" timestamp="1716519748"&gt;488&lt;/key&gt;&lt;/foreign-keys&gt;&lt;ref-type name="Web Page"&gt;12&lt;/ref-type&gt;&lt;contributors&gt;&lt;authors&gt;&lt;author&gt;Environmental Health Intelligence New Zealand,&lt;/author&gt;&lt;/authors&gt;&lt;/contributors&gt;&lt;titles&gt;&lt;title&gt;Aotearoa New Zealand&amp;apos;s environmental health: 2023&lt;/title&gt;&lt;/titles&gt;&lt;number&gt;24 May 2024&lt;/number&gt;&lt;dates&gt;&lt;year&gt;2024&lt;/year&gt;&lt;/dates&gt;&lt;urls&gt;&lt;related-urls&gt;&lt;url&gt;ehinz.ac.nz/indicators/overview/key-findings&lt;/url&gt;&lt;/related-urls&gt;&lt;/urls&gt;&lt;/record&gt;&lt;/Cite&gt;&lt;/EndNote&gt;</w:instrText>
      </w:r>
      <w:r>
        <w:fldChar w:fldCharType="separate"/>
      </w:r>
      <w:r>
        <w:rPr>
          <w:noProof/>
        </w:rPr>
        <w:t>(Environmental Health Intelligence New Zealand 2024)</w:t>
      </w:r>
      <w:r>
        <w:fldChar w:fldCharType="end"/>
      </w:r>
      <w:r w:rsidRPr="00E47714">
        <w:t>. According to the Ministry for the Environment and Stats NZ, greenhouse gas emissions from human activities are changing Aotearoa New Zealand’s climate, impacting the environment, communities and the economy</w:t>
      </w:r>
      <w:r>
        <w:t xml:space="preserve"> </w:t>
      </w:r>
      <w:r>
        <w:fldChar w:fldCharType="begin"/>
      </w:r>
      <w:r>
        <w:instrText xml:space="preserve"> ADDIN EN.CITE &lt;EndNote&gt;&lt;Cite&gt;&lt;Author&gt;Stats NZ &lt;/Author&gt;&lt;Year&gt;2023&lt;/Year&gt;&lt;RecNum&gt;492&lt;/RecNum&gt;&lt;DisplayText&gt;(Stats NZ 2023c)&lt;/DisplayText&gt;&lt;record&gt;&lt;rec-number&gt;492&lt;/rec-number&gt;&lt;foreign-keys&gt;&lt;key app="EN" db-id="aaepvppzs5wtfse95vsp2wahsrtvva2vvdet" timestamp="1716520984"&gt;492&lt;/key&gt;&lt;/foreign-keys&gt;&lt;ref-type name="Web Page"&gt;12&lt;/ref-type&gt;&lt;contributors&gt;&lt;authors&gt;&lt;author&gt;Stats NZ ,&lt;/author&gt;&lt;/authors&gt;&lt;/contributors&gt;&lt;titles&gt;&lt;title&gt;New report highlights pressures on Aotearoa New Zealand’s climate&lt;/title&gt;&lt;/titles&gt;&lt;number&gt;24 May 2024&lt;/number&gt;&lt;dates&gt;&lt;year&gt;2023&lt;/year&gt;&lt;/dates&gt;&lt;urls&gt;&lt;related-urls&gt;&lt;url&gt;stats.govt.nz/news/new-report-highlights-pressures-on-aotearoa-new-zealands-climate&lt;/url&gt;&lt;/related-urls&gt;&lt;/urls&gt;&lt;/record&gt;&lt;/Cite&gt;&lt;/EndNote&gt;</w:instrText>
      </w:r>
      <w:r>
        <w:fldChar w:fldCharType="separate"/>
      </w:r>
      <w:r>
        <w:rPr>
          <w:noProof/>
        </w:rPr>
        <w:t>(Stats NZ 2023c)</w:t>
      </w:r>
      <w:r>
        <w:fldChar w:fldCharType="end"/>
      </w:r>
      <w:r w:rsidRPr="00E47714">
        <w:t xml:space="preserve">. </w:t>
      </w:r>
    </w:p>
    <w:p w14:paraId="77CDEB00" w14:textId="77777777" w:rsidR="009365E0" w:rsidRPr="00E47714" w:rsidRDefault="009365E0" w:rsidP="009D4BFA"/>
    <w:p w14:paraId="0D46C979" w14:textId="7B2E42FA" w:rsidR="009D4BFA" w:rsidRPr="00E47714" w:rsidRDefault="009D4BFA" w:rsidP="009D4BFA">
      <w:r w:rsidRPr="00E47714">
        <w:t xml:space="preserve">The financial costs of extreme weather events are increasing. Extreme weather is defined as a severe weather event such as a snowstorm, rain, drought, flood or storm that is rare for the place where it occurs. </w:t>
      </w:r>
      <w:r w:rsidRPr="00E47714">
        <w:rPr>
          <w:rFonts w:cs="Segoe UI"/>
        </w:rPr>
        <w:fldChar w:fldCharType="begin"/>
      </w:r>
      <w:r w:rsidRPr="00E47714">
        <w:rPr>
          <w:rFonts w:cs="Segoe UI"/>
        </w:rPr>
        <w:instrText xml:space="preserve"> REF _Ref167432193 \h  \* MERGEFORMAT </w:instrText>
      </w:r>
      <w:r w:rsidRPr="00E47714">
        <w:rPr>
          <w:rFonts w:cs="Segoe UI"/>
        </w:rPr>
      </w:r>
      <w:r w:rsidRPr="00E47714">
        <w:rPr>
          <w:rFonts w:cs="Segoe UI"/>
        </w:rPr>
        <w:fldChar w:fldCharType="separate"/>
      </w:r>
      <w:r w:rsidR="009A6F87" w:rsidRPr="009A6F87">
        <w:rPr>
          <w:rFonts w:cs="Segoe UI"/>
        </w:rPr>
        <w:t>Figure</w:t>
      </w:r>
      <w:r w:rsidR="009A6F87" w:rsidRPr="00E47714">
        <w:t xml:space="preserve"> </w:t>
      </w:r>
      <w:r w:rsidR="009A6F87">
        <w:rPr>
          <w:noProof/>
        </w:rPr>
        <w:t>36</w:t>
      </w:r>
      <w:r w:rsidRPr="00E47714">
        <w:fldChar w:fldCharType="end"/>
      </w:r>
      <w:r w:rsidRPr="00E47714">
        <w:t xml:space="preserve"> shows the cost to the insurance industry in paying claims resulting from severe weather events, which totalled </w:t>
      </w:r>
      <w:r>
        <w:t>$</w:t>
      </w:r>
      <w:r w:rsidRPr="00E47714">
        <w:t xml:space="preserve">351.3 million in 2022. As this data is to year end 2022, it does not include the cost of Cyclone Hale in January 2023 or Cyclone Gabrielle in February 2023. </w:t>
      </w:r>
      <w:r>
        <w:t>Further</w:t>
      </w:r>
      <w:r w:rsidRPr="00E47714">
        <w:t xml:space="preserve">, this data represents only the private insurance costs – the total costs of events will be much larger </w:t>
      </w:r>
      <w:r>
        <w:fldChar w:fldCharType="begin"/>
      </w:r>
      <w:r>
        <w:instrText xml:space="preserve"> ADDIN EN.CITE &lt;EndNote&gt;&lt;Cite&gt;&lt;Author&gt;Stats NZ &lt;/Author&gt;&lt;Year&gt;2024&lt;/Year&gt;&lt;RecNum&gt;493&lt;/RecNum&gt;&lt;DisplayText&gt;(Stats NZ 2024c)&lt;/DisplayText&gt;&lt;record&gt;&lt;rec-number&gt;493&lt;/rec-number&gt;&lt;foreign-keys&gt;&lt;key app="EN" db-id="aaepvppzs5wtfse95vsp2wahsrtvva2vvdet" timestamp="1716521121"&gt;493&lt;/key&gt;&lt;/foreign-keys&gt;&lt;ref-type name="Web Page"&gt;12&lt;/ref-type&gt;&lt;contributors&gt;&lt;authors&gt;&lt;author&gt;Stats NZ ,&lt;/author&gt;&lt;/authors&gt;&lt;/contributors&gt;&lt;titles&gt;&lt;title&gt;Costs of extreme weather events&lt;/title&gt;&lt;/titles&gt;&lt;number&gt;24 May 2024&lt;/number&gt;&lt;dates&gt;&lt;year&gt;2024&lt;/year&gt;&lt;/dates&gt;&lt;publisher&gt;Indicators Aotearoa New Zealand&lt;/publisher&gt;&lt;urls&gt;&lt;related-urls&gt;&lt;url&gt;statisticsnz.shinyapps.io/wellbeingindicators/_w_4bee90e1/_w_d68f93ae/?page=indicators&amp;amp;class=Environment&amp;amp;type=Climate&amp;amp;indicator=Costs%20of%20extreme%20weather%20events&lt;/url&gt;&lt;/related-urls&gt;&lt;/urls&gt;&lt;/record&gt;&lt;/Cite&gt;&lt;/EndNote&gt;</w:instrText>
      </w:r>
      <w:r>
        <w:fldChar w:fldCharType="separate"/>
      </w:r>
      <w:r>
        <w:rPr>
          <w:noProof/>
        </w:rPr>
        <w:t>(Stats NZ 2024c)</w:t>
      </w:r>
      <w:r>
        <w:fldChar w:fldCharType="end"/>
      </w:r>
      <w:r w:rsidRPr="00E47714">
        <w:t>.</w:t>
      </w:r>
      <w:r w:rsidRPr="00E47714">
        <w:rPr>
          <w:rStyle w:val="FootnoteReference"/>
          <w:rFonts w:cs="Segoe UI"/>
        </w:rPr>
        <w:t xml:space="preserve"> </w:t>
      </w:r>
    </w:p>
    <w:p w14:paraId="6FABDFE6" w14:textId="5A1567E3" w:rsidR="009D4BFA" w:rsidRPr="00E47714" w:rsidRDefault="009D4BFA" w:rsidP="009365E0">
      <w:pPr>
        <w:pStyle w:val="Figure"/>
      </w:pPr>
      <w:bookmarkStart w:id="205" w:name="_Ref167432193"/>
      <w:bookmarkStart w:id="206" w:name="_Toc171330683"/>
      <w:bookmarkStart w:id="207" w:name="_Toc172104719"/>
      <w:r w:rsidRPr="00E47714">
        <w:lastRenderedPageBreak/>
        <w:t xml:space="preserve">Figure </w:t>
      </w:r>
      <w:fldSimple w:instr=" SEQ Figure \* ARABIC ">
        <w:r w:rsidR="009A6F87">
          <w:rPr>
            <w:noProof/>
          </w:rPr>
          <w:t>36</w:t>
        </w:r>
      </w:fldSimple>
      <w:bookmarkEnd w:id="205"/>
      <w:r w:rsidRPr="00E47714">
        <w:t>: Insurance-related costs ($ million) of severe weather events, 1993–2022</w:t>
      </w:r>
      <w:bookmarkEnd w:id="206"/>
      <w:bookmarkEnd w:id="207"/>
      <w:r w:rsidRPr="00E47714">
        <w:t xml:space="preserve"> </w:t>
      </w:r>
    </w:p>
    <w:p w14:paraId="2FB97C8E" w14:textId="77777777" w:rsidR="009D4BFA" w:rsidRPr="00E47714" w:rsidRDefault="009D4BFA" w:rsidP="009365E0">
      <w:pPr>
        <w:pStyle w:val="NormalWeb"/>
        <w:spacing w:before="0" w:beforeAutospacing="0" w:after="0" w:afterAutospacing="0"/>
      </w:pPr>
      <w:r>
        <w:rPr>
          <w:noProof/>
        </w:rPr>
        <w:drawing>
          <wp:inline distT="0" distB="0" distL="0" distR="0" wp14:anchorId="30A39820" wp14:editId="09FCA5BD">
            <wp:extent cx="5130800" cy="3155448"/>
            <wp:effectExtent l="0" t="0" r="0" b="6985"/>
            <wp:docPr id="17" name="Picture 17" descr="A timeseries chart of private insurance-related costs of severe weather evets in millions from 1993 to 2022. The chart shows a generally increasing trend in costs across time from less than $50 million in the 1990s, peaks of approx. $200 million in the early 2000's and early 2010's, increasing to a minimum annual cost greater than $200 million since 2018 and peaking at $350 million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imeseries chart of private insurance-related costs of severe weather evets in millions from 1993 to 2022. The chart shows a generally increasing trend in costs across time from less than $50 million in the 1990s, peaks of approx. $200 million in the early 2000's and early 2010's, increasing to a minimum annual cost greater than $200 million since 2018 and peaking at $350 million in 2022.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39309" cy="3160681"/>
                    </a:xfrm>
                    <a:prstGeom prst="rect">
                      <a:avLst/>
                    </a:prstGeom>
                    <a:noFill/>
                    <a:ln>
                      <a:noFill/>
                    </a:ln>
                  </pic:spPr>
                </pic:pic>
              </a:graphicData>
            </a:graphic>
          </wp:inline>
        </w:drawing>
      </w:r>
    </w:p>
    <w:p w14:paraId="79EC331E" w14:textId="77777777" w:rsidR="009D4BFA" w:rsidRPr="00E47714" w:rsidRDefault="009D4BFA" w:rsidP="009D4BFA">
      <w:pPr>
        <w:pStyle w:val="Source"/>
      </w:pPr>
      <w:r w:rsidRPr="00E47714">
        <w:rPr>
          <w:b/>
          <w:bCs/>
        </w:rPr>
        <w:t>Source:</w:t>
      </w:r>
      <w:r w:rsidRPr="00E47714">
        <w:t xml:space="preserve"> </w:t>
      </w:r>
      <w:r>
        <w:fldChar w:fldCharType="begin"/>
      </w:r>
      <w:r>
        <w:instrText xml:space="preserve"> ADDIN EN.CITE &lt;EndNote&gt;&lt;Cite AuthorYear="1"&gt;&lt;Author&gt;Stats NZ&lt;/Author&gt;&lt;Year&gt;2024&lt;/Year&gt;&lt;RecNum&gt;482&lt;/RecNum&gt;&lt;DisplayText&gt;Stats NZ (2024h)&lt;/DisplayText&gt;&lt;record&gt;&lt;rec-number&gt;482&lt;/rec-number&gt;&lt;foreign-keys&gt;&lt;key app="EN" db-id="aaepvppzs5wtfse95vsp2wahsrtvva2vvdet" timestamp="1716518905"&gt;482&lt;/key&gt;&lt;/foreign-keys&gt;&lt;ref-type name="Web Page"&gt;12&lt;/ref-type&gt;&lt;contributors&gt;&lt;authors&gt;&lt;author&gt;Stats NZ,&lt;/author&gt;&lt;/authors&gt;&lt;/contributors&gt;&lt;titles&gt;&lt;title&gt;Indicators Aotearoa New Zealand&lt;/title&gt;&lt;/titles&gt;&lt;number&gt;24 May 2024&lt;/number&gt;&lt;dates&gt;&lt;year&gt;2024&lt;/year&gt;&lt;/dates&gt;&lt;urls&gt;&lt;related-urls&gt;&lt;url&gt;statisticsnz.shinyapps.io/wellbeingindicators&lt;/url&gt;&lt;/related-urls&gt;&lt;/urls&gt;&lt;/record&gt;&lt;/Cite&gt;&lt;/EndNote&gt;</w:instrText>
      </w:r>
      <w:r>
        <w:fldChar w:fldCharType="separate"/>
      </w:r>
      <w:r>
        <w:rPr>
          <w:noProof/>
        </w:rPr>
        <w:t>Stats NZ (2024h)</w:t>
      </w:r>
      <w:r>
        <w:fldChar w:fldCharType="end"/>
      </w:r>
    </w:p>
    <w:p w14:paraId="7571F670" w14:textId="77777777" w:rsidR="009D4BFA" w:rsidRPr="00E47714" w:rsidRDefault="009D4BFA" w:rsidP="009D4BFA">
      <w:pPr>
        <w:pStyle w:val="Heading4"/>
      </w:pPr>
      <w:r w:rsidRPr="00E47714">
        <w:t>Adverse weather events</w:t>
      </w:r>
    </w:p>
    <w:p w14:paraId="3008204C" w14:textId="77777777" w:rsidR="009D4BFA" w:rsidRPr="00E47714" w:rsidRDefault="009D4BFA" w:rsidP="009D4BFA">
      <w:r w:rsidRPr="00E47714">
        <w:t>In late January and mid-February 2023</w:t>
      </w:r>
      <w:r>
        <w:t>,</w:t>
      </w:r>
      <w:r w:rsidRPr="00E47714">
        <w:t xml:space="preserve"> tropical cyclones Hale and Gabrielle</w:t>
      </w:r>
      <w:r w:rsidRPr="008314F4">
        <w:t xml:space="preserve"> </w:t>
      </w:r>
      <w:r>
        <w:t>had a major impact on</w:t>
      </w:r>
      <w:r w:rsidRPr="008314F4">
        <w:t xml:space="preserve"> </w:t>
      </w:r>
      <w:r w:rsidRPr="00E47714">
        <w:t xml:space="preserve">Aotearoa New Zealand. The adverse weather and resulting flooding caused significant damage and disruption </w:t>
      </w:r>
      <w:r>
        <w:fldChar w:fldCharType="begin"/>
      </w:r>
      <w:r>
        <w:instrText xml:space="preserve"> ADDIN EN.CITE &lt;EndNote&gt;&lt;Cite&gt;&lt;Author&gt;Stats NZ &lt;/Author&gt;&lt;Year&gt;2023&lt;/Year&gt;&lt;RecNum&gt;494&lt;/RecNum&gt;&lt;DisplayText&gt;(Stats NZ 2023a)&lt;/DisplayText&gt;&lt;record&gt;&lt;rec-number&gt;494&lt;/rec-number&gt;&lt;foreign-keys&gt;&lt;key app="EN" db-id="aaepvppzs5wtfse95vsp2wahsrtvva2vvdet" timestamp="1716521196"&gt;494&lt;/key&gt;&lt;/foreign-keys&gt;&lt;ref-type name="Web Page"&gt;12&lt;/ref-type&gt;&lt;contributors&gt;&lt;authors&gt;&lt;author&gt;Stats NZ ,&lt;/author&gt;&lt;/authors&gt;&lt;/contributors&gt;&lt;titles&gt;&lt;title&gt;Adverse weather conditions in early 2023 to be reflected in economic statistics&lt;/title&gt;&lt;/titles&gt;&lt;number&gt;24 May 2024&lt;/number&gt;&lt;dates&gt;&lt;year&gt;2023&lt;/year&gt;&lt;/dates&gt;&lt;urls&gt;&lt;related-urls&gt;&lt;url&gt;stats.govt.nz/news/adverse-weather-conditions-in-early-2023-to-be-reflected-in-economic-statistics&lt;/url&gt;&lt;/related-urls&gt;&lt;/urls&gt;&lt;/record&gt;&lt;/Cite&gt;&lt;/EndNote&gt;</w:instrText>
      </w:r>
      <w:r>
        <w:fldChar w:fldCharType="separate"/>
      </w:r>
      <w:r>
        <w:rPr>
          <w:noProof/>
        </w:rPr>
        <w:t>(Stats NZ 2023a)</w:t>
      </w:r>
      <w:r>
        <w:fldChar w:fldCharType="end"/>
      </w:r>
      <w:r w:rsidRPr="00E47714">
        <w:t>. Eleven people died as a result of Cyclone Gabrielle. The cyclone</w:t>
      </w:r>
      <w:r>
        <w:t xml:space="preserve"> also</w:t>
      </w:r>
      <w:r w:rsidRPr="00E47714">
        <w:t xml:space="preserve"> caused significant damage to homes, infrastructure and livelihoods across northern and eastern regions of the North Island</w:t>
      </w:r>
      <w:r>
        <w:t>. Except for the Canterbury earthquakes, it</w:t>
      </w:r>
      <w:r w:rsidRPr="00E47714">
        <w:t xml:space="preserve"> is </w:t>
      </w:r>
      <w:r>
        <w:t xml:space="preserve">likely to be </w:t>
      </w:r>
      <w:r w:rsidRPr="00E47714">
        <w:t>Aotearoa New Zealand’s costliest natural disaster</w:t>
      </w:r>
      <w:r>
        <w:t>:</w:t>
      </w:r>
      <w:r w:rsidRPr="00E47714">
        <w:t xml:space="preserve"> economic losses </w:t>
      </w:r>
      <w:r>
        <w:t xml:space="preserve">are </w:t>
      </w:r>
      <w:r w:rsidRPr="00E47714">
        <w:t>expected to exceed</w:t>
      </w:r>
      <w:r>
        <w:t xml:space="preserve"> those of</w:t>
      </w:r>
      <w:r w:rsidRPr="00F9026D">
        <w:t xml:space="preserve"> </w:t>
      </w:r>
      <w:r w:rsidRPr="00E47714">
        <w:t xml:space="preserve">the 2016 </w:t>
      </w:r>
      <w:proofErr w:type="spellStart"/>
      <w:r w:rsidRPr="00E47714">
        <w:t>Kaikōura</w:t>
      </w:r>
      <w:proofErr w:type="spellEnd"/>
      <w:r w:rsidRPr="00E47714">
        <w:t xml:space="preserve"> earthquake</w:t>
      </w:r>
      <w:r>
        <w:t>, which amounted to</w:t>
      </w:r>
      <w:r w:rsidRPr="00E47714">
        <w:t xml:space="preserve"> $2</w:t>
      </w:r>
      <w:r>
        <w:t xml:space="preserve"> billion to</w:t>
      </w:r>
      <w:r>
        <w:rPr>
          <w:rStyle w:val="normaltextrun"/>
          <w:rFonts w:ascii="Calibri" w:hAnsi="Calibri" w:cs="Calibri"/>
          <w:color w:val="000000"/>
          <w:bdr w:val="none" w:sz="0" w:space="0" w:color="auto" w:frame="1"/>
        </w:rPr>
        <w:t xml:space="preserve"> </w:t>
      </w:r>
      <w:r w:rsidRPr="00E47714">
        <w:t>$4</w:t>
      </w:r>
      <w:r>
        <w:t xml:space="preserve"> </w:t>
      </w:r>
      <w:r w:rsidRPr="00E47714">
        <w:t>b</w:t>
      </w:r>
      <w:r>
        <w:t>illio</w:t>
      </w:r>
      <w:r w:rsidRPr="00E47714">
        <w:t xml:space="preserve">n </w:t>
      </w:r>
      <w:r>
        <w:fldChar w:fldCharType="begin"/>
      </w:r>
      <w:r>
        <w:instrText xml:space="preserve"> ADDIN EN.CITE &lt;EndNote&gt;&lt;Cite&gt;&lt;Author&gt;Ministry of Foreign Affairs and Trade &lt;/Author&gt;&lt;Year&gt;2023&lt;/Year&gt;&lt;RecNum&gt;495&lt;/RecNum&gt;&lt;DisplayText&gt;(Ministry of Foreign Affairs and Trade 2023)&lt;/DisplayText&gt;&lt;record&gt;&lt;rec-number&gt;495&lt;/rec-number&gt;&lt;foreign-keys&gt;&lt;key app="EN" db-id="aaepvppzs5wtfse95vsp2wahsrtvva2vvdet" timestamp="1716523567"&gt;495&lt;/key&gt;&lt;/foreign-keys&gt;&lt;ref-type name="Generic"&gt;13&lt;/ref-type&gt;&lt;contributors&gt;&lt;authors&gt;&lt;author&gt;Ministry of Foreign Affairs and Trade ,&lt;/author&gt;&lt;/authors&gt;&lt;/contributors&gt;&lt;titles&gt;&lt;title&gt;Cyclone Gabrielle’s impact on the New Zealand economy and exports - March 2023&lt;/title&gt;&lt;/titles&gt;&lt;dates&gt;&lt;year&gt;2023&lt;/year&gt;&lt;/dates&gt;&lt;pub-location&gt;Wellington&lt;/pub-location&gt;&lt;publisher&gt;Ministry of Foreign Affairs and Trade&lt;/publisher&gt;&lt;urls&gt;&lt;related-urls&gt;&lt;url&gt;mfat.govt.nz/assets/Trade-General/Trade-Market-reports/Cyclone-Gabrielles-impact-on-the-New-Zealand-economy-and-exports-March-2023.pdf&lt;/url&gt;&lt;/related-urls&gt;&lt;/urls&gt;&lt;/record&gt;&lt;/Cite&gt;&lt;/EndNote&gt;</w:instrText>
      </w:r>
      <w:r>
        <w:fldChar w:fldCharType="separate"/>
      </w:r>
      <w:r>
        <w:rPr>
          <w:noProof/>
        </w:rPr>
        <w:t>(Ministry of Foreign Affairs and Trade 2023)</w:t>
      </w:r>
      <w:r>
        <w:fldChar w:fldCharType="end"/>
      </w:r>
      <w:r w:rsidRPr="00E47714">
        <w:t xml:space="preserve">. </w:t>
      </w:r>
    </w:p>
    <w:p w14:paraId="20DBE362" w14:textId="77777777" w:rsidR="009D4BFA" w:rsidRPr="00E47714" w:rsidRDefault="009D4BFA" w:rsidP="009D4BFA">
      <w:pPr>
        <w:pStyle w:val="Heading2"/>
      </w:pPr>
      <w:bookmarkStart w:id="208" w:name="_Toc171603280"/>
      <w:bookmarkStart w:id="209" w:name="_Toc171944540"/>
      <w:bookmarkStart w:id="210" w:name="_Toc172104680"/>
      <w:r w:rsidRPr="00E47714">
        <w:t>Individual risk factors</w:t>
      </w:r>
      <w:bookmarkEnd w:id="208"/>
      <w:bookmarkEnd w:id="209"/>
      <w:bookmarkEnd w:id="210"/>
    </w:p>
    <w:p w14:paraId="2EAEF61A" w14:textId="3C6EEF1E" w:rsidR="009D4BFA" w:rsidRDefault="009D4BFA" w:rsidP="009D4BFA">
      <w:r w:rsidRPr="00E47714">
        <w:rPr>
          <w:shd w:val="clear" w:color="auto" w:fill="FFFFFF"/>
        </w:rPr>
        <w:t xml:space="preserve">The Global Burden of Disease </w:t>
      </w:r>
      <w:r>
        <w:rPr>
          <w:shd w:val="clear" w:color="auto" w:fill="FFFFFF"/>
        </w:rPr>
        <w:t>s</w:t>
      </w:r>
      <w:r w:rsidRPr="00E47714">
        <w:rPr>
          <w:shd w:val="clear" w:color="auto" w:fill="FFFFFF"/>
        </w:rPr>
        <w:t>tudy examines how risk factors contribute to health loss i</w:t>
      </w:r>
      <w:r>
        <w:rPr>
          <w:shd w:val="clear" w:color="auto" w:fill="FFFFFF"/>
        </w:rPr>
        <w:t>n</w:t>
      </w:r>
      <w:r w:rsidRPr="00E47714">
        <w:rPr>
          <w:shd w:val="clear" w:color="auto" w:fill="FFFFFF"/>
        </w:rPr>
        <w:t xml:space="preserve"> a population. Data from the 2021 study </w:t>
      </w:r>
      <w:r>
        <w:rPr>
          <w:shd w:val="clear" w:color="auto" w:fill="FFFFFF"/>
        </w:rPr>
        <w:t>indicates</w:t>
      </w:r>
      <w:r w:rsidRPr="00E47714">
        <w:rPr>
          <w:shd w:val="clear" w:color="auto" w:fill="FFFFFF"/>
        </w:rPr>
        <w:t xml:space="preserve"> that over a third (35.4%) of all health loss was due to individual risk factors. The leading risk factors for health loss</w:t>
      </w:r>
      <w:r>
        <w:rPr>
          <w:shd w:val="clear" w:color="auto" w:fill="FFFFFF"/>
        </w:rPr>
        <w:t xml:space="preserve"> (DALYs)</w:t>
      </w:r>
      <w:r w:rsidRPr="00E47714">
        <w:rPr>
          <w:shd w:val="clear" w:color="auto" w:fill="FFFFFF"/>
        </w:rPr>
        <w:t xml:space="preserve"> include high </w:t>
      </w:r>
      <w:r>
        <w:rPr>
          <w:shd w:val="clear" w:color="auto" w:fill="FFFFFF"/>
        </w:rPr>
        <w:t>b</w:t>
      </w:r>
      <w:r w:rsidRPr="00E47714">
        <w:rPr>
          <w:shd w:val="clear" w:color="auto" w:fill="FFFFFF"/>
        </w:rPr>
        <w:t xml:space="preserve">ody </w:t>
      </w:r>
      <w:r>
        <w:rPr>
          <w:shd w:val="clear" w:color="auto" w:fill="FFFFFF"/>
        </w:rPr>
        <w:t>m</w:t>
      </w:r>
      <w:r w:rsidRPr="00E47714">
        <w:rPr>
          <w:shd w:val="clear" w:color="auto" w:fill="FFFFFF"/>
        </w:rPr>
        <w:t xml:space="preserve">ass </w:t>
      </w:r>
      <w:r>
        <w:rPr>
          <w:shd w:val="clear" w:color="auto" w:fill="FFFFFF"/>
        </w:rPr>
        <w:t>i</w:t>
      </w:r>
      <w:r w:rsidRPr="00E47714">
        <w:rPr>
          <w:shd w:val="clear" w:color="auto" w:fill="FFFFFF"/>
        </w:rPr>
        <w:t xml:space="preserve">ndex (BMI), tobacco use, high fasting plasma glucose (high blood sugar), high blood pressure and dietary risks </w:t>
      </w:r>
      <w:r>
        <w:fldChar w:fldCharType="begin"/>
      </w:r>
      <w:r>
        <w:instrText xml:space="preserve"> ADDIN EN.CITE &lt;EndNote&gt;&lt;Cite&gt;&lt;Author&gt;Institute for Health Metrics and Evaluation&lt;/Author&gt;&lt;Year&gt;2024&lt;/Year&gt;&lt;RecNum&gt;427&lt;/RecNum&gt;&lt;DisplayText&gt;(Institute for Health Metrics and Evaluation 2024b)&lt;/DisplayText&gt;&lt;record&gt;&lt;rec-number&gt;427&lt;/rec-number&gt;&lt;foreign-keys&gt;&lt;key app="EN" db-id="aaepvppzs5wtfse95vsp2wahsrtvva2vvdet" timestamp="1716422513"&gt;427&lt;/key&gt;&lt;/foreign-keys&gt;&lt;ref-type name="Web Page"&gt;12&lt;/ref-type&gt;&lt;contributors&gt;&lt;authors&gt;&lt;author&gt;Institute for Health Metrics and Evaluation,&lt;/author&gt;&lt;/authors&gt;&lt;/contributors&gt;&lt;titles&gt;&lt;title&gt;GBD Results&lt;/title&gt;&lt;/titles&gt;&lt;number&gt;23 May 2024&lt;/number&gt;&lt;dates&gt;&lt;year&gt;2024&lt;/year&gt;&lt;/dates&gt;&lt;pub-location&gt;Seattle, WA: Institute for Health Metrics and Evaluation&lt;/pub-location&gt;&lt;urls&gt;&lt;related-urls&gt;&lt;url&gt;vizhub.healthdata.org/gbd-results&lt;/url&gt;&lt;/related-urls&gt;&lt;/urls&gt;&lt;/record&gt;&lt;/Cite&gt;&lt;/EndNote&gt;</w:instrText>
      </w:r>
      <w:r>
        <w:fldChar w:fldCharType="separate"/>
      </w:r>
      <w:r>
        <w:rPr>
          <w:noProof/>
        </w:rPr>
        <w:t>(Institute for Health Metrics and Evaluation 2024b)</w:t>
      </w:r>
      <w:r>
        <w:fldChar w:fldCharType="end"/>
      </w:r>
      <w:r w:rsidRPr="00E47714">
        <w:rPr>
          <w:shd w:val="clear" w:color="auto" w:fill="FFFFFF"/>
        </w:rPr>
        <w:t xml:space="preserve">. </w:t>
      </w:r>
      <w:r w:rsidRPr="00E47714">
        <w:t>Each of these risk factors accounted for between 5</w:t>
      </w:r>
      <w:r>
        <w:t xml:space="preserve">% and </w:t>
      </w:r>
      <w:r w:rsidRPr="00E47714">
        <w:t>8% of health loss, but it is not possible to add the</w:t>
      </w:r>
      <w:r>
        <w:t>se measures</w:t>
      </w:r>
      <w:r w:rsidRPr="00E47714">
        <w:t xml:space="preserve"> together because</w:t>
      </w:r>
      <w:r w:rsidRPr="008D2678">
        <w:t xml:space="preserve"> </w:t>
      </w:r>
      <w:r w:rsidRPr="00E47714">
        <w:t>risk factors interact with each other in various ways.</w:t>
      </w:r>
    </w:p>
    <w:p w14:paraId="06D8393A" w14:textId="77777777" w:rsidR="009365E0" w:rsidRPr="00E47714" w:rsidRDefault="009365E0" w:rsidP="009D4BFA"/>
    <w:p w14:paraId="09241293" w14:textId="768D0FEF" w:rsidR="009D4BFA" w:rsidRPr="00E47714" w:rsidRDefault="009D4BFA" w:rsidP="009D4BFA">
      <w:pPr>
        <w:rPr>
          <w:rFonts w:cs="Segoe UI"/>
        </w:rPr>
      </w:pPr>
      <w:r w:rsidRPr="00E47714">
        <w:fldChar w:fldCharType="begin"/>
      </w:r>
      <w:r w:rsidRPr="00E47714">
        <w:instrText xml:space="preserve"> REF _Ref167619242 \h  \* MERGEFORMAT </w:instrText>
      </w:r>
      <w:r w:rsidRPr="00E47714">
        <w:fldChar w:fldCharType="separate"/>
      </w:r>
      <w:r w:rsidR="009A6F87" w:rsidRPr="00E47714">
        <w:t xml:space="preserve">Figure </w:t>
      </w:r>
      <w:r w:rsidR="009A6F87">
        <w:t>37</w:t>
      </w:r>
      <w:r w:rsidRPr="00E47714">
        <w:fldChar w:fldCharType="end"/>
      </w:r>
      <w:r w:rsidRPr="00E47714">
        <w:t xml:space="preserve"> provides more detail on the leading risk factors and their contribution to health loss</w:t>
      </w:r>
      <w:r>
        <w:t xml:space="preserve"> in Aotearoa New Zealand</w:t>
      </w:r>
      <w:r w:rsidRPr="00E47714">
        <w:t>. It is</w:t>
      </w:r>
      <w:r>
        <w:t xml:space="preserve"> also</w:t>
      </w:r>
      <w:r w:rsidRPr="00E47714">
        <w:t xml:space="preserve"> important to consider</w:t>
      </w:r>
      <w:r>
        <w:t xml:space="preserve"> how</w:t>
      </w:r>
      <w:r w:rsidRPr="00E47714">
        <w:t xml:space="preserve"> the wider determinants of health </w:t>
      </w:r>
      <w:r>
        <w:t>contribute to these</w:t>
      </w:r>
      <w:r w:rsidRPr="00E47714">
        <w:t xml:space="preserve"> risk factors. T</w:t>
      </w:r>
      <w:r w:rsidRPr="00E47714">
        <w:rPr>
          <w:lang w:eastAsia="en-NZ"/>
        </w:rPr>
        <w:t>he social, economic</w:t>
      </w:r>
      <w:r>
        <w:rPr>
          <w:lang w:eastAsia="en-NZ"/>
        </w:rPr>
        <w:t>,</w:t>
      </w:r>
      <w:r w:rsidRPr="00E47714">
        <w:rPr>
          <w:lang w:eastAsia="en-NZ"/>
        </w:rPr>
        <w:t xml:space="preserve"> and physical environments</w:t>
      </w:r>
      <w:r w:rsidRPr="00E47714">
        <w:t xml:space="preserve"> in which people are </w:t>
      </w:r>
      <w:r w:rsidRPr="00E47714">
        <w:rPr>
          <w:color w:val="000000" w:themeColor="text1"/>
          <w:shd w:val="clear" w:color="auto" w:fill="FFFFFF"/>
        </w:rPr>
        <w:t xml:space="preserve">born, grow up, live, learn, work and age have a substantial impact on </w:t>
      </w:r>
      <w:r w:rsidRPr="00E47714">
        <w:t>individual risk factors.</w:t>
      </w:r>
    </w:p>
    <w:p w14:paraId="47E93DAF" w14:textId="36058F6E" w:rsidR="009D4BFA" w:rsidRPr="00E47714" w:rsidRDefault="009D4BFA" w:rsidP="009365E0">
      <w:pPr>
        <w:pStyle w:val="Figure"/>
      </w:pPr>
      <w:bookmarkStart w:id="211" w:name="_Ref167619242"/>
      <w:bookmarkStart w:id="212" w:name="_Toc171330684"/>
      <w:bookmarkStart w:id="213" w:name="_Toc172104720"/>
      <w:r w:rsidRPr="00E47714">
        <w:lastRenderedPageBreak/>
        <w:t xml:space="preserve">Figure </w:t>
      </w:r>
      <w:fldSimple w:instr=" SEQ Figure \* ARABIC ">
        <w:r w:rsidR="009A6F87">
          <w:rPr>
            <w:noProof/>
          </w:rPr>
          <w:t>37</w:t>
        </w:r>
      </w:fldSimple>
      <w:bookmarkEnd w:id="211"/>
      <w:r w:rsidRPr="00E47714">
        <w:t xml:space="preserve">: Proportion of </w:t>
      </w:r>
      <w:r>
        <w:t>disability-adjusted life years (</w:t>
      </w:r>
      <w:r w:rsidRPr="00E47714">
        <w:t>DALYs</w:t>
      </w:r>
      <w:r>
        <w:t>)</w:t>
      </w:r>
      <w:r w:rsidRPr="00E47714">
        <w:t xml:space="preserve"> from leading risk factors, Aotearoa New Zealand, 2021</w:t>
      </w:r>
      <w:bookmarkEnd w:id="212"/>
      <w:bookmarkEnd w:id="213"/>
    </w:p>
    <w:p w14:paraId="59F049D3" w14:textId="77777777" w:rsidR="009D4BFA" w:rsidRPr="00E47714" w:rsidRDefault="009D4BFA" w:rsidP="009365E0">
      <w:pPr>
        <w:pStyle w:val="NormalWeb"/>
        <w:spacing w:before="0" w:beforeAutospacing="0" w:after="0" w:afterAutospacing="0"/>
      </w:pPr>
      <w:r w:rsidRPr="00E47714">
        <w:rPr>
          <w:noProof/>
        </w:rPr>
        <w:drawing>
          <wp:inline distT="0" distB="0" distL="0" distR="0" wp14:anchorId="6A4EE256" wp14:editId="05B245F8">
            <wp:extent cx="5096934" cy="3056434"/>
            <wp:effectExtent l="0" t="0" r="8890" b="0"/>
            <wp:docPr id="1286808702" name="Picture 1286808702" descr="This bar graph shows the proportion of health loss from leading risk factors  in 2021. The chart shows that high body mass index contributed to 7.6% of total DALYs, tobacco 7.1%, high fasting plasma glucose 6.2%, high systolic blood pressure 6.1%, dietary risks 5.8%, alcohol use 4.1%, occupational risks 3.5%, high LDL cholesterol 3.0%, kidney dysfunction 2.8%, low bone mineral density 1.5%, drug use 1.4%, child and maternal malnutrition 1.2% and air pollution 1.0% of total DA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08702" name="Picture 1286808702" descr="This bar graph shows the proportion of health loss from leading risk factors  in 2021. The chart shows that high body mass index contributed to 7.6% of total DALYs, tobacco 7.1%, high fasting plasma glucose 6.2%, high systolic blood pressure 6.1%, dietary risks 5.8%, alcohol use 4.1%, occupational risks 3.5%, high LDL cholesterol 3.0%, kidney dysfunction 2.8%, low bone mineral density 1.5%, drug use 1.4%, child and maternal malnutrition 1.2% and air pollution 1.0% of total DALYs."/>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5104447" cy="3060939"/>
                    </a:xfrm>
                    <a:prstGeom prst="rect">
                      <a:avLst/>
                    </a:prstGeom>
                    <a:noFill/>
                    <a:ln>
                      <a:noFill/>
                    </a:ln>
                  </pic:spPr>
                </pic:pic>
              </a:graphicData>
            </a:graphic>
          </wp:inline>
        </w:drawing>
      </w:r>
    </w:p>
    <w:p w14:paraId="724D0907" w14:textId="77777777" w:rsidR="009D4BFA" w:rsidRPr="00E47714" w:rsidRDefault="009D4BFA" w:rsidP="009D4BFA">
      <w:pPr>
        <w:pStyle w:val="Source"/>
      </w:pPr>
      <w:r w:rsidRPr="00E47714">
        <w:rPr>
          <w:b/>
          <w:bCs/>
        </w:rPr>
        <w:t>Source:</w:t>
      </w:r>
      <w:r>
        <w:rPr>
          <w:b/>
          <w:bCs/>
        </w:rPr>
        <w:t xml:space="preserve"> </w:t>
      </w:r>
      <w:r>
        <w:fldChar w:fldCharType="begin"/>
      </w:r>
      <w:r>
        <w:instrText xml:space="preserve"> ADDIN EN.CITE &lt;EndNote&gt;&lt;Cite AuthorYear="1"&gt;&lt;Author&gt;Institute for Health Metrics and Evaluation&lt;/Author&gt;&lt;Year&gt;2024&lt;/Year&gt;&lt;RecNum&gt;427&lt;/RecNum&gt;&lt;DisplayText&gt;Institute for Health Metrics and Evaluation (2024b)&lt;/DisplayText&gt;&lt;record&gt;&lt;rec-number&gt;427&lt;/rec-number&gt;&lt;foreign-keys&gt;&lt;key app="EN" db-id="aaepvppzs5wtfse95vsp2wahsrtvva2vvdet" timestamp="1716422513"&gt;427&lt;/key&gt;&lt;/foreign-keys&gt;&lt;ref-type name="Web Page"&gt;12&lt;/ref-type&gt;&lt;contributors&gt;&lt;authors&gt;&lt;author&gt;Institute for Health Metrics and Evaluation,&lt;/author&gt;&lt;/authors&gt;&lt;/contributors&gt;&lt;titles&gt;&lt;title&gt;GBD Results&lt;/title&gt;&lt;/titles&gt;&lt;number&gt;23 May 2024&lt;/number&gt;&lt;dates&gt;&lt;year&gt;2024&lt;/year&gt;&lt;/dates&gt;&lt;pub-location&gt;Seattle, WA: Institute for Health Metrics and Evaluation&lt;/pub-location&gt;&lt;urls&gt;&lt;related-urls&gt;&lt;url&gt;vizhub.healthdata.org/gbd-results&lt;/url&gt;&lt;/related-urls&gt;&lt;/urls&gt;&lt;/record&gt;&lt;/Cite&gt;&lt;/EndNote&gt;</w:instrText>
      </w:r>
      <w:r>
        <w:fldChar w:fldCharType="separate"/>
      </w:r>
      <w:r>
        <w:rPr>
          <w:noProof/>
        </w:rPr>
        <w:t>Institute for Health Metrics and Evaluation (2024b)</w:t>
      </w:r>
      <w:r>
        <w:fldChar w:fldCharType="end"/>
      </w:r>
    </w:p>
    <w:p w14:paraId="10604888" w14:textId="77777777" w:rsidR="009D4BFA" w:rsidRPr="00E47714" w:rsidRDefault="009D4BFA" w:rsidP="009D4BFA">
      <w:pPr>
        <w:pStyle w:val="Heading3"/>
      </w:pPr>
      <w:r w:rsidRPr="00E47714">
        <w:t>Physical activity</w:t>
      </w:r>
    </w:p>
    <w:p w14:paraId="58CB4DF7" w14:textId="2332FFF4" w:rsidR="009D4BFA" w:rsidRDefault="009D4BFA" w:rsidP="009D4BFA">
      <w:pPr>
        <w:rPr>
          <w:shd w:val="clear" w:color="auto" w:fill="FFFFFF"/>
        </w:rPr>
      </w:pPr>
      <w:r w:rsidRPr="00E47714">
        <w:rPr>
          <w:shd w:val="clear" w:color="auto" w:fill="FFFFFF"/>
        </w:rPr>
        <w:t xml:space="preserve">The Ministry of Health recommends that adults aged 18+ years do at least 30 minutes of moderate-intensity physical activity on most if not all days of the week. </w:t>
      </w:r>
    </w:p>
    <w:p w14:paraId="76920AB4" w14:textId="77777777" w:rsidR="009365E0" w:rsidRPr="00E47714" w:rsidRDefault="009365E0" w:rsidP="009D4BFA"/>
    <w:p w14:paraId="0A7ADE4A" w14:textId="5BB19E24" w:rsidR="009D4BFA" w:rsidRDefault="009D4BFA" w:rsidP="009D4BFA">
      <w:r w:rsidRPr="00E47714">
        <w:t xml:space="preserve">For the </w:t>
      </w:r>
      <w:r>
        <w:t>three</w:t>
      </w:r>
      <w:r w:rsidRPr="00E47714">
        <w:t xml:space="preserve">-year pooled period ending 2022/23, according to the Health Survey, 50.3% of adults were physically active, down from 52.0% for the previous </w:t>
      </w:r>
      <w:r>
        <w:t>three</w:t>
      </w:r>
      <w:r w:rsidRPr="00E47714">
        <w:t xml:space="preserve">-year pooled period ending 2021/22 </w:t>
      </w:r>
      <w:r>
        <w:rPr>
          <w:shd w:val="clear" w:color="auto" w:fill="FFFFFF"/>
        </w:rPr>
        <w:fldChar w:fldCharType="begin"/>
      </w:r>
      <w:r>
        <w:rPr>
          <w:shd w:val="clear" w:color="auto" w:fill="FFFFFF"/>
        </w:rPr>
        <w:instrText xml:space="preserve"> ADDIN EN.CITE &lt;EndNote&gt;&lt;Cite&gt;&lt;Author&gt;Ministry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rPr>
          <w:shd w:val="clear" w:color="auto" w:fill="FFFFFF"/>
        </w:rPr>
        <w:fldChar w:fldCharType="separate"/>
      </w:r>
      <w:r>
        <w:rPr>
          <w:noProof/>
          <w:shd w:val="clear" w:color="auto" w:fill="FFFFFF"/>
        </w:rPr>
        <w:t>(Ministry of Health 2023d)</w:t>
      </w:r>
      <w:r>
        <w:rPr>
          <w:shd w:val="clear" w:color="auto" w:fill="FFFFFF"/>
        </w:rPr>
        <w:fldChar w:fldCharType="end"/>
      </w:r>
      <w:r w:rsidRPr="00E47714">
        <w:t>. In the Health Survey, physically active is defined as</w:t>
      </w:r>
      <w:r w:rsidRPr="00E47714">
        <w:rPr>
          <w:shd w:val="clear" w:color="auto" w:fill="FFFFFF"/>
        </w:rPr>
        <w:t xml:space="preserve"> doing at least 30 minutes of brisk walking or moderate-intensity physical activity (or equivalent vigorous activity) for at least 10 minutes at a time, at least </w:t>
      </w:r>
      <w:r>
        <w:rPr>
          <w:shd w:val="clear" w:color="auto" w:fill="FFFFFF"/>
        </w:rPr>
        <w:t>five</w:t>
      </w:r>
      <w:r w:rsidRPr="00E47714">
        <w:rPr>
          <w:shd w:val="clear" w:color="auto" w:fill="FFFFFF"/>
        </w:rPr>
        <w:t xml:space="preserve"> days a week</w:t>
      </w:r>
      <w:r w:rsidRPr="00E47714">
        <w:t>.</w:t>
      </w:r>
    </w:p>
    <w:p w14:paraId="480CA391" w14:textId="77777777" w:rsidR="009365E0" w:rsidRPr="00E47714" w:rsidRDefault="009365E0" w:rsidP="009D4BFA"/>
    <w:p w14:paraId="26AE8364" w14:textId="77777777" w:rsidR="009D4BFA" w:rsidRPr="00E47714" w:rsidRDefault="009D4BFA" w:rsidP="009D4BFA">
      <w:r w:rsidRPr="00E47714">
        <w:t xml:space="preserve">The prevalence of being physically active (doing at least 2.5 hours of activity in the past week, spread out over the week) varies between population groups. For the </w:t>
      </w:r>
      <w:r>
        <w:t>three</w:t>
      </w:r>
      <w:r w:rsidRPr="00E47714">
        <w:t>-year pooled period ending 2022/23:</w:t>
      </w:r>
    </w:p>
    <w:p w14:paraId="0FF36A40" w14:textId="77777777" w:rsidR="009D4BFA" w:rsidRPr="00E47714" w:rsidRDefault="009D4BFA" w:rsidP="009365E0">
      <w:pPr>
        <w:pStyle w:val="Bullet"/>
      </w:pPr>
      <w:r w:rsidRPr="00E47714">
        <w:t xml:space="preserve">46.9% of women were physically active, compared </w:t>
      </w:r>
      <w:r>
        <w:t>with</w:t>
      </w:r>
      <w:r w:rsidRPr="00E47714">
        <w:t xml:space="preserve"> 53.8% of </w:t>
      </w:r>
      <w:proofErr w:type="gramStart"/>
      <w:r w:rsidRPr="00E47714">
        <w:t>men</w:t>
      </w:r>
      <w:proofErr w:type="gramEnd"/>
    </w:p>
    <w:p w14:paraId="083FC157" w14:textId="77777777" w:rsidR="009D4BFA" w:rsidRPr="00E47714" w:rsidRDefault="009D4BFA" w:rsidP="009365E0">
      <w:pPr>
        <w:pStyle w:val="Bullet"/>
      </w:pPr>
      <w:r>
        <w:t>b</w:t>
      </w:r>
      <w:r w:rsidRPr="00E47714">
        <w:t>y ethnic group</w:t>
      </w:r>
      <w:r>
        <w:t>,</w:t>
      </w:r>
      <w:r w:rsidRPr="00E47714">
        <w:t xml:space="preserve"> 50.9% of Māori adults, 43.9% of Pacific adults, 43.1% of Asian adults and 52.3% of European/other adults were physically </w:t>
      </w:r>
      <w:proofErr w:type="gramStart"/>
      <w:r w:rsidRPr="00E47714">
        <w:t>active</w:t>
      </w:r>
      <w:proofErr w:type="gramEnd"/>
    </w:p>
    <w:p w14:paraId="10E8E0E7" w14:textId="77777777" w:rsidR="009D4BFA" w:rsidRPr="00E47714" w:rsidRDefault="009D4BFA" w:rsidP="009365E0">
      <w:pPr>
        <w:pStyle w:val="Bullet"/>
      </w:pPr>
      <w:r w:rsidRPr="00E47714">
        <w:t xml:space="preserve">45.1% of adults living in the most deprived neighbourhoods were physically active, compared with 53.5% of adults living in the least deprived </w:t>
      </w:r>
      <w:proofErr w:type="gramStart"/>
      <w:r w:rsidRPr="00E47714">
        <w:t>neighbourhoods</w:t>
      </w:r>
      <w:proofErr w:type="gramEnd"/>
    </w:p>
    <w:p w14:paraId="5108BD88" w14:textId="77777777" w:rsidR="009D4BFA" w:rsidRPr="00E47714" w:rsidRDefault="009D4BFA" w:rsidP="009365E0">
      <w:pPr>
        <w:pStyle w:val="Bullet"/>
      </w:pPr>
      <w:r w:rsidRPr="00E47714">
        <w:t>30.8% of disabled adults were physically active, compared with 52.3% of non-disabled adults.</w:t>
      </w:r>
    </w:p>
    <w:p w14:paraId="575BEC69" w14:textId="77777777" w:rsidR="009D4BFA" w:rsidRPr="00E47714" w:rsidRDefault="009D4BFA" w:rsidP="009D4BFA">
      <w:pPr>
        <w:pStyle w:val="Heading3"/>
      </w:pPr>
      <w:r w:rsidRPr="00E47714">
        <w:lastRenderedPageBreak/>
        <w:t>Body size</w:t>
      </w:r>
    </w:p>
    <w:p w14:paraId="7C896875" w14:textId="27EBDF5F" w:rsidR="009D4BFA" w:rsidRDefault="009D4BFA" w:rsidP="009D4BFA">
      <w:r w:rsidRPr="00E47714">
        <w:t>In the Health Survey for the single year ending 2022/23</w:t>
      </w:r>
      <w:r>
        <w:rPr>
          <w:rStyle w:val="FootnoteReference"/>
        </w:rPr>
        <w:footnoteReference w:id="21"/>
      </w:r>
      <w:r w:rsidRPr="00E47714">
        <w:t xml:space="preserve">, </w:t>
      </w:r>
      <w:r>
        <w:t>one</w:t>
      </w:r>
      <w:r w:rsidRPr="00E47714">
        <w:t xml:space="preserve"> in </w:t>
      </w:r>
      <w:r>
        <w:t>three</w:t>
      </w:r>
      <w:r w:rsidRPr="00E47714">
        <w:t xml:space="preserve"> adults (32.6%) </w:t>
      </w:r>
      <w:r>
        <w:t>was</w:t>
      </w:r>
      <w:r w:rsidRPr="00E47714">
        <w:t xml:space="preserve"> classified as obese (defined as</w:t>
      </w:r>
      <w:r>
        <w:t xml:space="preserve"> having</w:t>
      </w:r>
      <w:r w:rsidRPr="00E47714">
        <w:t xml:space="preserve"> a BMI of 30+, or equivalent for </w:t>
      </w:r>
      <w:r>
        <w:t>those aged 15–</w:t>
      </w:r>
      <w:r w:rsidRPr="00E47714">
        <w:t xml:space="preserve">18 years). This </w:t>
      </w:r>
      <w:r>
        <w:t xml:space="preserve">proportion </w:t>
      </w:r>
      <w:r w:rsidRPr="00E47714">
        <w:t xml:space="preserve">is similar to </w:t>
      </w:r>
      <w:r>
        <w:t>five</w:t>
      </w:r>
      <w:r w:rsidRPr="00E47714">
        <w:t xml:space="preserve"> years ago (32.4%) for the year ending 30 June 2017 </w:t>
      </w:r>
      <w:r>
        <w:fldChar w:fldCharType="begin"/>
      </w:r>
      <w:r>
        <w:instrText xml:space="preserve"> ADDIN EN.CITE &lt;EndNote&gt;&lt;Cite&gt;&lt;Author&gt;Ministry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r w:rsidRPr="00E47714">
        <w:t>.</w:t>
      </w:r>
    </w:p>
    <w:p w14:paraId="1EE5165B" w14:textId="77777777" w:rsidR="009365E0" w:rsidRPr="00E47714" w:rsidRDefault="009365E0" w:rsidP="009D4BFA"/>
    <w:p w14:paraId="3E795B6C" w14:textId="77777777" w:rsidR="009D4BFA" w:rsidRPr="00E47714" w:rsidRDefault="009D4BFA" w:rsidP="009D4BFA">
      <w:r w:rsidRPr="00E47714">
        <w:t>The prevalence of obesity among adults differed by population group. For the year ending 2022/23:</w:t>
      </w:r>
    </w:p>
    <w:p w14:paraId="50B50F15" w14:textId="77777777" w:rsidR="009D4BFA" w:rsidRPr="00E47714" w:rsidRDefault="009D4BFA" w:rsidP="009365E0">
      <w:pPr>
        <w:pStyle w:val="Bullet"/>
      </w:pPr>
      <w:r w:rsidRPr="00E47714">
        <w:t>Pacific (67.3%) and Māori (47.7%)</w:t>
      </w:r>
      <w:r w:rsidRPr="009C0AD3">
        <w:t xml:space="preserve"> </w:t>
      </w:r>
      <w:r w:rsidRPr="00E47714">
        <w:t xml:space="preserve">adults were more likely to be classified as obese than European/other (31.6%) </w:t>
      </w:r>
      <w:r>
        <w:t>and</w:t>
      </w:r>
      <w:r w:rsidRPr="00E47714">
        <w:t xml:space="preserve"> Asian (13.8%)</w:t>
      </w:r>
      <w:r w:rsidRPr="00660024">
        <w:t xml:space="preserve"> </w:t>
      </w:r>
      <w:proofErr w:type="gramStart"/>
      <w:r w:rsidRPr="00E47714">
        <w:t>adults</w:t>
      </w:r>
      <w:proofErr w:type="gramEnd"/>
    </w:p>
    <w:p w14:paraId="4D107218" w14:textId="77777777" w:rsidR="009D4BFA" w:rsidRPr="00E47714" w:rsidRDefault="009D4BFA" w:rsidP="009365E0">
      <w:pPr>
        <w:pStyle w:val="Bullet"/>
      </w:pPr>
      <w:r>
        <w:t>a</w:t>
      </w:r>
      <w:r w:rsidRPr="00E47714">
        <w:t xml:space="preserve"> higher proportion of disabled adults (44.2%) were classified as obese than non-disabled adults (31.6%)</w:t>
      </w:r>
    </w:p>
    <w:p w14:paraId="0AF5D7EA" w14:textId="77777777" w:rsidR="009D4BFA" w:rsidRPr="00E47714" w:rsidRDefault="009D4BFA" w:rsidP="009365E0">
      <w:pPr>
        <w:pStyle w:val="Bullet"/>
      </w:pPr>
      <w:r>
        <w:t>a</w:t>
      </w:r>
      <w:r w:rsidRPr="00E47714">
        <w:t>dults living in the most deprived neighbourhoods (45.2%) were more likely to be classified as obese than those living in the least deprived neighbourhoods (28.4%).</w:t>
      </w:r>
    </w:p>
    <w:p w14:paraId="2C925AEA" w14:textId="77777777" w:rsidR="009365E0" w:rsidRDefault="009365E0" w:rsidP="009D4BFA"/>
    <w:p w14:paraId="1468F3A4" w14:textId="5597688A" w:rsidR="009D4BFA" w:rsidRPr="00E47714" w:rsidRDefault="009D4BFA" w:rsidP="009D4BFA">
      <w:r w:rsidRPr="00E47714">
        <w:t>In 2022/23, 13.5% of children aged 2</w:t>
      </w:r>
      <w:r w:rsidRPr="00E47714">
        <w:rPr>
          <w:rStyle w:val="normaltextrun"/>
          <w:rFonts w:ascii="Calibri" w:hAnsi="Calibri" w:cs="Calibri"/>
          <w:color w:val="000000"/>
          <w:bdr w:val="none" w:sz="0" w:space="0" w:color="auto" w:frame="1"/>
        </w:rPr>
        <w:t>–</w:t>
      </w:r>
      <w:r w:rsidRPr="00E47714">
        <w:t xml:space="preserve">14 years were classified as obese for their age, using </w:t>
      </w:r>
      <w:r>
        <w:t xml:space="preserve">the </w:t>
      </w:r>
      <w:r w:rsidRPr="00E47714">
        <w:t>International Obesity Taskforce</w:t>
      </w:r>
      <w:r>
        <w:t>’s</w:t>
      </w:r>
      <w:r w:rsidRPr="00E47714">
        <w:t xml:space="preserve"> child BMI cut-offs. </w:t>
      </w:r>
    </w:p>
    <w:p w14:paraId="1957A6EF" w14:textId="77777777" w:rsidR="009D4BFA" w:rsidRPr="00E47714" w:rsidRDefault="009D4BFA" w:rsidP="009365E0">
      <w:pPr>
        <w:pStyle w:val="Bullet"/>
      </w:pPr>
      <w:r w:rsidRPr="00E47714">
        <w:t>The prevalence of obesity among children differed by ethnic group</w:t>
      </w:r>
      <w:r>
        <w:t>:</w:t>
      </w:r>
      <w:r w:rsidRPr="00E47714">
        <w:t xml:space="preserve"> 21.7% of Māori, 27.8% of Pacific, 7.9% of Asian and 8.6% of European/other children </w:t>
      </w:r>
      <w:r>
        <w:t xml:space="preserve">were </w:t>
      </w:r>
      <w:r w:rsidRPr="00E47714">
        <w:t>obese.</w:t>
      </w:r>
    </w:p>
    <w:p w14:paraId="52ABD5D2" w14:textId="77777777" w:rsidR="009D4BFA" w:rsidRPr="00E47714" w:rsidRDefault="009D4BFA" w:rsidP="009365E0">
      <w:pPr>
        <w:pStyle w:val="Bullet"/>
      </w:pPr>
      <w:r w:rsidRPr="00E47714">
        <w:t>Disabled children (23.7%) were more likely to be obese than non-disabled children (13.2%).</w:t>
      </w:r>
    </w:p>
    <w:p w14:paraId="2536BF91" w14:textId="77777777" w:rsidR="009D4BFA" w:rsidRPr="00E47714" w:rsidRDefault="009D4BFA" w:rsidP="009365E0">
      <w:pPr>
        <w:pStyle w:val="Bullet"/>
      </w:pPr>
      <w:r w:rsidRPr="00E47714">
        <w:t>Children living in the most deprived neighbourhoods (26.4%) were much more likely to be obese than children living in the least deprived neighbourhoods (6.6%), after adjusting for age, gender and ethnic group.</w:t>
      </w:r>
    </w:p>
    <w:p w14:paraId="405FF531" w14:textId="77777777" w:rsidR="009D4BFA" w:rsidRPr="00E47714" w:rsidRDefault="009D4BFA" w:rsidP="009D4BFA">
      <w:pPr>
        <w:pStyle w:val="Heading3"/>
      </w:pPr>
      <w:r w:rsidRPr="00E47714">
        <w:t xml:space="preserve">Diet </w:t>
      </w:r>
      <w:r>
        <w:t>and</w:t>
      </w:r>
      <w:r w:rsidRPr="00E47714">
        <w:t xml:space="preserve"> </w:t>
      </w:r>
      <w:r>
        <w:t>n</w:t>
      </w:r>
      <w:r w:rsidRPr="00E47714">
        <w:t xml:space="preserve">utrition </w:t>
      </w:r>
    </w:p>
    <w:p w14:paraId="3C4E38A2" w14:textId="5C54A577" w:rsidR="009D4BFA" w:rsidRDefault="009D4BFA" w:rsidP="009D4BFA">
      <w:r w:rsidRPr="00E47714">
        <w:t xml:space="preserve">In December 2020, the Ministry of Health updated the guidelines on the recommended number of servings of fruit and vegetables per day </w:t>
      </w:r>
      <w:r>
        <w:fldChar w:fldCharType="begin"/>
      </w:r>
      <w:r>
        <w:instrText xml:space="preserve"> ADDIN EN.CITE &lt;EndNote&gt;&lt;Cite&gt;&lt;Author&gt;Health NZ&lt;/Author&gt;&lt;Year&gt;2024&lt;/Year&gt;&lt;RecNum&gt;496&lt;/RecNum&gt;&lt;DisplayText&gt;(Health NZ 2024e)&lt;/DisplayText&gt;&lt;record&gt;&lt;rec-number&gt;496&lt;/rec-number&gt;&lt;foreign-keys&gt;&lt;key app="EN" db-id="aaepvppzs5wtfse95vsp2wahsrtvva2vvdet" timestamp="1716523673"&gt;496&lt;/key&gt;&lt;/foreign-keys&gt;&lt;ref-type name="Web Page"&gt;12&lt;/ref-type&gt;&lt;contributors&gt;&lt;authors&gt;&lt;author&gt;Health NZ,&lt;/author&gt;&lt;/authors&gt;&lt;/contributors&gt;&lt;titles&gt;&lt;title&gt;Eating and activity guidelines&lt;/title&gt;&lt;/titles&gt;&lt;number&gt;24 May 2024&lt;/number&gt;&lt;dates&gt;&lt;year&gt;2024&lt;/year&gt;&lt;/dates&gt;&lt;urls&gt;&lt;related-urls&gt;&lt;url&gt;tewhatuora.govt.nz/health-services-and-programmes/nutrition/eating-and-activity-guidelines&lt;/url&gt;&lt;/related-urls&gt;&lt;/urls&gt;&lt;/record&gt;&lt;/Cite&gt;&lt;/EndNote&gt;</w:instrText>
      </w:r>
      <w:r>
        <w:fldChar w:fldCharType="separate"/>
      </w:r>
      <w:r>
        <w:rPr>
          <w:noProof/>
        </w:rPr>
        <w:t>(Health NZ 2024e)</w:t>
      </w:r>
      <w:r>
        <w:fldChar w:fldCharType="end"/>
      </w:r>
      <w:r w:rsidRPr="00E47714">
        <w:rPr>
          <w:color w:val="414042"/>
          <w:szCs w:val="21"/>
          <w:shd w:val="clear" w:color="auto" w:fill="FFFFFF"/>
        </w:rPr>
        <w:t xml:space="preserve">. </w:t>
      </w:r>
      <w:r w:rsidRPr="00E47714">
        <w:t>Aotearoa New Zealand has</w:t>
      </w:r>
      <w:r>
        <w:t xml:space="preserve"> also</w:t>
      </w:r>
      <w:r w:rsidRPr="00E47714">
        <w:t xml:space="preserve"> recently updated serving size advice by adopting the evidence-based Australian serve size.</w:t>
      </w:r>
    </w:p>
    <w:p w14:paraId="365CA2C5" w14:textId="77777777" w:rsidR="00887447" w:rsidRDefault="00887447" w:rsidP="009D4BFA"/>
    <w:p w14:paraId="1FDF84E8" w14:textId="539599EC" w:rsidR="009D4BFA" w:rsidRDefault="00887447" w:rsidP="009D4BFA">
      <w:r>
        <w:fldChar w:fldCharType="begin"/>
      </w:r>
      <w:r>
        <w:instrText xml:space="preserve"> REF _Ref172013167 \h </w:instrText>
      </w:r>
      <w:r>
        <w:fldChar w:fldCharType="separate"/>
      </w:r>
      <w:r w:rsidR="009A6F87" w:rsidRPr="00E47714">
        <w:t xml:space="preserve">Table </w:t>
      </w:r>
      <w:r w:rsidR="009A6F87">
        <w:rPr>
          <w:noProof/>
        </w:rPr>
        <w:t>4</w:t>
      </w:r>
      <w:r>
        <w:fldChar w:fldCharType="end"/>
      </w:r>
      <w:r>
        <w:t xml:space="preserve"> </w:t>
      </w:r>
      <w:r w:rsidR="009D4BFA" w:rsidRPr="00E47714">
        <w:t xml:space="preserve">shows the reported percentages of adults eating the recommended </w:t>
      </w:r>
      <w:proofErr w:type="gramStart"/>
      <w:r w:rsidR="009D4BFA" w:rsidRPr="00E47714">
        <w:t>amount</w:t>
      </w:r>
      <w:proofErr w:type="gramEnd"/>
      <w:r w:rsidR="009D4BFA" w:rsidRPr="00E47714">
        <w:t xml:space="preserve"> of vegetables and fruit a day: </w:t>
      </w:r>
      <w:r w:rsidR="009D4BFA">
        <w:t>five</w:t>
      </w:r>
      <w:r w:rsidR="009D4BFA" w:rsidRPr="00E47714">
        <w:t xml:space="preserve"> servings of vegetables or more (depending on age and gender) and </w:t>
      </w:r>
      <w:r w:rsidR="009D4BFA">
        <w:t>two</w:t>
      </w:r>
      <w:r w:rsidR="009D4BFA" w:rsidRPr="00E47714">
        <w:t xml:space="preserve"> servings of fruit. This data is from the Health Survey for the single year ending 2022/23</w:t>
      </w:r>
      <w:r w:rsidR="009D4BFA">
        <w:t>. R</w:t>
      </w:r>
      <w:r w:rsidR="009D4BFA" w:rsidRPr="00E47714">
        <w:t xml:space="preserve">esults </w:t>
      </w:r>
      <w:r w:rsidR="009D4BFA">
        <w:t xml:space="preserve">are </w:t>
      </w:r>
      <w:r w:rsidR="009D4BFA" w:rsidRPr="00E47714">
        <w:t>similar to the 2021/22 year.</w:t>
      </w:r>
    </w:p>
    <w:p w14:paraId="3C28A9EB" w14:textId="77777777" w:rsidR="00887447" w:rsidRDefault="00887447" w:rsidP="009365E0">
      <w:pPr>
        <w:pStyle w:val="Table"/>
        <w:sectPr w:rsidR="00887447" w:rsidSect="001C7EEF">
          <w:pgSz w:w="11907" w:h="16834" w:code="9"/>
          <w:pgMar w:top="1418" w:right="1701" w:bottom="1134" w:left="1843" w:header="284" w:footer="425" w:gutter="284"/>
          <w:cols w:space="720"/>
        </w:sectPr>
      </w:pPr>
      <w:bookmarkStart w:id="214" w:name="_Ref169849541"/>
      <w:bookmarkStart w:id="215" w:name="_Toc171330692"/>
      <w:bookmarkStart w:id="216" w:name="_Toc172010451"/>
    </w:p>
    <w:p w14:paraId="5CFA7AE4" w14:textId="103C04AF" w:rsidR="009D4BFA" w:rsidRPr="00E47714" w:rsidRDefault="009D4BFA" w:rsidP="009365E0">
      <w:pPr>
        <w:pStyle w:val="Table"/>
      </w:pPr>
      <w:bookmarkStart w:id="217" w:name="_Ref172013167"/>
      <w:r w:rsidRPr="00E47714">
        <w:lastRenderedPageBreak/>
        <w:t xml:space="preserve">Table </w:t>
      </w:r>
      <w:fldSimple w:instr=" SEQ Table \* ARABIC ">
        <w:r w:rsidR="009A6F87">
          <w:rPr>
            <w:noProof/>
          </w:rPr>
          <w:t>4</w:t>
        </w:r>
      </w:fldSimple>
      <w:bookmarkEnd w:id="214"/>
      <w:bookmarkEnd w:id="217"/>
      <w:r w:rsidRPr="00E47714">
        <w:t>: Proportion of adults consuming recommended daily amount of fruit and vegetables,</w:t>
      </w:r>
      <w:r>
        <w:t xml:space="preserve"> by population group,</w:t>
      </w:r>
      <w:r w:rsidRPr="00E47714">
        <w:t xml:space="preserve"> </w:t>
      </w:r>
      <w:r>
        <w:t>(total response ethnicity),</w:t>
      </w:r>
      <w:r w:rsidRPr="00E47714">
        <w:t xml:space="preserve"> 2022/23</w:t>
      </w:r>
      <w:bookmarkEnd w:id="215"/>
      <w:bookmarkEnd w:id="216"/>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725"/>
        <w:gridCol w:w="2640"/>
        <w:gridCol w:w="2714"/>
      </w:tblGrid>
      <w:tr w:rsidR="009D4BFA" w:rsidRPr="00E47714" w14:paraId="4E5E2F59" w14:textId="77777777" w:rsidTr="009365E0">
        <w:tc>
          <w:tcPr>
            <w:tcW w:w="2972" w:type="dxa"/>
            <w:vMerge w:val="restart"/>
            <w:tcBorders>
              <w:top w:val="nil"/>
              <w:bottom w:val="nil"/>
            </w:tcBorders>
            <w:shd w:val="clear" w:color="auto" w:fill="D9D9D9" w:themeFill="background1" w:themeFillShade="D9"/>
          </w:tcPr>
          <w:p w14:paraId="10496907" w14:textId="77777777" w:rsidR="009D4BFA" w:rsidRPr="00E47714" w:rsidRDefault="009D4BFA" w:rsidP="00D972B3">
            <w:pPr>
              <w:pStyle w:val="TableText"/>
              <w:rPr>
                <w:b/>
                <w:bCs/>
              </w:rPr>
            </w:pPr>
            <w:r w:rsidRPr="00E47714">
              <w:rPr>
                <w:b/>
                <w:bCs/>
              </w:rPr>
              <w:t>Population group</w:t>
            </w:r>
          </w:p>
        </w:tc>
        <w:tc>
          <w:tcPr>
            <w:tcW w:w="6044" w:type="dxa"/>
            <w:gridSpan w:val="2"/>
            <w:tcBorders>
              <w:top w:val="nil"/>
              <w:bottom w:val="nil"/>
            </w:tcBorders>
            <w:shd w:val="clear" w:color="auto" w:fill="D9D9D9" w:themeFill="background1" w:themeFillShade="D9"/>
          </w:tcPr>
          <w:p w14:paraId="6B4EF01B" w14:textId="77777777" w:rsidR="009D4BFA" w:rsidRPr="00E47714" w:rsidRDefault="009D4BFA" w:rsidP="00D972B3">
            <w:pPr>
              <w:pStyle w:val="TableText"/>
              <w:jc w:val="center"/>
              <w:rPr>
                <w:b/>
                <w:bCs/>
              </w:rPr>
            </w:pPr>
            <w:r w:rsidRPr="00E47714">
              <w:rPr>
                <w:b/>
                <w:bCs/>
              </w:rPr>
              <w:t>Proportion of adults consuming recommended daily amount</w:t>
            </w:r>
          </w:p>
        </w:tc>
      </w:tr>
      <w:tr w:rsidR="009D4BFA" w:rsidRPr="00E47714" w14:paraId="75B2F544" w14:textId="77777777" w:rsidTr="009365E0">
        <w:tc>
          <w:tcPr>
            <w:tcW w:w="2972" w:type="dxa"/>
            <w:vMerge/>
            <w:tcBorders>
              <w:top w:val="nil"/>
              <w:bottom w:val="nil"/>
            </w:tcBorders>
            <w:shd w:val="clear" w:color="auto" w:fill="D9D9D9" w:themeFill="background1" w:themeFillShade="D9"/>
          </w:tcPr>
          <w:p w14:paraId="0E4B46C5" w14:textId="77777777" w:rsidR="009D4BFA" w:rsidRPr="00E47714" w:rsidRDefault="009D4BFA" w:rsidP="00D972B3">
            <w:pPr>
              <w:pStyle w:val="TableText"/>
              <w:rPr>
                <w:b/>
                <w:bCs/>
              </w:rPr>
            </w:pPr>
          </w:p>
        </w:tc>
        <w:tc>
          <w:tcPr>
            <w:tcW w:w="3022" w:type="dxa"/>
            <w:tcBorders>
              <w:top w:val="nil"/>
              <w:bottom w:val="nil"/>
            </w:tcBorders>
            <w:shd w:val="clear" w:color="auto" w:fill="D9D9D9" w:themeFill="background1" w:themeFillShade="D9"/>
          </w:tcPr>
          <w:p w14:paraId="78E6BA72" w14:textId="77777777" w:rsidR="009D4BFA" w:rsidRPr="00E47714" w:rsidRDefault="009D4BFA" w:rsidP="00D972B3">
            <w:pPr>
              <w:pStyle w:val="TableText"/>
              <w:jc w:val="center"/>
              <w:rPr>
                <w:b/>
                <w:bCs/>
              </w:rPr>
            </w:pPr>
            <w:r w:rsidRPr="00E47714">
              <w:rPr>
                <w:b/>
                <w:bCs/>
              </w:rPr>
              <w:t>Fruit</w:t>
            </w:r>
          </w:p>
        </w:tc>
        <w:tc>
          <w:tcPr>
            <w:tcW w:w="3022" w:type="dxa"/>
            <w:tcBorders>
              <w:top w:val="nil"/>
              <w:bottom w:val="nil"/>
            </w:tcBorders>
            <w:shd w:val="clear" w:color="auto" w:fill="D9D9D9" w:themeFill="background1" w:themeFillShade="D9"/>
          </w:tcPr>
          <w:p w14:paraId="468BA12C" w14:textId="77777777" w:rsidR="009D4BFA" w:rsidRPr="00E47714" w:rsidRDefault="009D4BFA" w:rsidP="00D972B3">
            <w:pPr>
              <w:pStyle w:val="TableText"/>
              <w:jc w:val="center"/>
              <w:rPr>
                <w:b/>
                <w:bCs/>
              </w:rPr>
            </w:pPr>
            <w:r w:rsidRPr="00E47714">
              <w:rPr>
                <w:b/>
                <w:bCs/>
              </w:rPr>
              <w:t>Vegetables</w:t>
            </w:r>
          </w:p>
        </w:tc>
      </w:tr>
      <w:tr w:rsidR="009D4BFA" w:rsidRPr="00E47714" w14:paraId="7B6B678F" w14:textId="77777777" w:rsidTr="009365E0">
        <w:tc>
          <w:tcPr>
            <w:tcW w:w="2972" w:type="dxa"/>
            <w:tcBorders>
              <w:top w:val="nil"/>
            </w:tcBorders>
          </w:tcPr>
          <w:p w14:paraId="6D781B33" w14:textId="77777777" w:rsidR="009D4BFA" w:rsidRPr="00E47714" w:rsidRDefault="009D4BFA" w:rsidP="00D972B3">
            <w:pPr>
              <w:pStyle w:val="TableText"/>
            </w:pPr>
            <w:r w:rsidRPr="00E47714">
              <w:t>All adults</w:t>
            </w:r>
          </w:p>
        </w:tc>
        <w:tc>
          <w:tcPr>
            <w:tcW w:w="3022" w:type="dxa"/>
            <w:tcBorders>
              <w:top w:val="nil"/>
            </w:tcBorders>
          </w:tcPr>
          <w:p w14:paraId="33B86A24" w14:textId="77777777" w:rsidR="009D4BFA" w:rsidRPr="00E47714" w:rsidRDefault="009D4BFA" w:rsidP="00D972B3">
            <w:pPr>
              <w:pStyle w:val="TableText"/>
              <w:jc w:val="center"/>
            </w:pPr>
            <w:r w:rsidRPr="00E47714">
              <w:t>44.9%</w:t>
            </w:r>
          </w:p>
        </w:tc>
        <w:tc>
          <w:tcPr>
            <w:tcW w:w="3022" w:type="dxa"/>
            <w:tcBorders>
              <w:top w:val="nil"/>
            </w:tcBorders>
          </w:tcPr>
          <w:p w14:paraId="44CCAF3C" w14:textId="77777777" w:rsidR="009D4BFA" w:rsidRPr="00E47714" w:rsidRDefault="009D4BFA" w:rsidP="00D972B3">
            <w:pPr>
              <w:pStyle w:val="TableText"/>
              <w:jc w:val="center"/>
            </w:pPr>
            <w:r w:rsidRPr="00E47714">
              <w:t>11.0%</w:t>
            </w:r>
          </w:p>
        </w:tc>
      </w:tr>
      <w:tr w:rsidR="009D4BFA" w:rsidRPr="00E47714" w14:paraId="6751DE88" w14:textId="77777777" w:rsidTr="009365E0">
        <w:tc>
          <w:tcPr>
            <w:tcW w:w="2972" w:type="dxa"/>
          </w:tcPr>
          <w:p w14:paraId="6270E630" w14:textId="77777777" w:rsidR="009D4BFA" w:rsidRPr="00E47714" w:rsidRDefault="009D4BFA" w:rsidP="00D972B3">
            <w:pPr>
              <w:pStyle w:val="TableText"/>
            </w:pPr>
            <w:r w:rsidRPr="00E47714">
              <w:t>Māori</w:t>
            </w:r>
          </w:p>
        </w:tc>
        <w:tc>
          <w:tcPr>
            <w:tcW w:w="3022" w:type="dxa"/>
          </w:tcPr>
          <w:p w14:paraId="203BA86A" w14:textId="77777777" w:rsidR="009D4BFA" w:rsidRPr="00E47714" w:rsidRDefault="009D4BFA" w:rsidP="00D972B3">
            <w:pPr>
              <w:pStyle w:val="TableText"/>
              <w:jc w:val="center"/>
            </w:pPr>
            <w:r w:rsidRPr="00E47714">
              <w:t>42.4%</w:t>
            </w:r>
          </w:p>
        </w:tc>
        <w:tc>
          <w:tcPr>
            <w:tcW w:w="3022" w:type="dxa"/>
          </w:tcPr>
          <w:p w14:paraId="2BB8B058" w14:textId="77777777" w:rsidR="009D4BFA" w:rsidRPr="00E47714" w:rsidRDefault="009D4BFA" w:rsidP="00D972B3">
            <w:pPr>
              <w:pStyle w:val="TableText"/>
              <w:jc w:val="center"/>
            </w:pPr>
            <w:r w:rsidRPr="00E47714">
              <w:t>8.5%</w:t>
            </w:r>
          </w:p>
        </w:tc>
      </w:tr>
      <w:tr w:rsidR="009D4BFA" w:rsidRPr="00E47714" w14:paraId="12714F62" w14:textId="77777777" w:rsidTr="009365E0">
        <w:tc>
          <w:tcPr>
            <w:tcW w:w="2972" w:type="dxa"/>
          </w:tcPr>
          <w:p w14:paraId="4AD2FAF2" w14:textId="77777777" w:rsidR="009D4BFA" w:rsidRPr="00E47714" w:rsidRDefault="009D4BFA" w:rsidP="00D972B3">
            <w:pPr>
              <w:pStyle w:val="TableText"/>
            </w:pPr>
            <w:r w:rsidRPr="00E47714">
              <w:t>Pacific peoples</w:t>
            </w:r>
          </w:p>
        </w:tc>
        <w:tc>
          <w:tcPr>
            <w:tcW w:w="3022" w:type="dxa"/>
          </w:tcPr>
          <w:p w14:paraId="1AF1F334" w14:textId="77777777" w:rsidR="009D4BFA" w:rsidRPr="00E47714" w:rsidRDefault="009D4BFA" w:rsidP="00D972B3">
            <w:pPr>
              <w:pStyle w:val="TableText"/>
              <w:jc w:val="center"/>
            </w:pPr>
            <w:r w:rsidRPr="00E47714">
              <w:t>41.3%</w:t>
            </w:r>
          </w:p>
        </w:tc>
        <w:tc>
          <w:tcPr>
            <w:tcW w:w="3022" w:type="dxa"/>
          </w:tcPr>
          <w:p w14:paraId="4F0BCAD6" w14:textId="77777777" w:rsidR="009D4BFA" w:rsidRPr="00E47714" w:rsidRDefault="009D4BFA" w:rsidP="00D972B3">
            <w:pPr>
              <w:pStyle w:val="TableText"/>
              <w:jc w:val="center"/>
            </w:pPr>
            <w:r w:rsidRPr="00E47714">
              <w:t>6.2%</w:t>
            </w:r>
          </w:p>
        </w:tc>
      </w:tr>
      <w:tr w:rsidR="009D4BFA" w:rsidRPr="00E47714" w14:paraId="593FC932" w14:textId="77777777" w:rsidTr="009365E0">
        <w:tc>
          <w:tcPr>
            <w:tcW w:w="2972" w:type="dxa"/>
          </w:tcPr>
          <w:p w14:paraId="1FFF1BB3" w14:textId="77777777" w:rsidR="009D4BFA" w:rsidRPr="00E47714" w:rsidRDefault="009D4BFA" w:rsidP="00D972B3">
            <w:pPr>
              <w:pStyle w:val="TableText"/>
            </w:pPr>
            <w:r w:rsidRPr="00E47714">
              <w:t>Asian</w:t>
            </w:r>
          </w:p>
        </w:tc>
        <w:tc>
          <w:tcPr>
            <w:tcW w:w="3022" w:type="dxa"/>
          </w:tcPr>
          <w:p w14:paraId="18D6653E" w14:textId="77777777" w:rsidR="009D4BFA" w:rsidRPr="00E47714" w:rsidRDefault="009D4BFA" w:rsidP="00D972B3">
            <w:pPr>
              <w:pStyle w:val="TableText"/>
              <w:jc w:val="center"/>
            </w:pPr>
            <w:r w:rsidRPr="00E47714">
              <w:t>34.1%</w:t>
            </w:r>
          </w:p>
        </w:tc>
        <w:tc>
          <w:tcPr>
            <w:tcW w:w="3022" w:type="dxa"/>
          </w:tcPr>
          <w:p w14:paraId="73F6AC60" w14:textId="77777777" w:rsidR="009D4BFA" w:rsidRPr="00E47714" w:rsidRDefault="009D4BFA" w:rsidP="00D972B3">
            <w:pPr>
              <w:pStyle w:val="TableText"/>
              <w:jc w:val="center"/>
            </w:pPr>
            <w:r w:rsidRPr="00E47714">
              <w:t>4.3%</w:t>
            </w:r>
          </w:p>
        </w:tc>
      </w:tr>
      <w:tr w:rsidR="009D4BFA" w:rsidRPr="00E47714" w14:paraId="7096E238" w14:textId="77777777" w:rsidTr="009365E0">
        <w:tc>
          <w:tcPr>
            <w:tcW w:w="2972" w:type="dxa"/>
          </w:tcPr>
          <w:p w14:paraId="7F1679C6" w14:textId="77777777" w:rsidR="009D4BFA" w:rsidRPr="00E47714" w:rsidRDefault="009D4BFA" w:rsidP="00D972B3">
            <w:pPr>
              <w:pStyle w:val="TableText"/>
            </w:pPr>
            <w:r w:rsidRPr="00E47714">
              <w:t>European/other</w:t>
            </w:r>
          </w:p>
        </w:tc>
        <w:tc>
          <w:tcPr>
            <w:tcW w:w="3022" w:type="dxa"/>
          </w:tcPr>
          <w:p w14:paraId="1C4A8F60" w14:textId="77777777" w:rsidR="009D4BFA" w:rsidRPr="00E47714" w:rsidRDefault="009D4BFA" w:rsidP="00D972B3">
            <w:pPr>
              <w:pStyle w:val="TableText"/>
              <w:jc w:val="center"/>
            </w:pPr>
            <w:r w:rsidRPr="00E47714">
              <w:t>47.7%</w:t>
            </w:r>
          </w:p>
        </w:tc>
        <w:tc>
          <w:tcPr>
            <w:tcW w:w="3022" w:type="dxa"/>
          </w:tcPr>
          <w:p w14:paraId="736B25D2" w14:textId="77777777" w:rsidR="009D4BFA" w:rsidRPr="00E47714" w:rsidRDefault="009D4BFA" w:rsidP="00D972B3">
            <w:pPr>
              <w:pStyle w:val="TableText"/>
              <w:jc w:val="center"/>
            </w:pPr>
            <w:r w:rsidRPr="00E47714">
              <w:t>13.1%</w:t>
            </w:r>
          </w:p>
        </w:tc>
      </w:tr>
      <w:tr w:rsidR="009D4BFA" w:rsidRPr="00E47714" w14:paraId="74281011" w14:textId="77777777" w:rsidTr="009365E0">
        <w:tc>
          <w:tcPr>
            <w:tcW w:w="2972" w:type="dxa"/>
          </w:tcPr>
          <w:p w14:paraId="67718523" w14:textId="77777777" w:rsidR="009D4BFA" w:rsidRPr="00E47714" w:rsidRDefault="009D4BFA" w:rsidP="00D972B3">
            <w:pPr>
              <w:pStyle w:val="TableText"/>
            </w:pPr>
            <w:r w:rsidRPr="00E47714">
              <w:t>Disabled adults</w:t>
            </w:r>
          </w:p>
        </w:tc>
        <w:tc>
          <w:tcPr>
            <w:tcW w:w="3022" w:type="dxa"/>
          </w:tcPr>
          <w:p w14:paraId="090D873B" w14:textId="77777777" w:rsidR="009D4BFA" w:rsidRPr="00E47714" w:rsidRDefault="009D4BFA" w:rsidP="00D972B3">
            <w:pPr>
              <w:pStyle w:val="TableText"/>
              <w:jc w:val="center"/>
            </w:pPr>
            <w:r w:rsidRPr="00E47714">
              <w:t>39.2%</w:t>
            </w:r>
          </w:p>
        </w:tc>
        <w:tc>
          <w:tcPr>
            <w:tcW w:w="3022" w:type="dxa"/>
          </w:tcPr>
          <w:p w14:paraId="67098B0B" w14:textId="77777777" w:rsidR="009D4BFA" w:rsidRPr="00E47714" w:rsidRDefault="009D4BFA" w:rsidP="00D972B3">
            <w:pPr>
              <w:pStyle w:val="TableText"/>
              <w:jc w:val="center"/>
            </w:pPr>
            <w:r w:rsidRPr="00E47714">
              <w:t>8.4%</w:t>
            </w:r>
          </w:p>
        </w:tc>
      </w:tr>
      <w:tr w:rsidR="009D4BFA" w:rsidRPr="00E47714" w14:paraId="56C4F46D" w14:textId="77777777" w:rsidTr="009365E0">
        <w:tc>
          <w:tcPr>
            <w:tcW w:w="2972" w:type="dxa"/>
          </w:tcPr>
          <w:p w14:paraId="3FFD4BAB" w14:textId="77777777" w:rsidR="009D4BFA" w:rsidRPr="00E47714" w:rsidRDefault="009D4BFA" w:rsidP="00D972B3">
            <w:pPr>
              <w:pStyle w:val="TableText"/>
            </w:pPr>
            <w:r w:rsidRPr="00E47714">
              <w:t>Non-disabled adults</w:t>
            </w:r>
          </w:p>
        </w:tc>
        <w:tc>
          <w:tcPr>
            <w:tcW w:w="3022" w:type="dxa"/>
          </w:tcPr>
          <w:p w14:paraId="734CC3BF" w14:textId="77777777" w:rsidR="009D4BFA" w:rsidRPr="00E47714" w:rsidRDefault="009D4BFA" w:rsidP="00D972B3">
            <w:pPr>
              <w:pStyle w:val="TableText"/>
              <w:jc w:val="center"/>
            </w:pPr>
            <w:r w:rsidRPr="00E47714">
              <w:t>45.4%</w:t>
            </w:r>
          </w:p>
        </w:tc>
        <w:tc>
          <w:tcPr>
            <w:tcW w:w="3022" w:type="dxa"/>
          </w:tcPr>
          <w:p w14:paraId="62FE746A" w14:textId="77777777" w:rsidR="009D4BFA" w:rsidRPr="00E47714" w:rsidRDefault="009D4BFA" w:rsidP="00D972B3">
            <w:pPr>
              <w:pStyle w:val="TableText"/>
              <w:jc w:val="center"/>
            </w:pPr>
            <w:r w:rsidRPr="00E47714">
              <w:t>11.3%</w:t>
            </w:r>
          </w:p>
        </w:tc>
      </w:tr>
      <w:tr w:rsidR="009D4BFA" w:rsidRPr="00E47714" w14:paraId="2D54BD40" w14:textId="77777777" w:rsidTr="009365E0">
        <w:tc>
          <w:tcPr>
            <w:tcW w:w="2972" w:type="dxa"/>
          </w:tcPr>
          <w:p w14:paraId="5CE1E558" w14:textId="77777777" w:rsidR="009D4BFA" w:rsidRPr="00E47714" w:rsidRDefault="009D4BFA" w:rsidP="00D972B3">
            <w:pPr>
              <w:pStyle w:val="TableText"/>
            </w:pPr>
            <w:r w:rsidRPr="00E47714">
              <w:t>Living in least deprived areas</w:t>
            </w:r>
          </w:p>
        </w:tc>
        <w:tc>
          <w:tcPr>
            <w:tcW w:w="3022" w:type="dxa"/>
          </w:tcPr>
          <w:p w14:paraId="61284273" w14:textId="77777777" w:rsidR="009D4BFA" w:rsidRPr="00E47714" w:rsidRDefault="009D4BFA" w:rsidP="00D972B3">
            <w:pPr>
              <w:pStyle w:val="TableText"/>
              <w:jc w:val="center"/>
            </w:pPr>
            <w:r w:rsidRPr="00E47714">
              <w:t>49.5%</w:t>
            </w:r>
          </w:p>
        </w:tc>
        <w:tc>
          <w:tcPr>
            <w:tcW w:w="3022" w:type="dxa"/>
          </w:tcPr>
          <w:p w14:paraId="608A1BAE" w14:textId="77777777" w:rsidR="009D4BFA" w:rsidRPr="00E47714" w:rsidRDefault="009D4BFA" w:rsidP="00D972B3">
            <w:pPr>
              <w:pStyle w:val="TableText"/>
              <w:jc w:val="center"/>
            </w:pPr>
            <w:r w:rsidRPr="00E47714">
              <w:t>15.9%</w:t>
            </w:r>
          </w:p>
        </w:tc>
      </w:tr>
      <w:tr w:rsidR="009D4BFA" w:rsidRPr="00E47714" w14:paraId="64588637" w14:textId="77777777" w:rsidTr="009365E0">
        <w:tc>
          <w:tcPr>
            <w:tcW w:w="2972" w:type="dxa"/>
          </w:tcPr>
          <w:p w14:paraId="26ED0E54" w14:textId="77777777" w:rsidR="009D4BFA" w:rsidRPr="00E47714" w:rsidRDefault="009D4BFA" w:rsidP="00D972B3">
            <w:pPr>
              <w:pStyle w:val="TableText"/>
            </w:pPr>
            <w:r w:rsidRPr="00E47714">
              <w:t>Living in most deprived areas</w:t>
            </w:r>
          </w:p>
        </w:tc>
        <w:tc>
          <w:tcPr>
            <w:tcW w:w="3022" w:type="dxa"/>
          </w:tcPr>
          <w:p w14:paraId="6F4B6A54" w14:textId="77777777" w:rsidR="009D4BFA" w:rsidRPr="00E47714" w:rsidRDefault="009D4BFA" w:rsidP="00D972B3">
            <w:pPr>
              <w:pStyle w:val="TableText"/>
              <w:jc w:val="center"/>
            </w:pPr>
            <w:r w:rsidRPr="00E47714">
              <w:t>39.1%</w:t>
            </w:r>
          </w:p>
        </w:tc>
        <w:tc>
          <w:tcPr>
            <w:tcW w:w="3022" w:type="dxa"/>
          </w:tcPr>
          <w:p w14:paraId="3B3B1319" w14:textId="77777777" w:rsidR="009D4BFA" w:rsidRPr="00E47714" w:rsidRDefault="009D4BFA" w:rsidP="00D972B3">
            <w:pPr>
              <w:pStyle w:val="TableText"/>
              <w:jc w:val="center"/>
            </w:pPr>
            <w:r w:rsidRPr="00E47714">
              <w:t>5.4%</w:t>
            </w:r>
          </w:p>
        </w:tc>
      </w:tr>
    </w:tbl>
    <w:p w14:paraId="3321C78B" w14:textId="77777777" w:rsidR="009D4BFA" w:rsidRPr="00E47714" w:rsidRDefault="009D4BFA" w:rsidP="009D4BFA">
      <w:pPr>
        <w:pStyle w:val="Source"/>
        <w:rPr>
          <w:color w:val="0A6AB4"/>
          <w:sz w:val="28"/>
        </w:rPr>
      </w:pPr>
      <w:r w:rsidRPr="00E47714">
        <w:rPr>
          <w:rFonts w:cs="Segoe UI"/>
          <w:b/>
          <w:bCs/>
          <w:szCs w:val="24"/>
        </w:rPr>
        <w:t>Source:</w:t>
      </w:r>
      <w:r w:rsidRPr="00E47714">
        <w:rPr>
          <w:color w:val="0A6AB4"/>
          <w:sz w:val="28"/>
        </w:rPr>
        <w:t xml:space="preserve"> </w:t>
      </w:r>
      <w:r>
        <w:fldChar w:fldCharType="begin"/>
      </w:r>
      <w:r>
        <w:instrText xml:space="preserve"> ADDIN EN.CITE &lt;EndNote&gt;&lt;Cite AuthorYear="1"&gt;&lt;Author&gt;Ministry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p>
    <w:p w14:paraId="31F0F7FD" w14:textId="77777777" w:rsidR="009D4BFA" w:rsidRPr="00E47714" w:rsidRDefault="009D4BFA" w:rsidP="009D4BFA">
      <w:pPr>
        <w:pStyle w:val="Heading3"/>
      </w:pPr>
      <w:r w:rsidRPr="00E47714">
        <w:t>Alcohol</w:t>
      </w:r>
    </w:p>
    <w:p w14:paraId="04666C3F" w14:textId="77777777" w:rsidR="009D4BFA" w:rsidRPr="00E47714" w:rsidRDefault="009D4BFA" w:rsidP="009D4BFA">
      <w:r w:rsidRPr="00E47714">
        <w:t xml:space="preserve">In 2022/23, 76.3% of adults drank alcohol in the past year, a decrease from 2021/22 (78.4%) </w:t>
      </w:r>
      <w:r>
        <w:fldChar w:fldCharType="begin"/>
      </w:r>
      <w:r>
        <w:instrText xml:space="preserve"> ADDIN EN.CITE &lt;EndNote&gt;&lt;Cite&gt;&lt;Author&gt;Ministry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r w:rsidRPr="00E47714">
        <w:t>.</w:t>
      </w:r>
    </w:p>
    <w:p w14:paraId="68535D5D" w14:textId="77777777" w:rsidR="009D4BFA" w:rsidRPr="00E47714" w:rsidRDefault="009D4BFA" w:rsidP="009365E0">
      <w:pPr>
        <w:pStyle w:val="Bullet"/>
      </w:pPr>
      <w:r w:rsidRPr="00E47714">
        <w:t xml:space="preserve">Although the legal age for purchasing alcohol in Aotearoa New Zealand is 18 years old, 50.9% of those aged 15–17 years drank alcohol in the past year. This </w:t>
      </w:r>
      <w:r>
        <w:t>still represents a drop from</w:t>
      </w:r>
      <w:r w:rsidRPr="00E47714">
        <w:t xml:space="preserve"> 59.9%</w:t>
      </w:r>
      <w:r>
        <w:t xml:space="preserve"> in this age group</w:t>
      </w:r>
      <w:r w:rsidRPr="00E47714">
        <w:t xml:space="preserve"> in 2011/12.</w:t>
      </w:r>
    </w:p>
    <w:p w14:paraId="48D25344" w14:textId="18C89DA2" w:rsidR="009D4BFA" w:rsidRPr="00E47714" w:rsidRDefault="009D4BFA" w:rsidP="009365E0">
      <w:pPr>
        <w:pStyle w:val="Bullet"/>
      </w:pPr>
      <w:r w:rsidRPr="00E47714">
        <w:t>Disabled adults</w:t>
      </w:r>
      <w:r>
        <w:t xml:space="preserve"> (60.5%)</w:t>
      </w:r>
      <w:r w:rsidRPr="00E47714">
        <w:t xml:space="preserve"> were less likely to have drunk alcohol in the past year than non-disabled adults (78.0%).</w:t>
      </w:r>
    </w:p>
    <w:p w14:paraId="47D13D4E" w14:textId="77777777" w:rsidR="009D4BFA" w:rsidRPr="00E47714" w:rsidRDefault="009D4BFA" w:rsidP="009D4BFA">
      <w:pPr>
        <w:pStyle w:val="Heading4"/>
      </w:pPr>
      <w:r w:rsidRPr="00E47714">
        <w:t>Hazardous drinking</w:t>
      </w:r>
    </w:p>
    <w:p w14:paraId="4129BEDD" w14:textId="63540174" w:rsidR="009D4BFA" w:rsidRDefault="009D4BFA" w:rsidP="009D4BFA">
      <w:r w:rsidRPr="00E47714">
        <w:t>In the Health Survey, hazardous drinking (</w:t>
      </w:r>
      <w:r>
        <w:t xml:space="preserve">by those </w:t>
      </w:r>
      <w:r w:rsidRPr="00E47714">
        <w:t>aged 15</w:t>
      </w:r>
      <w:r>
        <w:t xml:space="preserve"> or more</w:t>
      </w:r>
      <w:r w:rsidRPr="00E47714">
        <w:t xml:space="preserve"> years) is measured using the</w:t>
      </w:r>
      <w:r>
        <w:t xml:space="preserve"> WHO’s</w:t>
      </w:r>
      <w:r w:rsidRPr="00E47714">
        <w:t xml:space="preserve"> Alcohol Use Disorders Identification Test (AUDIT). The AUDIT is a 10-item questionnaire that covers </w:t>
      </w:r>
      <w:r>
        <w:t>three</w:t>
      </w:r>
      <w:r w:rsidRPr="00E47714">
        <w:t xml:space="preserve"> aspects of alcohol use: alcohol consumption, dependence</w:t>
      </w:r>
      <w:r>
        <w:t>,</w:t>
      </w:r>
      <w:r w:rsidRPr="00E47714">
        <w:t xml:space="preserve"> and adverse consequences. </w:t>
      </w:r>
    </w:p>
    <w:p w14:paraId="28C8A26C" w14:textId="77777777" w:rsidR="009365E0" w:rsidRPr="00E47714" w:rsidRDefault="009365E0" w:rsidP="009D4BFA"/>
    <w:p w14:paraId="798C02D7" w14:textId="340BD690" w:rsidR="009D4BFA" w:rsidRDefault="009D4BFA" w:rsidP="009D4BFA">
      <w:r w:rsidRPr="00E47714">
        <w:t>Hazardous drinkers are those who obtain an AUDIT score of 8 or more</w:t>
      </w:r>
      <w:r>
        <w:t>. These scores</w:t>
      </w:r>
      <w:r w:rsidRPr="00E47714">
        <w:t xml:space="preserve"> represent an established pattern of drinking that carries a high risk of future damage to physical or mental health.</w:t>
      </w:r>
    </w:p>
    <w:p w14:paraId="4533172C" w14:textId="77777777" w:rsidR="009365E0" w:rsidRPr="00E47714" w:rsidRDefault="009365E0" w:rsidP="009D4BFA"/>
    <w:p w14:paraId="0B55FB27" w14:textId="77777777" w:rsidR="009D4BFA" w:rsidRPr="00E47714" w:rsidRDefault="009D4BFA" w:rsidP="009D4BFA">
      <w:r w:rsidRPr="00E47714">
        <w:t xml:space="preserve">For the </w:t>
      </w:r>
      <w:r>
        <w:t>three</w:t>
      </w:r>
      <w:r w:rsidRPr="00E47714">
        <w:t>-year pooled period ending 2022/23:</w:t>
      </w:r>
    </w:p>
    <w:p w14:paraId="7C90C32F" w14:textId="77777777" w:rsidR="009D4BFA" w:rsidRPr="00E47714" w:rsidRDefault="009D4BFA" w:rsidP="009365E0">
      <w:pPr>
        <w:pStyle w:val="Bullet"/>
      </w:pPr>
      <w:r>
        <w:t>t</w:t>
      </w:r>
      <w:r w:rsidRPr="00E47714">
        <w:t>he highest prevalence of hazardous drinking was among those aged 15–24 years (23.1%) and 25–34 years (22.6%)</w:t>
      </w:r>
    </w:p>
    <w:p w14:paraId="589CCEDE" w14:textId="77777777" w:rsidR="009D4BFA" w:rsidRPr="00E47714" w:rsidRDefault="009D4BFA" w:rsidP="009365E0">
      <w:pPr>
        <w:pStyle w:val="Bullet"/>
      </w:pPr>
      <w:r>
        <w:t>t</w:t>
      </w:r>
      <w:r w:rsidRPr="00E47714">
        <w:t xml:space="preserve">he rate of hazardous drinking in adults decreased in the </w:t>
      </w:r>
      <w:r>
        <w:t>three</w:t>
      </w:r>
      <w:r w:rsidRPr="00E47714">
        <w:t>-year pooled period ending 2022/23 to 18.2%</w:t>
      </w:r>
      <w:r>
        <w:t>,</w:t>
      </w:r>
      <w:r w:rsidRPr="00E47714">
        <w:t xml:space="preserve"> down from 20.0% for the </w:t>
      </w:r>
      <w:r>
        <w:t>three</w:t>
      </w:r>
      <w:r w:rsidRPr="00E47714">
        <w:t xml:space="preserve">-year pooled period </w:t>
      </w:r>
      <w:r>
        <w:t xml:space="preserve">ending </w:t>
      </w:r>
      <w:r w:rsidRPr="00E47714">
        <w:t>2021/22</w:t>
      </w:r>
    </w:p>
    <w:p w14:paraId="12B910F7" w14:textId="77777777" w:rsidR="009D4BFA" w:rsidRPr="00E47714" w:rsidRDefault="009D4BFA" w:rsidP="009365E0">
      <w:pPr>
        <w:pStyle w:val="Bullet"/>
      </w:pPr>
      <w:r>
        <w:lastRenderedPageBreak/>
        <w:t>t</w:t>
      </w:r>
      <w:r w:rsidRPr="00E47714">
        <w:t xml:space="preserve">he prevalence of hazardous drinking was 24.6% among men and 11.9% among </w:t>
      </w:r>
      <w:proofErr w:type="gramStart"/>
      <w:r w:rsidRPr="00E47714">
        <w:t>women</w:t>
      </w:r>
      <w:proofErr w:type="gramEnd"/>
    </w:p>
    <w:p w14:paraId="60CC7FF0" w14:textId="77777777" w:rsidR="009D4BFA" w:rsidRPr="00E47714" w:rsidRDefault="009D4BFA" w:rsidP="009365E0">
      <w:pPr>
        <w:pStyle w:val="Bullet"/>
      </w:pPr>
      <w:r w:rsidRPr="00E47714">
        <w:t xml:space="preserve">Asian adults (5.6%) had the lowest rate of hazardous drinking compared </w:t>
      </w:r>
      <w:r>
        <w:t>with</w:t>
      </w:r>
      <w:r w:rsidRPr="00E47714">
        <w:t xml:space="preserve"> other ethnic groups: Māori (30.5%), Pacific peoples (23.2%) and European/other (19.3%)</w:t>
      </w:r>
    </w:p>
    <w:p w14:paraId="2054FA79" w14:textId="77777777" w:rsidR="009D4BFA" w:rsidRPr="00E47714" w:rsidRDefault="009D4BFA" w:rsidP="009365E0">
      <w:pPr>
        <w:pStyle w:val="Bullet"/>
      </w:pPr>
      <w:r>
        <w:t>p</w:t>
      </w:r>
      <w:r w:rsidRPr="00E47714">
        <w:t>eople living in the most deprived neighbourhoods (20.2%) were more likely to be hazardous drinkers in the past year than those living in the least deprived neighbourhoods (16.5%)</w:t>
      </w:r>
      <w:r>
        <w:t xml:space="preserve"> </w:t>
      </w:r>
      <w:r>
        <w:fldChar w:fldCharType="begin"/>
      </w:r>
      <w:r>
        <w:instrText xml:space="preserve"> ADDIN EN.CITE &lt;EndNote&gt;&lt;Cite&gt;&lt;Author&gt;Ministry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r w:rsidRPr="00E47714">
        <w:t>.</w:t>
      </w:r>
    </w:p>
    <w:p w14:paraId="7719B717" w14:textId="77777777" w:rsidR="009D4BFA" w:rsidRPr="00E47714" w:rsidRDefault="009D4BFA" w:rsidP="009D4BFA">
      <w:pPr>
        <w:pStyle w:val="Heading3"/>
      </w:pPr>
      <w:r w:rsidRPr="00E47714">
        <w:t xml:space="preserve">Smoking and </w:t>
      </w:r>
      <w:r>
        <w:t>v</w:t>
      </w:r>
      <w:r w:rsidRPr="00E47714">
        <w:t xml:space="preserve">aping </w:t>
      </w:r>
    </w:p>
    <w:p w14:paraId="3091E3F8" w14:textId="77777777" w:rsidR="009D4BFA" w:rsidRPr="00E47714" w:rsidRDefault="009D4BFA" w:rsidP="009D4BFA">
      <w:r w:rsidRPr="00E47714">
        <w:t xml:space="preserve">Smoking rates in Aotearoa New Zealand continue to decrease. According to the Health Survey </w:t>
      </w:r>
      <w:r>
        <w:fldChar w:fldCharType="begin"/>
      </w:r>
      <w:r>
        <w:instrText xml:space="preserve"> ADDIN EN.CITE &lt;EndNote&gt;&lt;Cite&gt;&lt;Author&gt;Ministry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r w:rsidRPr="00E47714">
        <w:t xml:space="preserve">, in the </w:t>
      </w:r>
      <w:r>
        <w:t>three</w:t>
      </w:r>
      <w:r w:rsidRPr="00E47714">
        <w:t>-year pooled period ending 2022/23:</w:t>
      </w:r>
    </w:p>
    <w:p w14:paraId="67E3693F" w14:textId="77777777" w:rsidR="009D4BFA" w:rsidRPr="00E47714" w:rsidRDefault="009D4BFA" w:rsidP="009365E0">
      <w:pPr>
        <w:pStyle w:val="Bullet"/>
      </w:pPr>
      <w:r w:rsidRPr="00E47714">
        <w:t>8.2% of adults were daily smokers (defined as current smokers who smoke every day)</w:t>
      </w:r>
      <w:r>
        <w:t>,</w:t>
      </w:r>
      <w:r w:rsidRPr="00E47714">
        <w:t xml:space="preserve"> down from 9.9% in the previous </w:t>
      </w:r>
      <w:r>
        <w:t>three</w:t>
      </w:r>
      <w:r w:rsidRPr="00E47714">
        <w:t xml:space="preserve">-year pooled period and down from 16.0% </w:t>
      </w:r>
      <w:r>
        <w:t>in</w:t>
      </w:r>
      <w:r w:rsidRPr="00E47714">
        <w:t xml:space="preserve"> the </w:t>
      </w:r>
      <w:r>
        <w:t xml:space="preserve">three-year </w:t>
      </w:r>
      <w:r w:rsidRPr="00E47714">
        <w:t>pooled period ending 2013/14</w:t>
      </w:r>
    </w:p>
    <w:p w14:paraId="1A499305" w14:textId="77777777" w:rsidR="009D4BFA" w:rsidRPr="00E47714" w:rsidRDefault="009D4BFA" w:rsidP="009365E0">
      <w:pPr>
        <w:pStyle w:val="Bullet"/>
      </w:pPr>
      <w:r w:rsidRPr="00E47714">
        <w:t>12.8% of disabled adults were daily smokers</w:t>
      </w:r>
      <w:r>
        <w:t xml:space="preserve"> (down from</w:t>
      </w:r>
      <w:r w:rsidRPr="00E47714">
        <w:t xml:space="preserve"> 15.6% in the previous </w:t>
      </w:r>
      <w:r>
        <w:t>three</w:t>
      </w:r>
      <w:r w:rsidRPr="00E47714">
        <w:t>-year pooled period</w:t>
      </w:r>
      <w:r>
        <w:t>)</w:t>
      </w:r>
      <w:r w:rsidRPr="00E47714">
        <w:t xml:space="preserve">, compared </w:t>
      </w:r>
      <w:r>
        <w:t>with</w:t>
      </w:r>
      <w:r w:rsidRPr="00E47714">
        <w:t xml:space="preserve"> 7.8% of non-disabled adults </w:t>
      </w:r>
      <w:r>
        <w:t>(</w:t>
      </w:r>
      <w:r w:rsidRPr="00E47714">
        <w:t>down from 9.4%</w:t>
      </w:r>
      <w:r>
        <w:t>)</w:t>
      </w:r>
      <w:r w:rsidRPr="00E47714">
        <w:t xml:space="preserve">. </w:t>
      </w:r>
    </w:p>
    <w:p w14:paraId="09B0311D" w14:textId="77777777" w:rsidR="009365E0" w:rsidRDefault="009365E0" w:rsidP="009D4BFA"/>
    <w:p w14:paraId="1399E755" w14:textId="540CCA0D" w:rsidR="009D4BFA" w:rsidRPr="00E47714" w:rsidRDefault="009D4BFA" w:rsidP="009D4BFA">
      <w:r>
        <w:t>Daily smoking</w:t>
      </w:r>
      <w:r w:rsidRPr="00E47714">
        <w:t xml:space="preserve"> decline</w:t>
      </w:r>
      <w:r>
        <w:t>d</w:t>
      </w:r>
      <w:r w:rsidRPr="00E47714">
        <w:t xml:space="preserve"> over time for all ethnic groups </w:t>
      </w:r>
      <w:r>
        <w:t>(total response ethnicity)</w:t>
      </w:r>
      <w:r w:rsidRPr="00E47714">
        <w:t xml:space="preserve"> between the </w:t>
      </w:r>
      <w:r>
        <w:t>three</w:t>
      </w:r>
      <w:r w:rsidRPr="00E47714">
        <w:t xml:space="preserve">-year pooled periods </w:t>
      </w:r>
      <w:r>
        <w:t>ending</w:t>
      </w:r>
      <w:r w:rsidRPr="00E47714">
        <w:t xml:space="preserve"> 2013/14</w:t>
      </w:r>
      <w:r w:rsidRPr="007059B2">
        <w:t xml:space="preserve"> </w:t>
      </w:r>
      <w:r w:rsidRPr="00E47714">
        <w:t>and 2022/23</w:t>
      </w:r>
      <w:r>
        <w:t>. Daily smokers</w:t>
      </w:r>
      <w:r w:rsidRPr="00704F7B">
        <w:t xml:space="preserve"> </w:t>
      </w:r>
      <w:r>
        <w:t>in 2022/23 included</w:t>
      </w:r>
      <w:r w:rsidRPr="00E47714">
        <w:t xml:space="preserve">: </w:t>
      </w:r>
    </w:p>
    <w:p w14:paraId="124C6A6B" w14:textId="77777777" w:rsidR="009D4BFA" w:rsidRPr="00E47714" w:rsidRDefault="009D4BFA" w:rsidP="009365E0">
      <w:pPr>
        <w:pStyle w:val="Bullet"/>
      </w:pPr>
      <w:r w:rsidRPr="00E47714">
        <w:t xml:space="preserve">20.2% of Māori, down from 37.3% </w:t>
      </w:r>
      <w:r>
        <w:t>in 2013/14</w:t>
      </w:r>
    </w:p>
    <w:p w14:paraId="189B49BD" w14:textId="77777777" w:rsidR="009D4BFA" w:rsidRPr="00E47714" w:rsidRDefault="009D4BFA" w:rsidP="009365E0">
      <w:pPr>
        <w:pStyle w:val="Bullet"/>
      </w:pPr>
      <w:r w:rsidRPr="00E47714">
        <w:t>13.5% of Pacific peoples, down from 22.5%</w:t>
      </w:r>
    </w:p>
    <w:p w14:paraId="18689A59" w14:textId="77777777" w:rsidR="009D4BFA" w:rsidRPr="00E47714" w:rsidRDefault="009D4BFA" w:rsidP="009365E0">
      <w:pPr>
        <w:pStyle w:val="Bullet"/>
      </w:pPr>
      <w:r w:rsidRPr="00E47714">
        <w:t xml:space="preserve">3.3% of Asian </w:t>
      </w:r>
      <w:r>
        <w:t>people</w:t>
      </w:r>
      <w:r w:rsidRPr="00E47714">
        <w:t>, down from 7.8%</w:t>
      </w:r>
    </w:p>
    <w:p w14:paraId="7FF61521" w14:textId="77777777" w:rsidR="009D4BFA" w:rsidRPr="00E47714" w:rsidRDefault="009D4BFA" w:rsidP="009365E0">
      <w:pPr>
        <w:pStyle w:val="Bullet"/>
      </w:pPr>
      <w:r w:rsidRPr="00E47714">
        <w:t xml:space="preserve">7.4% of European/other </w:t>
      </w:r>
      <w:r>
        <w:t>people</w:t>
      </w:r>
      <w:r w:rsidRPr="00E47714">
        <w:t xml:space="preserve">, down from 14.0%. </w:t>
      </w:r>
    </w:p>
    <w:p w14:paraId="1D13C32E" w14:textId="77777777" w:rsidR="009D4BFA" w:rsidRPr="00E47714" w:rsidRDefault="009D4BFA" w:rsidP="009D4BFA">
      <w:pPr>
        <w:pStyle w:val="Heading4"/>
      </w:pPr>
      <w:r w:rsidRPr="00E47714">
        <w:t>Youth smoking</w:t>
      </w:r>
    </w:p>
    <w:p w14:paraId="1A338691" w14:textId="77777777" w:rsidR="009D4BFA" w:rsidRPr="00E47714" w:rsidRDefault="009D4BFA" w:rsidP="009D4BFA">
      <w:r w:rsidRPr="00E47714">
        <w:t>The Action for Smokefree 2025 (ASH) Year 10 Snapshot surveys Year 10 students (</w:t>
      </w:r>
      <w:r>
        <w:t xml:space="preserve">aged </w:t>
      </w:r>
      <w:r w:rsidRPr="00E47714">
        <w:t>14</w:t>
      </w:r>
      <w:r>
        <w:t>–</w:t>
      </w:r>
      <w:r w:rsidRPr="00E47714">
        <w:t>15</w:t>
      </w:r>
      <w:r>
        <w:t xml:space="preserve"> </w:t>
      </w:r>
      <w:r w:rsidRPr="00E47714">
        <w:t xml:space="preserve">years) in Aotearoa New Zealand every year on smoking and vaping. </w:t>
      </w:r>
      <w:r>
        <w:t>T</w:t>
      </w:r>
      <w:r w:rsidRPr="00E47714">
        <w:t xml:space="preserve">he ASH Year 10 Survey </w:t>
      </w:r>
      <w:r>
        <w:fldChar w:fldCharType="begin"/>
      </w:r>
      <w:r>
        <w:instrText xml:space="preserve"> ADDIN EN.CITE &lt;EndNote&gt;&lt;Cite&gt;&lt;Author&gt;Action for Smokefree 2025&lt;/Author&gt;&lt;Year&gt;2024&lt;/Year&gt;&lt;RecNum&gt;497&lt;/RecNum&gt;&lt;DisplayText&gt;(Action for Smokefree 2025 2024)&lt;/DisplayText&gt;&lt;record&gt;&lt;rec-number&gt;497&lt;/rec-number&gt;&lt;foreign-keys&gt;&lt;key app="EN" db-id="aaepvppzs5wtfse95vsp2wahsrtvva2vvdet" timestamp="1716524041"&gt;497&lt;/key&gt;&lt;/foreign-keys&gt;&lt;ref-type name="Web Page"&gt;12&lt;/ref-type&gt;&lt;contributors&gt;&lt;authors&gt;&lt;author&gt;Action for Smokefree 2025,&lt;/author&gt;&lt;/authors&gt;&lt;/contributors&gt;&lt;titles&gt;&lt;title&gt;ASH Year 10 Snapshot Survey&lt;/title&gt;&lt;/titles&gt;&lt;number&gt;24 May 2024&lt;/number&gt;&lt;dates&gt;&lt;year&gt;2024&lt;/year&gt;&lt;/dates&gt;&lt;urls&gt;&lt;related-urls&gt;&lt;url&gt;ash.org.nz/ash_year_10&lt;/url&gt;&lt;/related-urls&gt;&lt;/urls&gt;&lt;/record&gt;&lt;/Cite&gt;&lt;/EndNote&gt;</w:instrText>
      </w:r>
      <w:r>
        <w:fldChar w:fldCharType="separate"/>
      </w:r>
      <w:r>
        <w:rPr>
          <w:noProof/>
        </w:rPr>
        <w:t>(Action for Smokefree 2025 2024)</w:t>
      </w:r>
      <w:r>
        <w:fldChar w:fldCharType="end"/>
      </w:r>
      <w:r w:rsidRPr="00E47714">
        <w:t xml:space="preserve"> in 2023</w:t>
      </w:r>
      <w:r>
        <w:t xml:space="preserve"> produced the following findings.</w:t>
      </w:r>
    </w:p>
    <w:p w14:paraId="45BE2DC2" w14:textId="77777777" w:rsidR="009D4BFA" w:rsidRPr="0020191C" w:rsidRDefault="009D4BFA" w:rsidP="009365E0">
      <w:pPr>
        <w:pStyle w:val="Bullet"/>
      </w:pPr>
      <w:r w:rsidRPr="00E47714">
        <w:t>Daily smoking rates remain low at 1.2%, down from 15.2% when the ASH Year 10 Survey began in 2000.</w:t>
      </w:r>
    </w:p>
    <w:p w14:paraId="2BEE5773" w14:textId="77777777" w:rsidR="009D4BFA" w:rsidRPr="00E47714" w:rsidRDefault="009D4BFA" w:rsidP="009365E0">
      <w:pPr>
        <w:pStyle w:val="Bullet"/>
      </w:pPr>
      <w:r>
        <w:t>R</w:t>
      </w:r>
      <w:r w:rsidRPr="0020191C">
        <w:t>egular</w:t>
      </w:r>
      <w:r>
        <w:rPr>
          <w:rStyle w:val="FootnoteReference"/>
        </w:rPr>
        <w:footnoteReference w:id="22"/>
      </w:r>
      <w:r>
        <w:rPr>
          <w:rFonts w:cs="Segoe UI"/>
        </w:rPr>
        <w:t xml:space="preserve"> </w:t>
      </w:r>
      <w:r w:rsidRPr="0020191C">
        <w:t>smoking prevalence</w:t>
      </w:r>
      <w:r>
        <w:t xml:space="preserve"> has decreased substantially</w:t>
      </w:r>
      <w:r w:rsidRPr="0020191C">
        <w:t xml:space="preserve"> for all ethnicities since 1999. However, differences between ethnic groups</w:t>
      </w:r>
      <w:r>
        <w:t xml:space="preserve"> remain</w:t>
      </w:r>
      <w:r w:rsidRPr="0020191C">
        <w:t>. Regular smoking was highest for Māori studen</w:t>
      </w:r>
      <w:r w:rsidRPr="00E47714">
        <w:t xml:space="preserve">ts at 6.2%, followed by Pacific (3.7%), European/Pākehā (2.0%), and Asian (1.0%) students. </w:t>
      </w:r>
    </w:p>
    <w:p w14:paraId="719DA6CC" w14:textId="77777777" w:rsidR="009D4BFA" w:rsidRPr="00E47714" w:rsidRDefault="009D4BFA" w:rsidP="009365E0">
      <w:pPr>
        <w:pStyle w:val="Bullet"/>
      </w:pPr>
      <w:r>
        <w:t>The proportion of those who have n</w:t>
      </w:r>
      <w:r w:rsidRPr="00E47714">
        <w:t>ever smok</w:t>
      </w:r>
      <w:r>
        <w:t>ed</w:t>
      </w:r>
      <w:r w:rsidRPr="00E47714">
        <w:t xml:space="preserve"> continues to increase by a statistically significant amount</w:t>
      </w:r>
      <w:r>
        <w:t>. It rose</w:t>
      </w:r>
      <w:r w:rsidRPr="00E47714">
        <w:t xml:space="preserve"> from 85.8% in 2022 to 87.8% in 2023</w:t>
      </w:r>
      <w:r>
        <w:t>, which is</w:t>
      </w:r>
      <w:r w:rsidRPr="00E47714">
        <w:t xml:space="preserve"> the highest </w:t>
      </w:r>
      <w:r>
        <w:t>‘</w:t>
      </w:r>
      <w:r w:rsidRPr="00E47714">
        <w:t>never smoking</w:t>
      </w:r>
      <w:r>
        <w:t>’</w:t>
      </w:r>
      <w:r w:rsidRPr="00E47714">
        <w:t xml:space="preserve"> prevalence in the history of the survey.</w:t>
      </w:r>
    </w:p>
    <w:p w14:paraId="4814E003" w14:textId="77777777" w:rsidR="009D4BFA" w:rsidRPr="00E47714" w:rsidRDefault="009D4BFA" w:rsidP="009365E0">
      <w:pPr>
        <w:pStyle w:val="Bullet"/>
      </w:pPr>
      <w:r>
        <w:t xml:space="preserve">Among </w:t>
      </w:r>
      <w:r w:rsidRPr="00E47714">
        <w:t>Māori students</w:t>
      </w:r>
      <w:r>
        <w:t>, the</w:t>
      </w:r>
      <w:r w:rsidRPr="00E47714">
        <w:t xml:space="preserve"> increase in </w:t>
      </w:r>
      <w:r>
        <w:t>‘</w:t>
      </w:r>
      <w:r w:rsidRPr="00E47714">
        <w:t>never smoking</w:t>
      </w:r>
      <w:r>
        <w:t xml:space="preserve">’ was </w:t>
      </w:r>
      <w:r w:rsidRPr="00E47714">
        <w:t>statistically significant (</w:t>
      </w:r>
      <w:r>
        <w:t xml:space="preserve">rising from </w:t>
      </w:r>
      <w:r w:rsidRPr="00E47714">
        <w:t>73.8% to 77.7%)</w:t>
      </w:r>
      <w:r>
        <w:t>. The increase is</w:t>
      </w:r>
      <w:r w:rsidRPr="00E47714">
        <w:t xml:space="preserve"> particular</w:t>
      </w:r>
      <w:r>
        <w:t xml:space="preserve">ly clear </w:t>
      </w:r>
      <w:r w:rsidRPr="00E47714">
        <w:t>for Māori girls (</w:t>
      </w:r>
      <w:r>
        <w:t xml:space="preserve">rising from </w:t>
      </w:r>
      <w:r w:rsidRPr="00E47714">
        <w:t>71.0% to 76.8%).</w:t>
      </w:r>
    </w:p>
    <w:p w14:paraId="63E2AF53" w14:textId="77777777" w:rsidR="009D4BFA" w:rsidRPr="00E47714" w:rsidRDefault="009D4BFA" w:rsidP="009D4BFA">
      <w:pPr>
        <w:pStyle w:val="Heading4"/>
      </w:pPr>
      <w:r w:rsidRPr="00E47714">
        <w:lastRenderedPageBreak/>
        <w:t xml:space="preserve">Vaping </w:t>
      </w:r>
      <w:r>
        <w:t>(</w:t>
      </w:r>
      <w:r w:rsidRPr="00E47714">
        <w:t>e-cigarette use</w:t>
      </w:r>
      <w:r>
        <w:t>)</w:t>
      </w:r>
    </w:p>
    <w:p w14:paraId="0A6CF3FF" w14:textId="77777777" w:rsidR="009D4BFA" w:rsidRPr="00E47714" w:rsidRDefault="009D4BFA" w:rsidP="009D4BFA">
      <w:r w:rsidRPr="00E47714">
        <w:t xml:space="preserve">According to the 2022/23 Health Survey </w:t>
      </w:r>
      <w:r>
        <w:fldChar w:fldCharType="begin"/>
      </w:r>
      <w:r>
        <w:instrText xml:space="preserve"> ADDIN EN.CITE &lt;EndNote&gt;&lt;Cite&gt;&lt;Author&gt;Ministry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r>
        <w:t>,</w:t>
      </w:r>
      <w:r w:rsidRPr="00E47714">
        <w:t xml:space="preserve"> the number of people vaping (using e-cigarettes) has increased. In the </w:t>
      </w:r>
      <w:r>
        <w:t>three</w:t>
      </w:r>
      <w:r w:rsidRPr="00E47714">
        <w:t>-year pooled period ending 2022/23:</w:t>
      </w:r>
    </w:p>
    <w:p w14:paraId="10D9463F" w14:textId="77777777" w:rsidR="009D4BFA" w:rsidRPr="00E47714" w:rsidRDefault="009D4BFA" w:rsidP="009365E0">
      <w:pPr>
        <w:pStyle w:val="Bullet"/>
      </w:pPr>
      <w:r w:rsidRPr="00E47714">
        <w:t xml:space="preserve">10.2% of adults used electronic cigarettes or a vaping device at least once </w:t>
      </w:r>
      <w:r>
        <w:t>a</w:t>
      </w:r>
      <w:r w:rsidRPr="00E47714">
        <w:t xml:space="preserve"> month, up from 3.9% for the </w:t>
      </w:r>
      <w:r>
        <w:t>three</w:t>
      </w:r>
      <w:r w:rsidRPr="00E47714">
        <w:t>-year pooled period ending 2017/18</w:t>
      </w:r>
    </w:p>
    <w:p w14:paraId="7A6892BC" w14:textId="77777777" w:rsidR="009D4BFA" w:rsidRPr="00E47714" w:rsidRDefault="009D4BFA" w:rsidP="009365E0">
      <w:pPr>
        <w:pStyle w:val="Bullet"/>
      </w:pPr>
      <w:r w:rsidRPr="00E47714">
        <w:t xml:space="preserve">8.1% of adults used electronic cigarettes or a vaping device daily, up from 2.6% for the </w:t>
      </w:r>
      <w:r>
        <w:t>three</w:t>
      </w:r>
      <w:r w:rsidRPr="00E47714">
        <w:t>-year pooled period ending 2017/18.</w:t>
      </w:r>
    </w:p>
    <w:p w14:paraId="36537C38" w14:textId="77777777" w:rsidR="009365E0" w:rsidRDefault="009365E0" w:rsidP="009D4BFA"/>
    <w:p w14:paraId="18D22AD0" w14:textId="4758D796" w:rsidR="009D4BFA" w:rsidRPr="00E47714" w:rsidRDefault="009D4BFA" w:rsidP="009D4BFA">
      <w:r w:rsidRPr="00E47714">
        <w:t>By age</w:t>
      </w:r>
      <w:r>
        <w:t xml:space="preserve"> group</w:t>
      </w:r>
      <w:r w:rsidRPr="00E47714">
        <w:t xml:space="preserve">, for the </w:t>
      </w:r>
      <w:r>
        <w:t>three</w:t>
      </w:r>
      <w:r w:rsidRPr="00E47714">
        <w:t>-year pooled period ending 2022/23</w:t>
      </w:r>
      <w:r>
        <w:t>,</w:t>
      </w:r>
      <w:r w:rsidRPr="00435A4C">
        <w:t xml:space="preserve"> </w:t>
      </w:r>
      <w:r w:rsidRPr="00E47714">
        <w:t>adults aged 15</w:t>
      </w:r>
      <w:r>
        <w:t>–</w:t>
      </w:r>
      <w:r w:rsidRPr="00E47714">
        <w:t>24</w:t>
      </w:r>
      <w:r>
        <w:t xml:space="preserve"> years had</w:t>
      </w:r>
      <w:r w:rsidRPr="00E47714">
        <w:t>:</w:t>
      </w:r>
    </w:p>
    <w:p w14:paraId="51C1326C" w14:textId="77777777" w:rsidR="009D4BFA" w:rsidRPr="00E47714" w:rsidRDefault="009D4BFA" w:rsidP="009365E0">
      <w:pPr>
        <w:pStyle w:val="Bullet"/>
      </w:pPr>
      <w:r>
        <w:t>t</w:t>
      </w:r>
      <w:r w:rsidRPr="00E47714">
        <w:t xml:space="preserve">he highest use </w:t>
      </w:r>
      <w:r>
        <w:t xml:space="preserve">of </w:t>
      </w:r>
      <w:r w:rsidRPr="00E47714">
        <w:t xml:space="preserve">electronic cigarettes or </w:t>
      </w:r>
      <w:r>
        <w:t xml:space="preserve">a </w:t>
      </w:r>
      <w:r w:rsidRPr="00E47714">
        <w:t xml:space="preserve">vaping </w:t>
      </w:r>
      <w:r>
        <w:t xml:space="preserve">device </w:t>
      </w:r>
      <w:r w:rsidRPr="00E47714">
        <w:t>at least once per month</w:t>
      </w:r>
      <w:r>
        <w:t xml:space="preserve"> </w:t>
      </w:r>
      <w:r w:rsidRPr="00E47714">
        <w:t>(23.1%)</w:t>
      </w:r>
    </w:p>
    <w:p w14:paraId="7BB8304C" w14:textId="77777777" w:rsidR="009D4BFA" w:rsidRPr="00E47714" w:rsidRDefault="009D4BFA" w:rsidP="009365E0">
      <w:pPr>
        <w:pStyle w:val="Bullet"/>
      </w:pPr>
      <w:r>
        <w:t>t</w:t>
      </w:r>
      <w:r w:rsidRPr="00E47714">
        <w:t xml:space="preserve">he highest use of electronic cigarettes or a vaping device daily (17.8%). </w:t>
      </w:r>
    </w:p>
    <w:p w14:paraId="6742DCCE" w14:textId="77777777" w:rsidR="009365E0" w:rsidRDefault="009365E0" w:rsidP="009D4BFA"/>
    <w:p w14:paraId="6421D65B" w14:textId="3BD14B4F" w:rsidR="009D4BFA" w:rsidRPr="00E47714" w:rsidRDefault="009D4BFA" w:rsidP="009D4BFA">
      <w:r>
        <w:t>T</w:t>
      </w:r>
      <w:r w:rsidRPr="00E47714">
        <w:t xml:space="preserve">he 2023 ASH Year 10 Snapshot survey </w:t>
      </w:r>
      <w:r>
        <w:fldChar w:fldCharType="begin"/>
      </w:r>
      <w:r>
        <w:instrText xml:space="preserve"> ADDIN EN.CITE &lt;EndNote&gt;&lt;Cite&gt;&lt;Author&gt;Action for Smokefree 2025&lt;/Author&gt;&lt;Year&gt;2024&lt;/Year&gt;&lt;RecNum&gt;497&lt;/RecNum&gt;&lt;DisplayText&gt;(Action for Smokefree 2025 2024)&lt;/DisplayText&gt;&lt;record&gt;&lt;rec-number&gt;497&lt;/rec-number&gt;&lt;foreign-keys&gt;&lt;key app="EN" db-id="aaepvppzs5wtfse95vsp2wahsrtvva2vvdet" timestamp="1716524041"&gt;497&lt;/key&gt;&lt;/foreign-keys&gt;&lt;ref-type name="Web Page"&gt;12&lt;/ref-type&gt;&lt;contributors&gt;&lt;authors&gt;&lt;author&gt;Action for Smokefree 2025,&lt;/author&gt;&lt;/authors&gt;&lt;/contributors&gt;&lt;titles&gt;&lt;title&gt;ASH Year 10 Snapshot Survey&lt;/title&gt;&lt;/titles&gt;&lt;number&gt;24 May 2024&lt;/number&gt;&lt;dates&gt;&lt;year&gt;2024&lt;/year&gt;&lt;/dates&gt;&lt;urls&gt;&lt;related-urls&gt;&lt;url&gt;ash.org.nz/ash_year_10&lt;/url&gt;&lt;/related-urls&gt;&lt;/urls&gt;&lt;/record&gt;&lt;/Cite&gt;&lt;/EndNote&gt;</w:instrText>
      </w:r>
      <w:r>
        <w:fldChar w:fldCharType="separate"/>
      </w:r>
      <w:r>
        <w:rPr>
          <w:noProof/>
        </w:rPr>
        <w:t>(Action for Smokefree 2025 2024)</w:t>
      </w:r>
      <w:r>
        <w:fldChar w:fldCharType="end"/>
      </w:r>
      <w:r>
        <w:t xml:space="preserve"> found that regular vaping:</w:t>
      </w:r>
    </w:p>
    <w:p w14:paraId="01295FEB" w14:textId="77777777" w:rsidR="009D4BFA" w:rsidRPr="00E47714" w:rsidRDefault="009D4BFA" w:rsidP="009365E0">
      <w:pPr>
        <w:pStyle w:val="Bullet"/>
      </w:pPr>
      <w:r w:rsidRPr="00E47714">
        <w:t>among year 10 students in Aotearoa New Zealand significantly decreased for the second consecutive year (</w:t>
      </w:r>
      <w:r>
        <w:t xml:space="preserve">from </w:t>
      </w:r>
      <w:r w:rsidRPr="00E47714">
        <w:t>18.2% in 2022 to 16.4% in 2023)</w:t>
      </w:r>
    </w:p>
    <w:p w14:paraId="2B515B57" w14:textId="77777777" w:rsidR="009D4BFA" w:rsidRPr="00E47714" w:rsidRDefault="009D4BFA" w:rsidP="009365E0">
      <w:pPr>
        <w:pStyle w:val="Bullet"/>
      </w:pPr>
      <w:r w:rsidRPr="00E47714">
        <w:t>among year 10 students who have never smoked significant</w:t>
      </w:r>
      <w:r>
        <w:t>ly</w:t>
      </w:r>
      <w:r w:rsidRPr="00E47714">
        <w:t xml:space="preserve"> decrease</w:t>
      </w:r>
      <w:r>
        <w:t>d</w:t>
      </w:r>
      <w:r w:rsidRPr="00E47714">
        <w:t xml:space="preserve"> (</w:t>
      </w:r>
      <w:r>
        <w:t xml:space="preserve">from </w:t>
      </w:r>
      <w:r w:rsidRPr="00E47714">
        <w:t>10.3% to 9.5%)</w:t>
      </w:r>
      <w:r>
        <w:t>.</w:t>
      </w:r>
    </w:p>
    <w:p w14:paraId="6B29EF72" w14:textId="77777777" w:rsidR="009D4BFA" w:rsidRPr="00E47714" w:rsidRDefault="009D4BFA" w:rsidP="009D4BFA">
      <w:pPr>
        <w:pStyle w:val="Heading2"/>
      </w:pPr>
      <w:bookmarkStart w:id="218" w:name="_Toc171603281"/>
      <w:bookmarkStart w:id="219" w:name="_Toc171944541"/>
      <w:bookmarkStart w:id="220" w:name="_Toc172104681"/>
      <w:r w:rsidRPr="00E47714">
        <w:t>Health care</w:t>
      </w:r>
      <w:bookmarkEnd w:id="218"/>
      <w:bookmarkEnd w:id="219"/>
      <w:bookmarkEnd w:id="220"/>
    </w:p>
    <w:p w14:paraId="42D3E1C3" w14:textId="77777777" w:rsidR="009D4BFA" w:rsidRPr="00E47714" w:rsidRDefault="009D4BFA" w:rsidP="009D4BFA">
      <w:pPr>
        <w:rPr>
          <w:rFonts w:cs="Segoe UI"/>
        </w:rPr>
      </w:pPr>
      <w:r w:rsidRPr="00E47714">
        <w:rPr>
          <w:rFonts w:cs="Segoe UI"/>
        </w:rPr>
        <w:t xml:space="preserve">Following the 2022 health system reforms, Health New Zealand </w:t>
      </w:r>
      <w:r>
        <w:rPr>
          <w:rFonts w:cs="Segoe UI"/>
        </w:rPr>
        <w:t xml:space="preserve">has been </w:t>
      </w:r>
      <w:r w:rsidRPr="00E47714">
        <w:rPr>
          <w:rFonts w:cs="Segoe UI"/>
        </w:rPr>
        <w:t>lead</w:t>
      </w:r>
      <w:r>
        <w:rPr>
          <w:rFonts w:cs="Segoe UI"/>
        </w:rPr>
        <w:t>ing</w:t>
      </w:r>
      <w:r w:rsidRPr="00E47714">
        <w:rPr>
          <w:rFonts w:cs="Segoe UI"/>
        </w:rPr>
        <w:t xml:space="preserve"> the day-to-day running of the health system across Aotearoa</w:t>
      </w:r>
      <w:r>
        <w:rPr>
          <w:rFonts w:cs="Segoe UI"/>
        </w:rPr>
        <w:t xml:space="preserve"> New Zealand</w:t>
      </w:r>
      <w:r w:rsidRPr="00E47714">
        <w:rPr>
          <w:rFonts w:cs="Segoe UI"/>
        </w:rPr>
        <w:t xml:space="preserve">, </w:t>
      </w:r>
      <w:r>
        <w:rPr>
          <w:rFonts w:cs="Segoe UI"/>
        </w:rPr>
        <w:t>involving</w:t>
      </w:r>
      <w:r w:rsidRPr="00E47714">
        <w:rPr>
          <w:rFonts w:cs="Segoe UI"/>
        </w:rPr>
        <w:t xml:space="preserve"> functions delivered at local, district, regional and national levels. It weaves the functions of the 20 former </w:t>
      </w:r>
      <w:r>
        <w:rPr>
          <w:rFonts w:cs="Segoe UI"/>
        </w:rPr>
        <w:t>d</w:t>
      </w:r>
      <w:r w:rsidRPr="00E47714">
        <w:rPr>
          <w:rFonts w:cs="Segoe UI"/>
        </w:rPr>
        <w:t xml:space="preserve">istrict </w:t>
      </w:r>
      <w:r>
        <w:rPr>
          <w:rFonts w:cs="Segoe UI"/>
        </w:rPr>
        <w:t>h</w:t>
      </w:r>
      <w:r w:rsidRPr="00E47714">
        <w:rPr>
          <w:rFonts w:cs="Segoe UI"/>
        </w:rPr>
        <w:t xml:space="preserve">ealth </w:t>
      </w:r>
      <w:r>
        <w:rPr>
          <w:rFonts w:cs="Segoe UI"/>
        </w:rPr>
        <w:t>b</w:t>
      </w:r>
      <w:r w:rsidRPr="00E47714">
        <w:rPr>
          <w:rFonts w:cs="Segoe UI"/>
        </w:rPr>
        <w:t xml:space="preserve">oards into its regional divisions and district offices, ensuring continuity of services in the health system. </w:t>
      </w:r>
      <w:r>
        <w:rPr>
          <w:rFonts w:cs="Segoe UI"/>
        </w:rPr>
        <w:t>Health New Zealand</w:t>
      </w:r>
      <w:r w:rsidRPr="00E47714">
        <w:rPr>
          <w:rFonts w:cs="Segoe UI"/>
        </w:rPr>
        <w:t xml:space="preserve"> manages all health services, including hospital and specialist services, and primary and community care.</w:t>
      </w:r>
    </w:p>
    <w:p w14:paraId="5588C2F1" w14:textId="77777777" w:rsidR="009D4BFA" w:rsidRPr="00E47714" w:rsidRDefault="009D4BFA" w:rsidP="009D4BFA">
      <w:pPr>
        <w:pStyle w:val="Heading3"/>
      </w:pPr>
      <w:r w:rsidRPr="00E47714">
        <w:t>Access</w:t>
      </w:r>
    </w:p>
    <w:p w14:paraId="7AAB6DDD" w14:textId="77777777" w:rsidR="009D4BFA" w:rsidRPr="00E47714" w:rsidRDefault="009D4BFA" w:rsidP="009D4BFA">
      <w:pPr>
        <w:rPr>
          <w:rFonts w:cs="Segoe UI"/>
        </w:rPr>
      </w:pPr>
      <w:r w:rsidRPr="00E47714">
        <w:rPr>
          <w:rFonts w:cs="Segoe UI"/>
        </w:rPr>
        <w:t>Timely and equitable access to health care is critical to achieving equitable health outcomes. Achieving equity includes ensuring Māori and other population groups have access to services in proportion to their health needs, receive equitable levels of service and achieve equitable health outcomes (</w:t>
      </w:r>
      <w:proofErr w:type="spellStart"/>
      <w:r>
        <w:rPr>
          <w:rFonts w:cs="Segoe UI"/>
        </w:rPr>
        <w:t>Pae</w:t>
      </w:r>
      <w:proofErr w:type="spellEnd"/>
      <w:r>
        <w:rPr>
          <w:rFonts w:cs="Segoe UI"/>
        </w:rPr>
        <w:t xml:space="preserve"> Ora (Healthy Futures) Act</w:t>
      </w:r>
      <w:r w:rsidRPr="00E47714">
        <w:rPr>
          <w:rFonts w:cs="Segoe UI"/>
        </w:rPr>
        <w:t xml:space="preserve"> 2022). </w:t>
      </w:r>
    </w:p>
    <w:p w14:paraId="1DA2C115" w14:textId="77777777" w:rsidR="009D4BFA" w:rsidRPr="00E47714" w:rsidRDefault="009D4BFA" w:rsidP="009D4BFA">
      <w:pPr>
        <w:pStyle w:val="Heading3"/>
      </w:pPr>
      <w:r w:rsidRPr="00E47714">
        <w:t>Primary and community health care services</w:t>
      </w:r>
    </w:p>
    <w:p w14:paraId="07D5F79B" w14:textId="77777777" w:rsidR="009D4BFA" w:rsidRPr="00E47714" w:rsidRDefault="009D4BFA" w:rsidP="009D4BFA">
      <w:r w:rsidRPr="00E47714">
        <w:rPr>
          <w:rFonts w:cs="Segoe UI"/>
          <w:color w:val="000000" w:themeColor="text1"/>
          <w:shd w:val="clear" w:color="auto" w:fill="FFFFFF"/>
        </w:rPr>
        <w:t>Primary and community health</w:t>
      </w:r>
      <w:r>
        <w:rPr>
          <w:rFonts w:cs="Segoe UI"/>
          <w:color w:val="000000" w:themeColor="text1"/>
          <w:shd w:val="clear" w:color="auto" w:fill="FFFFFF"/>
        </w:rPr>
        <w:t xml:space="preserve"> </w:t>
      </w:r>
      <w:r w:rsidRPr="00E47714">
        <w:rPr>
          <w:rFonts w:cs="Segoe UI"/>
          <w:color w:val="000000" w:themeColor="text1"/>
          <w:shd w:val="clear" w:color="auto" w:fill="FFFFFF"/>
        </w:rPr>
        <w:t>care includes a wide range of services delivered outside of a hospital setting</w:t>
      </w:r>
      <w:r>
        <w:rPr>
          <w:rFonts w:cs="Segoe UI"/>
          <w:color w:val="000000" w:themeColor="text1"/>
          <w:shd w:val="clear" w:color="auto" w:fill="FFFFFF"/>
        </w:rPr>
        <w:t>. These</w:t>
      </w:r>
      <w:r w:rsidRPr="00E47714">
        <w:rPr>
          <w:rFonts w:cs="Segoe UI"/>
          <w:color w:val="000000" w:themeColor="text1"/>
          <w:shd w:val="clear" w:color="auto" w:fill="FFFFFF"/>
        </w:rPr>
        <w:t xml:space="preserve"> includ</w:t>
      </w:r>
      <w:r>
        <w:rPr>
          <w:rFonts w:cs="Segoe UI"/>
          <w:color w:val="000000" w:themeColor="text1"/>
          <w:shd w:val="clear" w:color="auto" w:fill="FFFFFF"/>
        </w:rPr>
        <w:t>e services from</w:t>
      </w:r>
      <w:r w:rsidRPr="00E47714">
        <w:rPr>
          <w:rFonts w:cs="Segoe UI"/>
          <w:color w:val="000000" w:themeColor="text1"/>
          <w:shd w:val="clear" w:color="auto" w:fill="FFFFFF"/>
        </w:rPr>
        <w:t xml:space="preserve"> general practitioners, pharmacists, midwives, Māori and Pacific providers, allied health professionals, dentists and dental therapists, aged care and home care workers, disability support service providers, nurse </w:t>
      </w:r>
      <w:r w:rsidRPr="00E47714">
        <w:rPr>
          <w:rFonts w:cs="Segoe UI"/>
          <w:color w:val="000000" w:themeColor="text1"/>
          <w:shd w:val="clear" w:color="auto" w:fill="FFFFFF"/>
        </w:rPr>
        <w:lastRenderedPageBreak/>
        <w:t>practitioners, community and practice nurses, the non-clinical workforce, district nurses, community mental health and addiction services, public health nurses, non-governmental organisations and</w:t>
      </w:r>
      <w:r>
        <w:rPr>
          <w:rFonts w:cs="Segoe UI"/>
          <w:color w:val="000000" w:themeColor="text1"/>
          <w:shd w:val="clear" w:color="auto" w:fill="FFFFFF"/>
        </w:rPr>
        <w:t>,</w:t>
      </w:r>
      <w:r w:rsidRPr="00E47714">
        <w:rPr>
          <w:rFonts w:cs="Segoe UI"/>
          <w:color w:val="000000" w:themeColor="text1"/>
          <w:shd w:val="clear" w:color="auto" w:fill="FFFFFF"/>
        </w:rPr>
        <w:t xml:space="preserve"> in some cases</w:t>
      </w:r>
      <w:r>
        <w:rPr>
          <w:rFonts w:cs="Segoe UI"/>
          <w:color w:val="000000" w:themeColor="text1"/>
          <w:shd w:val="clear" w:color="auto" w:fill="FFFFFF"/>
        </w:rPr>
        <w:t>,</w:t>
      </w:r>
      <w:r w:rsidRPr="00E47714">
        <w:rPr>
          <w:rFonts w:cs="Segoe UI"/>
          <w:color w:val="000000" w:themeColor="text1"/>
          <w:shd w:val="clear" w:color="auto" w:fill="FFFFFF"/>
        </w:rPr>
        <w:t xml:space="preserve"> rural hospitals </w:t>
      </w:r>
      <w:r>
        <w:rPr>
          <w:rFonts w:cs="Segoe UI"/>
          <w:color w:val="000000" w:themeColor="text1"/>
          <w:shd w:val="clear" w:color="auto" w:fill="FFFFFF"/>
        </w:rPr>
        <w:fldChar w:fldCharType="begin"/>
      </w:r>
      <w:r>
        <w:rPr>
          <w:rFonts w:cs="Segoe UI"/>
          <w:color w:val="000000" w:themeColor="text1"/>
          <w:shd w:val="clear" w:color="auto" w:fill="FFFFFF"/>
        </w:rPr>
        <w:instrText xml:space="preserve"> ADDIN EN.CITE &lt;EndNote&gt;&lt;Cite&gt;&lt;Author&gt;Ministry of Health&lt;/Author&gt;&lt;Year&gt;2024&lt;/Year&gt;&lt;RecNum&gt;499&lt;/RecNum&gt;&lt;DisplayText&gt;(Ministry of Health 2024g)&lt;/DisplayText&gt;&lt;record&gt;&lt;rec-number&gt;499&lt;/rec-number&gt;&lt;foreign-keys&gt;&lt;key app="EN" db-id="aaepvppzs5wtfse95vsp2wahsrtvva2vvdet" timestamp="1716761720"&gt;499&lt;/key&gt;&lt;/foreign-keys&gt;&lt;ref-type name="Web Page"&gt;12&lt;/ref-type&gt;&lt;contributors&gt;&lt;authors&gt;&lt;author&gt;Ministry of Health,&lt;/author&gt;&lt;/authors&gt;&lt;/contributors&gt;&lt;titles&gt;&lt;title&gt;Primary and community healthcare&lt;/title&gt;&lt;/titles&gt;&lt;number&gt;27 May 2024&lt;/number&gt;&lt;dates&gt;&lt;year&gt;2024&lt;/year&gt;&lt;/dates&gt;&lt;urls&gt;&lt;related-urls&gt;&lt;url&gt;health.govt.nz/our-work/primary-and-community-healthcare&lt;/url&gt;&lt;/related-urls&gt;&lt;/urls&gt;&lt;/record&gt;&lt;/Cite&gt;&lt;/EndNote&gt;</w:instrText>
      </w:r>
      <w:r>
        <w:rPr>
          <w:rFonts w:cs="Segoe UI"/>
          <w:color w:val="000000" w:themeColor="text1"/>
          <w:shd w:val="clear" w:color="auto" w:fill="FFFFFF"/>
        </w:rPr>
        <w:fldChar w:fldCharType="separate"/>
      </w:r>
      <w:r>
        <w:rPr>
          <w:rFonts w:cs="Segoe UI"/>
          <w:noProof/>
          <w:color w:val="000000" w:themeColor="text1"/>
          <w:shd w:val="clear" w:color="auto" w:fill="FFFFFF"/>
        </w:rPr>
        <w:t>(Ministry of Health 2024g)</w:t>
      </w:r>
      <w:r>
        <w:rPr>
          <w:rFonts w:cs="Segoe UI"/>
          <w:color w:val="000000" w:themeColor="text1"/>
          <w:shd w:val="clear" w:color="auto" w:fill="FFFFFF"/>
        </w:rPr>
        <w:fldChar w:fldCharType="end"/>
      </w:r>
      <w:r w:rsidRPr="00E47714">
        <w:rPr>
          <w:rFonts w:cs="Segoe UI"/>
          <w:color w:val="000000" w:themeColor="text1"/>
          <w:shd w:val="clear" w:color="auto" w:fill="FFFFFF"/>
        </w:rPr>
        <w:t>.</w:t>
      </w:r>
    </w:p>
    <w:p w14:paraId="3688B8E5" w14:textId="77777777" w:rsidR="009D4BFA" w:rsidRPr="00E47714" w:rsidRDefault="009D4BFA" w:rsidP="009D4BFA">
      <w:pPr>
        <w:pStyle w:val="Heading4"/>
      </w:pPr>
      <w:r w:rsidRPr="00E47714">
        <w:t xml:space="preserve">Barriers to accessing primary health </w:t>
      </w:r>
      <w:proofErr w:type="gramStart"/>
      <w:r w:rsidRPr="00E47714">
        <w:t>care</w:t>
      </w:r>
      <w:proofErr w:type="gramEnd"/>
    </w:p>
    <w:p w14:paraId="3629FCE3" w14:textId="0521A544" w:rsidR="009D4BFA" w:rsidRPr="00E47714" w:rsidRDefault="009D4BFA" w:rsidP="009D4BFA">
      <w:pPr>
        <w:rPr>
          <w:rFonts w:cs="Segoe UI"/>
          <w:color w:val="000000" w:themeColor="text1"/>
          <w:shd w:val="clear" w:color="auto" w:fill="FFFFFF"/>
        </w:rPr>
      </w:pPr>
      <w:r w:rsidRPr="00E47714">
        <w:rPr>
          <w:rFonts w:cs="Segoe UI"/>
          <w:color w:val="000000" w:themeColor="text1"/>
          <w:shd w:val="clear" w:color="auto" w:fill="FFFFFF"/>
        </w:rPr>
        <w:t xml:space="preserve">The Health Survey is a source of national data </w:t>
      </w:r>
      <w:r>
        <w:rPr>
          <w:rFonts w:cs="Segoe UI"/>
          <w:color w:val="000000" w:themeColor="text1"/>
          <w:shd w:val="clear" w:color="auto" w:fill="FFFFFF"/>
        </w:rPr>
        <w:t>on</w:t>
      </w:r>
      <w:r w:rsidRPr="00E47714">
        <w:rPr>
          <w:rFonts w:cs="Segoe UI"/>
          <w:color w:val="000000" w:themeColor="text1"/>
          <w:shd w:val="clear" w:color="auto" w:fill="FFFFFF"/>
        </w:rPr>
        <w:t xml:space="preserve"> people</w:t>
      </w:r>
      <w:r>
        <w:rPr>
          <w:rFonts w:cs="Segoe UI"/>
          <w:color w:val="000000" w:themeColor="text1"/>
          <w:shd w:val="clear" w:color="auto" w:fill="FFFFFF"/>
        </w:rPr>
        <w:t>’s</w:t>
      </w:r>
      <w:r w:rsidRPr="00E47714">
        <w:rPr>
          <w:rFonts w:cs="Segoe UI"/>
          <w:color w:val="000000" w:themeColor="text1"/>
          <w:shd w:val="clear" w:color="auto" w:fill="FFFFFF"/>
        </w:rPr>
        <w:t xml:space="preserve"> perception</w:t>
      </w:r>
      <w:r>
        <w:rPr>
          <w:rFonts w:cs="Segoe UI"/>
          <w:color w:val="000000" w:themeColor="text1"/>
          <w:shd w:val="clear" w:color="auto" w:fill="FFFFFF"/>
        </w:rPr>
        <w:t>s</w:t>
      </w:r>
      <w:r w:rsidRPr="00E47714">
        <w:rPr>
          <w:rFonts w:cs="Segoe UI"/>
          <w:color w:val="000000" w:themeColor="text1"/>
          <w:shd w:val="clear" w:color="auto" w:fill="FFFFFF"/>
        </w:rPr>
        <w:t xml:space="preserve"> of </w:t>
      </w:r>
      <w:r>
        <w:rPr>
          <w:rFonts w:cs="Segoe UI"/>
          <w:color w:val="000000" w:themeColor="text1"/>
          <w:shd w:val="clear" w:color="auto" w:fill="FFFFFF"/>
        </w:rPr>
        <w:t xml:space="preserve">their </w:t>
      </w:r>
      <w:r w:rsidRPr="00E47714">
        <w:rPr>
          <w:rFonts w:cs="Segoe UI"/>
          <w:color w:val="000000" w:themeColor="text1"/>
          <w:shd w:val="clear" w:color="auto" w:fill="FFFFFF"/>
        </w:rPr>
        <w:t xml:space="preserve">access </w:t>
      </w:r>
      <w:r>
        <w:rPr>
          <w:rFonts w:cs="Segoe UI"/>
          <w:color w:val="000000" w:themeColor="text1"/>
          <w:shd w:val="clear" w:color="auto" w:fill="FFFFFF"/>
        </w:rPr>
        <w:t xml:space="preserve">to </w:t>
      </w:r>
      <w:r w:rsidRPr="00E47714">
        <w:rPr>
          <w:rFonts w:cs="Segoe UI"/>
          <w:color w:val="000000" w:themeColor="text1"/>
          <w:shd w:val="clear" w:color="auto" w:fill="FFFFFF"/>
        </w:rPr>
        <w:t xml:space="preserve">and unmet need for primary health care. Unmet need for primary health care describes situations where people were unable to access primary health care for reasons such as not being able to get an appointment, cost, and lack of transport or childcare </w:t>
      </w:r>
      <w:r>
        <w:rPr>
          <w:rFonts w:cs="Segoe UI"/>
          <w:color w:val="000000" w:themeColor="text1"/>
          <w:shd w:val="clear" w:color="auto" w:fill="FFFFFF"/>
        </w:rPr>
        <w:fldChar w:fldCharType="begin"/>
      </w:r>
      <w:r>
        <w:rPr>
          <w:rFonts w:cs="Segoe UI"/>
          <w:color w:val="000000" w:themeColor="text1"/>
          <w:shd w:val="clear" w:color="auto" w:fill="FFFFFF"/>
        </w:rPr>
        <w:instrText xml:space="preserve"> ADDIN EN.CITE &lt;EndNote&gt;&lt;Cite&gt;&lt;Author&gt;Ministry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rPr>
          <w:rFonts w:cs="Segoe UI"/>
          <w:color w:val="000000" w:themeColor="text1"/>
          <w:shd w:val="clear" w:color="auto" w:fill="FFFFFF"/>
        </w:rPr>
        <w:fldChar w:fldCharType="separate"/>
      </w:r>
      <w:r>
        <w:rPr>
          <w:rFonts w:cs="Segoe UI"/>
          <w:noProof/>
          <w:color w:val="000000" w:themeColor="text1"/>
          <w:shd w:val="clear" w:color="auto" w:fill="FFFFFF"/>
        </w:rPr>
        <w:t>(Ministry of Health 2023d)</w:t>
      </w:r>
      <w:r>
        <w:rPr>
          <w:rFonts w:cs="Segoe UI"/>
          <w:color w:val="000000" w:themeColor="text1"/>
          <w:shd w:val="clear" w:color="auto" w:fill="FFFFFF"/>
        </w:rPr>
        <w:fldChar w:fldCharType="end"/>
      </w:r>
      <w:r w:rsidRPr="00E47714">
        <w:rPr>
          <w:rFonts w:cs="Segoe UI"/>
          <w:color w:val="000000" w:themeColor="text1"/>
          <w:szCs w:val="21"/>
          <w:shd w:val="clear" w:color="auto" w:fill="FFFFFF"/>
        </w:rPr>
        <w:t xml:space="preserve">. </w:t>
      </w:r>
      <w:r w:rsidRPr="00E47714">
        <w:rPr>
          <w:rFonts w:cs="Segoe UI"/>
          <w:color w:val="000000" w:themeColor="text1"/>
          <w:shd w:val="clear" w:color="auto" w:fill="FFFFFF"/>
        </w:rPr>
        <w:t xml:space="preserve">In the year 2022/23, time taken to get an appointment and cost were the </w:t>
      </w:r>
      <w:r>
        <w:rPr>
          <w:rFonts w:cs="Segoe UI"/>
          <w:color w:val="000000" w:themeColor="text1"/>
          <w:shd w:val="clear" w:color="auto" w:fill="FFFFFF"/>
        </w:rPr>
        <w:t>most frequent</w:t>
      </w:r>
      <w:r w:rsidRPr="00E47714">
        <w:rPr>
          <w:rFonts w:cs="Segoe UI"/>
          <w:color w:val="000000" w:themeColor="text1"/>
          <w:shd w:val="clear" w:color="auto" w:fill="FFFFFF"/>
        </w:rPr>
        <w:t xml:space="preserve"> barriers to visit</w:t>
      </w:r>
      <w:r>
        <w:rPr>
          <w:rFonts w:cs="Segoe UI"/>
          <w:color w:val="000000" w:themeColor="text1"/>
          <w:shd w:val="clear" w:color="auto" w:fill="FFFFFF"/>
        </w:rPr>
        <w:t>ing</w:t>
      </w:r>
      <w:r w:rsidRPr="00E47714">
        <w:rPr>
          <w:rFonts w:cs="Segoe UI"/>
          <w:color w:val="000000" w:themeColor="text1"/>
          <w:shd w:val="clear" w:color="auto" w:fill="FFFFFF"/>
        </w:rPr>
        <w:t xml:space="preserve"> a GP</w:t>
      </w:r>
      <w:r>
        <w:rPr>
          <w:rFonts w:cs="Segoe UI"/>
          <w:color w:val="000000" w:themeColor="text1"/>
          <w:shd w:val="clear" w:color="auto" w:fill="FFFFFF"/>
        </w:rPr>
        <w:t xml:space="preserve"> that adults experienced (</w:t>
      </w:r>
      <w:r>
        <w:rPr>
          <w:rFonts w:cs="Segoe UI"/>
          <w:color w:val="000000" w:themeColor="text1"/>
          <w:shd w:val="clear" w:color="auto" w:fill="FFFFFF"/>
        </w:rPr>
        <w:fldChar w:fldCharType="begin"/>
      </w:r>
      <w:r>
        <w:rPr>
          <w:rFonts w:cs="Segoe UI"/>
          <w:color w:val="000000" w:themeColor="text1"/>
          <w:shd w:val="clear" w:color="auto" w:fill="FFFFFF"/>
        </w:rPr>
        <w:instrText xml:space="preserve"> REF _Ref169857071 \h </w:instrText>
      </w:r>
      <w:r>
        <w:rPr>
          <w:rFonts w:cs="Segoe UI"/>
          <w:color w:val="000000" w:themeColor="text1"/>
          <w:shd w:val="clear" w:color="auto" w:fill="FFFFFF"/>
        </w:rPr>
      </w:r>
      <w:r>
        <w:rPr>
          <w:rFonts w:cs="Segoe UI"/>
          <w:color w:val="000000" w:themeColor="text1"/>
          <w:shd w:val="clear" w:color="auto" w:fill="FFFFFF"/>
        </w:rPr>
        <w:fldChar w:fldCharType="separate"/>
      </w:r>
      <w:r w:rsidR="009A6F87" w:rsidRPr="00E47714">
        <w:t xml:space="preserve">Table </w:t>
      </w:r>
      <w:r w:rsidR="009A6F87">
        <w:rPr>
          <w:noProof/>
        </w:rPr>
        <w:t>5</w:t>
      </w:r>
      <w:r>
        <w:rPr>
          <w:rFonts w:cs="Segoe UI"/>
          <w:color w:val="000000" w:themeColor="text1"/>
          <w:shd w:val="clear" w:color="auto" w:fill="FFFFFF"/>
        </w:rPr>
        <w:fldChar w:fldCharType="end"/>
      </w:r>
      <w:r>
        <w:rPr>
          <w:rFonts w:cs="Segoe UI"/>
          <w:color w:val="000000" w:themeColor="text1"/>
          <w:shd w:val="clear" w:color="auto" w:fill="FFFFFF"/>
        </w:rPr>
        <w:t>)</w:t>
      </w:r>
      <w:r w:rsidRPr="00E47714">
        <w:rPr>
          <w:rFonts w:cs="Segoe UI"/>
          <w:color w:val="000000" w:themeColor="text1"/>
          <w:shd w:val="clear" w:color="auto" w:fill="FFFFFF"/>
        </w:rPr>
        <w:t>.</w:t>
      </w:r>
    </w:p>
    <w:p w14:paraId="03D76630" w14:textId="77777777" w:rsidR="009D4BFA" w:rsidRPr="00E47714" w:rsidRDefault="009D4BFA" w:rsidP="009365E0">
      <w:pPr>
        <w:pStyle w:val="Bullet"/>
      </w:pPr>
      <w:r w:rsidRPr="00E47714">
        <w:t>21.2% of adults reported the time taken to get an appointment was too long. This had increased from 11.6% in the previous year.</w:t>
      </w:r>
    </w:p>
    <w:p w14:paraId="7977EB1E" w14:textId="77777777" w:rsidR="009D4BFA" w:rsidRPr="00E47714" w:rsidRDefault="009D4BFA" w:rsidP="009365E0">
      <w:pPr>
        <w:pStyle w:val="Bullet"/>
      </w:pPr>
      <w:r>
        <w:t>One</w:t>
      </w:r>
      <w:r w:rsidRPr="00E47714">
        <w:t xml:space="preserve"> in </w:t>
      </w:r>
      <w:r>
        <w:t>eight</w:t>
      </w:r>
      <w:r w:rsidRPr="00E47714">
        <w:t xml:space="preserve"> adults (12.9%) reported not seeing a GP due to cost in the 12 months before taking part in the 2022/23 survey. This is higher than the previous </w:t>
      </w:r>
      <w:r>
        <w:t>two</w:t>
      </w:r>
      <w:r w:rsidRPr="00E47714">
        <w:t xml:space="preserve"> years, but </w:t>
      </w:r>
      <w:r>
        <w:t>lower</w:t>
      </w:r>
      <w:r w:rsidRPr="00E47714">
        <w:t xml:space="preserve"> than other years since 2011/12.</w:t>
      </w:r>
    </w:p>
    <w:p w14:paraId="0883DA22" w14:textId="77777777" w:rsidR="009D4BFA" w:rsidRPr="00E47714" w:rsidRDefault="009D4BFA" w:rsidP="009365E0">
      <w:pPr>
        <w:pStyle w:val="Bullet"/>
      </w:pPr>
      <w:r w:rsidRPr="00E47714">
        <w:t xml:space="preserve">In 2022/23, experiencing cost as a barrier to visiting </w:t>
      </w:r>
      <w:r>
        <w:t>a</w:t>
      </w:r>
      <w:r w:rsidRPr="00E47714">
        <w:t xml:space="preserve"> GP was more common among women (15.1%) than men (10.5%).</w:t>
      </w:r>
    </w:p>
    <w:p w14:paraId="4554041F" w14:textId="77777777" w:rsidR="009D4BFA" w:rsidRPr="00E47714" w:rsidRDefault="009D4BFA" w:rsidP="009365E0">
      <w:pPr>
        <w:pStyle w:val="Bullet"/>
      </w:pPr>
      <w:r w:rsidRPr="00E47714">
        <w:t xml:space="preserve">Adults living in the most deprived neighbourhoods were 1.4 times </w:t>
      </w:r>
      <w:r>
        <w:t>more</w:t>
      </w:r>
      <w:r w:rsidRPr="00E47714">
        <w:t xml:space="preserve"> likely </w:t>
      </w:r>
      <w:r>
        <w:t>than</w:t>
      </w:r>
      <w:r w:rsidRPr="00E47714">
        <w:t xml:space="preserve"> those living in the least deprived neighbourhoods to have not visited a GP due to cost in the past year, after adjusting for age, gender and ethnic group.</w:t>
      </w:r>
    </w:p>
    <w:p w14:paraId="432EF4D3" w14:textId="77777777" w:rsidR="009D4BFA" w:rsidRPr="00E47714" w:rsidRDefault="009D4BFA" w:rsidP="009365E0">
      <w:pPr>
        <w:pStyle w:val="Bullet"/>
      </w:pPr>
      <w:r>
        <w:t>One</w:t>
      </w:r>
      <w:r w:rsidRPr="00E47714">
        <w:t xml:space="preserve"> in </w:t>
      </w:r>
      <w:r>
        <w:t>five</w:t>
      </w:r>
      <w:r w:rsidRPr="00E47714">
        <w:t xml:space="preserve"> (21.4%) disabled adults reported not visiting a GP due to cost, compared </w:t>
      </w:r>
      <w:r>
        <w:t>with</w:t>
      </w:r>
      <w:r w:rsidRPr="00E47714">
        <w:t xml:space="preserve"> 12.0% of non-disabled adults.</w:t>
      </w:r>
    </w:p>
    <w:p w14:paraId="7B731B24" w14:textId="02F7E7A0" w:rsidR="009D4BFA" w:rsidRPr="00E47714" w:rsidRDefault="009D4BFA" w:rsidP="009365E0">
      <w:pPr>
        <w:pStyle w:val="Table"/>
      </w:pPr>
      <w:bookmarkStart w:id="221" w:name="_Ref169857071"/>
      <w:bookmarkStart w:id="222" w:name="_Toc171330693"/>
      <w:bookmarkStart w:id="223" w:name="_Toc172010452"/>
      <w:r w:rsidRPr="00E47714">
        <w:t xml:space="preserve">Table </w:t>
      </w:r>
      <w:fldSimple w:instr=" SEQ Table \* ARABIC ">
        <w:r w:rsidR="009A6F87">
          <w:rPr>
            <w:noProof/>
          </w:rPr>
          <w:t>5</w:t>
        </w:r>
      </w:fldSimple>
      <w:bookmarkEnd w:id="221"/>
      <w:r w:rsidRPr="00E47714">
        <w:t>: Proportion of adults reporting unmet need for primary health care (in the past 12 months)</w:t>
      </w:r>
      <w:r>
        <w:t xml:space="preserve"> and reason for that unmet need,</w:t>
      </w:r>
      <w:r w:rsidRPr="00E47714">
        <w:t xml:space="preserve"> by population group </w:t>
      </w:r>
      <w:r>
        <w:t>(total response ethnicity),</w:t>
      </w:r>
      <w:r w:rsidRPr="00E47714">
        <w:t xml:space="preserve"> </w:t>
      </w:r>
      <w:r>
        <w:t>three</w:t>
      </w:r>
      <w:r w:rsidRPr="00E47714">
        <w:t>-year pooled period ending 2022/23</w:t>
      </w:r>
      <w:bookmarkEnd w:id="222"/>
      <w:bookmarkEnd w:id="223"/>
    </w:p>
    <w:tbl>
      <w:tblPr>
        <w:tblW w:w="4931" w:type="pct"/>
        <w:tblInd w:w="57" w:type="dxa"/>
        <w:tblBorders>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1616"/>
        <w:gridCol w:w="1587"/>
        <w:gridCol w:w="1589"/>
        <w:gridCol w:w="1587"/>
        <w:gridCol w:w="1589"/>
      </w:tblGrid>
      <w:tr w:rsidR="009D4BFA" w:rsidRPr="00E47714" w14:paraId="4F37ADC5" w14:textId="77777777" w:rsidTr="00D972B3">
        <w:trPr>
          <w:cantSplit/>
        </w:trPr>
        <w:tc>
          <w:tcPr>
            <w:tcW w:w="1014" w:type="pct"/>
            <w:tcBorders>
              <w:top w:val="nil"/>
              <w:bottom w:val="nil"/>
            </w:tcBorders>
            <w:shd w:val="clear" w:color="000000" w:fill="D9D9D9"/>
            <w:hideMark/>
          </w:tcPr>
          <w:p w14:paraId="09E521C7" w14:textId="77777777" w:rsidR="009D4BFA" w:rsidRPr="00E47714" w:rsidRDefault="009D4BFA" w:rsidP="00D972B3">
            <w:pPr>
              <w:pStyle w:val="TableText"/>
              <w:rPr>
                <w:rFonts w:cs="Segoe UI"/>
                <w:b/>
              </w:rPr>
            </w:pPr>
            <w:r w:rsidRPr="00E47714">
              <w:rPr>
                <w:rFonts w:cs="Segoe UI"/>
                <w:b/>
              </w:rPr>
              <w:t>Population group (adults)</w:t>
            </w:r>
          </w:p>
        </w:tc>
        <w:tc>
          <w:tcPr>
            <w:tcW w:w="996" w:type="pct"/>
            <w:tcBorders>
              <w:top w:val="nil"/>
              <w:bottom w:val="nil"/>
            </w:tcBorders>
            <w:shd w:val="clear" w:color="000000" w:fill="D9D9D9"/>
            <w:hideMark/>
          </w:tcPr>
          <w:p w14:paraId="364D7FC6" w14:textId="77777777" w:rsidR="009D4BFA" w:rsidRPr="00E47714" w:rsidRDefault="009D4BFA" w:rsidP="00D972B3">
            <w:pPr>
              <w:pStyle w:val="TableText"/>
              <w:jc w:val="center"/>
              <w:rPr>
                <w:rFonts w:cs="Segoe UI"/>
                <w:b/>
              </w:rPr>
            </w:pPr>
            <w:r w:rsidRPr="00E47714">
              <w:rPr>
                <w:rFonts w:cs="Segoe UI"/>
                <w:b/>
              </w:rPr>
              <w:t>Unmet need for GP due to time taken to get an appointment</w:t>
            </w:r>
          </w:p>
        </w:tc>
        <w:tc>
          <w:tcPr>
            <w:tcW w:w="997" w:type="pct"/>
            <w:tcBorders>
              <w:top w:val="nil"/>
              <w:bottom w:val="nil"/>
            </w:tcBorders>
            <w:shd w:val="clear" w:color="000000" w:fill="D9D9D9"/>
            <w:hideMark/>
          </w:tcPr>
          <w:p w14:paraId="562B9669" w14:textId="77777777" w:rsidR="009D4BFA" w:rsidRPr="00E47714" w:rsidRDefault="009D4BFA" w:rsidP="00D972B3">
            <w:pPr>
              <w:pStyle w:val="TableText"/>
              <w:jc w:val="center"/>
              <w:rPr>
                <w:rFonts w:cs="Segoe UI"/>
                <w:b/>
              </w:rPr>
            </w:pPr>
            <w:r w:rsidRPr="00E47714">
              <w:rPr>
                <w:rFonts w:cs="Segoe UI"/>
                <w:b/>
              </w:rPr>
              <w:t>Unmet need for GP due to cost</w:t>
            </w:r>
          </w:p>
        </w:tc>
        <w:tc>
          <w:tcPr>
            <w:tcW w:w="996" w:type="pct"/>
            <w:tcBorders>
              <w:top w:val="nil"/>
              <w:bottom w:val="nil"/>
            </w:tcBorders>
            <w:shd w:val="clear" w:color="000000" w:fill="D9D9D9"/>
            <w:hideMark/>
          </w:tcPr>
          <w:p w14:paraId="61361EEC" w14:textId="77777777" w:rsidR="009D4BFA" w:rsidRPr="00E47714" w:rsidRDefault="009D4BFA" w:rsidP="00D972B3">
            <w:pPr>
              <w:pStyle w:val="TableText"/>
              <w:jc w:val="center"/>
              <w:rPr>
                <w:rFonts w:cs="Segoe UI"/>
                <w:b/>
              </w:rPr>
            </w:pPr>
            <w:r w:rsidRPr="00E47714">
              <w:rPr>
                <w:rFonts w:cs="Segoe UI"/>
                <w:b/>
              </w:rPr>
              <w:t>Unfilled prescription due to cost</w:t>
            </w:r>
          </w:p>
        </w:tc>
        <w:tc>
          <w:tcPr>
            <w:tcW w:w="997" w:type="pct"/>
            <w:tcBorders>
              <w:top w:val="nil"/>
              <w:bottom w:val="nil"/>
            </w:tcBorders>
            <w:shd w:val="clear" w:color="000000" w:fill="D9D9D9"/>
          </w:tcPr>
          <w:p w14:paraId="744D2956" w14:textId="77777777" w:rsidR="009D4BFA" w:rsidRPr="00E47714" w:rsidRDefault="009D4BFA" w:rsidP="00D972B3">
            <w:pPr>
              <w:pStyle w:val="TableText"/>
              <w:jc w:val="center"/>
              <w:rPr>
                <w:rFonts w:cs="Segoe UI"/>
                <w:b/>
              </w:rPr>
            </w:pPr>
            <w:r w:rsidRPr="00E47714">
              <w:rPr>
                <w:rFonts w:cs="Segoe UI"/>
                <w:b/>
              </w:rPr>
              <w:t>Unmet need for GP due to work</w:t>
            </w:r>
          </w:p>
        </w:tc>
      </w:tr>
      <w:tr w:rsidR="009D4BFA" w:rsidRPr="00E47714" w14:paraId="55E7474C" w14:textId="77777777" w:rsidTr="00D972B3">
        <w:trPr>
          <w:cantSplit/>
        </w:trPr>
        <w:tc>
          <w:tcPr>
            <w:tcW w:w="1014" w:type="pct"/>
            <w:tcBorders>
              <w:top w:val="nil"/>
              <w:bottom w:val="single" w:sz="4" w:space="0" w:color="A6A6A6" w:themeColor="background1" w:themeShade="A6"/>
            </w:tcBorders>
            <w:shd w:val="clear" w:color="auto" w:fill="auto"/>
            <w:hideMark/>
          </w:tcPr>
          <w:p w14:paraId="26123D34" w14:textId="77777777" w:rsidR="009D4BFA" w:rsidRPr="00E47714" w:rsidRDefault="009D4BFA" w:rsidP="00D972B3">
            <w:pPr>
              <w:pStyle w:val="TableText"/>
              <w:rPr>
                <w:rFonts w:cs="Segoe UI"/>
              </w:rPr>
            </w:pPr>
            <w:r w:rsidRPr="00E47714">
              <w:rPr>
                <w:rFonts w:cs="Segoe UI"/>
              </w:rPr>
              <w:t>All adults</w:t>
            </w:r>
          </w:p>
        </w:tc>
        <w:tc>
          <w:tcPr>
            <w:tcW w:w="996" w:type="pct"/>
            <w:tcBorders>
              <w:top w:val="nil"/>
              <w:bottom w:val="single" w:sz="4" w:space="0" w:color="A6A6A6" w:themeColor="background1" w:themeShade="A6"/>
            </w:tcBorders>
            <w:shd w:val="clear" w:color="auto" w:fill="auto"/>
            <w:hideMark/>
          </w:tcPr>
          <w:p w14:paraId="24C2B72E" w14:textId="77777777" w:rsidR="009D4BFA" w:rsidRPr="00E47714" w:rsidRDefault="009D4BFA" w:rsidP="00D972B3">
            <w:pPr>
              <w:pStyle w:val="TableText"/>
              <w:jc w:val="center"/>
              <w:rPr>
                <w:rFonts w:cs="Segoe UI"/>
              </w:rPr>
            </w:pPr>
            <w:r w:rsidRPr="00E47714">
              <w:rPr>
                <w:rFonts w:cs="Segoe UI"/>
              </w:rPr>
              <w:t>21.2%</w:t>
            </w:r>
          </w:p>
        </w:tc>
        <w:tc>
          <w:tcPr>
            <w:tcW w:w="997" w:type="pct"/>
            <w:tcBorders>
              <w:top w:val="nil"/>
              <w:bottom w:val="single" w:sz="4" w:space="0" w:color="A6A6A6" w:themeColor="background1" w:themeShade="A6"/>
            </w:tcBorders>
            <w:shd w:val="clear" w:color="auto" w:fill="auto"/>
            <w:hideMark/>
          </w:tcPr>
          <w:p w14:paraId="5CFA1788" w14:textId="77777777" w:rsidR="009D4BFA" w:rsidRPr="00E47714" w:rsidRDefault="009D4BFA" w:rsidP="00D972B3">
            <w:pPr>
              <w:pStyle w:val="TableText"/>
              <w:jc w:val="center"/>
              <w:rPr>
                <w:rFonts w:cs="Segoe UI"/>
              </w:rPr>
            </w:pPr>
            <w:r w:rsidRPr="00E47714">
              <w:rPr>
                <w:rFonts w:cs="Segoe UI"/>
              </w:rPr>
              <w:t>12.9%</w:t>
            </w:r>
          </w:p>
        </w:tc>
        <w:tc>
          <w:tcPr>
            <w:tcW w:w="996" w:type="pct"/>
            <w:tcBorders>
              <w:top w:val="nil"/>
              <w:bottom w:val="single" w:sz="4" w:space="0" w:color="A6A6A6" w:themeColor="background1" w:themeShade="A6"/>
            </w:tcBorders>
            <w:shd w:val="clear" w:color="auto" w:fill="auto"/>
            <w:hideMark/>
          </w:tcPr>
          <w:p w14:paraId="0165A29D" w14:textId="77777777" w:rsidR="009D4BFA" w:rsidRPr="00E47714" w:rsidRDefault="009D4BFA" w:rsidP="00D972B3">
            <w:pPr>
              <w:pStyle w:val="TableText"/>
              <w:jc w:val="center"/>
              <w:rPr>
                <w:rFonts w:cs="Segoe UI"/>
              </w:rPr>
            </w:pPr>
            <w:r w:rsidRPr="00E47714">
              <w:rPr>
                <w:rFonts w:cs="Segoe UI"/>
              </w:rPr>
              <w:t>4.0%</w:t>
            </w:r>
          </w:p>
        </w:tc>
        <w:tc>
          <w:tcPr>
            <w:tcW w:w="997" w:type="pct"/>
            <w:tcBorders>
              <w:top w:val="nil"/>
              <w:bottom w:val="single" w:sz="4" w:space="0" w:color="A6A6A6" w:themeColor="background1" w:themeShade="A6"/>
            </w:tcBorders>
            <w:shd w:val="clear" w:color="auto" w:fill="auto"/>
          </w:tcPr>
          <w:p w14:paraId="331C0B39" w14:textId="77777777" w:rsidR="009D4BFA" w:rsidRPr="00E47714" w:rsidRDefault="009D4BFA" w:rsidP="00D972B3">
            <w:pPr>
              <w:pStyle w:val="TableText"/>
              <w:jc w:val="center"/>
              <w:rPr>
                <w:rFonts w:cs="Segoe UI"/>
              </w:rPr>
            </w:pPr>
            <w:r w:rsidRPr="00E47714">
              <w:rPr>
                <w:rFonts w:cs="Segoe UI"/>
              </w:rPr>
              <w:t>7.4%</w:t>
            </w:r>
          </w:p>
        </w:tc>
      </w:tr>
      <w:tr w:rsidR="009D4BFA" w:rsidRPr="00E47714" w14:paraId="031C1084" w14:textId="77777777" w:rsidTr="00D972B3">
        <w:trPr>
          <w:cantSplit/>
        </w:trPr>
        <w:tc>
          <w:tcPr>
            <w:tcW w:w="1014" w:type="pct"/>
            <w:tcBorders>
              <w:top w:val="single" w:sz="4" w:space="0" w:color="A6A6A6" w:themeColor="background1" w:themeShade="A6"/>
              <w:bottom w:val="single" w:sz="4" w:space="0" w:color="A6A6A6" w:themeColor="background1" w:themeShade="A6"/>
            </w:tcBorders>
            <w:shd w:val="clear" w:color="auto" w:fill="auto"/>
            <w:hideMark/>
          </w:tcPr>
          <w:p w14:paraId="24A71FCA" w14:textId="77777777" w:rsidR="009D4BFA" w:rsidRPr="00E47714" w:rsidRDefault="009D4BFA" w:rsidP="00D972B3">
            <w:pPr>
              <w:pStyle w:val="TableText"/>
              <w:rPr>
                <w:rFonts w:cs="Segoe UI"/>
              </w:rPr>
            </w:pPr>
            <w:r w:rsidRPr="00E47714">
              <w:rPr>
                <w:rFonts w:cs="Segoe UI"/>
              </w:rPr>
              <w:t>Māori adults</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3A7B5D34" w14:textId="77777777" w:rsidR="009D4BFA" w:rsidRPr="00E47714" w:rsidRDefault="009D4BFA" w:rsidP="00D972B3">
            <w:pPr>
              <w:pStyle w:val="TableText"/>
              <w:jc w:val="center"/>
              <w:rPr>
                <w:rFonts w:cs="Segoe UI"/>
              </w:rPr>
            </w:pPr>
            <w:r w:rsidRPr="00E47714">
              <w:rPr>
                <w:rFonts w:cs="Segoe UI"/>
              </w:rPr>
              <w:t>23.8%</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29B35F0C" w14:textId="77777777" w:rsidR="009D4BFA" w:rsidRPr="00E47714" w:rsidRDefault="009D4BFA" w:rsidP="00D972B3">
            <w:pPr>
              <w:pStyle w:val="TableText"/>
              <w:jc w:val="center"/>
              <w:rPr>
                <w:rFonts w:cs="Segoe UI"/>
              </w:rPr>
            </w:pPr>
            <w:r w:rsidRPr="00E47714">
              <w:rPr>
                <w:rFonts w:cs="Segoe UI"/>
              </w:rPr>
              <w:t>16.9%</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615209F4" w14:textId="77777777" w:rsidR="009D4BFA" w:rsidRPr="00E47714" w:rsidRDefault="009D4BFA" w:rsidP="00D972B3">
            <w:pPr>
              <w:pStyle w:val="TableText"/>
              <w:jc w:val="center"/>
              <w:rPr>
                <w:rFonts w:cs="Segoe UI"/>
              </w:rPr>
            </w:pPr>
            <w:r w:rsidRPr="00E47714">
              <w:rPr>
                <w:rFonts w:cs="Segoe UI"/>
              </w:rPr>
              <w:t>7.6%</w:t>
            </w:r>
          </w:p>
        </w:tc>
        <w:tc>
          <w:tcPr>
            <w:tcW w:w="997" w:type="pct"/>
            <w:tcBorders>
              <w:top w:val="single" w:sz="4" w:space="0" w:color="A6A6A6" w:themeColor="background1" w:themeShade="A6"/>
              <w:bottom w:val="single" w:sz="4" w:space="0" w:color="A6A6A6" w:themeColor="background1" w:themeShade="A6"/>
            </w:tcBorders>
            <w:shd w:val="clear" w:color="auto" w:fill="auto"/>
          </w:tcPr>
          <w:p w14:paraId="2354B121" w14:textId="77777777" w:rsidR="009D4BFA" w:rsidRPr="00E47714" w:rsidRDefault="009D4BFA" w:rsidP="00D972B3">
            <w:pPr>
              <w:pStyle w:val="TableText"/>
              <w:jc w:val="center"/>
              <w:rPr>
                <w:rFonts w:cs="Segoe UI"/>
              </w:rPr>
            </w:pPr>
            <w:r w:rsidRPr="00E47714">
              <w:rPr>
                <w:rFonts w:cs="Segoe UI"/>
              </w:rPr>
              <w:t>8.9%</w:t>
            </w:r>
          </w:p>
        </w:tc>
      </w:tr>
      <w:tr w:rsidR="009D4BFA" w:rsidRPr="00E47714" w14:paraId="3A66920E" w14:textId="77777777" w:rsidTr="00D972B3">
        <w:trPr>
          <w:cantSplit/>
        </w:trPr>
        <w:tc>
          <w:tcPr>
            <w:tcW w:w="1014" w:type="pct"/>
            <w:tcBorders>
              <w:top w:val="single" w:sz="4" w:space="0" w:color="A6A6A6" w:themeColor="background1" w:themeShade="A6"/>
              <w:bottom w:val="single" w:sz="4" w:space="0" w:color="A6A6A6" w:themeColor="background1" w:themeShade="A6"/>
            </w:tcBorders>
            <w:shd w:val="clear" w:color="auto" w:fill="auto"/>
            <w:hideMark/>
          </w:tcPr>
          <w:p w14:paraId="66B23D0A" w14:textId="77777777" w:rsidR="009D4BFA" w:rsidRPr="00E47714" w:rsidRDefault="009D4BFA" w:rsidP="00D972B3">
            <w:pPr>
              <w:pStyle w:val="TableText"/>
              <w:rPr>
                <w:rFonts w:cs="Segoe UI"/>
              </w:rPr>
            </w:pPr>
            <w:r w:rsidRPr="00E47714">
              <w:rPr>
                <w:rFonts w:cs="Segoe UI"/>
              </w:rPr>
              <w:t>Pacific adults</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5EDCA577" w14:textId="77777777" w:rsidR="009D4BFA" w:rsidRPr="00E47714" w:rsidRDefault="009D4BFA" w:rsidP="00D972B3">
            <w:pPr>
              <w:pStyle w:val="TableText"/>
              <w:jc w:val="center"/>
              <w:rPr>
                <w:rFonts w:cs="Segoe UI"/>
              </w:rPr>
            </w:pPr>
            <w:r w:rsidRPr="00E47714">
              <w:rPr>
                <w:rFonts w:cs="Segoe UI"/>
              </w:rPr>
              <w:t>22.4%</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51C4A83C" w14:textId="77777777" w:rsidR="009D4BFA" w:rsidRPr="00E47714" w:rsidRDefault="009D4BFA" w:rsidP="00D972B3">
            <w:pPr>
              <w:pStyle w:val="TableText"/>
              <w:jc w:val="center"/>
              <w:rPr>
                <w:rFonts w:cs="Segoe UI"/>
              </w:rPr>
            </w:pPr>
            <w:r w:rsidRPr="00E47714">
              <w:rPr>
                <w:rFonts w:cs="Segoe UI"/>
              </w:rPr>
              <w:t>17.6%</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0076F61E" w14:textId="77777777" w:rsidR="009D4BFA" w:rsidRPr="00E47714" w:rsidRDefault="009D4BFA" w:rsidP="00D972B3">
            <w:pPr>
              <w:pStyle w:val="TableText"/>
              <w:jc w:val="center"/>
              <w:rPr>
                <w:rFonts w:cs="Segoe UI"/>
              </w:rPr>
            </w:pPr>
            <w:r w:rsidRPr="00E47714">
              <w:rPr>
                <w:rFonts w:cs="Segoe UI"/>
              </w:rPr>
              <w:t>8.5%</w:t>
            </w:r>
          </w:p>
        </w:tc>
        <w:tc>
          <w:tcPr>
            <w:tcW w:w="997" w:type="pct"/>
            <w:tcBorders>
              <w:top w:val="single" w:sz="4" w:space="0" w:color="A6A6A6" w:themeColor="background1" w:themeShade="A6"/>
              <w:bottom w:val="single" w:sz="4" w:space="0" w:color="A6A6A6" w:themeColor="background1" w:themeShade="A6"/>
            </w:tcBorders>
            <w:shd w:val="clear" w:color="auto" w:fill="auto"/>
          </w:tcPr>
          <w:p w14:paraId="6ECC9B16" w14:textId="77777777" w:rsidR="009D4BFA" w:rsidRPr="00E47714" w:rsidRDefault="009D4BFA" w:rsidP="00D972B3">
            <w:pPr>
              <w:pStyle w:val="TableText"/>
              <w:jc w:val="center"/>
              <w:rPr>
                <w:rFonts w:cs="Segoe UI"/>
              </w:rPr>
            </w:pPr>
            <w:r w:rsidRPr="00E47714">
              <w:rPr>
                <w:rFonts w:cs="Segoe UI"/>
              </w:rPr>
              <w:t>10.1%</w:t>
            </w:r>
          </w:p>
        </w:tc>
      </w:tr>
      <w:tr w:rsidR="009D4BFA" w:rsidRPr="00E47714" w14:paraId="64F1BFC8" w14:textId="77777777" w:rsidTr="00D972B3">
        <w:trPr>
          <w:cantSplit/>
        </w:trPr>
        <w:tc>
          <w:tcPr>
            <w:tcW w:w="1014" w:type="pct"/>
            <w:tcBorders>
              <w:top w:val="single" w:sz="4" w:space="0" w:color="A6A6A6" w:themeColor="background1" w:themeShade="A6"/>
              <w:bottom w:val="single" w:sz="4" w:space="0" w:color="A6A6A6" w:themeColor="background1" w:themeShade="A6"/>
            </w:tcBorders>
            <w:shd w:val="clear" w:color="auto" w:fill="auto"/>
            <w:hideMark/>
          </w:tcPr>
          <w:p w14:paraId="0BFDFA3B" w14:textId="77777777" w:rsidR="009D4BFA" w:rsidRPr="00E47714" w:rsidRDefault="009D4BFA" w:rsidP="00D972B3">
            <w:pPr>
              <w:pStyle w:val="TableText"/>
              <w:rPr>
                <w:rFonts w:cs="Segoe UI"/>
              </w:rPr>
            </w:pPr>
            <w:r w:rsidRPr="00E47714">
              <w:rPr>
                <w:rFonts w:cs="Segoe UI"/>
              </w:rPr>
              <w:t>Asian adults</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2975666D" w14:textId="77777777" w:rsidR="009D4BFA" w:rsidRPr="00E47714" w:rsidRDefault="009D4BFA" w:rsidP="00D972B3">
            <w:pPr>
              <w:pStyle w:val="TableText"/>
              <w:jc w:val="center"/>
              <w:rPr>
                <w:rFonts w:cs="Segoe UI"/>
              </w:rPr>
            </w:pPr>
            <w:r w:rsidRPr="00E47714">
              <w:rPr>
                <w:rFonts w:cs="Segoe UI"/>
              </w:rPr>
              <w:t>19.5%</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17E737E5" w14:textId="77777777" w:rsidR="009D4BFA" w:rsidRPr="00E47714" w:rsidRDefault="009D4BFA" w:rsidP="00D972B3">
            <w:pPr>
              <w:pStyle w:val="TableText"/>
              <w:jc w:val="center"/>
              <w:rPr>
                <w:rFonts w:cs="Segoe UI"/>
              </w:rPr>
            </w:pPr>
            <w:r w:rsidRPr="00E47714">
              <w:rPr>
                <w:rFonts w:cs="Segoe UI"/>
              </w:rPr>
              <w:t>10.4%</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1C580CEF" w14:textId="77777777" w:rsidR="009D4BFA" w:rsidRPr="00E47714" w:rsidRDefault="009D4BFA" w:rsidP="00D972B3">
            <w:pPr>
              <w:pStyle w:val="TableText"/>
              <w:jc w:val="center"/>
              <w:rPr>
                <w:rFonts w:cs="Segoe UI"/>
              </w:rPr>
            </w:pPr>
            <w:r w:rsidRPr="00E47714">
              <w:rPr>
                <w:rFonts w:cs="Segoe UI"/>
              </w:rPr>
              <w:t>2.6%</w:t>
            </w:r>
          </w:p>
        </w:tc>
        <w:tc>
          <w:tcPr>
            <w:tcW w:w="997" w:type="pct"/>
            <w:tcBorders>
              <w:top w:val="single" w:sz="4" w:space="0" w:color="A6A6A6" w:themeColor="background1" w:themeShade="A6"/>
              <w:bottom w:val="single" w:sz="4" w:space="0" w:color="A6A6A6" w:themeColor="background1" w:themeShade="A6"/>
            </w:tcBorders>
            <w:shd w:val="clear" w:color="auto" w:fill="auto"/>
          </w:tcPr>
          <w:p w14:paraId="78F4DDE6" w14:textId="77777777" w:rsidR="009D4BFA" w:rsidRPr="00E47714" w:rsidRDefault="009D4BFA" w:rsidP="00D972B3">
            <w:pPr>
              <w:pStyle w:val="TableText"/>
              <w:jc w:val="center"/>
              <w:rPr>
                <w:rFonts w:cs="Segoe UI"/>
              </w:rPr>
            </w:pPr>
            <w:r w:rsidRPr="00E47714">
              <w:rPr>
                <w:rFonts w:cs="Segoe UI"/>
              </w:rPr>
              <w:t>5.6%</w:t>
            </w:r>
          </w:p>
        </w:tc>
      </w:tr>
      <w:tr w:rsidR="009D4BFA" w:rsidRPr="00E47714" w14:paraId="01953F00" w14:textId="77777777" w:rsidTr="00D972B3">
        <w:trPr>
          <w:cantSplit/>
        </w:trPr>
        <w:tc>
          <w:tcPr>
            <w:tcW w:w="1014" w:type="pct"/>
            <w:tcBorders>
              <w:top w:val="single" w:sz="4" w:space="0" w:color="A6A6A6" w:themeColor="background1" w:themeShade="A6"/>
              <w:bottom w:val="single" w:sz="4" w:space="0" w:color="A6A6A6" w:themeColor="background1" w:themeShade="A6"/>
            </w:tcBorders>
            <w:shd w:val="clear" w:color="auto" w:fill="auto"/>
            <w:hideMark/>
          </w:tcPr>
          <w:p w14:paraId="295745FB" w14:textId="77777777" w:rsidR="009D4BFA" w:rsidRPr="00E47714" w:rsidRDefault="009D4BFA" w:rsidP="00D972B3">
            <w:pPr>
              <w:pStyle w:val="TableText"/>
              <w:rPr>
                <w:rFonts w:cs="Segoe UI"/>
              </w:rPr>
            </w:pPr>
            <w:r w:rsidRPr="00E47714">
              <w:rPr>
                <w:rFonts w:cs="Segoe UI"/>
              </w:rPr>
              <w:t>European/other</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14247E5C" w14:textId="77777777" w:rsidR="009D4BFA" w:rsidRPr="00E47714" w:rsidRDefault="009D4BFA" w:rsidP="00D972B3">
            <w:pPr>
              <w:pStyle w:val="TableText"/>
              <w:jc w:val="center"/>
              <w:rPr>
                <w:rFonts w:cs="Segoe UI"/>
              </w:rPr>
            </w:pPr>
            <w:r w:rsidRPr="00E47714">
              <w:rPr>
                <w:rFonts w:cs="Segoe UI"/>
              </w:rPr>
              <w:t>20.9%</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57105089" w14:textId="77777777" w:rsidR="009D4BFA" w:rsidRPr="00E47714" w:rsidRDefault="009D4BFA" w:rsidP="00D972B3">
            <w:pPr>
              <w:pStyle w:val="TableText"/>
              <w:jc w:val="center"/>
              <w:rPr>
                <w:rFonts w:cs="Segoe UI"/>
              </w:rPr>
            </w:pPr>
            <w:r w:rsidRPr="00E47714">
              <w:rPr>
                <w:rFonts w:cs="Segoe UI"/>
              </w:rPr>
              <w:t>12.4%</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27EE6BB1" w14:textId="77777777" w:rsidR="009D4BFA" w:rsidRPr="00E47714" w:rsidRDefault="009D4BFA" w:rsidP="00D972B3">
            <w:pPr>
              <w:pStyle w:val="TableText"/>
              <w:jc w:val="center"/>
              <w:rPr>
                <w:rFonts w:cs="Segoe UI"/>
              </w:rPr>
            </w:pPr>
            <w:r w:rsidRPr="00E47714">
              <w:rPr>
                <w:rFonts w:cs="Segoe UI"/>
              </w:rPr>
              <w:t>3.3%</w:t>
            </w:r>
          </w:p>
        </w:tc>
        <w:tc>
          <w:tcPr>
            <w:tcW w:w="997" w:type="pct"/>
            <w:tcBorders>
              <w:top w:val="single" w:sz="4" w:space="0" w:color="A6A6A6" w:themeColor="background1" w:themeShade="A6"/>
              <w:bottom w:val="single" w:sz="4" w:space="0" w:color="A6A6A6" w:themeColor="background1" w:themeShade="A6"/>
            </w:tcBorders>
            <w:shd w:val="clear" w:color="auto" w:fill="auto"/>
          </w:tcPr>
          <w:p w14:paraId="00A62991" w14:textId="77777777" w:rsidR="009D4BFA" w:rsidRPr="00E47714" w:rsidRDefault="009D4BFA" w:rsidP="00D972B3">
            <w:pPr>
              <w:pStyle w:val="TableText"/>
              <w:jc w:val="center"/>
              <w:rPr>
                <w:rFonts w:cs="Segoe UI"/>
              </w:rPr>
            </w:pPr>
            <w:r w:rsidRPr="00E47714">
              <w:rPr>
                <w:rFonts w:cs="Segoe UI"/>
              </w:rPr>
              <w:t>7.5%</w:t>
            </w:r>
          </w:p>
        </w:tc>
      </w:tr>
      <w:tr w:rsidR="009D4BFA" w:rsidRPr="00E47714" w14:paraId="6002EA5E" w14:textId="77777777" w:rsidTr="00D972B3">
        <w:trPr>
          <w:cantSplit/>
        </w:trPr>
        <w:tc>
          <w:tcPr>
            <w:tcW w:w="1014" w:type="pct"/>
            <w:tcBorders>
              <w:top w:val="single" w:sz="4" w:space="0" w:color="A6A6A6" w:themeColor="background1" w:themeShade="A6"/>
              <w:bottom w:val="single" w:sz="4" w:space="0" w:color="A6A6A6" w:themeColor="background1" w:themeShade="A6"/>
            </w:tcBorders>
            <w:shd w:val="clear" w:color="auto" w:fill="auto"/>
            <w:hideMark/>
          </w:tcPr>
          <w:p w14:paraId="559E93A1" w14:textId="77777777" w:rsidR="009D4BFA" w:rsidRPr="00E47714" w:rsidRDefault="009D4BFA" w:rsidP="00D972B3">
            <w:pPr>
              <w:pStyle w:val="TableText"/>
              <w:rPr>
                <w:rFonts w:cs="Segoe UI"/>
              </w:rPr>
            </w:pPr>
            <w:r w:rsidRPr="00E47714">
              <w:rPr>
                <w:rFonts w:cs="Segoe UI"/>
              </w:rPr>
              <w:t>Disabled adults</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3F926868" w14:textId="77777777" w:rsidR="009D4BFA" w:rsidRPr="00E47714" w:rsidRDefault="009D4BFA" w:rsidP="00D972B3">
            <w:pPr>
              <w:pStyle w:val="TableText"/>
              <w:jc w:val="center"/>
              <w:rPr>
                <w:rFonts w:cs="Segoe UI"/>
              </w:rPr>
            </w:pPr>
            <w:r w:rsidRPr="00E47714">
              <w:rPr>
                <w:rFonts w:cs="Segoe UI"/>
              </w:rPr>
              <w:t>24.3%</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6EBC3200" w14:textId="77777777" w:rsidR="009D4BFA" w:rsidRPr="00E47714" w:rsidRDefault="009D4BFA" w:rsidP="00D972B3">
            <w:pPr>
              <w:pStyle w:val="TableText"/>
              <w:jc w:val="center"/>
              <w:rPr>
                <w:rFonts w:cs="Segoe UI"/>
              </w:rPr>
            </w:pPr>
            <w:r w:rsidRPr="00E47714">
              <w:rPr>
                <w:rFonts w:cs="Segoe UI"/>
              </w:rPr>
              <w:t>21.4%</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44D70A22" w14:textId="77777777" w:rsidR="009D4BFA" w:rsidRPr="00E47714" w:rsidRDefault="009D4BFA" w:rsidP="00D972B3">
            <w:pPr>
              <w:pStyle w:val="TableText"/>
              <w:jc w:val="center"/>
              <w:rPr>
                <w:rFonts w:cs="Segoe UI"/>
              </w:rPr>
            </w:pPr>
            <w:r w:rsidRPr="00E47714">
              <w:rPr>
                <w:rFonts w:cs="Segoe UI"/>
              </w:rPr>
              <w:t>8.3%</w:t>
            </w:r>
          </w:p>
        </w:tc>
        <w:tc>
          <w:tcPr>
            <w:tcW w:w="997" w:type="pct"/>
            <w:tcBorders>
              <w:top w:val="single" w:sz="4" w:space="0" w:color="A6A6A6" w:themeColor="background1" w:themeShade="A6"/>
              <w:bottom w:val="single" w:sz="4" w:space="0" w:color="A6A6A6" w:themeColor="background1" w:themeShade="A6"/>
            </w:tcBorders>
            <w:shd w:val="clear" w:color="auto" w:fill="auto"/>
          </w:tcPr>
          <w:p w14:paraId="08AC95FE" w14:textId="77777777" w:rsidR="009D4BFA" w:rsidRPr="00E47714" w:rsidRDefault="009D4BFA" w:rsidP="00D972B3">
            <w:pPr>
              <w:pStyle w:val="TableText"/>
              <w:jc w:val="center"/>
              <w:rPr>
                <w:rFonts w:cs="Segoe UI"/>
              </w:rPr>
            </w:pPr>
            <w:r w:rsidRPr="00E47714">
              <w:rPr>
                <w:rFonts w:cs="Segoe UI"/>
              </w:rPr>
              <w:t>6.8%</w:t>
            </w:r>
          </w:p>
        </w:tc>
      </w:tr>
      <w:tr w:rsidR="009D4BFA" w:rsidRPr="00E47714" w14:paraId="4CD16A52" w14:textId="77777777" w:rsidTr="00D972B3">
        <w:trPr>
          <w:cantSplit/>
        </w:trPr>
        <w:tc>
          <w:tcPr>
            <w:tcW w:w="1014" w:type="pct"/>
            <w:tcBorders>
              <w:top w:val="single" w:sz="4" w:space="0" w:color="A6A6A6" w:themeColor="background1" w:themeShade="A6"/>
              <w:bottom w:val="single" w:sz="4" w:space="0" w:color="A6A6A6" w:themeColor="background1" w:themeShade="A6"/>
            </w:tcBorders>
            <w:shd w:val="clear" w:color="auto" w:fill="auto"/>
          </w:tcPr>
          <w:p w14:paraId="6AE601B8" w14:textId="77777777" w:rsidR="009D4BFA" w:rsidRPr="00E47714" w:rsidRDefault="009D4BFA" w:rsidP="00D972B3">
            <w:pPr>
              <w:pStyle w:val="TableText"/>
              <w:rPr>
                <w:rFonts w:cs="Segoe UI"/>
              </w:rPr>
            </w:pPr>
            <w:r w:rsidRPr="00E47714">
              <w:rPr>
                <w:rFonts w:cs="Segoe UI"/>
              </w:rPr>
              <w:t>Non-disabled adults</w:t>
            </w:r>
          </w:p>
        </w:tc>
        <w:tc>
          <w:tcPr>
            <w:tcW w:w="996" w:type="pct"/>
            <w:tcBorders>
              <w:top w:val="single" w:sz="4" w:space="0" w:color="A6A6A6" w:themeColor="background1" w:themeShade="A6"/>
              <w:bottom w:val="single" w:sz="4" w:space="0" w:color="A6A6A6" w:themeColor="background1" w:themeShade="A6"/>
            </w:tcBorders>
            <w:shd w:val="clear" w:color="auto" w:fill="auto"/>
          </w:tcPr>
          <w:p w14:paraId="14DCED6D" w14:textId="77777777" w:rsidR="009D4BFA" w:rsidRPr="00E47714" w:rsidRDefault="009D4BFA" w:rsidP="00D972B3">
            <w:pPr>
              <w:pStyle w:val="TableText"/>
              <w:jc w:val="center"/>
              <w:rPr>
                <w:rFonts w:cs="Segoe UI"/>
              </w:rPr>
            </w:pPr>
            <w:r w:rsidRPr="00E47714">
              <w:rPr>
                <w:rFonts w:cs="Segoe UI"/>
              </w:rPr>
              <w:t>20.9%</w:t>
            </w:r>
          </w:p>
        </w:tc>
        <w:tc>
          <w:tcPr>
            <w:tcW w:w="997" w:type="pct"/>
            <w:tcBorders>
              <w:top w:val="single" w:sz="4" w:space="0" w:color="A6A6A6" w:themeColor="background1" w:themeShade="A6"/>
              <w:bottom w:val="single" w:sz="4" w:space="0" w:color="A6A6A6" w:themeColor="background1" w:themeShade="A6"/>
            </w:tcBorders>
            <w:shd w:val="clear" w:color="auto" w:fill="auto"/>
          </w:tcPr>
          <w:p w14:paraId="7A8D328E" w14:textId="77777777" w:rsidR="009D4BFA" w:rsidRPr="00E47714" w:rsidRDefault="009D4BFA" w:rsidP="00D972B3">
            <w:pPr>
              <w:pStyle w:val="TableText"/>
              <w:jc w:val="center"/>
              <w:rPr>
                <w:rFonts w:cs="Segoe UI"/>
              </w:rPr>
            </w:pPr>
            <w:r w:rsidRPr="00E47714">
              <w:rPr>
                <w:rFonts w:cs="Segoe UI"/>
              </w:rPr>
              <w:t>12.0%</w:t>
            </w:r>
          </w:p>
        </w:tc>
        <w:tc>
          <w:tcPr>
            <w:tcW w:w="996" w:type="pct"/>
            <w:tcBorders>
              <w:top w:val="single" w:sz="4" w:space="0" w:color="A6A6A6" w:themeColor="background1" w:themeShade="A6"/>
              <w:bottom w:val="single" w:sz="4" w:space="0" w:color="A6A6A6" w:themeColor="background1" w:themeShade="A6"/>
            </w:tcBorders>
            <w:shd w:val="clear" w:color="auto" w:fill="auto"/>
          </w:tcPr>
          <w:p w14:paraId="15D96820" w14:textId="77777777" w:rsidR="009D4BFA" w:rsidRPr="00E47714" w:rsidRDefault="009D4BFA" w:rsidP="00D972B3">
            <w:pPr>
              <w:pStyle w:val="TableText"/>
              <w:jc w:val="center"/>
              <w:rPr>
                <w:rFonts w:cs="Segoe UI"/>
              </w:rPr>
            </w:pPr>
            <w:r w:rsidRPr="00E47714">
              <w:rPr>
                <w:rFonts w:cs="Segoe UI"/>
              </w:rPr>
              <w:t>3.5%</w:t>
            </w:r>
          </w:p>
        </w:tc>
        <w:tc>
          <w:tcPr>
            <w:tcW w:w="997" w:type="pct"/>
            <w:tcBorders>
              <w:top w:val="single" w:sz="4" w:space="0" w:color="A6A6A6" w:themeColor="background1" w:themeShade="A6"/>
              <w:bottom w:val="single" w:sz="4" w:space="0" w:color="A6A6A6" w:themeColor="background1" w:themeShade="A6"/>
            </w:tcBorders>
            <w:shd w:val="clear" w:color="auto" w:fill="auto"/>
          </w:tcPr>
          <w:p w14:paraId="507C54E3" w14:textId="77777777" w:rsidR="009D4BFA" w:rsidRPr="00E47714" w:rsidRDefault="009D4BFA" w:rsidP="00D972B3">
            <w:pPr>
              <w:pStyle w:val="TableText"/>
              <w:jc w:val="center"/>
              <w:rPr>
                <w:rFonts w:cs="Segoe UI"/>
              </w:rPr>
            </w:pPr>
            <w:r w:rsidRPr="00E47714">
              <w:rPr>
                <w:rFonts w:cs="Segoe UI"/>
              </w:rPr>
              <w:t>7.5%</w:t>
            </w:r>
          </w:p>
        </w:tc>
      </w:tr>
      <w:tr w:rsidR="009D4BFA" w:rsidRPr="00E47714" w14:paraId="785D1221" w14:textId="77777777" w:rsidTr="00D972B3">
        <w:trPr>
          <w:cantSplit/>
        </w:trPr>
        <w:tc>
          <w:tcPr>
            <w:tcW w:w="1014" w:type="pct"/>
            <w:tcBorders>
              <w:top w:val="single" w:sz="4" w:space="0" w:color="A6A6A6" w:themeColor="background1" w:themeShade="A6"/>
              <w:bottom w:val="single" w:sz="4" w:space="0" w:color="A6A6A6" w:themeColor="background1" w:themeShade="A6"/>
            </w:tcBorders>
            <w:shd w:val="clear" w:color="auto" w:fill="auto"/>
          </w:tcPr>
          <w:p w14:paraId="18E8AE2C" w14:textId="77777777" w:rsidR="009D4BFA" w:rsidRPr="00E47714" w:rsidRDefault="009D4BFA" w:rsidP="00D972B3">
            <w:pPr>
              <w:pStyle w:val="TableText"/>
              <w:rPr>
                <w:rFonts w:cs="Segoe UI"/>
              </w:rPr>
            </w:pPr>
            <w:r w:rsidRPr="00E47714">
              <w:rPr>
                <w:rFonts w:cs="Segoe UI"/>
              </w:rPr>
              <w:t>Least deprived areas</w:t>
            </w:r>
          </w:p>
        </w:tc>
        <w:tc>
          <w:tcPr>
            <w:tcW w:w="996" w:type="pct"/>
            <w:tcBorders>
              <w:top w:val="single" w:sz="4" w:space="0" w:color="A6A6A6" w:themeColor="background1" w:themeShade="A6"/>
              <w:bottom w:val="single" w:sz="4" w:space="0" w:color="A6A6A6" w:themeColor="background1" w:themeShade="A6"/>
            </w:tcBorders>
            <w:shd w:val="clear" w:color="auto" w:fill="auto"/>
          </w:tcPr>
          <w:p w14:paraId="316E946B" w14:textId="77777777" w:rsidR="009D4BFA" w:rsidRPr="00E47714" w:rsidRDefault="009D4BFA" w:rsidP="00D972B3">
            <w:pPr>
              <w:pStyle w:val="TableText"/>
              <w:jc w:val="center"/>
              <w:rPr>
                <w:rFonts w:cs="Segoe UI"/>
              </w:rPr>
            </w:pPr>
            <w:r w:rsidRPr="00E47714">
              <w:rPr>
                <w:rFonts w:cs="Segoe UI"/>
              </w:rPr>
              <w:t>20.0%</w:t>
            </w:r>
          </w:p>
        </w:tc>
        <w:tc>
          <w:tcPr>
            <w:tcW w:w="997" w:type="pct"/>
            <w:tcBorders>
              <w:top w:val="single" w:sz="4" w:space="0" w:color="A6A6A6" w:themeColor="background1" w:themeShade="A6"/>
              <w:bottom w:val="single" w:sz="4" w:space="0" w:color="A6A6A6" w:themeColor="background1" w:themeShade="A6"/>
            </w:tcBorders>
            <w:shd w:val="clear" w:color="auto" w:fill="auto"/>
          </w:tcPr>
          <w:p w14:paraId="7A409CD1" w14:textId="77777777" w:rsidR="009D4BFA" w:rsidRPr="00E47714" w:rsidRDefault="009D4BFA" w:rsidP="00D972B3">
            <w:pPr>
              <w:pStyle w:val="TableText"/>
              <w:jc w:val="center"/>
              <w:rPr>
                <w:rFonts w:cs="Segoe UI"/>
              </w:rPr>
            </w:pPr>
            <w:r w:rsidRPr="00E47714">
              <w:rPr>
                <w:rFonts w:cs="Segoe UI"/>
              </w:rPr>
              <w:t>11.1%</w:t>
            </w:r>
          </w:p>
        </w:tc>
        <w:tc>
          <w:tcPr>
            <w:tcW w:w="996" w:type="pct"/>
            <w:tcBorders>
              <w:top w:val="single" w:sz="4" w:space="0" w:color="A6A6A6" w:themeColor="background1" w:themeShade="A6"/>
              <w:bottom w:val="single" w:sz="4" w:space="0" w:color="A6A6A6" w:themeColor="background1" w:themeShade="A6"/>
            </w:tcBorders>
            <w:shd w:val="clear" w:color="auto" w:fill="auto"/>
          </w:tcPr>
          <w:p w14:paraId="1BCCF6DD" w14:textId="77777777" w:rsidR="009D4BFA" w:rsidRPr="00E47714" w:rsidRDefault="009D4BFA" w:rsidP="00D972B3">
            <w:pPr>
              <w:pStyle w:val="TableText"/>
              <w:jc w:val="center"/>
              <w:rPr>
                <w:rFonts w:cs="Segoe UI"/>
              </w:rPr>
            </w:pPr>
            <w:r w:rsidRPr="00E47714">
              <w:rPr>
                <w:rFonts w:cs="Segoe UI"/>
              </w:rPr>
              <w:t>1.8%</w:t>
            </w:r>
          </w:p>
        </w:tc>
        <w:tc>
          <w:tcPr>
            <w:tcW w:w="997" w:type="pct"/>
            <w:tcBorders>
              <w:top w:val="single" w:sz="4" w:space="0" w:color="A6A6A6" w:themeColor="background1" w:themeShade="A6"/>
              <w:bottom w:val="single" w:sz="4" w:space="0" w:color="A6A6A6" w:themeColor="background1" w:themeShade="A6"/>
            </w:tcBorders>
            <w:shd w:val="clear" w:color="auto" w:fill="auto"/>
          </w:tcPr>
          <w:p w14:paraId="2127365B" w14:textId="77777777" w:rsidR="009D4BFA" w:rsidRPr="00E47714" w:rsidRDefault="009D4BFA" w:rsidP="00D972B3">
            <w:pPr>
              <w:pStyle w:val="TableText"/>
              <w:jc w:val="center"/>
              <w:rPr>
                <w:rFonts w:cs="Segoe UI"/>
              </w:rPr>
            </w:pPr>
            <w:r w:rsidRPr="00E47714">
              <w:rPr>
                <w:rFonts w:cs="Segoe UI"/>
              </w:rPr>
              <w:t>6.7%</w:t>
            </w:r>
          </w:p>
        </w:tc>
      </w:tr>
      <w:tr w:rsidR="009D4BFA" w:rsidRPr="00E47714" w14:paraId="1A688E02" w14:textId="77777777" w:rsidTr="00D972B3">
        <w:trPr>
          <w:cantSplit/>
        </w:trPr>
        <w:tc>
          <w:tcPr>
            <w:tcW w:w="1014" w:type="pct"/>
            <w:tcBorders>
              <w:top w:val="single" w:sz="4" w:space="0" w:color="A6A6A6" w:themeColor="background1" w:themeShade="A6"/>
              <w:bottom w:val="single" w:sz="4" w:space="0" w:color="A6A6A6" w:themeColor="background1" w:themeShade="A6"/>
            </w:tcBorders>
            <w:shd w:val="clear" w:color="auto" w:fill="auto"/>
          </w:tcPr>
          <w:p w14:paraId="258D6A5C" w14:textId="77777777" w:rsidR="009D4BFA" w:rsidRPr="00E47714" w:rsidRDefault="009D4BFA" w:rsidP="00D972B3">
            <w:pPr>
              <w:pStyle w:val="TableText"/>
              <w:rPr>
                <w:rFonts w:cs="Segoe UI"/>
              </w:rPr>
            </w:pPr>
            <w:r w:rsidRPr="00E47714">
              <w:rPr>
                <w:rFonts w:cs="Segoe UI"/>
              </w:rPr>
              <w:t>Most deprived areas</w:t>
            </w:r>
          </w:p>
        </w:tc>
        <w:tc>
          <w:tcPr>
            <w:tcW w:w="996" w:type="pct"/>
            <w:tcBorders>
              <w:top w:val="single" w:sz="4" w:space="0" w:color="A6A6A6" w:themeColor="background1" w:themeShade="A6"/>
              <w:bottom w:val="single" w:sz="4" w:space="0" w:color="A6A6A6" w:themeColor="background1" w:themeShade="A6"/>
            </w:tcBorders>
            <w:shd w:val="clear" w:color="auto" w:fill="auto"/>
          </w:tcPr>
          <w:p w14:paraId="3D361454" w14:textId="77777777" w:rsidR="009D4BFA" w:rsidRPr="00E47714" w:rsidRDefault="009D4BFA" w:rsidP="00D972B3">
            <w:pPr>
              <w:pStyle w:val="TableText"/>
              <w:jc w:val="center"/>
              <w:rPr>
                <w:rFonts w:cs="Segoe UI"/>
                <w:bCs/>
              </w:rPr>
            </w:pPr>
            <w:r w:rsidRPr="00E47714">
              <w:rPr>
                <w:rFonts w:cs="Segoe UI"/>
                <w:bCs/>
              </w:rPr>
              <w:t>23.0%</w:t>
            </w:r>
          </w:p>
        </w:tc>
        <w:tc>
          <w:tcPr>
            <w:tcW w:w="997" w:type="pct"/>
            <w:tcBorders>
              <w:top w:val="single" w:sz="4" w:space="0" w:color="A6A6A6" w:themeColor="background1" w:themeShade="A6"/>
              <w:bottom w:val="single" w:sz="4" w:space="0" w:color="A6A6A6" w:themeColor="background1" w:themeShade="A6"/>
            </w:tcBorders>
            <w:shd w:val="clear" w:color="auto" w:fill="auto"/>
          </w:tcPr>
          <w:p w14:paraId="5EB6AA3D" w14:textId="77777777" w:rsidR="009D4BFA" w:rsidRPr="00E47714" w:rsidRDefault="009D4BFA" w:rsidP="00D972B3">
            <w:pPr>
              <w:pStyle w:val="TableText"/>
              <w:jc w:val="center"/>
              <w:rPr>
                <w:rFonts w:cs="Segoe UI"/>
                <w:bCs/>
              </w:rPr>
            </w:pPr>
            <w:r w:rsidRPr="00E47714">
              <w:rPr>
                <w:rFonts w:cs="Segoe UI"/>
                <w:bCs/>
              </w:rPr>
              <w:t>17.1%</w:t>
            </w:r>
          </w:p>
        </w:tc>
        <w:tc>
          <w:tcPr>
            <w:tcW w:w="996" w:type="pct"/>
            <w:tcBorders>
              <w:top w:val="single" w:sz="4" w:space="0" w:color="A6A6A6" w:themeColor="background1" w:themeShade="A6"/>
              <w:bottom w:val="single" w:sz="4" w:space="0" w:color="A6A6A6" w:themeColor="background1" w:themeShade="A6"/>
            </w:tcBorders>
            <w:shd w:val="clear" w:color="auto" w:fill="auto"/>
          </w:tcPr>
          <w:p w14:paraId="20ADCA31" w14:textId="77777777" w:rsidR="009D4BFA" w:rsidRPr="00E47714" w:rsidRDefault="009D4BFA" w:rsidP="00D972B3">
            <w:pPr>
              <w:pStyle w:val="TableText"/>
              <w:jc w:val="center"/>
              <w:rPr>
                <w:rFonts w:cs="Segoe UI"/>
                <w:bCs/>
              </w:rPr>
            </w:pPr>
            <w:r w:rsidRPr="00E47714">
              <w:rPr>
                <w:rFonts w:cs="Segoe UI"/>
                <w:bCs/>
              </w:rPr>
              <w:t>6.0%</w:t>
            </w:r>
          </w:p>
        </w:tc>
        <w:tc>
          <w:tcPr>
            <w:tcW w:w="997" w:type="pct"/>
            <w:tcBorders>
              <w:top w:val="single" w:sz="4" w:space="0" w:color="A6A6A6" w:themeColor="background1" w:themeShade="A6"/>
              <w:bottom w:val="single" w:sz="4" w:space="0" w:color="A6A6A6" w:themeColor="background1" w:themeShade="A6"/>
            </w:tcBorders>
            <w:shd w:val="clear" w:color="auto" w:fill="auto"/>
          </w:tcPr>
          <w:p w14:paraId="46328015" w14:textId="77777777" w:rsidR="009D4BFA" w:rsidRPr="00E47714" w:rsidRDefault="009D4BFA" w:rsidP="00D972B3">
            <w:pPr>
              <w:pStyle w:val="TableText"/>
              <w:jc w:val="center"/>
              <w:rPr>
                <w:rFonts w:cs="Segoe UI"/>
                <w:bCs/>
              </w:rPr>
            </w:pPr>
            <w:r w:rsidRPr="00E47714">
              <w:rPr>
                <w:rFonts w:cs="Segoe UI"/>
                <w:bCs/>
              </w:rPr>
              <w:t>7.3%</w:t>
            </w:r>
          </w:p>
        </w:tc>
      </w:tr>
    </w:tbl>
    <w:p w14:paraId="381C972D" w14:textId="77777777" w:rsidR="009D4BFA" w:rsidRPr="00E47714" w:rsidRDefault="009D4BFA" w:rsidP="009D4BFA">
      <w:pPr>
        <w:pStyle w:val="Source"/>
        <w:rPr>
          <w:color w:val="0A6AB4"/>
          <w:sz w:val="28"/>
        </w:rPr>
      </w:pPr>
      <w:r w:rsidRPr="00E47714">
        <w:rPr>
          <w:rFonts w:cs="Segoe UI"/>
          <w:b/>
          <w:bCs/>
          <w:szCs w:val="24"/>
        </w:rPr>
        <w:t>Source:</w:t>
      </w:r>
      <w:r w:rsidRPr="00E47714">
        <w:rPr>
          <w:color w:val="0A6AB4"/>
          <w:sz w:val="28"/>
        </w:rPr>
        <w:t xml:space="preserve"> </w:t>
      </w:r>
      <w:r>
        <w:fldChar w:fldCharType="begin"/>
      </w:r>
      <w:r>
        <w:instrText xml:space="preserve"> ADDIN EN.CITE &lt;EndNote&gt;&lt;Cite AuthorYear="1"&gt;&lt;Author&gt;Ministry of Health &lt;/Author&gt;&lt;Year&gt;2023&lt;/Year&gt;&lt;RecNum&gt;445&lt;/RecNum&gt;&lt;DisplayText&gt;Ministry of Health (2023d)&lt;/DisplayText&gt;&lt;record&gt;&lt;rec-number&gt;445&lt;/rec-number&gt;&lt;foreign-keys&gt;&lt;key app="EN" db-id="aaepvppzs5wtfse95vsp2wahsrtvva2vvdet" timestamp="1716435371"&gt;445&lt;/key&gt;&lt;/foreign-keys&gt;&lt;ref-type name="Web Page"&gt;12&lt;/ref-type&gt;&lt;contributors&gt;&lt;authors&gt;&lt;author&gt;Ministry of Health ,&lt;/author&gt;&lt;/authors&gt;&lt;/contributors&gt;&lt;titles&gt;&lt;title&gt;Annual Data Explorer 2022/23: New Zealand Health Survey [Data File]New Zealand Health Survey Annual Data Explorer&lt;/title&gt;&lt;/titles&gt;&lt;number&gt;13 May 2024&lt;/number&gt;&lt;dates&gt;&lt;year&gt;2023&lt;/year&gt;&lt;/dates&gt;&lt;urls&gt;&lt;related-urls&gt;&lt;url&gt;minhealthnz.shinyapps.io/nz-health-survey-2022-23-annual-data-explorer&lt;/url&gt;&lt;/related-urls&gt;&lt;/urls&gt;&lt;/record&gt;&lt;/Cite&gt;&lt;/EndNote&gt;</w:instrText>
      </w:r>
      <w:r>
        <w:fldChar w:fldCharType="separate"/>
      </w:r>
      <w:r>
        <w:rPr>
          <w:noProof/>
        </w:rPr>
        <w:t>Ministry of Health (2023d)</w:t>
      </w:r>
      <w:r>
        <w:fldChar w:fldCharType="end"/>
      </w:r>
    </w:p>
    <w:p w14:paraId="3BE078E2" w14:textId="77777777" w:rsidR="009D4BFA" w:rsidRPr="00E47714" w:rsidRDefault="009D4BFA" w:rsidP="009D4BFA">
      <w:pPr>
        <w:pStyle w:val="Heading4"/>
      </w:pPr>
      <w:r w:rsidRPr="00E47714">
        <w:lastRenderedPageBreak/>
        <w:t>PHO enrolment</w:t>
      </w:r>
    </w:p>
    <w:p w14:paraId="2D8A4048" w14:textId="0B1DB324" w:rsidR="009D4BFA" w:rsidRDefault="009D4BFA" w:rsidP="009D4BFA">
      <w:r w:rsidRPr="00E47714">
        <w:t xml:space="preserve">Enrolment in a primary health organisation (PHO) is voluntary. Most New Zealanders are enrolled through their general practice and gain the benefits associated with belonging to a PHO, which can include cheaper doctors’ visits and reduced costs of prescription medicines </w:t>
      </w:r>
      <w:r>
        <w:fldChar w:fldCharType="begin"/>
      </w:r>
      <w:r>
        <w:instrText xml:space="preserve"> ADDIN EN.CITE &lt;EndNote&gt;&lt;Cite&gt;&lt;Author&gt;Health NZ&lt;/Author&gt;&lt;Year&gt;2024&lt;/Year&gt;&lt;RecNum&gt;500&lt;/RecNum&gt;&lt;DisplayText&gt;(Health NZ 2024f)&lt;/DisplayText&gt;&lt;record&gt;&lt;rec-number&gt;500&lt;/rec-number&gt;&lt;foreign-keys&gt;&lt;key app="EN" db-id="aaepvppzs5wtfse95vsp2wahsrtvva2vvdet" timestamp="1716762152"&gt;500&lt;/key&gt;&lt;/foreign-keys&gt;&lt;ref-type name="Web Page"&gt;12&lt;/ref-type&gt;&lt;contributors&gt;&lt;authors&gt;&lt;author&gt;Health NZ,&lt;/author&gt;&lt;/authors&gt;&lt;/contributors&gt;&lt;titles&gt;&lt;title&gt;Enrolment with a general practice and primary health organisation&lt;/title&gt;&lt;/titles&gt;&lt;number&gt;5 June 2024&lt;/number&gt;&lt;dates&gt;&lt;year&gt;2024&lt;/year&gt;&lt;/dates&gt;&lt;urls&gt;&lt;related-urls&gt;&lt;url&gt;tewhatuora.govt.nz/for-health-providers/primary-care-sector/primary-health-organisations/enrolment-with-a-general-practice-and-primary-health-organisation&lt;/url&gt;&lt;/related-urls&gt;&lt;/urls&gt;&lt;/record&gt;&lt;/Cite&gt;&lt;/EndNote&gt;</w:instrText>
      </w:r>
      <w:r>
        <w:fldChar w:fldCharType="separate"/>
      </w:r>
      <w:r>
        <w:rPr>
          <w:noProof/>
        </w:rPr>
        <w:t>(Health NZ 2024f)</w:t>
      </w:r>
      <w:r>
        <w:fldChar w:fldCharType="end"/>
      </w:r>
      <w:r w:rsidRPr="00E47714">
        <w:t>.</w:t>
      </w:r>
    </w:p>
    <w:p w14:paraId="0D6E1990" w14:textId="77777777" w:rsidR="009365E0" w:rsidRPr="00E47714" w:rsidRDefault="009365E0" w:rsidP="009D4BFA"/>
    <w:p w14:paraId="2BD0DD41" w14:textId="77777777" w:rsidR="009D4BFA" w:rsidRPr="00E47714" w:rsidRDefault="009D4BFA" w:rsidP="009D4BFA">
      <w:r w:rsidRPr="00E47714">
        <w:t xml:space="preserve">In April 2024, an estimated 94.4% (5,003,057 people) of the Aotearoa New Zealand population were enrolled with a PHO through a general practice </w:t>
      </w:r>
      <w:r>
        <w:fldChar w:fldCharType="begin"/>
      </w:r>
      <w:r>
        <w:instrText xml:space="preserve"> ADDIN EN.CITE &lt;EndNote&gt;&lt;Cite&gt;&lt;Author&gt;Health NZ&lt;/Author&gt;&lt;Year&gt;2024&lt;/Year&gt;&lt;RecNum&gt;500&lt;/RecNum&gt;&lt;DisplayText&gt;(Health NZ 2024f)&lt;/DisplayText&gt;&lt;record&gt;&lt;rec-number&gt;500&lt;/rec-number&gt;&lt;foreign-keys&gt;&lt;key app="EN" db-id="aaepvppzs5wtfse95vsp2wahsrtvva2vvdet" timestamp="1716762152"&gt;500&lt;/key&gt;&lt;/foreign-keys&gt;&lt;ref-type name="Web Page"&gt;12&lt;/ref-type&gt;&lt;contributors&gt;&lt;authors&gt;&lt;author&gt;Health NZ,&lt;/author&gt;&lt;/authors&gt;&lt;/contributors&gt;&lt;titles&gt;&lt;title&gt;Enrolment with a general practice and primary health organisation&lt;/title&gt;&lt;/titles&gt;&lt;number&gt;5 June 2024&lt;/number&gt;&lt;dates&gt;&lt;year&gt;2024&lt;/year&gt;&lt;/dates&gt;&lt;urls&gt;&lt;related-urls&gt;&lt;url&gt;tewhatuora.govt.nz/for-health-providers/primary-care-sector/primary-health-organisations/enrolment-with-a-general-practice-and-primary-health-organisation&lt;/url&gt;&lt;/related-urls&gt;&lt;/urls&gt;&lt;/record&gt;&lt;/Cite&gt;&lt;/EndNote&gt;</w:instrText>
      </w:r>
      <w:r>
        <w:fldChar w:fldCharType="separate"/>
      </w:r>
      <w:r>
        <w:rPr>
          <w:noProof/>
        </w:rPr>
        <w:t>(Health NZ 2024f)</w:t>
      </w:r>
      <w:r>
        <w:fldChar w:fldCharType="end"/>
      </w:r>
      <w:r w:rsidRPr="00E47714">
        <w:t>. It is estimated that</w:t>
      </w:r>
      <w:r>
        <w:t xml:space="preserve"> those enrolled with a PHO include</w:t>
      </w:r>
      <w:r w:rsidRPr="00E47714">
        <w:t>:</w:t>
      </w:r>
    </w:p>
    <w:p w14:paraId="06C4CAF4" w14:textId="77777777" w:rsidR="009D4BFA" w:rsidRPr="00E47714" w:rsidRDefault="009D4BFA" w:rsidP="009365E0">
      <w:pPr>
        <w:pStyle w:val="Bullet"/>
      </w:pPr>
      <w:r w:rsidRPr="00E47714">
        <w:t xml:space="preserve">83.9% of Māori, 98.3% of Pacific peoples and 96.4% </w:t>
      </w:r>
      <w:r>
        <w:t xml:space="preserve">of </w:t>
      </w:r>
      <w:r w:rsidRPr="00E47714">
        <w:t>European/other</w:t>
      </w:r>
    </w:p>
    <w:p w14:paraId="46AA98EE" w14:textId="77777777" w:rsidR="009D4BFA" w:rsidRPr="00E47714" w:rsidRDefault="009D4BFA" w:rsidP="009365E0">
      <w:pPr>
        <w:pStyle w:val="Bullet"/>
      </w:pPr>
      <w:r w:rsidRPr="00E47714">
        <w:t>102%</w:t>
      </w:r>
      <w:r w:rsidRPr="00E47714">
        <w:rPr>
          <w:rStyle w:val="FootnoteReference"/>
          <w:rFonts w:cs="Segoe UI"/>
        </w:rPr>
        <w:footnoteReference w:id="23"/>
      </w:r>
      <w:r w:rsidRPr="00E47714">
        <w:t xml:space="preserve"> of people </w:t>
      </w:r>
      <w:r>
        <w:t xml:space="preserve">living </w:t>
      </w:r>
      <w:r w:rsidRPr="00E47714">
        <w:t xml:space="preserve">in the least deprived neighbourhoods, compared with 86.5% of people </w:t>
      </w:r>
      <w:r>
        <w:t xml:space="preserve">living </w:t>
      </w:r>
      <w:r w:rsidRPr="00E47714">
        <w:t>in the most deprived neighbourhoods.</w:t>
      </w:r>
    </w:p>
    <w:p w14:paraId="19B9B556" w14:textId="77777777" w:rsidR="009D4BFA" w:rsidRPr="00E47714" w:rsidRDefault="009D4BFA" w:rsidP="009D4BFA">
      <w:pPr>
        <w:pStyle w:val="Heading4"/>
      </w:pPr>
      <w:r w:rsidRPr="00E47714">
        <w:t xml:space="preserve">Population not </w:t>
      </w:r>
      <w:proofErr w:type="gramStart"/>
      <w:r w:rsidRPr="00E47714">
        <w:t>enrolled</w:t>
      </w:r>
      <w:proofErr w:type="gramEnd"/>
    </w:p>
    <w:p w14:paraId="046E53AD" w14:textId="53D7669A" w:rsidR="009D4BFA" w:rsidRDefault="009D4BFA" w:rsidP="009D4BFA">
      <w:r w:rsidRPr="00E47714">
        <w:t xml:space="preserve">To </w:t>
      </w:r>
      <w:r>
        <w:t>work out</w:t>
      </w:r>
      <w:r w:rsidRPr="00E47714">
        <w:t xml:space="preserve"> rates of the population enrolled with a PHO, </w:t>
      </w:r>
      <w:r>
        <w:t>Health New Zealand</w:t>
      </w:r>
      <w:r w:rsidRPr="00E47714">
        <w:t xml:space="preserve"> uses 2022/23 administrative data to match health service user information with general practice enrolment data</w:t>
      </w:r>
      <w:r>
        <w:t>. From that information, it can estimate</w:t>
      </w:r>
      <w:r w:rsidRPr="00E47714">
        <w:t xml:space="preserve"> </w:t>
      </w:r>
      <w:r>
        <w:t xml:space="preserve">how many health users in Aotearoa New Zealand are not enrolled with a </w:t>
      </w:r>
      <w:r w:rsidRPr="00E47714">
        <w:t xml:space="preserve">PHO. </w:t>
      </w:r>
    </w:p>
    <w:p w14:paraId="0988121E" w14:textId="77777777" w:rsidR="009365E0" w:rsidRPr="00E47714" w:rsidRDefault="009365E0" w:rsidP="009D4BFA"/>
    <w:p w14:paraId="178CC681" w14:textId="77777777" w:rsidR="009D4BFA" w:rsidRPr="00E47714" w:rsidRDefault="009D4BFA" w:rsidP="009D4BFA">
      <w:r w:rsidRPr="00E47714">
        <w:t xml:space="preserve">From this analysis, </w:t>
      </w:r>
      <w:r>
        <w:t>an</w:t>
      </w:r>
      <w:r w:rsidRPr="00E47714">
        <w:t xml:space="preserve"> estimated 3.0% of health service users were not enrolled with a PHO in the year 2023 (Ministry of Health unpublished data 2024). This is down from 6.2% in 2022. </w:t>
      </w:r>
      <w:r>
        <w:t>T</w:t>
      </w:r>
      <w:r w:rsidRPr="00E47714">
        <w:t>he 2022/23 analysis</w:t>
      </w:r>
      <w:r w:rsidRPr="004C0F10">
        <w:t xml:space="preserve"> </w:t>
      </w:r>
      <w:r w:rsidRPr="00E47714">
        <w:t>excluded 33,088 unenrolled health users who only used COVID-19 testing and vaccination services.</w:t>
      </w:r>
    </w:p>
    <w:p w14:paraId="0EA7EE40" w14:textId="77777777" w:rsidR="009D4BFA" w:rsidRPr="00E47714" w:rsidRDefault="009D4BFA" w:rsidP="009365E0">
      <w:pPr>
        <w:pStyle w:val="Bullet"/>
      </w:pPr>
      <w:r w:rsidRPr="00E47714">
        <w:t>By ethnic group, the proportion</w:t>
      </w:r>
      <w:r>
        <w:t>s</w:t>
      </w:r>
      <w:r w:rsidRPr="00E47714">
        <w:t xml:space="preserve"> of people not enrolled with a PHO were: Māori 3.6%, Pacific peoples 4.9%, Asian 3.9% and European/other 2.3%</w:t>
      </w:r>
      <w:r>
        <w:t>.</w:t>
      </w:r>
    </w:p>
    <w:p w14:paraId="5B6BC73E" w14:textId="77777777" w:rsidR="009D4BFA" w:rsidRPr="00E47714" w:rsidRDefault="009D4BFA" w:rsidP="009365E0">
      <w:pPr>
        <w:pStyle w:val="Bullet"/>
      </w:pPr>
      <w:r w:rsidRPr="00E47714">
        <w:t>The age groups least likely to be enrolled with a PHO were 25</w:t>
      </w:r>
      <w:r w:rsidRPr="00E47714">
        <w:rPr>
          <w:rStyle w:val="normaltextrun"/>
          <w:rFonts w:ascii="Calibri" w:hAnsi="Calibri" w:cs="Calibri"/>
          <w:color w:val="000000"/>
          <w:bdr w:val="none" w:sz="0" w:space="0" w:color="auto" w:frame="1"/>
        </w:rPr>
        <w:t>–</w:t>
      </w:r>
      <w:r w:rsidRPr="00E47714">
        <w:t>29 years (5.8%) and 20</w:t>
      </w:r>
      <w:r w:rsidRPr="00E47714">
        <w:rPr>
          <w:rStyle w:val="normaltextrun"/>
          <w:rFonts w:ascii="Calibri" w:hAnsi="Calibri" w:cs="Calibri"/>
          <w:color w:val="000000"/>
          <w:bdr w:val="none" w:sz="0" w:space="0" w:color="auto" w:frame="1"/>
        </w:rPr>
        <w:t>–</w:t>
      </w:r>
      <w:r w:rsidRPr="00E47714">
        <w:t>24 years (5.1%).</w:t>
      </w:r>
    </w:p>
    <w:p w14:paraId="50C785FD" w14:textId="77777777" w:rsidR="009D4BFA" w:rsidRPr="00E47714" w:rsidRDefault="009D4BFA" w:rsidP="009365E0">
      <w:pPr>
        <w:pStyle w:val="Bullet"/>
      </w:pPr>
      <w:r w:rsidRPr="00E47714">
        <w:t xml:space="preserve">A higher proportion of people living in the most deprived neighbourhoods (3.7%) </w:t>
      </w:r>
      <w:r>
        <w:t>was</w:t>
      </w:r>
      <w:r w:rsidRPr="00E47714">
        <w:t xml:space="preserve"> not enrolled with a PHO, compared </w:t>
      </w:r>
      <w:r>
        <w:t>with</w:t>
      </w:r>
      <w:r w:rsidRPr="00E47714">
        <w:t xml:space="preserve"> people living in the least deprived neighbourhoods (2.0%).</w:t>
      </w:r>
    </w:p>
    <w:p w14:paraId="116C2D67" w14:textId="77777777" w:rsidR="009D4BFA" w:rsidRPr="00E47714" w:rsidRDefault="009D4BFA" w:rsidP="009D4BFA">
      <w:pPr>
        <w:pStyle w:val="Heading3"/>
      </w:pPr>
      <w:r w:rsidRPr="00E47714">
        <w:t>Immunisation</w:t>
      </w:r>
    </w:p>
    <w:p w14:paraId="7E1690DF" w14:textId="77777777" w:rsidR="009D4BFA" w:rsidRPr="00E47714" w:rsidRDefault="009D4BFA" w:rsidP="009D4BFA">
      <w:pPr>
        <w:rPr>
          <w:rFonts w:cs="Segoe UI"/>
        </w:rPr>
      </w:pPr>
      <w:r w:rsidRPr="00E47714">
        <w:t xml:space="preserve">Aotearoa New Zealand immunisation programmes aim to protect individuals against disease and also prevent the onward spread of disease within the population as a whole </w:t>
      </w:r>
      <w:r>
        <w:fldChar w:fldCharType="begin"/>
      </w:r>
      <w:r>
        <w:instrText xml:space="preserve"> ADDIN EN.CITE &lt;EndNote&gt;&lt;Cite&gt;&lt;Author&gt;Health NZ&lt;/Author&gt;&lt;Year&gt;2024&lt;/Year&gt;&lt;RecNum&gt;501&lt;/RecNum&gt;&lt;DisplayText&gt;(Health NZ 2024q)&lt;/DisplayText&gt;&lt;record&gt;&lt;rec-number&gt;501&lt;/rec-number&gt;&lt;foreign-keys&gt;&lt;key app="EN" db-id="aaepvppzs5wtfse95vsp2wahsrtvva2vvdet" timestamp="1716762425"&gt;501&lt;/key&gt;&lt;/foreign-keys&gt;&lt;ref-type name="Web Page"&gt;12&lt;/ref-type&gt;&lt;contributors&gt;&lt;authors&gt;&lt;author&gt;Health NZ,&lt;/author&gt;&lt;/authors&gt;&lt;/contributors&gt;&lt;titles&gt;&lt;title&gt;Why immunise?&lt;/title&gt;&lt;/titles&gt;&lt;number&gt;27 May 2024&lt;/number&gt;&lt;dates&gt;&lt;year&gt;2024&lt;/year&gt;&lt;/dates&gt;&lt;urls&gt;&lt;related-urls&gt;&lt;url&gt;tewhatuora.govt.nz/health-services-and-programmes/vaccine-information/about-immunisation-in-new-zealand/why-immunise&lt;/url&gt;&lt;/related-urls&gt;&lt;/urls&gt;&lt;/record&gt;&lt;/Cite&gt;&lt;/EndNote&gt;</w:instrText>
      </w:r>
      <w:r>
        <w:fldChar w:fldCharType="separate"/>
      </w:r>
      <w:r>
        <w:rPr>
          <w:noProof/>
        </w:rPr>
        <w:t>(Health NZ 2024q)</w:t>
      </w:r>
      <w:r>
        <w:fldChar w:fldCharType="end"/>
      </w:r>
      <w:r w:rsidRPr="00E47714">
        <w:t>. The National Immunisation Schedule lists the vaccines that are offered free to babies, children, adolescents and adults. It also lists the ages at which each vaccine should be given.</w:t>
      </w:r>
    </w:p>
    <w:p w14:paraId="42C0ADA7" w14:textId="77777777" w:rsidR="009D4BFA" w:rsidRPr="00E47714" w:rsidRDefault="009D4BFA" w:rsidP="009D4BFA">
      <w:pPr>
        <w:pStyle w:val="Heading4"/>
      </w:pPr>
      <w:bookmarkStart w:id="224" w:name="_Childhood_immunisations"/>
      <w:bookmarkStart w:id="225" w:name="_Ref168403747"/>
      <w:bookmarkEnd w:id="224"/>
      <w:r w:rsidRPr="00E47714">
        <w:t>Childhood immunisations</w:t>
      </w:r>
      <w:bookmarkEnd w:id="225"/>
      <w:r w:rsidRPr="00E47714">
        <w:t xml:space="preserve"> </w:t>
      </w:r>
    </w:p>
    <w:p w14:paraId="74D2B635" w14:textId="442BB927" w:rsidR="009D4BFA" w:rsidRDefault="009D4BFA" w:rsidP="009D4BFA">
      <w:pPr>
        <w:rPr>
          <w:rFonts w:cs="Segoe UI"/>
        </w:rPr>
      </w:pPr>
      <w:r w:rsidRPr="00E47714">
        <w:t xml:space="preserve">Immunisation coverage for childhood immunisation is measured at milestone ages using the National Immunisation Register database and the Aotearoa Immunisation Register database. The milestone ages measured are 6 months, 8 months, 12 months </w:t>
      </w:r>
      <w:r w:rsidRPr="00E47714">
        <w:lastRenderedPageBreak/>
        <w:t xml:space="preserve">(one year), 18 months, 24 months (2 years), 54 months (4.5 years) and 5 years of age. Immunisation coverage is measured to identify groups at risk of vaccine-preventable diseases and to evaluate the effectiveness of programmes designed to increase coverage </w:t>
      </w:r>
      <w:r>
        <w:fldChar w:fldCharType="begin"/>
      </w:r>
      <w:r>
        <w:instrText xml:space="preserve"> ADDIN EN.CITE &lt;EndNote&gt;&lt;Cite&gt;&lt;Author&gt;Health NZ&lt;/Author&gt;&lt;Year&gt;2024&lt;/Year&gt;&lt;RecNum&gt;502&lt;/RecNum&gt;&lt;DisplayText&gt;(Health NZ 2024h)&lt;/DisplayText&gt;&lt;record&gt;&lt;rec-number&gt;502&lt;/rec-number&gt;&lt;foreign-keys&gt;&lt;key app="EN" db-id="aaepvppzs5wtfse95vsp2wahsrtvva2vvdet" timestamp="1716762732"&gt;502&lt;/key&gt;&lt;/foreign-keys&gt;&lt;ref-type name="Web Page"&gt;12&lt;/ref-type&gt;&lt;contributors&gt;&lt;authors&gt;&lt;author&gt;Health NZ,&lt;/author&gt;&lt;/authors&gt;&lt;/contributors&gt;&lt;titles&gt;&lt;title&gt;Immunisation coverage&lt;/title&gt;&lt;/titles&gt;&lt;number&gt;27 May 2024&lt;/number&gt;&lt;dates&gt;&lt;year&gt;2024&lt;/year&gt;&lt;/dates&gt;&lt;urls&gt;&lt;related-urls&gt;&lt;url&gt;tewhatuora.govt.nz/health-services-and-programmes/vaccine-information/immunisation-coverage&lt;/url&gt;&lt;/related-urls&gt;&lt;/urls&gt;&lt;/record&gt;&lt;/Cite&gt;&lt;/EndNote&gt;</w:instrText>
      </w:r>
      <w:r>
        <w:fldChar w:fldCharType="separate"/>
      </w:r>
      <w:r>
        <w:rPr>
          <w:noProof/>
        </w:rPr>
        <w:t>(Health NZ 2024h)</w:t>
      </w:r>
      <w:r>
        <w:fldChar w:fldCharType="end"/>
      </w:r>
      <w:r w:rsidRPr="00E47714">
        <w:t>.</w:t>
      </w:r>
      <w:r w:rsidRPr="00E47714">
        <w:rPr>
          <w:rStyle w:val="FootnoteReference"/>
          <w:rFonts w:cs="Segoe UI"/>
        </w:rPr>
        <w:t xml:space="preserve"> </w:t>
      </w:r>
    </w:p>
    <w:p w14:paraId="5C6AE61B" w14:textId="77777777" w:rsidR="009365E0" w:rsidRPr="00E47714" w:rsidRDefault="009365E0" w:rsidP="009D4BFA"/>
    <w:p w14:paraId="52A50797" w14:textId="0C0A8AF4" w:rsidR="009D4BFA" w:rsidRDefault="009D4BFA" w:rsidP="009D4BFA">
      <w:r w:rsidRPr="00E47714">
        <w:t xml:space="preserve">The health target for childhood immunisation coverage in Aotearoa New Zealand is that 95% of children are fully immunised at 24 months of age. For the </w:t>
      </w:r>
      <w:r>
        <w:t>three</w:t>
      </w:r>
      <w:r w:rsidRPr="00E47714">
        <w:t xml:space="preserve">-month reporting period ending 31 December 2023, 81.0% of children at 24 months of age were fully immunised. </w:t>
      </w:r>
    </w:p>
    <w:p w14:paraId="0B8170C2" w14:textId="77777777" w:rsidR="009365E0" w:rsidRPr="00E47714" w:rsidRDefault="009365E0" w:rsidP="009D4BFA"/>
    <w:p w14:paraId="2020FAE8" w14:textId="229A52F4" w:rsidR="009D4BFA" w:rsidRPr="00E47714" w:rsidRDefault="009D4BFA" w:rsidP="009D4BFA">
      <w:r w:rsidRPr="00E47714">
        <w:fldChar w:fldCharType="begin"/>
      </w:r>
      <w:r w:rsidRPr="00E47714">
        <w:instrText xml:space="preserve"> REF _Ref168381426 \h  \* MERGEFORMAT </w:instrText>
      </w:r>
      <w:r w:rsidRPr="00E47714">
        <w:fldChar w:fldCharType="separate"/>
      </w:r>
      <w:r w:rsidR="009A6F87" w:rsidRPr="00E47714">
        <w:t xml:space="preserve">Figure </w:t>
      </w:r>
      <w:r w:rsidR="009A6F87">
        <w:t>38</w:t>
      </w:r>
      <w:r w:rsidRPr="00E47714">
        <w:fldChar w:fldCharType="end"/>
      </w:r>
      <w:r w:rsidRPr="00E47714">
        <w:t xml:space="preserve"> presents the percentage of children immunised at milestone ages of 8 months, 24 months and 5 years for the </w:t>
      </w:r>
      <w:r>
        <w:t>three</w:t>
      </w:r>
      <w:r w:rsidRPr="00E47714">
        <w:t xml:space="preserve">-month reporting period ending December 2023. </w:t>
      </w:r>
      <w:r>
        <w:t>It</w:t>
      </w:r>
      <w:r w:rsidRPr="00E47714">
        <w:t xml:space="preserve"> shows a persistent equity gap for Māori children at each milestone age.</w:t>
      </w:r>
    </w:p>
    <w:p w14:paraId="2C4661F6" w14:textId="6E68FDD3" w:rsidR="009D4BFA" w:rsidRPr="00E47714" w:rsidRDefault="009D4BFA" w:rsidP="009365E0">
      <w:pPr>
        <w:pStyle w:val="Figure"/>
      </w:pPr>
      <w:bookmarkStart w:id="226" w:name="_Ref168381426"/>
      <w:bookmarkStart w:id="227" w:name="_Toc171330685"/>
      <w:bookmarkStart w:id="228" w:name="_Toc172104721"/>
      <w:r w:rsidRPr="00E47714">
        <w:t xml:space="preserve">Figure </w:t>
      </w:r>
      <w:fldSimple w:instr=" SEQ Figure \* ARABIC ">
        <w:r w:rsidR="009A6F87">
          <w:rPr>
            <w:noProof/>
          </w:rPr>
          <w:t>38</w:t>
        </w:r>
      </w:fldSimple>
      <w:bookmarkEnd w:id="226"/>
      <w:r w:rsidRPr="00E47714">
        <w:t xml:space="preserve">: Percentage of children immunised at milestone ages, by ethnic group (prioritised ethnicity), for the </w:t>
      </w:r>
      <w:r>
        <w:t>three</w:t>
      </w:r>
      <w:r w:rsidRPr="00E47714">
        <w:t xml:space="preserve"> months end</w:t>
      </w:r>
      <w:r>
        <w:t>ing</w:t>
      </w:r>
      <w:r w:rsidRPr="00E47714">
        <w:t xml:space="preserve"> December 2023</w:t>
      </w:r>
      <w:bookmarkEnd w:id="227"/>
      <w:bookmarkEnd w:id="228"/>
    </w:p>
    <w:p w14:paraId="2328DF61" w14:textId="77777777" w:rsidR="009D4BFA" w:rsidRPr="00E47714" w:rsidRDefault="009D4BFA" w:rsidP="009365E0">
      <w:pPr>
        <w:pStyle w:val="NormalWeb"/>
        <w:spacing w:before="0" w:beforeAutospacing="0" w:after="0" w:afterAutospacing="0"/>
      </w:pPr>
      <w:r w:rsidRPr="00E47714">
        <w:rPr>
          <w:noProof/>
        </w:rPr>
        <w:drawing>
          <wp:inline distT="0" distB="0" distL="0" distR="0" wp14:anchorId="1D5457D9" wp14:editId="47BAE417">
            <wp:extent cx="3307743" cy="3307743"/>
            <wp:effectExtent l="0" t="0" r="6985" b="6985"/>
            <wp:docPr id="1286808692" name="Picture 1286808692" descr="A series of three bar charts showing the percentage of children immunised at 8 months, at 24 months, and at 5 years by prioritised ethnic group for the 3 month period ended December 2023. The percentage of children immunised at 8 months was 68% for Māori, 80% for Pacific peoples, 94% for Asian and 87% for European/Other ethnic groups. The percentage of children immunised at 24 months was 66% for Māori, 78% for Pacific peoples, 91% for Asian, and 86% for European/other ethnic groups. The percentage of children immunised at 5 years was 69% for Māori, 77% for Pacific peoples, 81% for Asian, and 83% for European/other ethn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08692" name="Picture 1286808692" descr="A series of three bar charts showing the percentage of children immunised at 8 months, at 24 months, and at 5 years by prioritised ethnic group for the 3 month period ended December 2023. The percentage of children immunised at 8 months was 68% for Māori, 80% for Pacific peoples, 94% for Asian and 87% for European/Other ethnic groups. The percentage of children immunised at 24 months was 66% for Māori, 78% for Pacific peoples, 91% for Asian, and 86% for European/other ethnic groups. The percentage of children immunised at 5 years was 69% for Māori, 77% for Pacific peoples, 81% for Asian, and 83% for European/other ethnic group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07743" cy="3307743"/>
                    </a:xfrm>
                    <a:prstGeom prst="rect">
                      <a:avLst/>
                    </a:prstGeom>
                    <a:noFill/>
                    <a:ln>
                      <a:noFill/>
                    </a:ln>
                  </pic:spPr>
                </pic:pic>
              </a:graphicData>
            </a:graphic>
          </wp:inline>
        </w:drawing>
      </w:r>
    </w:p>
    <w:p w14:paraId="720E4AE0" w14:textId="77777777" w:rsidR="009D4BFA" w:rsidRPr="00E47714" w:rsidRDefault="009D4BFA" w:rsidP="009D4BFA">
      <w:pPr>
        <w:pStyle w:val="Source"/>
      </w:pPr>
      <w:r w:rsidRPr="00E47714">
        <w:rPr>
          <w:b/>
          <w:bCs/>
        </w:rPr>
        <w:t>Source:</w:t>
      </w:r>
      <w:r w:rsidRPr="00E47714">
        <w:t xml:space="preserve"> </w:t>
      </w:r>
      <w:r>
        <w:fldChar w:fldCharType="begin"/>
      </w:r>
      <w:r>
        <w:instrText xml:space="preserve"> ADDIN EN.CITE &lt;EndNote&gt;&lt;Cite AuthorYear="1"&gt;&lt;Author&gt;Health NZ&lt;/Author&gt;&lt;Year&gt;2024&lt;/Year&gt;&lt;RecNum&gt;502&lt;/RecNum&gt;&lt;DisplayText&gt;Health NZ (2024h)&lt;/DisplayText&gt;&lt;record&gt;&lt;rec-number&gt;502&lt;/rec-number&gt;&lt;foreign-keys&gt;&lt;key app="EN" db-id="aaepvppzs5wtfse95vsp2wahsrtvva2vvdet" timestamp="1716762732"&gt;502&lt;/key&gt;&lt;/foreign-keys&gt;&lt;ref-type name="Web Page"&gt;12&lt;/ref-type&gt;&lt;contributors&gt;&lt;authors&gt;&lt;author&gt;Health NZ,&lt;/author&gt;&lt;/authors&gt;&lt;/contributors&gt;&lt;titles&gt;&lt;title&gt;Immunisation coverage&lt;/title&gt;&lt;/titles&gt;&lt;number&gt;27 May 2024&lt;/number&gt;&lt;dates&gt;&lt;year&gt;2024&lt;/year&gt;&lt;/dates&gt;&lt;urls&gt;&lt;related-urls&gt;&lt;url&gt;tewhatuora.govt.nz/health-services-and-programmes/vaccine-information/immunisation-coverage&lt;/url&gt;&lt;/related-urls&gt;&lt;/urls&gt;&lt;/record&gt;&lt;/Cite&gt;&lt;/EndNote&gt;</w:instrText>
      </w:r>
      <w:r>
        <w:fldChar w:fldCharType="separate"/>
      </w:r>
      <w:r>
        <w:rPr>
          <w:noProof/>
        </w:rPr>
        <w:t>Health NZ (2024h)</w:t>
      </w:r>
      <w:r>
        <w:fldChar w:fldCharType="end"/>
      </w:r>
    </w:p>
    <w:p w14:paraId="58429CE7" w14:textId="77777777" w:rsidR="009365E0" w:rsidRDefault="009365E0" w:rsidP="009D4BFA"/>
    <w:p w14:paraId="295B6DE2" w14:textId="28519BF5" w:rsidR="009D4BFA" w:rsidRPr="00E47714" w:rsidRDefault="009D4BFA" w:rsidP="009D4BFA">
      <w:r w:rsidRPr="00E47714">
        <w:fldChar w:fldCharType="begin"/>
      </w:r>
      <w:r w:rsidRPr="00E47714">
        <w:instrText xml:space="preserve"> REF _Ref168382727 \h  \* MERGEFORMAT </w:instrText>
      </w:r>
      <w:r w:rsidRPr="00E47714">
        <w:fldChar w:fldCharType="separate"/>
      </w:r>
      <w:r w:rsidR="009A6F87" w:rsidRPr="00E47714">
        <w:t xml:space="preserve">Figure </w:t>
      </w:r>
      <w:r w:rsidR="009A6F87">
        <w:t>39</w:t>
      </w:r>
      <w:r w:rsidRPr="00E47714">
        <w:fldChar w:fldCharType="end"/>
      </w:r>
      <w:r w:rsidRPr="00E47714">
        <w:t xml:space="preserve"> displays childhood immunisation coverage rates at milestone ages of 8 months, 24 months and 5 years, from 2014 to 2023. Childhood immunisation coverage rates have reduced over time for all ethnic groups at these milestone ages, particularly for Māori, Pacific and Asian children.</w:t>
      </w:r>
    </w:p>
    <w:p w14:paraId="33935058" w14:textId="655A6332" w:rsidR="009D4BFA" w:rsidRPr="00E47714" w:rsidRDefault="009D4BFA" w:rsidP="009365E0">
      <w:pPr>
        <w:pStyle w:val="Figure"/>
      </w:pPr>
      <w:bookmarkStart w:id="229" w:name="_Ref168382727"/>
      <w:bookmarkStart w:id="230" w:name="_Toc171330686"/>
      <w:bookmarkStart w:id="231" w:name="_Toc172104722"/>
      <w:r w:rsidRPr="00E47714">
        <w:lastRenderedPageBreak/>
        <w:t xml:space="preserve">Figure </w:t>
      </w:r>
      <w:fldSimple w:instr=" SEQ Figure \* ARABIC ">
        <w:r w:rsidR="009A6F87">
          <w:rPr>
            <w:noProof/>
          </w:rPr>
          <w:t>39</w:t>
        </w:r>
      </w:fldSimple>
      <w:bookmarkEnd w:id="229"/>
      <w:r w:rsidRPr="00E47714">
        <w:t>: Childhood immunisation coverage at milestone ages, by ethnic group (prioritised ethnicity), 2014–2023</w:t>
      </w:r>
      <w:bookmarkEnd w:id="230"/>
      <w:bookmarkEnd w:id="231"/>
    </w:p>
    <w:p w14:paraId="357E0042" w14:textId="77777777" w:rsidR="009D4BFA" w:rsidRPr="00E47714" w:rsidRDefault="009D4BFA" w:rsidP="009365E0">
      <w:pPr>
        <w:pStyle w:val="NormalWeb"/>
        <w:spacing w:before="0" w:beforeAutospacing="0" w:after="0" w:afterAutospacing="0"/>
      </w:pPr>
      <w:r w:rsidRPr="00E47714">
        <w:rPr>
          <w:noProof/>
        </w:rPr>
        <w:drawing>
          <wp:inline distT="0" distB="0" distL="0" distR="0" wp14:anchorId="67CD3266" wp14:editId="4807A385">
            <wp:extent cx="5105400" cy="4012048"/>
            <wp:effectExtent l="0" t="0" r="0" b="7620"/>
            <wp:docPr id="1286808691" name="Picture 1286808691" descr="A series of four timeseries line charts showing childhood immunisation rates by ethnic group, between 2014–2023. Within each chart, three ages are presented: 8 months, 24 months, and 5-year-olds. For 5-year-olds, immunisation rates increased to about 2016, remained flat between 2017 and 2020, then decreased after 2020. For the Māori and Pacific peoples ethnic groups, immunisation rates decreased for all ages since 2020. For the Asian and European ethnic groups, the decrease after 2020 is less apparent at 8 months and 2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08691" name="Picture 1286808691" descr="A series of four timeseries line charts showing childhood immunisation rates by ethnic group, between 2014–2023. Within each chart, three ages are presented: 8 months, 24 months, and 5-year-olds. For 5-year-olds, immunisation rates increased to about 2016, remained flat between 2017 and 2020, then decreased after 2020. For the Māori and Pacific peoples ethnic groups, immunisation rates decreased for all ages since 2020. For the Asian and European ethnic groups, the decrease after 2020 is less apparent at 8 months and 24 months."/>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5118061" cy="4021997"/>
                    </a:xfrm>
                    <a:prstGeom prst="rect">
                      <a:avLst/>
                    </a:prstGeom>
                    <a:noFill/>
                    <a:ln>
                      <a:noFill/>
                    </a:ln>
                  </pic:spPr>
                </pic:pic>
              </a:graphicData>
            </a:graphic>
          </wp:inline>
        </w:drawing>
      </w:r>
    </w:p>
    <w:p w14:paraId="3DDCB7F9" w14:textId="77777777" w:rsidR="009D4BFA" w:rsidRPr="00E47714" w:rsidRDefault="009D4BFA" w:rsidP="009D4BFA">
      <w:pPr>
        <w:pStyle w:val="Source"/>
      </w:pPr>
      <w:r w:rsidRPr="00E47714">
        <w:rPr>
          <w:b/>
          <w:bCs/>
        </w:rPr>
        <w:t>Source:</w:t>
      </w:r>
      <w:r w:rsidRPr="00E47714">
        <w:t xml:space="preserve"> </w:t>
      </w:r>
      <w:r>
        <w:fldChar w:fldCharType="begin"/>
      </w:r>
      <w:r>
        <w:instrText xml:space="preserve"> ADDIN EN.CITE &lt;EndNote&gt;&lt;Cite AuthorYear="1"&gt;&lt;Author&gt;Health NZ&lt;/Author&gt;&lt;Year&gt;2024&lt;/Year&gt;&lt;RecNum&gt;502&lt;/RecNum&gt;&lt;DisplayText&gt;Health NZ (2024h)&lt;/DisplayText&gt;&lt;record&gt;&lt;rec-number&gt;502&lt;/rec-number&gt;&lt;foreign-keys&gt;&lt;key app="EN" db-id="aaepvppzs5wtfse95vsp2wahsrtvva2vvdet" timestamp="1716762732"&gt;502&lt;/key&gt;&lt;/foreign-keys&gt;&lt;ref-type name="Web Page"&gt;12&lt;/ref-type&gt;&lt;contributors&gt;&lt;authors&gt;&lt;author&gt;Health NZ,&lt;/author&gt;&lt;/authors&gt;&lt;/contributors&gt;&lt;titles&gt;&lt;title&gt;Immunisation coverage&lt;/title&gt;&lt;/titles&gt;&lt;number&gt;27 May 2024&lt;/number&gt;&lt;dates&gt;&lt;year&gt;2024&lt;/year&gt;&lt;/dates&gt;&lt;urls&gt;&lt;related-urls&gt;&lt;url&gt;tewhatuora.govt.nz/health-services-and-programmes/vaccine-information/immunisation-coverage&lt;/url&gt;&lt;/related-urls&gt;&lt;/urls&gt;&lt;/record&gt;&lt;/Cite&gt;&lt;/EndNote&gt;</w:instrText>
      </w:r>
      <w:r>
        <w:fldChar w:fldCharType="separate"/>
      </w:r>
      <w:r>
        <w:rPr>
          <w:noProof/>
        </w:rPr>
        <w:t>Health NZ (2024h)</w:t>
      </w:r>
      <w:r>
        <w:fldChar w:fldCharType="end"/>
      </w:r>
    </w:p>
    <w:p w14:paraId="578A96AF" w14:textId="77777777" w:rsidR="009D4BFA" w:rsidRPr="00E47714" w:rsidRDefault="009D4BFA" w:rsidP="009D4BFA">
      <w:pPr>
        <w:pStyle w:val="Heading4"/>
      </w:pPr>
      <w:r w:rsidRPr="00E47714">
        <w:t>Influenza immunisation</w:t>
      </w:r>
    </w:p>
    <w:p w14:paraId="7AC39F7F" w14:textId="6818FB1B" w:rsidR="009D4BFA" w:rsidRDefault="009D4BFA" w:rsidP="009D4BFA">
      <w:pPr>
        <w:rPr>
          <w:shd w:val="clear" w:color="auto" w:fill="FFFFFF"/>
        </w:rPr>
      </w:pPr>
      <w:r w:rsidRPr="00E47714">
        <w:t xml:space="preserve">The influenza immunisation programme is recommended and free for people who are pregnant, individuals aged 65 years and over, and those with eligible conditions </w:t>
      </w:r>
      <w:r>
        <w:fldChar w:fldCharType="begin"/>
      </w:r>
      <w:r>
        <w:instrText xml:space="preserve"> ADDIN EN.CITE &lt;EndNote&gt;&lt;Cite&gt;&lt;Author&gt;Health NZ&lt;/Author&gt;&lt;Year&gt;2024&lt;/Year&gt;&lt;RecNum&gt;503&lt;/RecNum&gt;&lt;DisplayText&gt;(Health NZ 2024i)&lt;/DisplayText&gt;&lt;record&gt;&lt;rec-number&gt;503&lt;/rec-number&gt;&lt;foreign-keys&gt;&lt;key app="EN" db-id="aaepvppzs5wtfse95vsp2wahsrtvva2vvdet" timestamp="1716763146"&gt;503&lt;/key&gt;&lt;/foreign-keys&gt;&lt;ref-type name="Generic"&gt;13&lt;/ref-type&gt;&lt;contributors&gt;&lt;authors&gt;&lt;author&gt;Health NZ,&lt;/author&gt;&lt;/authors&gt;&lt;/contributors&gt;&lt;titles&gt;&lt;title&gt;Immunisation Handbook&lt;/title&gt;&lt;/titles&gt;&lt;section&gt;11 Influenza&lt;/section&gt;&lt;dates&gt;&lt;year&gt;2024&lt;/year&gt;&lt;/dates&gt;&lt;pub-location&gt;Wellington&lt;/pub-location&gt;&lt;publisher&gt;Health New Zealand&lt;/publisher&gt;&lt;urls&gt;&lt;/urls&gt;&lt;/record&gt;&lt;/Cite&gt;&lt;/EndNote&gt;</w:instrText>
      </w:r>
      <w:r>
        <w:fldChar w:fldCharType="separate"/>
      </w:r>
      <w:r>
        <w:rPr>
          <w:noProof/>
        </w:rPr>
        <w:t>(Health NZ 2024i)</w:t>
      </w:r>
      <w:r>
        <w:fldChar w:fldCharType="end"/>
      </w:r>
      <w:r w:rsidRPr="00E47714">
        <w:t xml:space="preserve">. </w:t>
      </w:r>
      <w:r w:rsidRPr="00E47714">
        <w:rPr>
          <w:shd w:val="clear" w:color="auto" w:fill="FFFFFF"/>
        </w:rPr>
        <w:t xml:space="preserve">Annual influenza immunisation is recommended to provide protection from the </w:t>
      </w:r>
      <w:r>
        <w:rPr>
          <w:shd w:val="clear" w:color="auto" w:fill="FFFFFF"/>
        </w:rPr>
        <w:t>main</w:t>
      </w:r>
      <w:r w:rsidRPr="00E47714">
        <w:rPr>
          <w:shd w:val="clear" w:color="auto" w:fill="FFFFFF"/>
        </w:rPr>
        <w:t xml:space="preserve"> influenza strains</w:t>
      </w:r>
      <w:r w:rsidRPr="006913C3">
        <w:rPr>
          <w:shd w:val="clear" w:color="auto" w:fill="FFFFFF"/>
        </w:rPr>
        <w:t xml:space="preserve"> </w:t>
      </w:r>
      <w:r>
        <w:rPr>
          <w:shd w:val="clear" w:color="auto" w:fill="FFFFFF"/>
        </w:rPr>
        <w:t xml:space="preserve">that are </w:t>
      </w:r>
      <w:r w:rsidRPr="00E47714">
        <w:rPr>
          <w:shd w:val="clear" w:color="auto" w:fill="FFFFFF"/>
        </w:rPr>
        <w:t xml:space="preserve">circulating </w:t>
      </w:r>
      <w:r>
        <w:rPr>
          <w:shd w:val="clear" w:color="auto" w:fill="FFFFFF"/>
        </w:rPr>
        <w:fldChar w:fldCharType="begin"/>
      </w:r>
      <w:r>
        <w:rPr>
          <w:shd w:val="clear" w:color="auto" w:fill="FFFFFF"/>
        </w:rPr>
        <w:instrText xml:space="preserve"> ADDIN EN.CITE &lt;EndNote&gt;&lt;Cite&gt;&lt;Author&gt;Immunisation Advisory Centre &lt;/Author&gt;&lt;Year&gt;2024&lt;/Year&gt;&lt;RecNum&gt;504&lt;/RecNum&gt;&lt;DisplayText&gt;(Immunisation Advisory Centre 2024)&lt;/DisplayText&gt;&lt;record&gt;&lt;rec-number&gt;504&lt;/rec-number&gt;&lt;foreign-keys&gt;&lt;key app="EN" db-id="aaepvppzs5wtfse95vsp2wahsrtvva2vvdet" timestamp="1716763363"&gt;504&lt;/key&gt;&lt;/foreign-keys&gt;&lt;ref-type name="Web Page"&gt;12&lt;/ref-type&gt;&lt;contributors&gt;&lt;authors&gt;&lt;author&gt;Immunisation Advisory Centre ,&lt;/author&gt;&lt;/authors&gt;&lt;/contributors&gt;&lt;titles&gt;&lt;title&gt;Influenza vaccine&lt;/title&gt;&lt;/titles&gt;&lt;number&gt;27 May 2024&lt;/number&gt;&lt;dates&gt;&lt;year&gt;2024&lt;/year&gt;&lt;/dates&gt;&lt;urls&gt;&lt;related-urls&gt;&lt;url&gt;immune.org.nz/vaccine/influenza-vaccine&lt;/url&gt;&lt;/related-urls&gt;&lt;/urls&gt;&lt;/record&gt;&lt;/Cite&gt;&lt;/EndNote&gt;</w:instrText>
      </w:r>
      <w:r>
        <w:rPr>
          <w:shd w:val="clear" w:color="auto" w:fill="FFFFFF"/>
        </w:rPr>
        <w:fldChar w:fldCharType="separate"/>
      </w:r>
      <w:r>
        <w:rPr>
          <w:noProof/>
          <w:shd w:val="clear" w:color="auto" w:fill="FFFFFF"/>
        </w:rPr>
        <w:t>(Immunisation Advisory Centre 2024)</w:t>
      </w:r>
      <w:r>
        <w:rPr>
          <w:shd w:val="clear" w:color="auto" w:fill="FFFFFF"/>
        </w:rPr>
        <w:fldChar w:fldCharType="end"/>
      </w:r>
      <w:r w:rsidRPr="00E47714">
        <w:rPr>
          <w:shd w:val="clear" w:color="auto" w:fill="FFFFFF"/>
        </w:rPr>
        <w:t>.</w:t>
      </w:r>
    </w:p>
    <w:p w14:paraId="21663A30" w14:textId="77777777" w:rsidR="009365E0" w:rsidRPr="00E47714" w:rsidRDefault="009365E0" w:rsidP="009D4BFA">
      <w:pPr>
        <w:rPr>
          <w:shd w:val="clear" w:color="auto" w:fill="FFFFFF"/>
        </w:rPr>
      </w:pPr>
    </w:p>
    <w:p w14:paraId="3DCAC8DE" w14:textId="69D3152F" w:rsidR="009D4BFA" w:rsidRDefault="009D4BFA" w:rsidP="009D4BFA">
      <w:r w:rsidRPr="00E47714">
        <w:rPr>
          <w:color w:val="000000" w:themeColor="text1"/>
          <w:shd w:val="clear" w:color="auto" w:fill="FFFFFF"/>
        </w:rPr>
        <w:t xml:space="preserve">In 2023, </w:t>
      </w:r>
      <w:r>
        <w:rPr>
          <w:color w:val="000000" w:themeColor="text1"/>
          <w:shd w:val="clear" w:color="auto" w:fill="FFFFFF"/>
        </w:rPr>
        <w:t>among</w:t>
      </w:r>
      <w:r w:rsidRPr="00E47714">
        <w:rPr>
          <w:color w:val="000000" w:themeColor="text1"/>
          <w:shd w:val="clear" w:color="auto" w:fill="FFFFFF"/>
        </w:rPr>
        <w:t xml:space="preserve"> people</w:t>
      </w:r>
      <w:r>
        <w:rPr>
          <w:color w:val="000000" w:themeColor="text1"/>
          <w:shd w:val="clear" w:color="auto" w:fill="FFFFFF"/>
        </w:rPr>
        <w:t xml:space="preserve"> aged</w:t>
      </w:r>
      <w:r w:rsidRPr="00E47714">
        <w:rPr>
          <w:color w:val="000000" w:themeColor="text1"/>
          <w:shd w:val="clear" w:color="auto" w:fill="FFFFFF"/>
        </w:rPr>
        <w:t xml:space="preserve"> 65 years and over, the influenza vaccination rates </w:t>
      </w:r>
      <w:r w:rsidRPr="00E47714">
        <w:t xml:space="preserve">by </w:t>
      </w:r>
      <w:r>
        <w:t xml:space="preserve">prioritised </w:t>
      </w:r>
      <w:r w:rsidRPr="00E47714">
        <w:t>ethnic group</w:t>
      </w:r>
      <w:r>
        <w:t xml:space="preserve"> </w:t>
      </w:r>
      <w:r w:rsidRPr="00E47714">
        <w:rPr>
          <w:color w:val="000000" w:themeColor="text1"/>
          <w:shd w:val="clear" w:color="auto" w:fill="FFFFFF"/>
        </w:rPr>
        <w:t xml:space="preserve">were: </w:t>
      </w:r>
      <w:r w:rsidRPr="00E47714">
        <w:t>55.0% for Māori</w:t>
      </w:r>
      <w:r>
        <w:t>,</w:t>
      </w:r>
      <w:r w:rsidRPr="00E47714">
        <w:t xml:space="preserve"> down from 61.0% in 2022</w:t>
      </w:r>
      <w:r>
        <w:t>;</w:t>
      </w:r>
      <w:r w:rsidRPr="00E47714">
        <w:t xml:space="preserve"> 54.4% for Pacific peoples</w:t>
      </w:r>
      <w:r>
        <w:t>,</w:t>
      </w:r>
      <w:r w:rsidRPr="00E47714">
        <w:t xml:space="preserve"> down from 59.4% in 2022</w:t>
      </w:r>
      <w:r>
        <w:t>;</w:t>
      </w:r>
      <w:r w:rsidRPr="00E47714">
        <w:t xml:space="preserve"> 53.4% for Asian </w:t>
      </w:r>
      <w:r>
        <w:t>people,</w:t>
      </w:r>
      <w:r w:rsidRPr="00E47714">
        <w:t xml:space="preserve"> down from 55.7% in 2022</w:t>
      </w:r>
      <w:r>
        <w:t>;</w:t>
      </w:r>
      <w:r w:rsidRPr="00E47714">
        <w:t xml:space="preserve"> and 64.7% for European/other</w:t>
      </w:r>
      <w:r>
        <w:t xml:space="preserve"> people,</w:t>
      </w:r>
      <w:r w:rsidRPr="00E47714">
        <w:t xml:space="preserve"> down from 68.4% in 2022 (Health NZ unpublished data 2024).</w:t>
      </w:r>
    </w:p>
    <w:p w14:paraId="61E08C6E" w14:textId="77777777" w:rsidR="009365E0" w:rsidRPr="00E47714" w:rsidRDefault="009365E0" w:rsidP="009D4BFA"/>
    <w:p w14:paraId="2788BEB2" w14:textId="77777777" w:rsidR="009D4BFA" w:rsidRPr="00E47714" w:rsidRDefault="009D4BFA" w:rsidP="009D4BFA">
      <w:pPr>
        <w:rPr>
          <w:rFonts w:cs="Segoe UI"/>
        </w:rPr>
      </w:pPr>
      <w:r>
        <w:t>In 2023, among</w:t>
      </w:r>
      <w:r w:rsidRPr="00E47714">
        <w:t xml:space="preserve"> people aged 55–64 years, 30.1% of Māori</w:t>
      </w:r>
      <w:r w:rsidRPr="00CF03A6">
        <w:t xml:space="preserve"> </w:t>
      </w:r>
      <w:r w:rsidRPr="00E47714">
        <w:t>received the influenza vaccination</w:t>
      </w:r>
      <w:r>
        <w:t xml:space="preserve">, down from </w:t>
      </w:r>
      <w:r w:rsidRPr="00E47714">
        <w:t>34.8%</w:t>
      </w:r>
      <w:r>
        <w:t xml:space="preserve"> in</w:t>
      </w:r>
      <w:r w:rsidRPr="00E47714">
        <w:t xml:space="preserve"> the year before</w:t>
      </w:r>
      <w:r>
        <w:t>,</w:t>
      </w:r>
      <w:r w:rsidRPr="00E47714">
        <w:t xml:space="preserve"> and 34.3% of Pacific peoples</w:t>
      </w:r>
      <w:r>
        <w:t xml:space="preserve"> received the vaccination</w:t>
      </w:r>
      <w:r w:rsidRPr="00E47714">
        <w:t xml:space="preserve">, </w:t>
      </w:r>
      <w:r>
        <w:t>down from</w:t>
      </w:r>
      <w:r w:rsidRPr="00E47714">
        <w:t xml:space="preserve"> 37.9%.</w:t>
      </w:r>
    </w:p>
    <w:p w14:paraId="44088888" w14:textId="77777777" w:rsidR="009D4BFA" w:rsidRPr="00E47714" w:rsidRDefault="009D4BFA" w:rsidP="009D4BFA">
      <w:pPr>
        <w:pStyle w:val="Heading4"/>
      </w:pPr>
      <w:r w:rsidRPr="00E47714">
        <w:t>Human papillomavirus (HPV) immunisation</w:t>
      </w:r>
    </w:p>
    <w:p w14:paraId="166AA964" w14:textId="77777777" w:rsidR="009D4BFA" w:rsidRPr="00E47714" w:rsidRDefault="009D4BFA" w:rsidP="009D4BFA">
      <w:pPr>
        <w:rPr>
          <w:rFonts w:cs="Segoe UI"/>
        </w:rPr>
      </w:pPr>
      <w:r w:rsidRPr="00E47714">
        <w:t>HPV immunisation began in Aotearoa New Zealand in 2008. From 1 January 2017, HPV immunisation became free for everyone aged 9 to 26</w:t>
      </w:r>
      <w:r>
        <w:t xml:space="preserve"> years</w:t>
      </w:r>
      <w:r w:rsidRPr="00E47714">
        <w:t>, including non-residents under the age of 18</w:t>
      </w:r>
      <w:r>
        <w:t xml:space="preserve"> years</w:t>
      </w:r>
      <w:r w:rsidRPr="00E47714">
        <w:t xml:space="preserve">. As at 31 December 2023, the coverage (final dose) for </w:t>
      </w:r>
      <w:r>
        <w:t>those born in</w:t>
      </w:r>
      <w:r w:rsidRPr="00E47714">
        <w:t xml:space="preserve"> 2010 by </w:t>
      </w:r>
      <w:r>
        <w:t xml:space="preserve">prioritised </w:t>
      </w:r>
      <w:r w:rsidRPr="00E47714">
        <w:t>ethnic group was: 46.9% for Māori, up from 44.7% in 2022</w:t>
      </w:r>
      <w:r>
        <w:t>;</w:t>
      </w:r>
      <w:r w:rsidRPr="00E47714">
        <w:t xml:space="preserve"> </w:t>
      </w:r>
      <w:r w:rsidRPr="00E47714">
        <w:lastRenderedPageBreak/>
        <w:t>51.4% for Pacific peoples, up from 47.7%</w:t>
      </w:r>
      <w:r>
        <w:t>;</w:t>
      </w:r>
      <w:r w:rsidRPr="00E47714">
        <w:t xml:space="preserve"> 67.4% for Asian peoples, up from 66.3%</w:t>
      </w:r>
      <w:r>
        <w:t>;</w:t>
      </w:r>
      <w:r w:rsidRPr="00E47714">
        <w:t xml:space="preserve"> and 60.8% for European/other </w:t>
      </w:r>
      <w:r>
        <w:t>people</w:t>
      </w:r>
      <w:r w:rsidRPr="00E47714">
        <w:t xml:space="preserve">, up from 57.2% </w:t>
      </w:r>
      <w:r>
        <w:fldChar w:fldCharType="begin"/>
      </w:r>
      <w:r>
        <w:instrText xml:space="preserve"> ADDIN EN.CITE &lt;EndNote&gt;&lt;Cite&gt;&lt;Author&gt;Health NZ&lt;/Author&gt;&lt;Year&gt;2024&lt;/Year&gt;&lt;RecNum&gt;505&lt;/RecNum&gt;&lt;DisplayText&gt;(Health NZ 2024g)&lt;/DisplayText&gt;&lt;record&gt;&lt;rec-number&gt;505&lt;/rec-number&gt;&lt;foreign-keys&gt;&lt;key app="EN" db-id="aaepvppzs5wtfse95vsp2wahsrtvva2vvdet" timestamp="1716763471"&gt;505&lt;/key&gt;&lt;/foreign-keys&gt;&lt;ref-type name="Web Page"&gt;12&lt;/ref-type&gt;&lt;contributors&gt;&lt;authors&gt;&lt;author&gt;Health NZ,&lt;/author&gt;&lt;/authors&gt;&lt;/contributors&gt;&lt;titles&gt;&lt;title&gt;HPV immunisation programme&lt;/title&gt;&lt;/titles&gt;&lt;number&gt;27 May 2024&lt;/number&gt;&lt;dates&gt;&lt;year&gt;2024&lt;/year&gt;&lt;/dates&gt;&lt;urls&gt;&lt;related-urls&gt;&lt;url&gt;tewhatuora.govt.nz/health-services-and-programmes/vaccine-information/hpv-immunisation-programme&lt;/url&gt;&lt;/related-urls&gt;&lt;/urls&gt;&lt;/record&gt;&lt;/Cite&gt;&lt;/EndNote&gt;</w:instrText>
      </w:r>
      <w:r>
        <w:fldChar w:fldCharType="separate"/>
      </w:r>
      <w:r>
        <w:rPr>
          <w:noProof/>
        </w:rPr>
        <w:t>(Health NZ 2024g)</w:t>
      </w:r>
      <w:r>
        <w:fldChar w:fldCharType="end"/>
      </w:r>
      <w:r w:rsidRPr="00E47714">
        <w:t>.</w:t>
      </w:r>
    </w:p>
    <w:p w14:paraId="14F12EF5" w14:textId="77777777" w:rsidR="009D4BFA" w:rsidRPr="00E47714" w:rsidRDefault="009D4BFA" w:rsidP="009D4BFA">
      <w:pPr>
        <w:pStyle w:val="Heading4"/>
      </w:pPr>
      <w:bookmarkStart w:id="232" w:name="_COVID-19_immunisation"/>
      <w:bookmarkStart w:id="233" w:name="_Ref168403003"/>
      <w:bookmarkEnd w:id="232"/>
      <w:r w:rsidRPr="00E47714">
        <w:t>COVID-19 immunisation</w:t>
      </w:r>
      <w:bookmarkEnd w:id="233"/>
    </w:p>
    <w:p w14:paraId="03A32761" w14:textId="7E78486D" w:rsidR="009D4BFA" w:rsidRDefault="009D4BFA" w:rsidP="009D4BFA">
      <w:r w:rsidRPr="00E47714">
        <w:t xml:space="preserve">COVID-19 vaccines are free for eligible people </w:t>
      </w:r>
      <w:r>
        <w:t>aged five</w:t>
      </w:r>
      <w:r w:rsidRPr="00E47714">
        <w:t xml:space="preserve"> years and over. They are also available for children aged </w:t>
      </w:r>
      <w:r>
        <w:t>six</w:t>
      </w:r>
      <w:r w:rsidRPr="00E47714">
        <w:t xml:space="preserve"> months to </w:t>
      </w:r>
      <w:r>
        <w:t>four</w:t>
      </w:r>
      <w:r w:rsidRPr="00E47714">
        <w:t xml:space="preserve"> years who are at greater risk of severe illness if they were to get COVID-19. The primary course of vaccination is </w:t>
      </w:r>
      <w:r>
        <w:t>two</w:t>
      </w:r>
      <w:r w:rsidRPr="00E47714">
        <w:t xml:space="preserve"> doses, plus a third primary dose</w:t>
      </w:r>
      <w:r>
        <w:t xml:space="preserve"> is available</w:t>
      </w:r>
      <w:r w:rsidRPr="00E47714">
        <w:t xml:space="preserve"> to people who meet eligibility criteria. The COVID-19 booster is additional doses given after the primary course to keep immunity levels high </w:t>
      </w:r>
      <w:r>
        <w:fldChar w:fldCharType="begin"/>
      </w:r>
      <w:r>
        <w:instrText xml:space="preserve"> ADDIN EN.CITE &lt;EndNote&gt;&lt;Cite&gt;&lt;Author&gt;Health NZ &lt;/Author&gt;&lt;Year&gt;(nd)&lt;/Year&gt;&lt;RecNum&gt;506&lt;/RecNum&gt;&lt;DisplayText&gt;(Health NZ (nd))&lt;/DisplayText&gt;&lt;record&gt;&lt;rec-number&gt;506&lt;/rec-number&gt;&lt;foreign-keys&gt;&lt;key app="EN" db-id="aaepvppzs5wtfse95vsp2wahsrtvva2vvdet" timestamp="1716765598"&gt;506&lt;/key&gt;&lt;/foreign-keys&gt;&lt;ref-type name="Web Page"&gt;12&lt;/ref-type&gt;&lt;contributors&gt;&lt;authors&gt;&lt;author&gt;Health NZ ,&lt;/author&gt;&lt;/authors&gt;&lt;/contributors&gt;&lt;titles&gt;&lt;title&gt;COVID-19 vaccines&lt;/title&gt;&lt;/titles&gt;&lt;number&gt;27 May 2024&lt;/number&gt;&lt;dates&gt;&lt;year&gt;(nd)&lt;/year&gt;&lt;/dates&gt;&lt;urls&gt;&lt;related-urls&gt;&lt;url&gt;info.health.nz/conditions-treatments/infectious-diseases/covid-19/covid-19-vaccines&lt;/url&gt;&lt;/related-urls&gt;&lt;/urls&gt;&lt;/record&gt;&lt;/Cite&gt;&lt;/EndNote&gt;</w:instrText>
      </w:r>
      <w:r>
        <w:fldChar w:fldCharType="separate"/>
      </w:r>
      <w:r>
        <w:rPr>
          <w:noProof/>
        </w:rPr>
        <w:t>(Health NZ (nd))</w:t>
      </w:r>
      <w:r>
        <w:fldChar w:fldCharType="end"/>
      </w:r>
      <w:r w:rsidRPr="00E47714">
        <w:t xml:space="preserve">. </w:t>
      </w:r>
    </w:p>
    <w:p w14:paraId="677F7016" w14:textId="77777777" w:rsidR="009365E0" w:rsidRPr="00E47714" w:rsidRDefault="009365E0" w:rsidP="009D4BFA"/>
    <w:p w14:paraId="252A5476" w14:textId="6B9054AC" w:rsidR="009D4BFA" w:rsidRDefault="009D4BFA" w:rsidP="009D4BFA">
      <w:r w:rsidRPr="00E47714">
        <w:t>The tables below display the COVID-19 vaccination status of New Zealanders at 31 December 2023</w:t>
      </w:r>
      <w:r>
        <w:t>:</w:t>
      </w:r>
      <w:r w:rsidRPr="00E47714">
        <w:t xml:space="preserve"> </w:t>
      </w:r>
      <w:r w:rsidRPr="00E47714">
        <w:fldChar w:fldCharType="begin"/>
      </w:r>
      <w:r w:rsidRPr="00E47714">
        <w:instrText xml:space="preserve"> REF _Ref168382816 \h  \* MERGEFORMAT </w:instrText>
      </w:r>
      <w:r w:rsidRPr="00E47714">
        <w:fldChar w:fldCharType="separate"/>
      </w:r>
      <w:r w:rsidR="009A6F87" w:rsidRPr="00E47714">
        <w:t xml:space="preserve">Table </w:t>
      </w:r>
      <w:r w:rsidR="009A6F87">
        <w:t>6</w:t>
      </w:r>
      <w:r w:rsidRPr="00E47714">
        <w:fldChar w:fldCharType="end"/>
      </w:r>
      <w:r w:rsidRPr="00E47714">
        <w:t xml:space="preserve"> by ethnic group and </w:t>
      </w:r>
      <w:r w:rsidRPr="00E47714">
        <w:fldChar w:fldCharType="begin"/>
      </w:r>
      <w:r w:rsidRPr="00E47714">
        <w:instrText xml:space="preserve"> REF _Ref168382833 \h  \* MERGEFORMAT </w:instrText>
      </w:r>
      <w:r w:rsidRPr="00E47714">
        <w:fldChar w:fldCharType="separate"/>
      </w:r>
      <w:r w:rsidR="009A6F87" w:rsidRPr="00E47714">
        <w:t xml:space="preserve">Table </w:t>
      </w:r>
      <w:r w:rsidR="009A6F87">
        <w:t>7</w:t>
      </w:r>
      <w:r w:rsidRPr="00E47714">
        <w:fldChar w:fldCharType="end"/>
      </w:r>
      <w:r w:rsidRPr="00E47714">
        <w:t xml:space="preserve"> by age group. The data shows Māori </w:t>
      </w:r>
      <w:r>
        <w:t>(</w:t>
      </w:r>
      <w:r w:rsidRPr="00E47714">
        <w:t>24.4%</w:t>
      </w:r>
      <w:proofErr w:type="gramStart"/>
      <w:r>
        <w:t>)</w:t>
      </w:r>
      <w:proofErr w:type="gramEnd"/>
      <w:r>
        <w:t xml:space="preserve"> </w:t>
      </w:r>
      <w:r w:rsidRPr="00E47714">
        <w:t>and Pacific peoples</w:t>
      </w:r>
      <w:r>
        <w:t xml:space="preserve"> (</w:t>
      </w:r>
      <w:r w:rsidRPr="00E47714">
        <w:t>22.8%</w:t>
      </w:r>
      <w:r>
        <w:t>)</w:t>
      </w:r>
      <w:r w:rsidRPr="00E47714">
        <w:t xml:space="preserve"> are more likely to be unvaccinated for COVID-19, compared </w:t>
      </w:r>
      <w:r>
        <w:t>with</w:t>
      </w:r>
      <w:r w:rsidRPr="00E47714">
        <w:t xml:space="preserve"> Asian (16.8%) </w:t>
      </w:r>
      <w:r>
        <w:t>and</w:t>
      </w:r>
      <w:r w:rsidRPr="00E47714">
        <w:t xml:space="preserve"> European/other (11.3%)</w:t>
      </w:r>
      <w:r>
        <w:t xml:space="preserve"> people</w:t>
      </w:r>
      <w:r w:rsidRPr="00E47714">
        <w:t xml:space="preserve">. </w:t>
      </w:r>
    </w:p>
    <w:p w14:paraId="416BF9D7" w14:textId="77777777" w:rsidR="009365E0" w:rsidRPr="00E47714" w:rsidRDefault="009365E0" w:rsidP="009D4BFA"/>
    <w:p w14:paraId="63F6EA63" w14:textId="77777777" w:rsidR="009D4BFA" w:rsidRPr="00E47714" w:rsidRDefault="009D4BFA" w:rsidP="009D4BFA">
      <w:r w:rsidRPr="00E47714">
        <w:t xml:space="preserve">European/other </w:t>
      </w:r>
      <w:r>
        <w:t>(</w:t>
      </w:r>
      <w:r w:rsidRPr="00E47714">
        <w:t>61.1%</w:t>
      </w:r>
      <w:r>
        <w:t xml:space="preserve">) </w:t>
      </w:r>
      <w:r w:rsidRPr="00E47714">
        <w:t xml:space="preserve">and Asian </w:t>
      </w:r>
      <w:r>
        <w:t>(</w:t>
      </w:r>
      <w:r w:rsidRPr="00E47714">
        <w:t>54.4%</w:t>
      </w:r>
      <w:r>
        <w:t xml:space="preserve">) </w:t>
      </w:r>
      <w:r w:rsidRPr="00E47714">
        <w:t xml:space="preserve">populations are more likely to have received at least one additional booster dose, compared with Māori (34.1%) and Pacific peoples (39.1%). </w:t>
      </w:r>
      <w:r>
        <w:t>The r</w:t>
      </w:r>
      <w:r w:rsidRPr="00E47714">
        <w:t>ate of COVID-19 vaccination increases with age, with 87.9% of people 65 years and over having received at least one additional booster dose.</w:t>
      </w:r>
    </w:p>
    <w:p w14:paraId="128AC8A9" w14:textId="4F10084C" w:rsidR="009D4BFA" w:rsidRPr="00E47714" w:rsidRDefault="009D4BFA" w:rsidP="009365E0">
      <w:pPr>
        <w:pStyle w:val="Table"/>
      </w:pPr>
      <w:bookmarkStart w:id="234" w:name="_Ref168382816"/>
      <w:bookmarkStart w:id="235" w:name="_Toc171330694"/>
      <w:bookmarkStart w:id="236" w:name="_Toc172010453"/>
      <w:r w:rsidRPr="00E47714">
        <w:t xml:space="preserve">Table </w:t>
      </w:r>
      <w:fldSimple w:instr=" SEQ Table \* ARABIC ">
        <w:r w:rsidR="009A6F87">
          <w:rPr>
            <w:noProof/>
          </w:rPr>
          <w:t>6</w:t>
        </w:r>
      </w:fldSimple>
      <w:bookmarkEnd w:id="234"/>
      <w:r w:rsidRPr="00E47714">
        <w:t>: COVID-19 vaccination status, by ethnic group (prioritised ethnicity), 2023</w:t>
      </w:r>
      <w:bookmarkEnd w:id="235"/>
      <w:bookmarkEnd w:id="236"/>
    </w:p>
    <w:tbl>
      <w:tblPr>
        <w:tblW w:w="5000" w:type="pct"/>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560"/>
        <w:gridCol w:w="1417"/>
        <w:gridCol w:w="1700"/>
        <w:gridCol w:w="1844"/>
        <w:gridCol w:w="1558"/>
      </w:tblGrid>
      <w:tr w:rsidR="00617145" w:rsidRPr="00E47714" w14:paraId="5E2D54E0" w14:textId="77777777" w:rsidTr="00617145">
        <w:trPr>
          <w:trHeight w:val="300"/>
        </w:trPr>
        <w:tc>
          <w:tcPr>
            <w:tcW w:w="965" w:type="pct"/>
            <w:shd w:val="clear" w:color="auto" w:fill="D9D9D9" w:themeFill="background1" w:themeFillShade="D9"/>
            <w:noWrap/>
            <w:vAlign w:val="bottom"/>
            <w:hideMark/>
          </w:tcPr>
          <w:p w14:paraId="7140B610" w14:textId="77777777" w:rsidR="009D4BFA" w:rsidRPr="00E47714" w:rsidRDefault="009D4BFA" w:rsidP="00D972B3">
            <w:pPr>
              <w:pStyle w:val="TableText"/>
              <w:spacing w:line="264" w:lineRule="auto"/>
              <w:rPr>
                <w:rFonts w:eastAsia="Arial Unicode MS"/>
                <w:b/>
                <w:bCs/>
              </w:rPr>
            </w:pPr>
            <w:r w:rsidRPr="00E47714">
              <w:rPr>
                <w:rFonts w:eastAsia="Arial Unicode MS"/>
                <w:b/>
                <w:bCs/>
              </w:rPr>
              <w:t>Ethnic group</w:t>
            </w:r>
          </w:p>
        </w:tc>
        <w:tc>
          <w:tcPr>
            <w:tcW w:w="877" w:type="pct"/>
            <w:shd w:val="clear" w:color="auto" w:fill="D9D9D9" w:themeFill="background1" w:themeFillShade="D9"/>
            <w:noWrap/>
            <w:vAlign w:val="bottom"/>
            <w:hideMark/>
          </w:tcPr>
          <w:p w14:paraId="5A956644" w14:textId="77777777" w:rsidR="009D4BFA" w:rsidRPr="00E47714" w:rsidRDefault="009D4BFA" w:rsidP="00D972B3">
            <w:pPr>
              <w:pStyle w:val="TableText"/>
              <w:spacing w:line="264" w:lineRule="auto"/>
              <w:jc w:val="center"/>
              <w:rPr>
                <w:rFonts w:eastAsia="Arial Unicode MS"/>
                <w:b/>
                <w:bCs/>
              </w:rPr>
            </w:pPr>
            <w:r w:rsidRPr="00E47714">
              <w:rPr>
                <w:rFonts w:eastAsia="Arial Unicode MS"/>
                <w:b/>
                <w:bCs/>
              </w:rPr>
              <w:t>Unvaccinated</w:t>
            </w:r>
          </w:p>
        </w:tc>
        <w:tc>
          <w:tcPr>
            <w:tcW w:w="1052" w:type="pct"/>
            <w:shd w:val="clear" w:color="auto" w:fill="D9D9D9" w:themeFill="background1" w:themeFillShade="D9"/>
            <w:noWrap/>
            <w:vAlign w:val="bottom"/>
            <w:hideMark/>
          </w:tcPr>
          <w:p w14:paraId="3081329E" w14:textId="77777777" w:rsidR="009D4BFA" w:rsidRPr="00E47714" w:rsidRDefault="009D4BFA" w:rsidP="00D972B3">
            <w:pPr>
              <w:pStyle w:val="TableText"/>
              <w:spacing w:line="264" w:lineRule="auto"/>
              <w:jc w:val="center"/>
              <w:rPr>
                <w:rFonts w:eastAsia="Arial Unicode MS"/>
                <w:b/>
                <w:bCs/>
              </w:rPr>
            </w:pPr>
            <w:r w:rsidRPr="00E47714">
              <w:rPr>
                <w:rFonts w:eastAsia="Arial Unicode MS"/>
                <w:b/>
                <w:bCs/>
              </w:rPr>
              <w:t>Partially vaccinated</w:t>
            </w:r>
          </w:p>
        </w:tc>
        <w:tc>
          <w:tcPr>
            <w:tcW w:w="1141" w:type="pct"/>
            <w:shd w:val="clear" w:color="auto" w:fill="D9D9D9" w:themeFill="background1" w:themeFillShade="D9"/>
            <w:noWrap/>
            <w:vAlign w:val="bottom"/>
            <w:hideMark/>
          </w:tcPr>
          <w:p w14:paraId="677FB129" w14:textId="77777777" w:rsidR="009D4BFA" w:rsidRPr="00E47714" w:rsidRDefault="009D4BFA" w:rsidP="00D972B3">
            <w:pPr>
              <w:pStyle w:val="TableText"/>
              <w:spacing w:line="264" w:lineRule="auto"/>
              <w:jc w:val="center"/>
              <w:rPr>
                <w:rFonts w:eastAsia="Arial Unicode MS"/>
                <w:b/>
                <w:bCs/>
              </w:rPr>
            </w:pPr>
            <w:r w:rsidRPr="00E47714">
              <w:rPr>
                <w:rFonts w:eastAsia="Arial Unicode MS"/>
                <w:b/>
                <w:bCs/>
              </w:rPr>
              <w:t>Fully vaccinated</w:t>
            </w:r>
          </w:p>
        </w:tc>
        <w:tc>
          <w:tcPr>
            <w:tcW w:w="964" w:type="pct"/>
            <w:shd w:val="clear" w:color="auto" w:fill="D9D9D9" w:themeFill="background1" w:themeFillShade="D9"/>
            <w:noWrap/>
            <w:vAlign w:val="bottom"/>
            <w:hideMark/>
          </w:tcPr>
          <w:p w14:paraId="28BC62F7" w14:textId="77777777" w:rsidR="009D4BFA" w:rsidRPr="00E47714" w:rsidRDefault="009D4BFA" w:rsidP="00D972B3">
            <w:pPr>
              <w:pStyle w:val="TableText"/>
              <w:spacing w:line="264" w:lineRule="auto"/>
              <w:jc w:val="center"/>
              <w:rPr>
                <w:rFonts w:eastAsia="Arial Unicode MS"/>
                <w:b/>
                <w:bCs/>
              </w:rPr>
            </w:pPr>
            <w:r w:rsidRPr="00E47714">
              <w:rPr>
                <w:rFonts w:eastAsia="Arial Unicode MS"/>
                <w:b/>
                <w:bCs/>
              </w:rPr>
              <w:t>Boosted</w:t>
            </w:r>
          </w:p>
        </w:tc>
      </w:tr>
      <w:tr w:rsidR="009D4BFA" w:rsidRPr="00E47714" w14:paraId="1A0337E2" w14:textId="77777777" w:rsidTr="00861002">
        <w:trPr>
          <w:trHeight w:val="300"/>
        </w:trPr>
        <w:tc>
          <w:tcPr>
            <w:tcW w:w="965" w:type="pct"/>
            <w:shd w:val="clear" w:color="auto" w:fill="auto"/>
            <w:noWrap/>
            <w:vAlign w:val="bottom"/>
          </w:tcPr>
          <w:p w14:paraId="0C1E0998" w14:textId="77777777" w:rsidR="009D4BFA" w:rsidRPr="00E47714" w:rsidRDefault="009D4BFA" w:rsidP="00D972B3">
            <w:pPr>
              <w:pStyle w:val="TableText"/>
            </w:pPr>
            <w:r w:rsidRPr="00E47714">
              <w:t>Māori</w:t>
            </w:r>
          </w:p>
        </w:tc>
        <w:tc>
          <w:tcPr>
            <w:tcW w:w="877" w:type="pct"/>
            <w:shd w:val="clear" w:color="auto" w:fill="auto"/>
            <w:noWrap/>
            <w:vAlign w:val="bottom"/>
          </w:tcPr>
          <w:p w14:paraId="7762B520" w14:textId="77777777" w:rsidR="009D4BFA" w:rsidRPr="00E47714" w:rsidRDefault="009D4BFA" w:rsidP="00D972B3">
            <w:pPr>
              <w:pStyle w:val="TableText"/>
              <w:jc w:val="center"/>
            </w:pPr>
            <w:r w:rsidRPr="00E47714">
              <w:t>24.4%</w:t>
            </w:r>
          </w:p>
        </w:tc>
        <w:tc>
          <w:tcPr>
            <w:tcW w:w="1052" w:type="pct"/>
            <w:shd w:val="clear" w:color="auto" w:fill="auto"/>
            <w:noWrap/>
            <w:vAlign w:val="bottom"/>
          </w:tcPr>
          <w:p w14:paraId="20CB9393" w14:textId="77777777" w:rsidR="009D4BFA" w:rsidRPr="00E47714" w:rsidRDefault="009D4BFA" w:rsidP="00D972B3">
            <w:pPr>
              <w:pStyle w:val="TableText"/>
              <w:jc w:val="center"/>
            </w:pPr>
            <w:r w:rsidRPr="00E47714">
              <w:t>75.6%</w:t>
            </w:r>
          </w:p>
        </w:tc>
        <w:tc>
          <w:tcPr>
            <w:tcW w:w="1141" w:type="pct"/>
            <w:shd w:val="clear" w:color="auto" w:fill="auto"/>
            <w:noWrap/>
            <w:vAlign w:val="bottom"/>
          </w:tcPr>
          <w:p w14:paraId="3CE92720" w14:textId="77777777" w:rsidR="009D4BFA" w:rsidRPr="00E47714" w:rsidRDefault="009D4BFA" w:rsidP="00D972B3">
            <w:pPr>
              <w:pStyle w:val="TableText"/>
              <w:jc w:val="center"/>
            </w:pPr>
            <w:r w:rsidRPr="00E47714">
              <w:t>70.3%</w:t>
            </w:r>
          </w:p>
        </w:tc>
        <w:tc>
          <w:tcPr>
            <w:tcW w:w="964" w:type="pct"/>
            <w:shd w:val="clear" w:color="auto" w:fill="auto"/>
            <w:noWrap/>
            <w:vAlign w:val="bottom"/>
          </w:tcPr>
          <w:p w14:paraId="578EBD5B" w14:textId="77777777" w:rsidR="009D4BFA" w:rsidRPr="00E47714" w:rsidRDefault="009D4BFA" w:rsidP="00D972B3">
            <w:pPr>
              <w:pStyle w:val="TableText"/>
              <w:jc w:val="center"/>
            </w:pPr>
            <w:r w:rsidRPr="00E47714">
              <w:t>34.1%</w:t>
            </w:r>
          </w:p>
        </w:tc>
      </w:tr>
      <w:tr w:rsidR="009D4BFA" w:rsidRPr="00E47714" w14:paraId="20DEC0C7" w14:textId="77777777" w:rsidTr="00861002">
        <w:trPr>
          <w:trHeight w:val="300"/>
        </w:trPr>
        <w:tc>
          <w:tcPr>
            <w:tcW w:w="965" w:type="pct"/>
            <w:shd w:val="clear" w:color="auto" w:fill="auto"/>
            <w:noWrap/>
            <w:vAlign w:val="bottom"/>
          </w:tcPr>
          <w:p w14:paraId="08839B31" w14:textId="77777777" w:rsidR="009D4BFA" w:rsidRPr="00E47714" w:rsidRDefault="009D4BFA" w:rsidP="00D972B3">
            <w:pPr>
              <w:pStyle w:val="TableText"/>
            </w:pPr>
            <w:r w:rsidRPr="00E47714">
              <w:t>Pacific </w:t>
            </w:r>
            <w:r>
              <w:t>p</w:t>
            </w:r>
            <w:r w:rsidRPr="00E47714">
              <w:t>eoples</w:t>
            </w:r>
          </w:p>
        </w:tc>
        <w:tc>
          <w:tcPr>
            <w:tcW w:w="877" w:type="pct"/>
            <w:shd w:val="clear" w:color="auto" w:fill="auto"/>
            <w:noWrap/>
            <w:vAlign w:val="bottom"/>
          </w:tcPr>
          <w:p w14:paraId="3BE56238" w14:textId="77777777" w:rsidR="009D4BFA" w:rsidRPr="00E47714" w:rsidRDefault="009D4BFA" w:rsidP="00D972B3">
            <w:pPr>
              <w:pStyle w:val="TableText"/>
              <w:jc w:val="center"/>
            </w:pPr>
            <w:r w:rsidRPr="00E47714">
              <w:t>22.8%</w:t>
            </w:r>
          </w:p>
        </w:tc>
        <w:tc>
          <w:tcPr>
            <w:tcW w:w="1052" w:type="pct"/>
            <w:shd w:val="clear" w:color="auto" w:fill="auto"/>
            <w:noWrap/>
            <w:vAlign w:val="bottom"/>
          </w:tcPr>
          <w:p w14:paraId="69F5D9C1" w14:textId="77777777" w:rsidR="009D4BFA" w:rsidRPr="00E47714" w:rsidRDefault="009D4BFA" w:rsidP="00D972B3">
            <w:pPr>
              <w:pStyle w:val="TableText"/>
              <w:jc w:val="center"/>
            </w:pPr>
            <w:r w:rsidRPr="00E47714">
              <w:t>77.2%</w:t>
            </w:r>
          </w:p>
        </w:tc>
        <w:tc>
          <w:tcPr>
            <w:tcW w:w="1141" w:type="pct"/>
            <w:shd w:val="clear" w:color="auto" w:fill="auto"/>
            <w:noWrap/>
            <w:vAlign w:val="bottom"/>
          </w:tcPr>
          <w:p w14:paraId="17AFB208" w14:textId="77777777" w:rsidR="009D4BFA" w:rsidRPr="00E47714" w:rsidRDefault="009D4BFA" w:rsidP="00D972B3">
            <w:pPr>
              <w:pStyle w:val="TableText"/>
              <w:jc w:val="center"/>
            </w:pPr>
            <w:r w:rsidRPr="00E47714">
              <w:t>72.6%</w:t>
            </w:r>
          </w:p>
        </w:tc>
        <w:tc>
          <w:tcPr>
            <w:tcW w:w="964" w:type="pct"/>
            <w:shd w:val="clear" w:color="auto" w:fill="auto"/>
            <w:noWrap/>
            <w:vAlign w:val="bottom"/>
          </w:tcPr>
          <w:p w14:paraId="4A4DAC7B" w14:textId="77777777" w:rsidR="009D4BFA" w:rsidRPr="00E47714" w:rsidRDefault="009D4BFA" w:rsidP="00D972B3">
            <w:pPr>
              <w:pStyle w:val="TableText"/>
              <w:jc w:val="center"/>
            </w:pPr>
            <w:r w:rsidRPr="00E47714">
              <w:t>39.1%</w:t>
            </w:r>
          </w:p>
        </w:tc>
      </w:tr>
      <w:tr w:rsidR="009D4BFA" w:rsidRPr="00E47714" w14:paraId="38D1919C" w14:textId="77777777" w:rsidTr="00861002">
        <w:trPr>
          <w:trHeight w:val="300"/>
        </w:trPr>
        <w:tc>
          <w:tcPr>
            <w:tcW w:w="965" w:type="pct"/>
            <w:shd w:val="clear" w:color="auto" w:fill="auto"/>
            <w:noWrap/>
            <w:vAlign w:val="bottom"/>
            <w:hideMark/>
          </w:tcPr>
          <w:p w14:paraId="1C9660D2" w14:textId="77777777" w:rsidR="009D4BFA" w:rsidRPr="00E47714" w:rsidRDefault="009D4BFA" w:rsidP="00D972B3">
            <w:pPr>
              <w:pStyle w:val="TableText"/>
            </w:pPr>
            <w:r w:rsidRPr="00E47714">
              <w:t>Asian</w:t>
            </w:r>
          </w:p>
        </w:tc>
        <w:tc>
          <w:tcPr>
            <w:tcW w:w="877" w:type="pct"/>
            <w:shd w:val="clear" w:color="auto" w:fill="auto"/>
            <w:noWrap/>
            <w:vAlign w:val="bottom"/>
            <w:hideMark/>
          </w:tcPr>
          <w:p w14:paraId="500D198D" w14:textId="77777777" w:rsidR="009D4BFA" w:rsidRPr="00E47714" w:rsidRDefault="009D4BFA" w:rsidP="00D972B3">
            <w:pPr>
              <w:pStyle w:val="TableText"/>
              <w:jc w:val="center"/>
            </w:pPr>
            <w:r w:rsidRPr="00E47714">
              <w:t>16.8%</w:t>
            </w:r>
          </w:p>
        </w:tc>
        <w:tc>
          <w:tcPr>
            <w:tcW w:w="1052" w:type="pct"/>
            <w:shd w:val="clear" w:color="auto" w:fill="auto"/>
            <w:noWrap/>
            <w:vAlign w:val="bottom"/>
            <w:hideMark/>
          </w:tcPr>
          <w:p w14:paraId="219A1815" w14:textId="77777777" w:rsidR="009D4BFA" w:rsidRPr="00E47714" w:rsidRDefault="009D4BFA" w:rsidP="00D972B3">
            <w:pPr>
              <w:pStyle w:val="TableText"/>
              <w:jc w:val="center"/>
            </w:pPr>
            <w:r w:rsidRPr="00E47714">
              <w:t>83.2%</w:t>
            </w:r>
          </w:p>
        </w:tc>
        <w:tc>
          <w:tcPr>
            <w:tcW w:w="1141" w:type="pct"/>
            <w:shd w:val="clear" w:color="auto" w:fill="auto"/>
            <w:noWrap/>
            <w:vAlign w:val="bottom"/>
            <w:hideMark/>
          </w:tcPr>
          <w:p w14:paraId="2F9A99A6" w14:textId="77777777" w:rsidR="009D4BFA" w:rsidRPr="00E47714" w:rsidRDefault="009D4BFA" w:rsidP="00D972B3">
            <w:pPr>
              <w:pStyle w:val="TableText"/>
              <w:jc w:val="center"/>
            </w:pPr>
            <w:r w:rsidRPr="00E47714">
              <w:t>80.3%</w:t>
            </w:r>
          </w:p>
        </w:tc>
        <w:tc>
          <w:tcPr>
            <w:tcW w:w="964" w:type="pct"/>
            <w:shd w:val="clear" w:color="auto" w:fill="auto"/>
            <w:noWrap/>
            <w:vAlign w:val="bottom"/>
            <w:hideMark/>
          </w:tcPr>
          <w:p w14:paraId="59053BBC" w14:textId="77777777" w:rsidR="009D4BFA" w:rsidRPr="00E47714" w:rsidRDefault="009D4BFA" w:rsidP="00D972B3">
            <w:pPr>
              <w:pStyle w:val="TableText"/>
              <w:jc w:val="center"/>
            </w:pPr>
            <w:r w:rsidRPr="00E47714">
              <w:t>54.4%</w:t>
            </w:r>
          </w:p>
        </w:tc>
      </w:tr>
      <w:tr w:rsidR="009D4BFA" w:rsidRPr="00E47714" w14:paraId="5970235B" w14:textId="77777777" w:rsidTr="00861002">
        <w:trPr>
          <w:trHeight w:val="300"/>
        </w:trPr>
        <w:tc>
          <w:tcPr>
            <w:tcW w:w="965" w:type="pct"/>
            <w:shd w:val="clear" w:color="auto" w:fill="auto"/>
            <w:noWrap/>
            <w:vAlign w:val="bottom"/>
            <w:hideMark/>
          </w:tcPr>
          <w:p w14:paraId="5ACBE03E" w14:textId="77777777" w:rsidR="009D4BFA" w:rsidRPr="00E47714" w:rsidRDefault="009D4BFA" w:rsidP="00D972B3">
            <w:pPr>
              <w:pStyle w:val="TableText"/>
            </w:pPr>
            <w:r w:rsidRPr="00E47714">
              <w:t>European/other</w:t>
            </w:r>
          </w:p>
        </w:tc>
        <w:tc>
          <w:tcPr>
            <w:tcW w:w="877" w:type="pct"/>
            <w:shd w:val="clear" w:color="auto" w:fill="auto"/>
            <w:noWrap/>
            <w:vAlign w:val="bottom"/>
            <w:hideMark/>
          </w:tcPr>
          <w:p w14:paraId="5A668ACE" w14:textId="77777777" w:rsidR="009D4BFA" w:rsidRPr="00E47714" w:rsidRDefault="009D4BFA" w:rsidP="00D972B3">
            <w:pPr>
              <w:pStyle w:val="TableText"/>
              <w:jc w:val="center"/>
            </w:pPr>
            <w:r w:rsidRPr="00E47714">
              <w:t>11.3%</w:t>
            </w:r>
          </w:p>
        </w:tc>
        <w:tc>
          <w:tcPr>
            <w:tcW w:w="1052" w:type="pct"/>
            <w:shd w:val="clear" w:color="auto" w:fill="auto"/>
            <w:noWrap/>
            <w:vAlign w:val="bottom"/>
            <w:hideMark/>
          </w:tcPr>
          <w:p w14:paraId="2AE7EA56" w14:textId="77777777" w:rsidR="009D4BFA" w:rsidRPr="00E47714" w:rsidRDefault="009D4BFA" w:rsidP="00D972B3">
            <w:pPr>
              <w:pStyle w:val="TableText"/>
              <w:jc w:val="center"/>
            </w:pPr>
            <w:r w:rsidRPr="00E47714">
              <w:t>88.7%</w:t>
            </w:r>
          </w:p>
        </w:tc>
        <w:tc>
          <w:tcPr>
            <w:tcW w:w="1141" w:type="pct"/>
            <w:shd w:val="clear" w:color="auto" w:fill="auto"/>
            <w:noWrap/>
            <w:vAlign w:val="bottom"/>
            <w:hideMark/>
          </w:tcPr>
          <w:p w14:paraId="1E15B57E" w14:textId="77777777" w:rsidR="009D4BFA" w:rsidRPr="00E47714" w:rsidRDefault="009D4BFA" w:rsidP="00D972B3">
            <w:pPr>
              <w:pStyle w:val="TableText"/>
              <w:jc w:val="center"/>
            </w:pPr>
            <w:r w:rsidRPr="00E47714">
              <w:t>86.2%</w:t>
            </w:r>
          </w:p>
        </w:tc>
        <w:tc>
          <w:tcPr>
            <w:tcW w:w="964" w:type="pct"/>
            <w:shd w:val="clear" w:color="auto" w:fill="auto"/>
            <w:noWrap/>
            <w:vAlign w:val="bottom"/>
            <w:hideMark/>
          </w:tcPr>
          <w:p w14:paraId="41E06ADB" w14:textId="77777777" w:rsidR="009D4BFA" w:rsidRPr="00E47714" w:rsidRDefault="009D4BFA" w:rsidP="00D972B3">
            <w:pPr>
              <w:pStyle w:val="TableText"/>
              <w:jc w:val="center"/>
            </w:pPr>
            <w:r w:rsidRPr="00E47714">
              <w:t>61.1%</w:t>
            </w:r>
          </w:p>
        </w:tc>
      </w:tr>
    </w:tbl>
    <w:p w14:paraId="3E09450E" w14:textId="180BED8F" w:rsidR="009D4BFA" w:rsidRDefault="009D4BFA" w:rsidP="009D4BFA">
      <w:pPr>
        <w:pStyle w:val="Source"/>
      </w:pPr>
      <w:r w:rsidRPr="00E47714">
        <w:rPr>
          <w:b/>
          <w:bCs/>
        </w:rPr>
        <w:t>Source:</w:t>
      </w:r>
      <w:r w:rsidRPr="00E47714">
        <w:t xml:space="preserve"> Health NZ unpublished data (2024)</w:t>
      </w:r>
    </w:p>
    <w:p w14:paraId="1CA536C2" w14:textId="77777777" w:rsidR="009365E0" w:rsidRPr="009365E0" w:rsidRDefault="009365E0" w:rsidP="009365E0"/>
    <w:p w14:paraId="04AB129D" w14:textId="73D1E1C1" w:rsidR="009D4BFA" w:rsidRPr="00E47714" w:rsidRDefault="009D4BFA" w:rsidP="009365E0">
      <w:pPr>
        <w:pStyle w:val="Table"/>
      </w:pPr>
      <w:bookmarkStart w:id="237" w:name="_Ref168382833"/>
      <w:bookmarkStart w:id="238" w:name="_Toc171330695"/>
      <w:bookmarkStart w:id="239" w:name="_Toc172010454"/>
      <w:r w:rsidRPr="00E47714">
        <w:t xml:space="preserve">Table </w:t>
      </w:r>
      <w:fldSimple w:instr=" SEQ Table \* ARABIC ">
        <w:r w:rsidR="009A6F87">
          <w:rPr>
            <w:noProof/>
          </w:rPr>
          <w:t>7</w:t>
        </w:r>
      </w:fldSimple>
      <w:bookmarkEnd w:id="237"/>
      <w:r w:rsidRPr="00E47714">
        <w:t>: COVID-19 vaccination status, by age group, 2023</w:t>
      </w:r>
      <w:bookmarkEnd w:id="238"/>
      <w:bookmarkEnd w:id="239"/>
      <w:r w:rsidRPr="00E4771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732"/>
        <w:gridCol w:w="1732"/>
        <w:gridCol w:w="1732"/>
        <w:gridCol w:w="1734"/>
      </w:tblGrid>
      <w:tr w:rsidR="009D4BFA" w:rsidRPr="00E47714" w14:paraId="35BB18D1" w14:textId="77777777" w:rsidTr="009365E0">
        <w:trPr>
          <w:trHeight w:val="300"/>
        </w:trPr>
        <w:tc>
          <w:tcPr>
            <w:tcW w:w="711" w:type="pct"/>
            <w:tcBorders>
              <w:top w:val="nil"/>
              <w:left w:val="nil"/>
              <w:bottom w:val="nil"/>
              <w:right w:val="nil"/>
            </w:tcBorders>
            <w:shd w:val="clear" w:color="auto" w:fill="D9D9D9" w:themeFill="background1" w:themeFillShade="D9"/>
            <w:noWrap/>
            <w:vAlign w:val="center"/>
            <w:hideMark/>
          </w:tcPr>
          <w:p w14:paraId="31F5D36C" w14:textId="77777777" w:rsidR="009D4BFA" w:rsidRPr="00E47714" w:rsidRDefault="009D4BFA" w:rsidP="00D972B3">
            <w:pPr>
              <w:pStyle w:val="TableText"/>
              <w:spacing w:line="264" w:lineRule="auto"/>
              <w:rPr>
                <w:rFonts w:eastAsia="Arial Unicode MS"/>
                <w:b/>
                <w:bCs/>
              </w:rPr>
            </w:pPr>
            <w:r w:rsidRPr="00E47714">
              <w:rPr>
                <w:rFonts w:eastAsia="Arial Unicode MS"/>
                <w:b/>
                <w:bCs/>
              </w:rPr>
              <w:t xml:space="preserve">Age </w:t>
            </w:r>
            <w:r w:rsidRPr="00E47714">
              <w:rPr>
                <w:b/>
                <w:bCs/>
              </w:rPr>
              <w:t>group</w:t>
            </w:r>
            <w:r>
              <w:rPr>
                <w:b/>
                <w:bCs/>
              </w:rPr>
              <w:t xml:space="preserve"> </w:t>
            </w:r>
            <w:r>
              <w:rPr>
                <w:b/>
                <w:bCs/>
              </w:rPr>
              <w:br/>
              <w:t>(years)</w:t>
            </w:r>
          </w:p>
        </w:tc>
        <w:tc>
          <w:tcPr>
            <w:tcW w:w="1072" w:type="pct"/>
            <w:tcBorders>
              <w:top w:val="nil"/>
              <w:left w:val="nil"/>
              <w:bottom w:val="nil"/>
              <w:right w:val="nil"/>
            </w:tcBorders>
            <w:shd w:val="clear" w:color="auto" w:fill="D9D9D9" w:themeFill="background1" w:themeFillShade="D9"/>
            <w:vAlign w:val="bottom"/>
          </w:tcPr>
          <w:p w14:paraId="3EBCAD87" w14:textId="77777777" w:rsidR="009D4BFA" w:rsidRPr="00E47714" w:rsidRDefault="009D4BFA" w:rsidP="00D972B3">
            <w:pPr>
              <w:pStyle w:val="TableText"/>
              <w:spacing w:line="264" w:lineRule="auto"/>
              <w:jc w:val="center"/>
              <w:rPr>
                <w:rFonts w:eastAsia="Arial Unicode MS"/>
                <w:b/>
                <w:bCs/>
              </w:rPr>
            </w:pPr>
            <w:r w:rsidRPr="00E47714">
              <w:rPr>
                <w:rFonts w:eastAsia="Arial Unicode MS"/>
                <w:b/>
                <w:bCs/>
              </w:rPr>
              <w:t>Unvaccinated</w:t>
            </w:r>
          </w:p>
        </w:tc>
        <w:tc>
          <w:tcPr>
            <w:tcW w:w="1072" w:type="pct"/>
            <w:tcBorders>
              <w:top w:val="nil"/>
              <w:left w:val="nil"/>
              <w:bottom w:val="nil"/>
              <w:right w:val="nil"/>
            </w:tcBorders>
            <w:shd w:val="clear" w:color="auto" w:fill="D9D9D9" w:themeFill="background1" w:themeFillShade="D9"/>
            <w:vAlign w:val="bottom"/>
          </w:tcPr>
          <w:p w14:paraId="6759DEF8" w14:textId="77777777" w:rsidR="009D4BFA" w:rsidRPr="00E47714" w:rsidRDefault="009D4BFA" w:rsidP="00D972B3">
            <w:pPr>
              <w:pStyle w:val="TableText"/>
              <w:spacing w:line="264" w:lineRule="auto"/>
              <w:jc w:val="center"/>
              <w:rPr>
                <w:rFonts w:eastAsia="Arial Unicode MS"/>
                <w:b/>
                <w:bCs/>
              </w:rPr>
            </w:pPr>
            <w:r w:rsidRPr="00E47714">
              <w:rPr>
                <w:rFonts w:eastAsia="Arial Unicode MS"/>
                <w:b/>
                <w:bCs/>
              </w:rPr>
              <w:t>Partially vaccinated</w:t>
            </w:r>
          </w:p>
        </w:tc>
        <w:tc>
          <w:tcPr>
            <w:tcW w:w="1072" w:type="pct"/>
            <w:tcBorders>
              <w:top w:val="nil"/>
              <w:left w:val="nil"/>
              <w:bottom w:val="nil"/>
              <w:right w:val="nil"/>
            </w:tcBorders>
            <w:shd w:val="clear" w:color="auto" w:fill="D9D9D9" w:themeFill="background1" w:themeFillShade="D9"/>
            <w:vAlign w:val="bottom"/>
          </w:tcPr>
          <w:p w14:paraId="7DCBC281" w14:textId="77777777" w:rsidR="009D4BFA" w:rsidRPr="00E47714" w:rsidRDefault="009D4BFA" w:rsidP="00D972B3">
            <w:pPr>
              <w:pStyle w:val="TableText"/>
              <w:spacing w:line="264" w:lineRule="auto"/>
              <w:jc w:val="center"/>
              <w:rPr>
                <w:rFonts w:eastAsia="Arial Unicode MS"/>
                <w:b/>
                <w:bCs/>
              </w:rPr>
            </w:pPr>
            <w:r w:rsidRPr="00E47714">
              <w:rPr>
                <w:rFonts w:eastAsia="Arial Unicode MS"/>
                <w:b/>
                <w:bCs/>
              </w:rPr>
              <w:t>Fully vaccinated</w:t>
            </w:r>
          </w:p>
        </w:tc>
        <w:tc>
          <w:tcPr>
            <w:tcW w:w="1073" w:type="pct"/>
            <w:tcBorders>
              <w:top w:val="nil"/>
              <w:left w:val="nil"/>
              <w:bottom w:val="nil"/>
              <w:right w:val="nil"/>
            </w:tcBorders>
            <w:shd w:val="clear" w:color="auto" w:fill="D9D9D9" w:themeFill="background1" w:themeFillShade="D9"/>
            <w:noWrap/>
            <w:vAlign w:val="bottom"/>
            <w:hideMark/>
          </w:tcPr>
          <w:p w14:paraId="0CF1DD15" w14:textId="77777777" w:rsidR="009D4BFA" w:rsidRPr="00E47714" w:rsidRDefault="009D4BFA" w:rsidP="00D972B3">
            <w:pPr>
              <w:pStyle w:val="TableText"/>
              <w:spacing w:line="264" w:lineRule="auto"/>
              <w:jc w:val="center"/>
              <w:rPr>
                <w:rFonts w:eastAsia="Arial Unicode MS"/>
                <w:b/>
                <w:bCs/>
              </w:rPr>
            </w:pPr>
            <w:r w:rsidRPr="00E47714">
              <w:rPr>
                <w:rFonts w:eastAsia="Arial Unicode MS"/>
                <w:b/>
                <w:bCs/>
              </w:rPr>
              <w:t>Boosted</w:t>
            </w:r>
          </w:p>
        </w:tc>
      </w:tr>
      <w:tr w:rsidR="009D4BFA" w:rsidRPr="00E47714" w14:paraId="14C939E2" w14:textId="77777777" w:rsidTr="009365E0">
        <w:trPr>
          <w:trHeight w:val="300"/>
        </w:trPr>
        <w:tc>
          <w:tcPr>
            <w:tcW w:w="711" w:type="pct"/>
            <w:tcBorders>
              <w:top w:val="nil"/>
              <w:left w:val="nil"/>
              <w:bottom w:val="single" w:sz="4" w:space="0" w:color="A6A6A6" w:themeColor="background1" w:themeShade="A6"/>
              <w:right w:val="nil"/>
            </w:tcBorders>
            <w:shd w:val="clear" w:color="auto" w:fill="auto"/>
            <w:noWrap/>
            <w:vAlign w:val="bottom"/>
            <w:hideMark/>
          </w:tcPr>
          <w:p w14:paraId="65B3C784" w14:textId="77777777" w:rsidR="009D4BFA" w:rsidRPr="00E47714" w:rsidRDefault="009D4BFA" w:rsidP="00D972B3">
            <w:pPr>
              <w:pStyle w:val="TableText"/>
            </w:pPr>
            <w:r w:rsidRPr="00E47714">
              <w:t>65+</w:t>
            </w:r>
          </w:p>
        </w:tc>
        <w:tc>
          <w:tcPr>
            <w:tcW w:w="1072" w:type="pct"/>
            <w:tcBorders>
              <w:top w:val="nil"/>
              <w:left w:val="nil"/>
              <w:bottom w:val="single" w:sz="4" w:space="0" w:color="A6A6A6" w:themeColor="background1" w:themeShade="A6"/>
              <w:right w:val="nil"/>
            </w:tcBorders>
            <w:vAlign w:val="bottom"/>
          </w:tcPr>
          <w:p w14:paraId="3CF9F8A2" w14:textId="77777777" w:rsidR="009D4BFA" w:rsidRPr="00E47714" w:rsidRDefault="009D4BFA" w:rsidP="00D972B3">
            <w:pPr>
              <w:pStyle w:val="TableText"/>
              <w:jc w:val="center"/>
            </w:pPr>
            <w:r w:rsidRPr="00E47714">
              <w:t>5.0%</w:t>
            </w:r>
          </w:p>
        </w:tc>
        <w:tc>
          <w:tcPr>
            <w:tcW w:w="1072" w:type="pct"/>
            <w:tcBorders>
              <w:top w:val="nil"/>
              <w:left w:val="nil"/>
              <w:bottom w:val="single" w:sz="4" w:space="0" w:color="A6A6A6" w:themeColor="background1" w:themeShade="A6"/>
              <w:right w:val="nil"/>
            </w:tcBorders>
            <w:vAlign w:val="bottom"/>
          </w:tcPr>
          <w:p w14:paraId="5CC424FC" w14:textId="77777777" w:rsidR="009D4BFA" w:rsidRPr="00E47714" w:rsidRDefault="009D4BFA" w:rsidP="00D972B3">
            <w:pPr>
              <w:pStyle w:val="TableText"/>
              <w:jc w:val="center"/>
            </w:pPr>
            <w:r w:rsidRPr="00E47714">
              <w:t>95.0%</w:t>
            </w:r>
          </w:p>
        </w:tc>
        <w:tc>
          <w:tcPr>
            <w:tcW w:w="1072" w:type="pct"/>
            <w:tcBorders>
              <w:top w:val="nil"/>
              <w:left w:val="nil"/>
              <w:bottom w:val="single" w:sz="4" w:space="0" w:color="A6A6A6" w:themeColor="background1" w:themeShade="A6"/>
              <w:right w:val="nil"/>
            </w:tcBorders>
            <w:vAlign w:val="bottom"/>
          </w:tcPr>
          <w:p w14:paraId="6BCBB1FC" w14:textId="77777777" w:rsidR="009D4BFA" w:rsidRPr="00E47714" w:rsidRDefault="009D4BFA" w:rsidP="00D972B3">
            <w:pPr>
              <w:pStyle w:val="TableText"/>
              <w:jc w:val="center"/>
            </w:pPr>
            <w:r w:rsidRPr="00E47714">
              <w:t>94.6%</w:t>
            </w:r>
          </w:p>
        </w:tc>
        <w:tc>
          <w:tcPr>
            <w:tcW w:w="1073" w:type="pct"/>
            <w:tcBorders>
              <w:top w:val="nil"/>
              <w:left w:val="nil"/>
              <w:bottom w:val="single" w:sz="4" w:space="0" w:color="A6A6A6" w:themeColor="background1" w:themeShade="A6"/>
              <w:right w:val="nil"/>
            </w:tcBorders>
            <w:shd w:val="clear" w:color="auto" w:fill="auto"/>
            <w:noWrap/>
            <w:vAlign w:val="bottom"/>
            <w:hideMark/>
          </w:tcPr>
          <w:p w14:paraId="0077F39B" w14:textId="77777777" w:rsidR="009D4BFA" w:rsidRPr="00E47714" w:rsidRDefault="009D4BFA" w:rsidP="00D972B3">
            <w:pPr>
              <w:pStyle w:val="TableText"/>
              <w:jc w:val="center"/>
            </w:pPr>
            <w:r w:rsidRPr="00E47714">
              <w:t>87.9%</w:t>
            </w:r>
          </w:p>
        </w:tc>
      </w:tr>
      <w:tr w:rsidR="009D4BFA" w:rsidRPr="00E47714" w14:paraId="3A9A7893" w14:textId="77777777" w:rsidTr="009365E0">
        <w:trPr>
          <w:trHeight w:val="300"/>
        </w:trPr>
        <w:tc>
          <w:tcPr>
            <w:tcW w:w="711" w:type="pct"/>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6BE4BE7" w14:textId="77777777" w:rsidR="009D4BFA" w:rsidRPr="00E47714" w:rsidRDefault="009D4BFA" w:rsidP="00D972B3">
            <w:pPr>
              <w:pStyle w:val="TableText"/>
            </w:pPr>
            <w:r w:rsidRPr="00E47714">
              <w:t>50 to 64</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4D728FC2" w14:textId="77777777" w:rsidR="009D4BFA" w:rsidRPr="00E47714" w:rsidRDefault="009D4BFA" w:rsidP="00D972B3">
            <w:pPr>
              <w:pStyle w:val="TableText"/>
              <w:jc w:val="center"/>
            </w:pPr>
            <w:r w:rsidRPr="00E47714">
              <w:t>2.9%</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3F01D577" w14:textId="77777777" w:rsidR="009D4BFA" w:rsidRPr="00E47714" w:rsidRDefault="009D4BFA" w:rsidP="00D972B3">
            <w:pPr>
              <w:pStyle w:val="TableText"/>
              <w:jc w:val="center"/>
            </w:pPr>
            <w:r w:rsidRPr="00E47714">
              <w:t>97.1%</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4466F911" w14:textId="77777777" w:rsidR="009D4BFA" w:rsidRPr="00E47714" w:rsidRDefault="009D4BFA" w:rsidP="00D972B3">
            <w:pPr>
              <w:pStyle w:val="TableText"/>
              <w:jc w:val="center"/>
            </w:pPr>
            <w:r w:rsidRPr="00E47714">
              <w:t>96.4%</w:t>
            </w:r>
          </w:p>
        </w:tc>
        <w:tc>
          <w:tcPr>
            <w:tcW w:w="1073" w:type="pct"/>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D6DDBEA" w14:textId="77777777" w:rsidR="009D4BFA" w:rsidRPr="00E47714" w:rsidRDefault="009D4BFA" w:rsidP="00D972B3">
            <w:pPr>
              <w:pStyle w:val="TableText"/>
              <w:jc w:val="center"/>
            </w:pPr>
            <w:r w:rsidRPr="00E47714">
              <w:t>79.4%</w:t>
            </w:r>
          </w:p>
        </w:tc>
      </w:tr>
      <w:tr w:rsidR="009D4BFA" w:rsidRPr="00E47714" w14:paraId="75457BCF" w14:textId="77777777" w:rsidTr="009365E0">
        <w:trPr>
          <w:trHeight w:val="300"/>
        </w:trPr>
        <w:tc>
          <w:tcPr>
            <w:tcW w:w="711" w:type="pct"/>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3106DB4" w14:textId="77777777" w:rsidR="009D4BFA" w:rsidRPr="00E47714" w:rsidRDefault="009D4BFA" w:rsidP="00D972B3">
            <w:pPr>
              <w:pStyle w:val="TableText"/>
            </w:pPr>
            <w:r w:rsidRPr="00E47714">
              <w:t>35 to 49</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384D651D" w14:textId="77777777" w:rsidR="009D4BFA" w:rsidRPr="00E47714" w:rsidRDefault="009D4BFA" w:rsidP="00D972B3">
            <w:pPr>
              <w:pStyle w:val="TableText"/>
              <w:jc w:val="center"/>
            </w:pPr>
            <w:r w:rsidRPr="00E47714">
              <w:t>7.7%</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0C2CD165" w14:textId="77777777" w:rsidR="009D4BFA" w:rsidRPr="00E47714" w:rsidRDefault="009D4BFA" w:rsidP="00D972B3">
            <w:pPr>
              <w:pStyle w:val="TableText"/>
              <w:jc w:val="center"/>
            </w:pPr>
            <w:r w:rsidRPr="00E47714">
              <w:t>92.3%</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2E69CA96" w14:textId="77777777" w:rsidR="009D4BFA" w:rsidRPr="00E47714" w:rsidRDefault="009D4BFA" w:rsidP="00D972B3">
            <w:pPr>
              <w:pStyle w:val="TableText"/>
              <w:jc w:val="center"/>
            </w:pPr>
            <w:r w:rsidRPr="00E47714">
              <w:t>91.1%</w:t>
            </w:r>
          </w:p>
        </w:tc>
        <w:tc>
          <w:tcPr>
            <w:tcW w:w="1073" w:type="pct"/>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B8DAD7E" w14:textId="77777777" w:rsidR="009D4BFA" w:rsidRPr="00E47714" w:rsidRDefault="009D4BFA" w:rsidP="00D972B3">
            <w:pPr>
              <w:pStyle w:val="TableText"/>
              <w:jc w:val="center"/>
            </w:pPr>
            <w:r w:rsidRPr="00E47714">
              <w:t>63.7%</w:t>
            </w:r>
          </w:p>
        </w:tc>
      </w:tr>
      <w:tr w:rsidR="009D4BFA" w:rsidRPr="00E47714" w14:paraId="5CBB7FD2" w14:textId="77777777" w:rsidTr="009365E0">
        <w:trPr>
          <w:trHeight w:val="300"/>
        </w:trPr>
        <w:tc>
          <w:tcPr>
            <w:tcW w:w="711" w:type="pct"/>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5ABA785" w14:textId="77777777" w:rsidR="009D4BFA" w:rsidRPr="00E47714" w:rsidRDefault="009D4BFA" w:rsidP="00D972B3">
            <w:pPr>
              <w:pStyle w:val="TableText"/>
            </w:pPr>
            <w:r w:rsidRPr="00E47714">
              <w:t>18 to 34</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25463B69" w14:textId="77777777" w:rsidR="009D4BFA" w:rsidRPr="00E47714" w:rsidRDefault="009D4BFA" w:rsidP="00D972B3">
            <w:pPr>
              <w:pStyle w:val="TableText"/>
              <w:jc w:val="center"/>
            </w:pPr>
            <w:r w:rsidRPr="00E47714">
              <w:t>18.6%</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1261F76D" w14:textId="77777777" w:rsidR="009D4BFA" w:rsidRPr="00E47714" w:rsidRDefault="009D4BFA" w:rsidP="00D972B3">
            <w:pPr>
              <w:pStyle w:val="TableText"/>
              <w:jc w:val="center"/>
            </w:pPr>
            <w:r w:rsidRPr="00E47714">
              <w:t>81.4%</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535DC0A0" w14:textId="77777777" w:rsidR="009D4BFA" w:rsidRPr="00E47714" w:rsidRDefault="009D4BFA" w:rsidP="00D972B3">
            <w:pPr>
              <w:pStyle w:val="TableText"/>
              <w:jc w:val="center"/>
            </w:pPr>
            <w:r w:rsidRPr="00E47714">
              <w:t>80.0%</w:t>
            </w:r>
          </w:p>
        </w:tc>
        <w:tc>
          <w:tcPr>
            <w:tcW w:w="1073" w:type="pct"/>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EB3A486" w14:textId="77777777" w:rsidR="009D4BFA" w:rsidRPr="00E47714" w:rsidRDefault="009D4BFA" w:rsidP="00D972B3">
            <w:pPr>
              <w:pStyle w:val="TableText"/>
              <w:jc w:val="center"/>
            </w:pPr>
            <w:r w:rsidRPr="00E47714">
              <w:t>42.6%</w:t>
            </w:r>
          </w:p>
        </w:tc>
      </w:tr>
      <w:tr w:rsidR="009D4BFA" w:rsidRPr="00E47714" w14:paraId="105FB18C" w14:textId="77777777" w:rsidTr="009365E0">
        <w:trPr>
          <w:trHeight w:val="300"/>
        </w:trPr>
        <w:tc>
          <w:tcPr>
            <w:tcW w:w="711" w:type="pct"/>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0237EA5" w14:textId="77777777" w:rsidR="009D4BFA" w:rsidRPr="00E47714" w:rsidRDefault="009D4BFA" w:rsidP="00D972B3">
            <w:pPr>
              <w:pStyle w:val="TableText"/>
            </w:pPr>
            <w:r w:rsidRPr="00E47714">
              <w:t>12 to 17</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0CBE543D" w14:textId="77777777" w:rsidR="009D4BFA" w:rsidRPr="00E47714" w:rsidRDefault="009D4BFA" w:rsidP="00D972B3">
            <w:pPr>
              <w:pStyle w:val="TableText"/>
              <w:jc w:val="center"/>
            </w:pPr>
            <w:r w:rsidRPr="00E47714">
              <w:t>28.6%</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7CB268E5" w14:textId="77777777" w:rsidR="009D4BFA" w:rsidRPr="00E47714" w:rsidRDefault="009D4BFA" w:rsidP="00D972B3">
            <w:pPr>
              <w:pStyle w:val="TableText"/>
              <w:jc w:val="center"/>
            </w:pPr>
            <w:r w:rsidRPr="00E47714">
              <w:t>71.4%</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636F16FF" w14:textId="77777777" w:rsidR="009D4BFA" w:rsidRPr="00E47714" w:rsidRDefault="009D4BFA" w:rsidP="00D972B3">
            <w:pPr>
              <w:pStyle w:val="TableText"/>
              <w:jc w:val="center"/>
            </w:pPr>
            <w:r w:rsidRPr="00E47714">
              <w:t>62.7%</w:t>
            </w:r>
          </w:p>
        </w:tc>
        <w:tc>
          <w:tcPr>
            <w:tcW w:w="1073" w:type="pct"/>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7D20D94" w14:textId="77777777" w:rsidR="009D4BFA" w:rsidRPr="00E47714" w:rsidRDefault="009D4BFA" w:rsidP="00D972B3">
            <w:pPr>
              <w:pStyle w:val="TableText"/>
              <w:jc w:val="center"/>
            </w:pPr>
            <w:r w:rsidRPr="00E47714">
              <w:t>1.9%</w:t>
            </w:r>
          </w:p>
        </w:tc>
      </w:tr>
      <w:tr w:rsidR="009D4BFA" w:rsidRPr="00E47714" w14:paraId="02E6E857" w14:textId="77777777" w:rsidTr="009365E0">
        <w:trPr>
          <w:trHeight w:val="300"/>
        </w:trPr>
        <w:tc>
          <w:tcPr>
            <w:tcW w:w="711" w:type="pct"/>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22B05FA" w14:textId="77777777" w:rsidR="009D4BFA" w:rsidRPr="00E47714" w:rsidRDefault="009D4BFA" w:rsidP="00D972B3">
            <w:pPr>
              <w:pStyle w:val="TableText"/>
            </w:pPr>
            <w:r w:rsidRPr="00E47714">
              <w:t>5 to 11</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0791118E" w14:textId="77777777" w:rsidR="009D4BFA" w:rsidRPr="00E47714" w:rsidRDefault="009D4BFA" w:rsidP="00D972B3">
            <w:pPr>
              <w:pStyle w:val="TableText"/>
              <w:jc w:val="center"/>
            </w:pPr>
            <w:r w:rsidRPr="00E47714">
              <w:t>56.0%</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635B1DDF" w14:textId="77777777" w:rsidR="009D4BFA" w:rsidRPr="00E47714" w:rsidRDefault="009D4BFA" w:rsidP="00D972B3">
            <w:pPr>
              <w:pStyle w:val="TableText"/>
              <w:jc w:val="center"/>
            </w:pPr>
            <w:r w:rsidRPr="00E47714">
              <w:t>44.0%</w:t>
            </w:r>
          </w:p>
        </w:tc>
        <w:tc>
          <w:tcPr>
            <w:tcW w:w="1072" w:type="pct"/>
            <w:tcBorders>
              <w:top w:val="single" w:sz="4" w:space="0" w:color="A6A6A6" w:themeColor="background1" w:themeShade="A6"/>
              <w:left w:val="nil"/>
              <w:bottom w:val="single" w:sz="4" w:space="0" w:color="A6A6A6" w:themeColor="background1" w:themeShade="A6"/>
              <w:right w:val="nil"/>
            </w:tcBorders>
            <w:vAlign w:val="bottom"/>
          </w:tcPr>
          <w:p w14:paraId="3995D113" w14:textId="77777777" w:rsidR="009D4BFA" w:rsidRPr="00E47714" w:rsidRDefault="009D4BFA" w:rsidP="00D972B3">
            <w:pPr>
              <w:pStyle w:val="TableText"/>
              <w:jc w:val="center"/>
            </w:pPr>
            <w:r w:rsidRPr="00E47714">
              <w:t>25.4%</w:t>
            </w:r>
          </w:p>
        </w:tc>
        <w:tc>
          <w:tcPr>
            <w:tcW w:w="1073" w:type="pct"/>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382904E" w14:textId="77777777" w:rsidR="009D4BFA" w:rsidRPr="00E47714" w:rsidRDefault="009D4BFA" w:rsidP="00D972B3">
            <w:pPr>
              <w:pStyle w:val="TableText"/>
              <w:jc w:val="center"/>
            </w:pPr>
            <w:r w:rsidRPr="00E47714">
              <w:t>2.6%</w:t>
            </w:r>
          </w:p>
        </w:tc>
      </w:tr>
    </w:tbl>
    <w:p w14:paraId="6F6C0993" w14:textId="77777777" w:rsidR="009D4BFA" w:rsidRPr="00E47714" w:rsidRDefault="009D4BFA" w:rsidP="009D4BFA">
      <w:pPr>
        <w:pStyle w:val="Source"/>
      </w:pPr>
      <w:r>
        <w:t>Note:</w:t>
      </w:r>
      <w:r w:rsidRPr="00E47714">
        <w:t xml:space="preserve"> Unvaccinated </w:t>
      </w:r>
      <w:r>
        <w:t>=</w:t>
      </w:r>
      <w:r w:rsidRPr="00E47714">
        <w:t xml:space="preserve"> individuals that have not received any doses of a COVID-19 vaccine. Partially vaccinated </w:t>
      </w:r>
      <w:r>
        <w:t>=</w:t>
      </w:r>
      <w:r w:rsidRPr="00E47714">
        <w:t xml:space="preserve"> individuals that have received </w:t>
      </w:r>
      <w:r>
        <w:t>one</w:t>
      </w:r>
      <w:r w:rsidRPr="00E47714">
        <w:t xml:space="preserve"> or more doses of a COVID-19 vaccine. Fully vaccinated </w:t>
      </w:r>
      <w:r>
        <w:t>=</w:t>
      </w:r>
      <w:r w:rsidRPr="00E47714">
        <w:t xml:space="preserve"> individuals that have received </w:t>
      </w:r>
      <w:r>
        <w:t>two</w:t>
      </w:r>
      <w:r w:rsidRPr="00E47714">
        <w:t xml:space="preserve"> or more doses of a COVID-19 vaccine. Boosted </w:t>
      </w:r>
      <w:r>
        <w:t>=</w:t>
      </w:r>
      <w:r w:rsidRPr="00E47714">
        <w:t xml:space="preserve"> individuals that have received </w:t>
      </w:r>
      <w:r>
        <w:t>three</w:t>
      </w:r>
      <w:r w:rsidRPr="00E47714">
        <w:t xml:space="preserve"> or more doses of a COVID-19 vaccine. </w:t>
      </w:r>
    </w:p>
    <w:p w14:paraId="1EB8408C" w14:textId="77777777" w:rsidR="009D4BFA" w:rsidRPr="00E47714" w:rsidRDefault="009D4BFA" w:rsidP="009D4BFA">
      <w:pPr>
        <w:pStyle w:val="Source"/>
      </w:pPr>
      <w:r w:rsidRPr="00E47714">
        <w:rPr>
          <w:b/>
          <w:bCs/>
        </w:rPr>
        <w:t>Source:</w:t>
      </w:r>
      <w:r w:rsidRPr="00E47714">
        <w:t xml:space="preserve"> Health NZ unpublished data (2024)</w:t>
      </w:r>
    </w:p>
    <w:p w14:paraId="1D90F3E2" w14:textId="77777777" w:rsidR="009D4BFA" w:rsidRPr="00E47714" w:rsidRDefault="009D4BFA" w:rsidP="009D4BFA">
      <w:pPr>
        <w:pStyle w:val="Heading3"/>
      </w:pPr>
      <w:r w:rsidRPr="00E47714">
        <w:lastRenderedPageBreak/>
        <w:t>Experience of care</w:t>
      </w:r>
    </w:p>
    <w:p w14:paraId="5CE8E158" w14:textId="09325F9C" w:rsidR="009D4BFA" w:rsidRDefault="009D4BFA" w:rsidP="009D4BFA">
      <w:r w:rsidRPr="00E47714">
        <w:t>Priority one of the New Zealand Health Strategy is to give people, whānau and communities greater control and influence over decisions about their health and the design of their health services</w:t>
      </w:r>
      <w:r>
        <w:t>. It aims to do this</w:t>
      </w:r>
      <w:r w:rsidRPr="00E47714">
        <w:t xml:space="preserve"> by embedding their voices in system planning, </w:t>
      </w:r>
      <w:r>
        <w:t xml:space="preserve">and in </w:t>
      </w:r>
      <w:r w:rsidRPr="00E47714">
        <w:t xml:space="preserve">delivery </w:t>
      </w:r>
      <w:r>
        <w:t xml:space="preserve">of </w:t>
      </w:r>
      <w:r w:rsidRPr="00E47714">
        <w:t xml:space="preserve">and reporting on health care. </w:t>
      </w:r>
      <w:r>
        <w:t>Achieving this priority</w:t>
      </w:r>
      <w:r w:rsidRPr="00E47714">
        <w:t xml:space="preserve"> is key to changing the system, and essential for people to have control and agency over their own health and that of their family </w:t>
      </w:r>
      <w:r>
        <w:fldChar w:fldCharType="begin"/>
      </w:r>
      <w:r>
        <w:instrText xml:space="preserve"> ADDIN EN.CITE &lt;EndNote&gt;&lt;Cite&gt;&lt;Author&gt;Minister of Health&lt;/Author&gt;&lt;Year&gt;2023&lt;/Year&gt;&lt;RecNum&gt;408&lt;/RecNum&gt;&lt;DisplayText&gt;(Minister of Health 2023a)&lt;/DisplayText&gt;&lt;record&gt;&lt;rec-number&gt;408&lt;/rec-number&gt;&lt;foreign-keys&gt;&lt;key app="EN" db-id="aaepvppzs5wtfse95vsp2wahsrtvva2vvdet" timestamp="1716350175"&gt;408&lt;/key&gt;&lt;/foreign-keys&gt;&lt;ref-type name="Government Document"&gt;46&lt;/ref-type&gt;&lt;contributors&gt;&lt;authors&gt;&lt;author&gt;Minister of Health,&lt;/author&gt;&lt;/authors&gt;&lt;/contributors&gt;&lt;titles&gt;&lt;title&gt;New Zealand Health Strategy 2023&lt;/title&gt;&lt;/titles&gt;&lt;dates&gt;&lt;year&gt;2023&lt;/year&gt;&lt;/dates&gt;&lt;pub-location&gt;Wellington: Ministry of Health&lt;/pub-location&gt;&lt;urls&gt;&lt;/urls&gt;&lt;/record&gt;&lt;/Cite&gt;&lt;Cite&gt;&lt;Author&gt;Minister of Health&lt;/Author&gt;&lt;Year&gt;2023&lt;/Year&gt;&lt;RecNum&gt;408&lt;/RecNum&gt;&lt;record&gt;&lt;rec-number&gt;408&lt;/rec-number&gt;&lt;foreign-keys&gt;&lt;key app="EN" db-id="aaepvppzs5wtfse95vsp2wahsrtvva2vvdet" timestamp="1716350175"&gt;408&lt;/key&gt;&lt;/foreign-keys&gt;&lt;ref-type name="Government Document"&gt;46&lt;/ref-type&gt;&lt;contributors&gt;&lt;authors&gt;&lt;author&gt;Minister of Health,&lt;/author&gt;&lt;/authors&gt;&lt;/contributors&gt;&lt;titles&gt;&lt;title&gt;New Zealand Health Strategy 2023&lt;/title&gt;&lt;/titles&gt;&lt;dates&gt;&lt;year&gt;2023&lt;/year&gt;&lt;/dates&gt;&lt;pub-location&gt;Wellington: Ministry of Health&lt;/pub-location&gt;&lt;urls&gt;&lt;/urls&gt;&lt;/record&gt;&lt;/Cite&gt;&lt;Cite&gt;&lt;Author&gt;Minister of Health&lt;/Author&gt;&lt;Year&gt;2023&lt;/Year&gt;&lt;RecNum&gt;408&lt;/RecNum&gt;&lt;record&gt;&lt;rec-number&gt;408&lt;/rec-number&gt;&lt;foreign-keys&gt;&lt;key app="EN" db-id="aaepvppzs5wtfse95vsp2wahsrtvva2vvdet" timestamp="1716350175"&gt;408&lt;/key&gt;&lt;/foreign-keys&gt;&lt;ref-type name="Government Document"&gt;46&lt;/ref-type&gt;&lt;contributors&gt;&lt;authors&gt;&lt;author&gt;Minister of Health,&lt;/author&gt;&lt;/authors&gt;&lt;/contributors&gt;&lt;titles&gt;&lt;title&gt;New Zealand Health Strategy 2023&lt;/title&gt;&lt;/titles&gt;&lt;dates&gt;&lt;year&gt;2023&lt;/year&gt;&lt;/dates&gt;&lt;pub-location&gt;Wellington: Ministry of Health&lt;/pub-location&gt;&lt;urls&gt;&lt;/urls&gt;&lt;/record&gt;&lt;/Cite&gt;&lt;/EndNote&gt;</w:instrText>
      </w:r>
      <w:r>
        <w:fldChar w:fldCharType="separate"/>
      </w:r>
      <w:r>
        <w:rPr>
          <w:noProof/>
        </w:rPr>
        <w:t>(Minister of Health 2023a)</w:t>
      </w:r>
      <w:r>
        <w:fldChar w:fldCharType="end"/>
      </w:r>
      <w:r w:rsidRPr="00E47714">
        <w:t>.</w:t>
      </w:r>
    </w:p>
    <w:p w14:paraId="6C8AA0D0" w14:textId="77777777" w:rsidR="009365E0" w:rsidRPr="00E47714" w:rsidRDefault="009365E0" w:rsidP="009D4BFA"/>
    <w:p w14:paraId="6D19C84E" w14:textId="77777777" w:rsidR="009D4BFA" w:rsidRPr="00E47714" w:rsidRDefault="009D4BFA" w:rsidP="009D4BFA">
      <w:r w:rsidRPr="00E47714">
        <w:t>Patient-reported measures provide insights directly from patients about their health</w:t>
      </w:r>
      <w:r>
        <w:t xml:space="preserve"> </w:t>
      </w:r>
      <w:r w:rsidRPr="00E47714">
        <w:t xml:space="preserve">care experiences. The Health Quality </w:t>
      </w:r>
      <w:r>
        <w:t>&amp;</w:t>
      </w:r>
      <w:r w:rsidRPr="00E47714">
        <w:t xml:space="preserve"> Safety Commission carries out a series of patient experience surveys for inpatient and primary care services. Results are used to help improve quality of care, patient safety and access to health services. Information gathered at local regional and national levels is used to benchmark patient experiences across the country and improve services locally </w:t>
      </w:r>
      <w:r>
        <w:fldChar w:fldCharType="begin"/>
      </w:r>
      <w:r>
        <w:instrText xml:space="preserve"> ADDIN EN.CITE &lt;EndNote&gt;&lt;Cite&gt;&lt;Author&gt;HQSC&lt;/Author&gt;&lt;Year&gt;2023&lt;/Year&gt;&lt;RecNum&gt;507&lt;/RecNum&gt;&lt;DisplayText&gt;(HQSC 2023a)&lt;/DisplayText&gt;&lt;record&gt;&lt;rec-number&gt;507&lt;/rec-number&gt;&lt;foreign-keys&gt;&lt;key app="EN" db-id="aaepvppzs5wtfse95vsp2wahsrtvva2vvdet" timestamp="1716766101"&gt;507&lt;/key&gt;&lt;/foreign-keys&gt;&lt;ref-type name="Web Page"&gt;12&lt;/ref-type&gt;&lt;contributors&gt;&lt;authors&gt;&lt;author&gt;HQSC&lt;/author&gt;&lt;/authors&gt;&lt;/contributors&gt;&lt;titles&gt;&lt;title&gt;About our patient experience surveys&lt;/title&gt;&lt;/titles&gt;&lt;number&gt;27 May 2024&lt;/number&gt;&lt;dates&gt;&lt;year&gt;2023&lt;/year&gt;&lt;/dates&gt;&lt;urls&gt;&lt;related-urls&gt;&lt;url&gt;hqsc.govt.nz/our-data/patient-reported-measures/patient-experience/about-our-surveys&lt;/url&gt;&lt;/related-urls&gt;&lt;/urls&gt;&lt;/record&gt;&lt;/Cite&gt;&lt;/EndNote&gt;</w:instrText>
      </w:r>
      <w:r>
        <w:fldChar w:fldCharType="separate"/>
      </w:r>
      <w:r>
        <w:rPr>
          <w:noProof/>
        </w:rPr>
        <w:t>(HQSC 2023a)</w:t>
      </w:r>
      <w:r>
        <w:fldChar w:fldCharType="end"/>
      </w:r>
      <w:r w:rsidRPr="00E47714">
        <w:t>.</w:t>
      </w:r>
    </w:p>
    <w:p w14:paraId="1126424A" w14:textId="77777777" w:rsidR="009D4BFA" w:rsidRPr="00E47714" w:rsidRDefault="009D4BFA" w:rsidP="009D4BFA">
      <w:pPr>
        <w:pStyle w:val="Heading4"/>
      </w:pPr>
      <w:r>
        <w:rPr>
          <w:rFonts w:cs="Segoe UI"/>
        </w:rPr>
        <w:t>Findings of h</w:t>
      </w:r>
      <w:r w:rsidRPr="00E47714">
        <w:t>ospital inpatient experience survey</w:t>
      </w:r>
    </w:p>
    <w:p w14:paraId="03C9BE5E" w14:textId="77777777" w:rsidR="009D4BFA" w:rsidRDefault="009D4BFA" w:rsidP="009D4BFA">
      <w:r w:rsidRPr="00E47714">
        <w:t>For the period ending November 2023</w:t>
      </w:r>
      <w:r>
        <w:t>, among</w:t>
      </w:r>
      <w:r w:rsidRPr="00CB74E5">
        <w:t xml:space="preserve"> </w:t>
      </w:r>
      <w:r w:rsidRPr="00E47714">
        <w:t>adults aged 15 years and over</w:t>
      </w:r>
      <w:r>
        <w:t>:</w:t>
      </w:r>
    </w:p>
    <w:p w14:paraId="6D98D970" w14:textId="77777777" w:rsidR="009D4BFA" w:rsidRPr="00E47714" w:rsidRDefault="009D4BFA" w:rsidP="009365E0">
      <w:pPr>
        <w:pStyle w:val="Bullet"/>
      </w:pPr>
      <w:r w:rsidRPr="00E47714">
        <w:t>90.6% reported definitely being treated with care and respect by their health</w:t>
      </w:r>
      <w:r>
        <w:t xml:space="preserve"> </w:t>
      </w:r>
      <w:r w:rsidRPr="00E47714">
        <w:t xml:space="preserve">care </w:t>
      </w:r>
      <w:proofErr w:type="gramStart"/>
      <w:r w:rsidRPr="00E47714">
        <w:t>team</w:t>
      </w:r>
      <w:proofErr w:type="gramEnd"/>
    </w:p>
    <w:p w14:paraId="1BDA8DDC" w14:textId="77777777" w:rsidR="009D4BFA" w:rsidRPr="00E47714" w:rsidRDefault="009D4BFA" w:rsidP="009365E0">
      <w:pPr>
        <w:pStyle w:val="Bullet"/>
      </w:pPr>
      <w:r w:rsidRPr="00E47714">
        <w:t xml:space="preserve">18.6% were not as involved in decisions about their treatment and care as much as they wanted to </w:t>
      </w:r>
      <w:proofErr w:type="gramStart"/>
      <w:r w:rsidRPr="00E47714">
        <w:t>be</w:t>
      </w:r>
      <w:r>
        <w:t>;</w:t>
      </w:r>
      <w:proofErr w:type="gramEnd"/>
      <w:r>
        <w:t xml:space="preserve"> the percentage was</w:t>
      </w:r>
      <w:r w:rsidRPr="00E47714">
        <w:t xml:space="preserve"> higher for Māori adults (24.2%)</w:t>
      </w:r>
    </w:p>
    <w:p w14:paraId="2A80E141" w14:textId="77777777" w:rsidR="009D4BFA" w:rsidRPr="00E47714" w:rsidRDefault="009D4BFA" w:rsidP="009365E0">
      <w:pPr>
        <w:pStyle w:val="Bullet"/>
      </w:pPr>
      <w:r w:rsidRPr="00E47714">
        <w:t xml:space="preserve">21.7% reported family and whānau were not always included in discussions about </w:t>
      </w:r>
      <w:r>
        <w:t xml:space="preserve">the </w:t>
      </w:r>
      <w:r w:rsidRPr="00E47714">
        <w:t xml:space="preserve">care </w:t>
      </w:r>
      <w:r>
        <w:t xml:space="preserve">they </w:t>
      </w:r>
      <w:proofErr w:type="gramStart"/>
      <w:r w:rsidRPr="00E47714">
        <w:t>received</w:t>
      </w:r>
      <w:proofErr w:type="gramEnd"/>
      <w:r w:rsidRPr="00E47714">
        <w:t xml:space="preserve"> </w:t>
      </w:r>
    </w:p>
    <w:p w14:paraId="2D4E3429" w14:textId="77777777" w:rsidR="009D4BFA" w:rsidRPr="00E47714" w:rsidRDefault="009D4BFA" w:rsidP="009365E0">
      <w:pPr>
        <w:pStyle w:val="Bullet"/>
      </w:pPr>
      <w:r>
        <w:t>o</w:t>
      </w:r>
      <w:r w:rsidRPr="00E47714">
        <w:t>n discharge, 72.5% had enough information to manage their condition after they left hospital</w:t>
      </w:r>
      <w:r>
        <w:t xml:space="preserve"> </w:t>
      </w:r>
      <w:r>
        <w:fldChar w:fldCharType="begin"/>
      </w:r>
      <w:r>
        <w:instrText xml:space="preserve"> ADDIN EN.CITE &lt;EndNote&gt;&lt;Cite&gt;&lt;Author&gt;HQSC&lt;/Author&gt;&lt;Year&gt;2024&lt;/Year&gt;&lt;RecNum&gt;533&lt;/RecNum&gt;&lt;DisplayText&gt;(HQSC 2024a)&lt;/DisplayText&gt;&lt;record&gt;&lt;rec-number&gt;533&lt;/rec-number&gt;&lt;foreign-keys&gt;&lt;key app="EN" db-id="aaepvppzs5wtfse95vsp2wahsrtvva2vvdet" timestamp="1717556418"&gt;533&lt;/key&gt;&lt;/foreign-keys&gt;&lt;ref-type name="Web Page"&gt;12&lt;/ref-type&gt;&lt;contributors&gt;&lt;authors&gt;&lt;author&gt;HQSC&lt;/author&gt;&lt;/authors&gt;&lt;/contributors&gt;&lt;titles&gt;&lt;title&gt;Aotearoa New Zealand patient experience survey: Adult hospital inpatient experience explorer&lt;/title&gt;&lt;/titles&gt;&lt;number&gt;5 June 2024&lt;/number&gt;&lt;dates&gt;&lt;year&gt;2024&lt;/year&gt;&lt;/dates&gt;&lt;urls&gt;&lt;related-urls&gt;&lt;url&gt;reports.hqsc.govt.nz/AHI-explorer/?_gl=1*1o0d9o3*_ga*MTAyMzM2NTIxMC4xNzEzMzA3ODQ3*_ga_TG4RCRSBWS*MTcxNzU1NjA4OS4xNC4xLjE3MTc1NTYyMTkuMC4wLjA.#!&lt;/url&gt;&lt;/related-urls&gt;&lt;/urls&gt;&lt;/record&gt;&lt;/Cite&gt;&lt;/EndNote&gt;</w:instrText>
      </w:r>
      <w:r>
        <w:fldChar w:fldCharType="separate"/>
      </w:r>
      <w:r>
        <w:rPr>
          <w:noProof/>
        </w:rPr>
        <w:t>(HQSC 2024a)</w:t>
      </w:r>
      <w:r>
        <w:fldChar w:fldCharType="end"/>
      </w:r>
      <w:r w:rsidRPr="00E47714">
        <w:t>.</w:t>
      </w:r>
    </w:p>
    <w:p w14:paraId="2C33CF8E" w14:textId="77777777" w:rsidR="009D4BFA" w:rsidRPr="00E47714" w:rsidRDefault="009D4BFA" w:rsidP="009D4BFA">
      <w:pPr>
        <w:pStyle w:val="Heading4"/>
      </w:pPr>
      <w:r>
        <w:t>Findings of p</w:t>
      </w:r>
      <w:r w:rsidRPr="00E47714">
        <w:t>rimary care survey</w:t>
      </w:r>
    </w:p>
    <w:p w14:paraId="5AAE3913" w14:textId="77777777" w:rsidR="009D4BFA" w:rsidRPr="00C77EEE" w:rsidRDefault="009D4BFA" w:rsidP="009D4BFA">
      <w:pPr>
        <w:rPr>
          <w:rFonts w:ascii="Aptos" w:hAnsi="Aptos"/>
        </w:rPr>
      </w:pPr>
      <w:r w:rsidRPr="00E47714">
        <w:t>For the period ending November 2023</w:t>
      </w:r>
      <w:r>
        <w:t>, among adults aged 15 years and over:</w:t>
      </w:r>
    </w:p>
    <w:p w14:paraId="68D07A79" w14:textId="77777777" w:rsidR="009D4BFA" w:rsidRPr="00E47714" w:rsidRDefault="009D4BFA" w:rsidP="009365E0">
      <w:pPr>
        <w:pStyle w:val="Bullet"/>
        <w:rPr>
          <w:rFonts w:ascii="Aptos" w:hAnsi="Aptos"/>
        </w:rPr>
      </w:pPr>
      <w:r w:rsidRPr="00E47714">
        <w:t>24.4% reported a time in the last 12 months when they wanted health care from a GP or nurse but couldn’t get it</w:t>
      </w:r>
      <w:r>
        <w:t>; this percentage</w:t>
      </w:r>
      <w:r w:rsidRPr="00E47714">
        <w:t xml:space="preserve"> was higher for Māori adults (29.3%)</w:t>
      </w:r>
    </w:p>
    <w:p w14:paraId="20F7555E" w14:textId="77777777" w:rsidR="009D4BFA" w:rsidRPr="00E47714" w:rsidRDefault="009D4BFA" w:rsidP="009365E0">
      <w:pPr>
        <w:pStyle w:val="Bullet"/>
      </w:pPr>
      <w:r w:rsidRPr="00E47714">
        <w:t xml:space="preserve">20.1% said long wait times to get an appointment meant they were unable to get care from a GP or nurse when they wanted </w:t>
      </w:r>
      <w:proofErr w:type="gramStart"/>
      <w:r w:rsidRPr="00E47714">
        <w:t>it</w:t>
      </w:r>
      <w:proofErr w:type="gramEnd"/>
    </w:p>
    <w:p w14:paraId="4B92AFB8" w14:textId="77777777" w:rsidR="009D4BFA" w:rsidRPr="00E47714" w:rsidRDefault="009D4BFA" w:rsidP="009365E0">
      <w:pPr>
        <w:pStyle w:val="Bullet"/>
      </w:pPr>
      <w:r w:rsidRPr="00E47714">
        <w:t>92.5% said the reception/admin</w:t>
      </w:r>
      <w:r>
        <w:t>istration</w:t>
      </w:r>
      <w:r w:rsidRPr="00E47714">
        <w:t xml:space="preserve"> staff treated them with respect the last time they made an appointment with their health </w:t>
      </w:r>
      <w:proofErr w:type="gramStart"/>
      <w:r w:rsidRPr="00E47714">
        <w:t>clinic</w:t>
      </w:r>
      <w:proofErr w:type="gramEnd"/>
    </w:p>
    <w:p w14:paraId="556C0500" w14:textId="77777777" w:rsidR="009D4BFA" w:rsidRPr="00E47714" w:rsidRDefault="009D4BFA" w:rsidP="009365E0">
      <w:pPr>
        <w:pStyle w:val="Bullet"/>
      </w:pPr>
      <w:r w:rsidRPr="00E47714">
        <w:t xml:space="preserve">10.6% were not as involved in decisions about their treatment and care as much as they wanted to </w:t>
      </w:r>
      <w:proofErr w:type="gramStart"/>
      <w:r w:rsidRPr="00E47714">
        <w:t>be</w:t>
      </w:r>
      <w:proofErr w:type="gramEnd"/>
    </w:p>
    <w:p w14:paraId="2C08C511" w14:textId="77777777" w:rsidR="009D4BFA" w:rsidRPr="00E47714" w:rsidRDefault="009D4BFA" w:rsidP="009365E0">
      <w:pPr>
        <w:pStyle w:val="Bullet"/>
      </w:pPr>
      <w:r w:rsidRPr="00E47714">
        <w:t xml:space="preserve">92.7% said their health care provider explained things in an understandable way </w:t>
      </w:r>
      <w:r>
        <w:fldChar w:fldCharType="begin"/>
      </w:r>
      <w:r>
        <w:instrText xml:space="preserve"> ADDIN EN.CITE &lt;EndNote&gt;&lt;Cite&gt;&lt;Author&gt;HQSC&lt;/Author&gt;&lt;Year&gt;2024&lt;/Year&gt;&lt;RecNum&gt;534&lt;/RecNum&gt;&lt;DisplayText&gt;(HQSC 2024b)&lt;/DisplayText&gt;&lt;record&gt;&lt;rec-number&gt;534&lt;/rec-number&gt;&lt;foreign-keys&gt;&lt;key app="EN" db-id="aaepvppzs5wtfse95vsp2wahsrtvva2vvdet" timestamp="1717556968"&gt;534&lt;/key&gt;&lt;/foreign-keys&gt;&lt;ref-type name="Web Page"&gt;12&lt;/ref-type&gt;&lt;contributors&gt;&lt;authors&gt;&lt;author&gt;HQSC&lt;/author&gt;&lt;/authors&gt;&lt;/contributors&gt;&lt;titles&gt;&lt;title&gt;Aotearoa New Zealand patient experience survey: Adult primary care patient experience explorer&lt;/title&gt;&lt;/titles&gt;&lt;number&gt;5 June 2024&lt;/number&gt;&lt;dates&gt;&lt;year&gt;2024&lt;/year&gt;&lt;/dates&gt;&lt;urls&gt;&lt;related-urls&gt;&lt;url&gt;reports.hqsc.govt.nz/APC-explorer/?_gl=1*wny7hn*_ga*MTAyMzM2NTIxMC4xNzEzMzA3ODQ3*_ga_TG4RCRSBWS*MTcxNzU1NjA4OS4xNC4xLjE3MTc1NTYzMDMuMC4wLjA.#!&lt;/url&gt;&lt;/related-urls&gt;&lt;/urls&gt;&lt;/record&gt;&lt;/Cite&gt;&lt;/EndNote&gt;</w:instrText>
      </w:r>
      <w:r>
        <w:fldChar w:fldCharType="separate"/>
      </w:r>
      <w:r>
        <w:rPr>
          <w:noProof/>
        </w:rPr>
        <w:t>(HQSC 2024b)</w:t>
      </w:r>
      <w:r>
        <w:fldChar w:fldCharType="end"/>
      </w:r>
      <w:r w:rsidRPr="00E47714">
        <w:t xml:space="preserve">. </w:t>
      </w:r>
    </w:p>
    <w:p w14:paraId="677CDE83" w14:textId="77777777" w:rsidR="009D4BFA" w:rsidRPr="00E47714" w:rsidRDefault="009D4BFA" w:rsidP="009D4BFA">
      <w:pPr>
        <w:pStyle w:val="Heading3"/>
      </w:pPr>
      <w:r w:rsidRPr="00E47714">
        <w:t>Hospital specialist services</w:t>
      </w:r>
    </w:p>
    <w:p w14:paraId="3C71306A" w14:textId="77777777" w:rsidR="009D4BFA" w:rsidRDefault="009D4BFA" w:rsidP="009D4BFA">
      <w:r w:rsidRPr="00E47714">
        <w:t>In Aotearoa New Zealand, public hospitals are set up to</w:t>
      </w:r>
      <w:r>
        <w:t>:</w:t>
      </w:r>
    </w:p>
    <w:p w14:paraId="5D5B30C4" w14:textId="77777777" w:rsidR="009D4BFA" w:rsidRDefault="009D4BFA" w:rsidP="009365E0">
      <w:pPr>
        <w:pStyle w:val="Bullet"/>
      </w:pPr>
      <w:r w:rsidRPr="00E47714">
        <w:t xml:space="preserve">provide </w:t>
      </w:r>
      <w:r>
        <w:t>high-</w:t>
      </w:r>
      <w:r w:rsidRPr="00E47714">
        <w:t>quality acute care (defined as time-sensitive care that can result in death or long-term disability if not received in a timely manner)</w:t>
      </w:r>
    </w:p>
    <w:p w14:paraId="0E6ABC61" w14:textId="77777777" w:rsidR="009D4BFA" w:rsidRPr="00E47714" w:rsidRDefault="009D4BFA" w:rsidP="009365E0">
      <w:pPr>
        <w:pStyle w:val="Bullet"/>
      </w:pPr>
      <w:r w:rsidRPr="00E47714">
        <w:lastRenderedPageBreak/>
        <w:t>ensure that as many people as possible have access to planned care (elective/non-acute) services.</w:t>
      </w:r>
    </w:p>
    <w:p w14:paraId="4D5CEF5D" w14:textId="77777777" w:rsidR="009365E0" w:rsidRDefault="009365E0" w:rsidP="009D4BFA">
      <w:pPr>
        <w:rPr>
          <w:color w:val="000000" w:themeColor="text1"/>
        </w:rPr>
      </w:pPr>
    </w:p>
    <w:p w14:paraId="2FC97B4E" w14:textId="40C1295F" w:rsidR="009D4BFA" w:rsidRPr="00E47714" w:rsidRDefault="009D4BFA" w:rsidP="009D4BFA">
      <w:pPr>
        <w:rPr>
          <w:color w:val="000000" w:themeColor="text1"/>
        </w:rPr>
      </w:pPr>
      <w:r w:rsidRPr="00E47714">
        <w:rPr>
          <w:color w:val="000000" w:themeColor="text1"/>
        </w:rPr>
        <w:t>Hospitals currently provide a variety of </w:t>
      </w:r>
      <w:hyperlink r:id="rId83" w:tgtFrame="_blank" w:history="1">
        <w:r w:rsidRPr="00E47714">
          <w:rPr>
            <w:rStyle w:val="Hyperlink"/>
            <w:rFonts w:cs="Segoe UI"/>
            <w:b w:val="0"/>
            <w:bCs/>
            <w:color w:val="000000" w:themeColor="text1"/>
          </w:rPr>
          <w:t>publicly funded health and disability services</w:t>
        </w:r>
      </w:hyperlink>
      <w:r w:rsidRPr="00E47714">
        <w:rPr>
          <w:color w:val="000000" w:themeColor="text1"/>
        </w:rPr>
        <w:t> such as medical, surgical, maternity, diagnostic and emergency services. The</w:t>
      </w:r>
      <w:r>
        <w:rPr>
          <w:color w:val="000000" w:themeColor="text1"/>
        </w:rPr>
        <w:t xml:space="preserve"> way they</w:t>
      </w:r>
      <w:r w:rsidRPr="00E47714">
        <w:rPr>
          <w:color w:val="000000" w:themeColor="text1"/>
        </w:rPr>
        <w:t xml:space="preserve"> provide</w:t>
      </w:r>
      <w:r>
        <w:rPr>
          <w:color w:val="000000" w:themeColor="text1"/>
        </w:rPr>
        <w:t xml:space="preserve"> these services</w:t>
      </w:r>
      <w:r w:rsidRPr="00E47714">
        <w:rPr>
          <w:color w:val="000000" w:themeColor="text1"/>
        </w:rPr>
        <w:t xml:space="preserve"> depend</w:t>
      </w:r>
      <w:r>
        <w:rPr>
          <w:color w:val="000000" w:themeColor="text1"/>
        </w:rPr>
        <w:t>s</w:t>
      </w:r>
      <w:r w:rsidRPr="00E47714">
        <w:rPr>
          <w:color w:val="000000" w:themeColor="text1"/>
        </w:rPr>
        <w:t xml:space="preserve"> on the type of care that a patient needs</w:t>
      </w:r>
      <w:r>
        <w:rPr>
          <w:color w:val="000000" w:themeColor="text1"/>
        </w:rPr>
        <w:t>. Patients may be</w:t>
      </w:r>
      <w:r w:rsidRPr="00E47714">
        <w:rPr>
          <w:color w:val="000000" w:themeColor="text1"/>
        </w:rPr>
        <w:t>:</w:t>
      </w:r>
    </w:p>
    <w:p w14:paraId="5F8C1D4D" w14:textId="77777777" w:rsidR="009D4BFA" w:rsidRPr="00E47714" w:rsidRDefault="009D4BFA" w:rsidP="009365E0">
      <w:pPr>
        <w:pStyle w:val="Bullet"/>
      </w:pPr>
      <w:r w:rsidRPr="00E47714">
        <w:t>inpatients</w:t>
      </w:r>
      <w:r>
        <w:t>, who</w:t>
      </w:r>
      <w:r w:rsidRPr="00E47714">
        <w:t xml:space="preserve"> are admitted to hospital and stay overnight in </w:t>
      </w:r>
      <w:proofErr w:type="gramStart"/>
      <w:r w:rsidRPr="00E47714">
        <w:t>hospital</w:t>
      </w:r>
      <w:proofErr w:type="gramEnd"/>
    </w:p>
    <w:p w14:paraId="1D4CF522" w14:textId="77777777" w:rsidR="009D4BFA" w:rsidRPr="00E47714" w:rsidRDefault="009D4BFA" w:rsidP="009365E0">
      <w:pPr>
        <w:pStyle w:val="Bullet"/>
      </w:pPr>
      <w:r w:rsidRPr="00E47714">
        <w:t>day case patients</w:t>
      </w:r>
      <w:r>
        <w:t>, who</w:t>
      </w:r>
      <w:r w:rsidRPr="00E47714">
        <w:t xml:space="preserve"> are admitted to hospital and discharged later the same </w:t>
      </w:r>
      <w:proofErr w:type="gramStart"/>
      <w:r w:rsidRPr="00E47714">
        <w:t>day</w:t>
      </w:r>
      <w:proofErr w:type="gramEnd"/>
    </w:p>
    <w:p w14:paraId="2C64CAE1" w14:textId="77777777" w:rsidR="009D4BFA" w:rsidRPr="00E47714" w:rsidRDefault="009D4BFA" w:rsidP="009365E0">
      <w:pPr>
        <w:pStyle w:val="Bullet"/>
      </w:pPr>
      <w:r w:rsidRPr="00E47714">
        <w:t>outpatients</w:t>
      </w:r>
      <w:r>
        <w:t>, who</w:t>
      </w:r>
      <w:r w:rsidRPr="00E47714">
        <w:t xml:space="preserve"> attend clinics to receive specialist services without being admitted to hospital.</w:t>
      </w:r>
    </w:p>
    <w:p w14:paraId="31C7F60D" w14:textId="77777777" w:rsidR="009D4BFA" w:rsidRPr="00E47714" w:rsidRDefault="009D4BFA" w:rsidP="009D4BFA">
      <w:pPr>
        <w:pStyle w:val="Heading4"/>
      </w:pPr>
      <w:r w:rsidRPr="00E47714">
        <w:t>Emergency or unplanned care</w:t>
      </w:r>
    </w:p>
    <w:p w14:paraId="5F37222B" w14:textId="01579210" w:rsidR="009D4BFA" w:rsidRDefault="009D4BFA" w:rsidP="009D4BFA">
      <w:r w:rsidRPr="00E47714">
        <w:t>Emergency departments (EDs) treat people who have a serious illness or injury that requires urgent attention. People may be referred to an ED by their doctor/general practitioner</w:t>
      </w:r>
      <w:r>
        <w:t xml:space="preserve"> or</w:t>
      </w:r>
      <w:r w:rsidRPr="00E47714">
        <w:t xml:space="preserve"> the ambulance service, or </w:t>
      </w:r>
      <w:r>
        <w:t>they</w:t>
      </w:r>
      <w:r w:rsidRPr="00E47714">
        <w:t xml:space="preserve"> can self-refer. On arrival at an ED, patients are triaged to assess the illness or injury, </w:t>
      </w:r>
      <w:r>
        <w:t>with the aim of</w:t>
      </w:r>
      <w:r w:rsidRPr="00E47714">
        <w:t xml:space="preserve"> determin</w:t>
      </w:r>
      <w:r>
        <w:t>ing</w:t>
      </w:r>
      <w:r w:rsidRPr="00E47714">
        <w:t xml:space="preserve"> how urgent it is and how soon treatment is required. Patients are seen in order of the seriousness of their condition, with the sickest and most urgent patients seen first.</w:t>
      </w:r>
    </w:p>
    <w:p w14:paraId="178B2A09" w14:textId="77777777" w:rsidR="009365E0" w:rsidRPr="00E47714" w:rsidRDefault="009365E0" w:rsidP="009D4BFA"/>
    <w:p w14:paraId="6126B678" w14:textId="50D853EA" w:rsidR="009D4BFA" w:rsidRDefault="009D4BFA" w:rsidP="009D4BFA">
      <w:r w:rsidRPr="00E47714">
        <w:t xml:space="preserve">In 2023, 829,642 individuals visited EDs in Aotearoa New Zealand (Ministry of Health unpublished data 2024). They made a total of 1,315,218 visits. </w:t>
      </w:r>
      <w:r>
        <w:t>With the exception of</w:t>
      </w:r>
      <w:r w:rsidRPr="00E47714">
        <w:t xml:space="preserve"> 2020, </w:t>
      </w:r>
      <w:r>
        <w:t xml:space="preserve">which was </w:t>
      </w:r>
      <w:r w:rsidRPr="00E47714">
        <w:t xml:space="preserve">at the start of the pandemic, the number of individuals visiting EDs has steadily increased over time. In 2014, around 700,000 individuals visited </w:t>
      </w:r>
      <w:proofErr w:type="spellStart"/>
      <w:r w:rsidRPr="00E47714">
        <w:t>ED</w:t>
      </w:r>
      <w:r>
        <w:t>s</w:t>
      </w:r>
      <w:r w:rsidRPr="00E47714">
        <w:t>.</w:t>
      </w:r>
      <w:proofErr w:type="spellEnd"/>
    </w:p>
    <w:p w14:paraId="161829A4" w14:textId="77777777" w:rsidR="009365E0" w:rsidRPr="00E47714" w:rsidRDefault="009365E0" w:rsidP="009D4BFA"/>
    <w:p w14:paraId="2532F42F" w14:textId="38022A7B" w:rsidR="009D4BFA" w:rsidRDefault="009D4BFA" w:rsidP="009D4BFA">
      <w:r w:rsidRPr="00E47714">
        <w:t>Of the 1,315,218 visits to an ED in 2023, 5.3% (69,078 visits) ended with the person leaving before receiving care. The percentage of people leaving without receiving care has increased over time</w:t>
      </w:r>
      <w:r>
        <w:t>:</w:t>
      </w:r>
      <w:r w:rsidRPr="00E47714">
        <w:t xml:space="preserve"> 1.8% </w:t>
      </w:r>
      <w:r>
        <w:t>were in this category</w:t>
      </w:r>
      <w:r w:rsidRPr="00E47714">
        <w:t xml:space="preserve"> in 2014.</w:t>
      </w:r>
    </w:p>
    <w:p w14:paraId="46248979" w14:textId="77777777" w:rsidR="009365E0" w:rsidRPr="00E47714" w:rsidRDefault="009365E0" w:rsidP="009D4BFA"/>
    <w:p w14:paraId="2ECE79B4" w14:textId="77777777" w:rsidR="009D4BFA" w:rsidRPr="00E47714" w:rsidRDefault="009D4BFA" w:rsidP="009D4BFA">
      <w:r w:rsidRPr="00E47714">
        <w:t>The health target for EDs is for 95% of patients to be admitted</w:t>
      </w:r>
      <w:r>
        <w:t xml:space="preserve"> to</w:t>
      </w:r>
      <w:r w:rsidRPr="00E47714">
        <w:t>,</w:t>
      </w:r>
      <w:r>
        <w:t xml:space="preserve"> or</w:t>
      </w:r>
      <w:r w:rsidRPr="00E47714">
        <w:t xml:space="preserve"> discharged or transferred from an ED within </w:t>
      </w:r>
      <w:r>
        <w:t>six</w:t>
      </w:r>
      <w:r w:rsidRPr="00E47714">
        <w:t xml:space="preserve"> hours.</w:t>
      </w:r>
      <w:r>
        <w:t xml:space="preserve"> Among those visiting an ED who received care:</w:t>
      </w:r>
    </w:p>
    <w:p w14:paraId="421FC4EF" w14:textId="77777777" w:rsidR="009D4BFA" w:rsidRPr="00E47714" w:rsidRDefault="009D4BFA" w:rsidP="009365E0">
      <w:pPr>
        <w:pStyle w:val="Bullet"/>
      </w:pPr>
      <w:r w:rsidRPr="00E47714">
        <w:t xml:space="preserve">873,296 (70.1%) </w:t>
      </w:r>
      <w:r>
        <w:t xml:space="preserve">of patients </w:t>
      </w:r>
      <w:r w:rsidRPr="00E47714">
        <w:t xml:space="preserve">were admitted, discharged or transferred within </w:t>
      </w:r>
      <w:r>
        <w:t>six</w:t>
      </w:r>
      <w:r w:rsidRPr="00E47714">
        <w:t xml:space="preserve"> hours</w:t>
      </w:r>
      <w:r>
        <w:t xml:space="preserve"> in 2023</w:t>
      </w:r>
    </w:p>
    <w:p w14:paraId="57D2D6CB" w14:textId="77777777" w:rsidR="009D4BFA" w:rsidRPr="00E47714" w:rsidRDefault="009D4BFA" w:rsidP="009365E0">
      <w:pPr>
        <w:pStyle w:val="Bullet"/>
      </w:pPr>
      <w:r w:rsidRPr="00E47714">
        <w:t xml:space="preserve">the percentage of people waiting more than </w:t>
      </w:r>
      <w:r>
        <w:t>six</w:t>
      </w:r>
      <w:r w:rsidRPr="00E47714">
        <w:t xml:space="preserve"> hours has increased over time, from 7.9% in 2014 to 29.9% in 2023.</w:t>
      </w:r>
    </w:p>
    <w:p w14:paraId="52EA739D" w14:textId="77777777" w:rsidR="009365E0" w:rsidRDefault="009365E0" w:rsidP="009D4BFA"/>
    <w:p w14:paraId="4E871F02" w14:textId="02BACA2B" w:rsidR="009D4BFA" w:rsidRPr="00E47714" w:rsidRDefault="009D4BFA" w:rsidP="009D4BFA">
      <w:pPr>
        <w:rPr>
          <w:rFonts w:cs="Segoe UI"/>
        </w:rPr>
      </w:pPr>
      <w:r w:rsidRPr="00E47714">
        <w:t xml:space="preserve">In 2023, by </w:t>
      </w:r>
      <w:r>
        <w:t>prioritised</w:t>
      </w:r>
      <w:r w:rsidRPr="00E47714">
        <w:t xml:space="preserve"> ethnic group, Māori made 296,114 visits to EDs (22.5% of all ED visits), Pacific peoples made 114,447 visits (8.7% of all visits), and non-Māori, non-Pacific made 772,952</w:t>
      </w:r>
      <w:r w:rsidRPr="00290A21">
        <w:t xml:space="preserve"> </w:t>
      </w:r>
      <w:r w:rsidRPr="00E47714">
        <w:t xml:space="preserve">visits (68.7%). These proportions visiting EDs </w:t>
      </w:r>
      <w:r>
        <w:t xml:space="preserve">by ethnic group </w:t>
      </w:r>
      <w:r w:rsidRPr="00E47714">
        <w:t>were similar in the previous year.</w:t>
      </w:r>
    </w:p>
    <w:p w14:paraId="30BD73D5" w14:textId="77777777" w:rsidR="009D4BFA" w:rsidRPr="00E47714" w:rsidRDefault="009D4BFA" w:rsidP="009D4BFA">
      <w:pPr>
        <w:pStyle w:val="Heading4"/>
      </w:pPr>
      <w:bookmarkStart w:id="240" w:name="_Ambulatory_sensitive_hospitalisatio"/>
      <w:bookmarkStart w:id="241" w:name="_Ref168409528"/>
      <w:bookmarkEnd w:id="240"/>
      <w:r w:rsidRPr="00E47714">
        <w:t>Ambulatory sensitive hospitalisations</w:t>
      </w:r>
      <w:bookmarkEnd w:id="241"/>
    </w:p>
    <w:p w14:paraId="6F117FA1" w14:textId="77777777" w:rsidR="009D4BFA" w:rsidRPr="00E47714" w:rsidRDefault="009D4BFA" w:rsidP="009D4BFA">
      <w:pPr>
        <w:rPr>
          <w:rFonts w:cs="Segoe UI"/>
        </w:rPr>
      </w:pPr>
      <w:r w:rsidRPr="00E47714">
        <w:t xml:space="preserve">Ambulatory </w:t>
      </w:r>
      <w:r>
        <w:t>s</w:t>
      </w:r>
      <w:r w:rsidRPr="00E47714">
        <w:t xml:space="preserve">ensitive </w:t>
      </w:r>
      <w:r>
        <w:t>h</w:t>
      </w:r>
      <w:r w:rsidRPr="00E47714">
        <w:t xml:space="preserve">ospitalisations (ASH) are a group of mostly acute admissions that </w:t>
      </w:r>
      <w:r>
        <w:t>could</w:t>
      </w:r>
      <w:r w:rsidRPr="00E47714">
        <w:t xml:space="preserve"> potentially</w:t>
      </w:r>
      <w:r>
        <w:t xml:space="preserve"> have been</w:t>
      </w:r>
      <w:r w:rsidRPr="00E47714">
        <w:t xml:space="preserve"> avoid</w:t>
      </w:r>
      <w:r>
        <w:t>ed</w:t>
      </w:r>
      <w:r w:rsidRPr="00E47714">
        <w:t xml:space="preserve"> through preventative or therapeutic intervention in a primary care setting. </w:t>
      </w:r>
      <w:r>
        <w:t xml:space="preserve">Factors that can improve </w:t>
      </w:r>
      <w:r w:rsidRPr="00E47714">
        <w:t xml:space="preserve">ASH rates </w:t>
      </w:r>
      <w:r>
        <w:t>include high-</w:t>
      </w:r>
      <w:r w:rsidRPr="00E47714">
        <w:t>quality primary care services, high</w:t>
      </w:r>
      <w:r>
        <w:t>-</w:t>
      </w:r>
      <w:r w:rsidRPr="00E47714">
        <w:t xml:space="preserve">quality population health care, and </w:t>
      </w:r>
      <w:r>
        <w:t>seamless</w:t>
      </w:r>
      <w:r w:rsidRPr="00E47714">
        <w:t xml:space="preserve"> interfaces between population health, primary/community care and secondary/hospital care</w:t>
      </w:r>
      <w:r>
        <w:t xml:space="preserve"> </w:t>
      </w:r>
      <w:r>
        <w:fldChar w:fldCharType="begin"/>
      </w:r>
      <w:r>
        <w:instrText xml:space="preserve"> ADDIN EN.CITE &lt;EndNote&gt;&lt;Cite&gt;&lt;Author&gt;Ministry of Health &lt;/Author&gt;&lt;Year&gt;2023&lt;/Year&gt;&lt;RecNum&gt;453&lt;/RecNum&gt;&lt;DisplayText&gt;(Ministry of Health 2023c)&lt;/DisplayText&gt;&lt;record&gt;&lt;rec-number&gt;453&lt;/rec-number&gt;&lt;foreign-keys&gt;&lt;key app="EN" db-id="aaepvppzs5wtfse95vsp2wahsrtvva2vvdet" timestamp="1716501270"&gt;453&lt;/key&gt;&lt;/foreign-keys&gt;&lt;ref-type name="Web Page"&gt;12&lt;/ref-type&gt;&lt;contributors&gt;&lt;authors&gt;&lt;author&gt;Ministry of Health ,&lt;/author&gt;&lt;/authors&gt;&lt;/contributors&gt;&lt;titles&gt;&lt;title&gt;Ambulatory Sensitive Hospitalisation (ASH)&lt;/title&gt;&lt;/titles&gt;&lt;number&gt;24 May 2024&lt;/number&gt;&lt;dates&gt;&lt;year&gt;2023&lt;/year&gt;&lt;/dates&gt;&lt;urls&gt;&lt;related-urls&gt;&lt;url&gt;minhealthnz.shinyapps.io/ASH_district_dom&lt;/url&gt;&lt;/related-urls&gt;&lt;/urls&gt;&lt;/record&gt;&lt;/Cite&gt;&lt;/EndNote&gt;</w:instrText>
      </w:r>
      <w:r>
        <w:fldChar w:fldCharType="separate"/>
      </w:r>
      <w:r>
        <w:rPr>
          <w:noProof/>
        </w:rPr>
        <w:t>(Ministry of Health 2023c)</w:t>
      </w:r>
      <w:r>
        <w:fldChar w:fldCharType="end"/>
      </w:r>
      <w:r w:rsidRPr="00E47714">
        <w:t xml:space="preserve">. </w:t>
      </w:r>
    </w:p>
    <w:p w14:paraId="0D5A27BF" w14:textId="789A8738" w:rsidR="009D4BFA" w:rsidRPr="00E47714" w:rsidRDefault="009D4BFA" w:rsidP="009D4BFA">
      <w:pPr>
        <w:rPr>
          <w:rFonts w:cs="Segoe UI"/>
        </w:rPr>
      </w:pPr>
      <w:r w:rsidRPr="00E47714">
        <w:lastRenderedPageBreak/>
        <w:t xml:space="preserve">ASH measurement data includes </w:t>
      </w:r>
      <w:r>
        <w:t>two</w:t>
      </w:r>
      <w:r w:rsidRPr="00E47714">
        <w:t xml:space="preserve"> age groups: 0</w:t>
      </w:r>
      <w:r w:rsidRPr="00E47714">
        <w:rPr>
          <w:rStyle w:val="normaltextrun"/>
          <w:rFonts w:ascii="Calibri" w:hAnsi="Calibri" w:cs="Calibri"/>
          <w:color w:val="000000"/>
          <w:bdr w:val="none" w:sz="0" w:space="0" w:color="auto" w:frame="1"/>
        </w:rPr>
        <w:t>–</w:t>
      </w:r>
      <w:r w:rsidRPr="00E47714">
        <w:t>4 years and 45</w:t>
      </w:r>
      <w:r w:rsidRPr="00E47714">
        <w:rPr>
          <w:rStyle w:val="normaltextrun"/>
          <w:rFonts w:ascii="Calibri" w:hAnsi="Calibri" w:cs="Calibri"/>
          <w:color w:val="000000"/>
          <w:bdr w:val="none" w:sz="0" w:space="0" w:color="auto" w:frame="1"/>
        </w:rPr>
        <w:t>–</w:t>
      </w:r>
      <w:r w:rsidRPr="00E47714">
        <w:t xml:space="preserve">64 years (broken down into </w:t>
      </w:r>
      <w:r>
        <w:t>five</w:t>
      </w:r>
      <w:r w:rsidRPr="00E47714">
        <w:t xml:space="preserve">-year age groups). </w:t>
      </w:r>
      <w:r w:rsidRPr="00E47714">
        <w:fldChar w:fldCharType="begin"/>
      </w:r>
      <w:r w:rsidRPr="00E47714">
        <w:instrText xml:space="preserve"> REF _Ref165879069 \h  \* MERGEFORMAT </w:instrText>
      </w:r>
      <w:r w:rsidRPr="00E47714">
        <w:fldChar w:fldCharType="separate"/>
      </w:r>
      <w:r w:rsidR="009A6F87" w:rsidRPr="00E47714">
        <w:t xml:space="preserve">Figure </w:t>
      </w:r>
      <w:r w:rsidR="009A6F87">
        <w:t>40</w:t>
      </w:r>
      <w:r w:rsidRPr="00E47714">
        <w:fldChar w:fldCharType="end"/>
      </w:r>
      <w:r w:rsidRPr="00E47714">
        <w:t xml:space="preserve"> shows the rate of ASH admissions by age group and ethnic group for the period December 2019 to December 2023. For all age groups, the rate was highest for Pacific peoples. The rate of ASH admissions reduced through 2020, which may have been influenced, at least in part, by preventative measures (hand hygiene, physical distancing, mask wearing) implemented </w:t>
      </w:r>
      <w:r>
        <w:t>in the response to</w:t>
      </w:r>
      <w:r w:rsidRPr="00E47714">
        <w:t xml:space="preserve"> COVID-19. The rate</w:t>
      </w:r>
      <w:r>
        <w:t>s</w:t>
      </w:r>
      <w:r w:rsidRPr="00E47714">
        <w:t xml:space="preserve"> for both</w:t>
      </w:r>
      <w:r w:rsidRPr="00BC7EC3">
        <w:t xml:space="preserve"> </w:t>
      </w:r>
      <w:r w:rsidRPr="00E47714">
        <w:t xml:space="preserve">age groups </w:t>
      </w:r>
      <w:r>
        <w:t>of</w:t>
      </w:r>
      <w:r w:rsidRPr="00E47714">
        <w:t xml:space="preserve"> 0</w:t>
      </w:r>
      <w:r>
        <w:t>–</w:t>
      </w:r>
      <w:r w:rsidRPr="00E47714">
        <w:t>4 year</w:t>
      </w:r>
      <w:r>
        <w:t>s</w:t>
      </w:r>
      <w:r w:rsidRPr="00E47714">
        <w:t xml:space="preserve"> and 45–64</w:t>
      </w:r>
      <w:r>
        <w:t xml:space="preserve"> </w:t>
      </w:r>
      <w:r w:rsidRPr="00E47714">
        <w:t>year</w:t>
      </w:r>
      <w:r>
        <w:t>s</w:t>
      </w:r>
      <w:r w:rsidRPr="00E47714">
        <w:t xml:space="preserve"> have risen through 2021</w:t>
      </w:r>
      <w:r>
        <w:t xml:space="preserve"> to </w:t>
      </w:r>
      <w:r w:rsidRPr="00E47714">
        <w:t xml:space="preserve">2023. </w:t>
      </w:r>
    </w:p>
    <w:p w14:paraId="56B37F5C" w14:textId="36F5FF80" w:rsidR="009D4BFA" w:rsidRPr="00E47714" w:rsidRDefault="009D4BFA" w:rsidP="009365E0">
      <w:pPr>
        <w:pStyle w:val="Figure"/>
      </w:pPr>
      <w:bookmarkStart w:id="242" w:name="_Ref165879069"/>
      <w:bookmarkStart w:id="243" w:name="_Toc171330687"/>
      <w:bookmarkStart w:id="244" w:name="_Toc172104723"/>
      <w:r w:rsidRPr="00E47714">
        <w:t xml:space="preserve">Figure </w:t>
      </w:r>
      <w:fldSimple w:instr=" SEQ Figure \* ARABIC ">
        <w:r w:rsidR="009A6F87">
          <w:rPr>
            <w:noProof/>
          </w:rPr>
          <w:t>40</w:t>
        </w:r>
      </w:fldSimple>
      <w:bookmarkEnd w:id="242"/>
      <w:r w:rsidRPr="00E47714">
        <w:t xml:space="preserve">: Rate of </w:t>
      </w:r>
      <w:r>
        <w:t>a</w:t>
      </w:r>
      <w:r w:rsidRPr="00E47714">
        <w:t xml:space="preserve">mbulatory </w:t>
      </w:r>
      <w:r>
        <w:t>s</w:t>
      </w:r>
      <w:r w:rsidRPr="00E47714">
        <w:t xml:space="preserve">ensitive </w:t>
      </w:r>
      <w:r>
        <w:t>h</w:t>
      </w:r>
      <w:r w:rsidRPr="00E47714">
        <w:t>ospitalisations (ASH), by age group and ethnic group (prioritised ethnicity), 2019</w:t>
      </w:r>
      <w:r w:rsidRPr="00E47714">
        <w:rPr>
          <w:rStyle w:val="normaltextrun"/>
          <w:rFonts w:ascii="Calibri" w:hAnsi="Calibri" w:cs="Calibri"/>
          <w:color w:val="000000"/>
          <w:sz w:val="22"/>
          <w:szCs w:val="22"/>
          <w:bdr w:val="none" w:sz="0" w:space="0" w:color="auto" w:frame="1"/>
        </w:rPr>
        <w:t>–</w:t>
      </w:r>
      <w:r w:rsidRPr="00E47714">
        <w:t>2023</w:t>
      </w:r>
      <w:bookmarkEnd w:id="243"/>
      <w:bookmarkEnd w:id="244"/>
    </w:p>
    <w:p w14:paraId="3F29D65F" w14:textId="77777777" w:rsidR="009D4BFA" w:rsidRPr="00E47714" w:rsidRDefault="009D4BFA" w:rsidP="009365E0">
      <w:pPr>
        <w:pStyle w:val="NormalWeb"/>
        <w:spacing w:before="0" w:beforeAutospacing="0" w:after="0" w:afterAutospacing="0"/>
      </w:pPr>
      <w:r>
        <w:rPr>
          <w:noProof/>
        </w:rPr>
        <w:drawing>
          <wp:inline distT="0" distB="0" distL="0" distR="0" wp14:anchorId="72CC418F" wp14:editId="59991FCF">
            <wp:extent cx="5097780" cy="4080596"/>
            <wp:effectExtent l="0" t="0" r="7620" b="0"/>
            <wp:docPr id="21" name="Picture 21" descr="A series of 5 timeseries line charts showing the rate of ambulatory sensitive hospitalisations per 100,000 from 2019 to 2023 by ethnic groups for the age groups: younger than 5; 45 to 49 years, 50 to 54 years, 55 to 59 years, and 60 to 64 years. In general the rate is highest among Pacific, followed by Māori, and then Other. The total rate is also graphed on the chart. In the younger than 5 age group there is a marked reduction in ambulatory sensitive hospitalisations for 2020 that rebounds following 2020 among all ethnicity groups. There are no clear trends in rates of ambulatory sensitive hospitalisations in the older age groups. The rate of ambulatory sensitive hospitalisations in more than double in Māori and Pacific compared with the Other ethnic group among the old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ries of 5 timeseries line charts showing the rate of ambulatory sensitive hospitalisations per 100,000 from 2019 to 2023 by ethnic groups for the age groups: younger than 5; 45 to 49 years, 50 to 54 years, 55 to 59 years, and 60 to 64 years. In general the rate is highest among Pacific, followed by Māori, and then Other. The total rate is also graphed on the chart. In the younger than 5 age group there is a marked reduction in ambulatory sensitive hospitalisations for 2020 that rebounds following 2020 among all ethnicity groups. There are no clear trends in rates of ambulatory sensitive hospitalisations in the older age groups. The rate of ambulatory sensitive hospitalisations in more than double in Māori and Pacific compared with the Other ethnic group among the older age group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01934" cy="4083921"/>
                    </a:xfrm>
                    <a:prstGeom prst="rect">
                      <a:avLst/>
                    </a:prstGeom>
                    <a:noFill/>
                    <a:ln>
                      <a:noFill/>
                    </a:ln>
                  </pic:spPr>
                </pic:pic>
              </a:graphicData>
            </a:graphic>
          </wp:inline>
        </w:drawing>
      </w:r>
    </w:p>
    <w:p w14:paraId="4311CE35" w14:textId="77777777" w:rsidR="009D4BFA" w:rsidRPr="00E47714" w:rsidRDefault="009D4BFA" w:rsidP="009D4BFA">
      <w:pPr>
        <w:pStyle w:val="Source"/>
        <w:rPr>
          <w:b/>
          <w:bCs/>
        </w:rPr>
      </w:pPr>
      <w:r w:rsidRPr="00E47714">
        <w:rPr>
          <w:b/>
          <w:bCs/>
        </w:rPr>
        <w:t xml:space="preserve">Source: </w:t>
      </w:r>
      <w:r>
        <w:fldChar w:fldCharType="begin"/>
      </w:r>
      <w:r>
        <w:instrText xml:space="preserve"> ADDIN EN.CITE &lt;EndNote&gt;&lt;Cite AuthorYear="1"&gt;&lt;Author&gt;Ministry of Health&lt;/Author&gt;&lt;Year&gt;2024&lt;/Year&gt;&lt;RecNum&gt;531&lt;/RecNum&gt;&lt;DisplayText&gt;Ministry of Health (2024a)&lt;/DisplayText&gt;&lt;record&gt;&lt;rec-number&gt;531&lt;/rec-number&gt;&lt;foreign-keys&gt;&lt;key app="EN" db-id="aaepvppzs5wtfse95vsp2wahsrtvva2vvdet" timestamp="1717554039"&gt;531&lt;/key&gt;&lt;/foreign-keys&gt;&lt;ref-type name="Web Page"&gt;12&lt;/ref-type&gt;&lt;contributors&gt;&lt;authors&gt;&lt;author&gt;Ministry of Health,&lt;/author&gt;&lt;/authors&gt;&lt;/contributors&gt;&lt;titles&gt;&lt;title&gt;Ambulatory sensitive (avoidable) hospital admissions&lt;/title&gt;&lt;/titles&gt;&lt;number&gt;5 June 2024&lt;/number&gt;&lt;dates&gt;&lt;year&gt;2024&lt;/year&gt;&lt;/dates&gt;&lt;urls&gt;&lt;related-urls&gt;&lt;url&gt;health.govt.nz/new-zealand-health-system/accountability-and-funding/planning-and-performance-data/ambulatory-sensitive-avoidable-hospital-admissions&lt;/url&gt;&lt;/related-urls&gt;&lt;/urls&gt;&lt;/record&gt;&lt;/Cite&gt;&lt;/EndNote&gt;</w:instrText>
      </w:r>
      <w:r>
        <w:fldChar w:fldCharType="separate"/>
      </w:r>
      <w:r>
        <w:rPr>
          <w:noProof/>
        </w:rPr>
        <w:t>Ministry of Health (2024a)</w:t>
      </w:r>
      <w:r>
        <w:fldChar w:fldCharType="end"/>
      </w:r>
    </w:p>
    <w:p w14:paraId="07481C5D" w14:textId="77777777" w:rsidR="009365E0" w:rsidRDefault="009365E0" w:rsidP="009D4BFA"/>
    <w:p w14:paraId="1D209CF9" w14:textId="62663D3C" w:rsidR="009D4BFA" w:rsidRPr="00E47714" w:rsidRDefault="009D4BFA" w:rsidP="009D4BFA">
      <w:r w:rsidRPr="00E47714">
        <w:t xml:space="preserve">The top </w:t>
      </w:r>
      <w:r>
        <w:t>five reasons for</w:t>
      </w:r>
      <w:r w:rsidRPr="00E47714">
        <w:t xml:space="preserve"> ASH admissions in the age group 0</w:t>
      </w:r>
      <w:r w:rsidRPr="00E47714">
        <w:rPr>
          <w:rStyle w:val="normaltextrun"/>
          <w:rFonts w:ascii="Calibri" w:hAnsi="Calibri" w:cs="Calibri"/>
          <w:color w:val="000000"/>
          <w:bdr w:val="none" w:sz="0" w:space="0" w:color="auto" w:frame="1"/>
        </w:rPr>
        <w:t>–</w:t>
      </w:r>
      <w:r w:rsidRPr="00E47714">
        <w:t>4 years for the 12 months ended December 2023 were:</w:t>
      </w:r>
    </w:p>
    <w:p w14:paraId="0732CE82" w14:textId="77777777" w:rsidR="009D4BFA" w:rsidRPr="00E47714" w:rsidRDefault="009D4BFA" w:rsidP="009D4BFA">
      <w:pPr>
        <w:pStyle w:val="ListParagraph"/>
        <w:numPr>
          <w:ilvl w:val="0"/>
          <w:numId w:val="10"/>
        </w:numPr>
        <w:spacing w:before="90" w:after="0" w:line="240" w:lineRule="auto"/>
        <w:ind w:left="357" w:hanging="357"/>
        <w:contextualSpacing w:val="0"/>
        <w:rPr>
          <w:rFonts w:cs="Segoe UI"/>
        </w:rPr>
      </w:pPr>
      <w:r>
        <w:rPr>
          <w:rFonts w:cs="Segoe UI"/>
        </w:rPr>
        <w:t>a</w:t>
      </w:r>
      <w:r w:rsidRPr="00E47714">
        <w:rPr>
          <w:rFonts w:cs="Segoe UI"/>
        </w:rPr>
        <w:t>sthma, with 5,404 admissions</w:t>
      </w:r>
    </w:p>
    <w:p w14:paraId="432900BB" w14:textId="77777777" w:rsidR="009D4BFA" w:rsidRPr="00E47714" w:rsidRDefault="009D4BFA" w:rsidP="009D4BFA">
      <w:pPr>
        <w:pStyle w:val="ListParagraph"/>
        <w:numPr>
          <w:ilvl w:val="0"/>
          <w:numId w:val="10"/>
        </w:numPr>
        <w:spacing w:before="90" w:after="0" w:line="240" w:lineRule="auto"/>
        <w:ind w:left="357" w:hanging="357"/>
        <w:contextualSpacing w:val="0"/>
        <w:rPr>
          <w:rFonts w:cs="Segoe UI"/>
        </w:rPr>
      </w:pPr>
      <w:r>
        <w:rPr>
          <w:rFonts w:cs="Segoe UI"/>
        </w:rPr>
        <w:t>u</w:t>
      </w:r>
      <w:r w:rsidRPr="00E47714">
        <w:rPr>
          <w:rFonts w:cs="Segoe UI"/>
        </w:rPr>
        <w:t xml:space="preserve">pper, and </w:t>
      </w:r>
      <w:r>
        <w:rPr>
          <w:rFonts w:cs="Segoe UI"/>
        </w:rPr>
        <w:t>e</w:t>
      </w:r>
      <w:r w:rsidRPr="00E47714">
        <w:rPr>
          <w:rFonts w:cs="Segoe UI"/>
        </w:rPr>
        <w:t xml:space="preserve">ar, </w:t>
      </w:r>
      <w:r>
        <w:rPr>
          <w:rFonts w:cs="Segoe UI"/>
        </w:rPr>
        <w:t>n</w:t>
      </w:r>
      <w:r w:rsidRPr="00E47714">
        <w:rPr>
          <w:rFonts w:cs="Segoe UI"/>
        </w:rPr>
        <w:t>ose</w:t>
      </w:r>
      <w:r>
        <w:rPr>
          <w:rFonts w:cs="Segoe UI"/>
        </w:rPr>
        <w:t xml:space="preserve"> and</w:t>
      </w:r>
      <w:r w:rsidRPr="00E47714">
        <w:rPr>
          <w:rFonts w:cs="Segoe UI"/>
        </w:rPr>
        <w:t xml:space="preserve"> </w:t>
      </w:r>
      <w:r>
        <w:rPr>
          <w:rFonts w:cs="Segoe UI"/>
        </w:rPr>
        <w:t>t</w:t>
      </w:r>
      <w:r w:rsidRPr="00E47714">
        <w:rPr>
          <w:rFonts w:cs="Segoe UI"/>
        </w:rPr>
        <w:t>hroat (ENT) respiratory infections, with 4,790 admissions</w:t>
      </w:r>
    </w:p>
    <w:p w14:paraId="170DE5EB" w14:textId="77777777" w:rsidR="009D4BFA" w:rsidRPr="00E47714" w:rsidRDefault="009D4BFA" w:rsidP="009D4BFA">
      <w:pPr>
        <w:pStyle w:val="ListParagraph"/>
        <w:numPr>
          <w:ilvl w:val="0"/>
          <w:numId w:val="10"/>
        </w:numPr>
        <w:spacing w:before="90" w:after="0" w:line="240" w:lineRule="auto"/>
        <w:ind w:left="357" w:hanging="357"/>
        <w:contextualSpacing w:val="0"/>
        <w:rPr>
          <w:rFonts w:cs="Segoe UI"/>
        </w:rPr>
      </w:pPr>
      <w:r>
        <w:rPr>
          <w:rFonts w:cs="Segoe UI"/>
        </w:rPr>
        <w:t>g</w:t>
      </w:r>
      <w:r w:rsidRPr="00E47714">
        <w:rPr>
          <w:rFonts w:cs="Segoe UI"/>
        </w:rPr>
        <w:t>astroenteritis/dehydration, with 3,719 admissions</w:t>
      </w:r>
    </w:p>
    <w:p w14:paraId="0B3A3600" w14:textId="77777777" w:rsidR="009D4BFA" w:rsidRPr="00E47714" w:rsidRDefault="009D4BFA" w:rsidP="009D4BFA">
      <w:pPr>
        <w:pStyle w:val="ListParagraph"/>
        <w:numPr>
          <w:ilvl w:val="0"/>
          <w:numId w:val="10"/>
        </w:numPr>
        <w:spacing w:before="90" w:after="0" w:line="240" w:lineRule="auto"/>
        <w:ind w:left="357" w:hanging="357"/>
        <w:contextualSpacing w:val="0"/>
        <w:rPr>
          <w:rFonts w:cs="Segoe UI"/>
        </w:rPr>
      </w:pPr>
      <w:r>
        <w:rPr>
          <w:rFonts w:cs="Segoe UI"/>
        </w:rPr>
        <w:t>d</w:t>
      </w:r>
      <w:r w:rsidRPr="00E47714">
        <w:rPr>
          <w:rFonts w:cs="Segoe UI"/>
        </w:rPr>
        <w:t>ental conditions, with 2,514 admissions</w:t>
      </w:r>
    </w:p>
    <w:p w14:paraId="5336585E" w14:textId="77777777" w:rsidR="009D4BFA" w:rsidRPr="00E47714" w:rsidRDefault="009D4BFA" w:rsidP="009D4BFA">
      <w:pPr>
        <w:pStyle w:val="ListParagraph"/>
        <w:numPr>
          <w:ilvl w:val="0"/>
          <w:numId w:val="10"/>
        </w:numPr>
        <w:spacing w:before="90" w:after="0" w:line="240" w:lineRule="auto"/>
        <w:ind w:left="357" w:hanging="357"/>
        <w:contextualSpacing w:val="0"/>
        <w:rPr>
          <w:rFonts w:cs="Segoe UI"/>
        </w:rPr>
      </w:pPr>
      <w:r>
        <w:rPr>
          <w:rFonts w:cs="Segoe UI"/>
        </w:rPr>
        <w:t>l</w:t>
      </w:r>
      <w:r w:rsidRPr="00E47714">
        <w:rPr>
          <w:rFonts w:cs="Segoe UI"/>
        </w:rPr>
        <w:t>ower respiratory infections, with 1,463 admissions.</w:t>
      </w:r>
    </w:p>
    <w:p w14:paraId="66E8FB18" w14:textId="77777777" w:rsidR="009D4BFA" w:rsidRPr="00E47714" w:rsidRDefault="009D4BFA" w:rsidP="009365E0"/>
    <w:p w14:paraId="12F5A59B" w14:textId="5C2E0A9E" w:rsidR="009D4BFA" w:rsidRDefault="009D4BFA" w:rsidP="009D4BFA">
      <w:r w:rsidRPr="00E47714">
        <w:t xml:space="preserve">The top </w:t>
      </w:r>
      <w:r>
        <w:t>five reasons for</w:t>
      </w:r>
      <w:r w:rsidRPr="00E47714">
        <w:t xml:space="preserve"> ASH admissions in the age group 45</w:t>
      </w:r>
      <w:r w:rsidRPr="00E47714">
        <w:rPr>
          <w:rStyle w:val="normaltextrun"/>
          <w:rFonts w:ascii="Calibri" w:hAnsi="Calibri" w:cs="Calibri"/>
          <w:color w:val="000000"/>
          <w:bdr w:val="none" w:sz="0" w:space="0" w:color="auto" w:frame="1"/>
        </w:rPr>
        <w:t>–</w:t>
      </w:r>
      <w:r w:rsidRPr="00E47714">
        <w:t>64 years for the 12 months ended December 2023 were:</w:t>
      </w:r>
    </w:p>
    <w:p w14:paraId="6D5A3F0A" w14:textId="77777777" w:rsidR="0095333A" w:rsidRPr="00E47714" w:rsidRDefault="0095333A" w:rsidP="009D4BFA"/>
    <w:p w14:paraId="74DEF5A2" w14:textId="77777777" w:rsidR="009D4BFA" w:rsidRPr="00E47714" w:rsidRDefault="009D4BFA" w:rsidP="009D4BFA">
      <w:pPr>
        <w:pStyle w:val="ListParagraph"/>
        <w:numPr>
          <w:ilvl w:val="0"/>
          <w:numId w:val="12"/>
        </w:numPr>
        <w:spacing w:before="90" w:after="0" w:line="240" w:lineRule="auto"/>
        <w:contextualSpacing w:val="0"/>
        <w:rPr>
          <w:rFonts w:cs="Segoe UI"/>
        </w:rPr>
      </w:pPr>
      <w:r>
        <w:rPr>
          <w:rFonts w:cs="Segoe UI"/>
        </w:rPr>
        <w:lastRenderedPageBreak/>
        <w:t>a</w:t>
      </w:r>
      <w:r w:rsidRPr="00E47714">
        <w:rPr>
          <w:rFonts w:cs="Segoe UI"/>
        </w:rPr>
        <w:t>ngina and chest pain, with 12,928 admissions</w:t>
      </w:r>
    </w:p>
    <w:p w14:paraId="28824F40" w14:textId="77777777" w:rsidR="009D4BFA" w:rsidRPr="00E47714" w:rsidRDefault="009D4BFA" w:rsidP="009D4BFA">
      <w:pPr>
        <w:pStyle w:val="ListParagraph"/>
        <w:numPr>
          <w:ilvl w:val="0"/>
          <w:numId w:val="12"/>
        </w:numPr>
        <w:spacing w:before="90" w:after="0" w:line="240" w:lineRule="auto"/>
        <w:ind w:left="357" w:hanging="357"/>
        <w:contextualSpacing w:val="0"/>
        <w:rPr>
          <w:rFonts w:cs="Segoe UI"/>
        </w:rPr>
      </w:pPr>
      <w:r>
        <w:rPr>
          <w:rFonts w:cs="Segoe UI"/>
        </w:rPr>
        <w:t>c</w:t>
      </w:r>
      <w:r w:rsidRPr="00E47714">
        <w:rPr>
          <w:rFonts w:cs="Segoe UI"/>
        </w:rPr>
        <w:t>ellulitis, with 4,543 admissions</w:t>
      </w:r>
    </w:p>
    <w:p w14:paraId="2A27066B" w14:textId="77777777" w:rsidR="009D4BFA" w:rsidRPr="00E47714" w:rsidRDefault="009D4BFA" w:rsidP="009D4BFA">
      <w:pPr>
        <w:pStyle w:val="ListParagraph"/>
        <w:numPr>
          <w:ilvl w:val="0"/>
          <w:numId w:val="12"/>
        </w:numPr>
        <w:spacing w:before="90" w:after="0" w:line="240" w:lineRule="auto"/>
        <w:ind w:left="357" w:hanging="357"/>
        <w:contextualSpacing w:val="0"/>
        <w:rPr>
          <w:rFonts w:cs="Segoe UI"/>
        </w:rPr>
      </w:pPr>
      <w:r>
        <w:rPr>
          <w:rFonts w:cs="Segoe UI"/>
        </w:rPr>
        <w:t>m</w:t>
      </w:r>
      <w:r w:rsidRPr="00E47714">
        <w:rPr>
          <w:rFonts w:cs="Segoe UI"/>
        </w:rPr>
        <w:t>yocardial infraction (heart attack), with 3,758 admissions</w:t>
      </w:r>
    </w:p>
    <w:p w14:paraId="362E0B3E" w14:textId="77777777" w:rsidR="009D4BFA" w:rsidRPr="00E47714" w:rsidRDefault="009D4BFA" w:rsidP="009D4BFA">
      <w:pPr>
        <w:pStyle w:val="ListParagraph"/>
        <w:numPr>
          <w:ilvl w:val="0"/>
          <w:numId w:val="12"/>
        </w:numPr>
        <w:spacing w:before="90" w:after="0" w:line="240" w:lineRule="auto"/>
        <w:ind w:left="357" w:hanging="357"/>
        <w:contextualSpacing w:val="0"/>
        <w:rPr>
          <w:rFonts w:cs="Segoe UI"/>
        </w:rPr>
      </w:pPr>
      <w:r>
        <w:rPr>
          <w:rFonts w:cs="Segoe UI"/>
        </w:rPr>
        <w:t>g</w:t>
      </w:r>
      <w:r w:rsidRPr="00E47714">
        <w:rPr>
          <w:rFonts w:cs="Segoe UI"/>
        </w:rPr>
        <w:t>astroenteritis/dehydration, with 3,710 admissions</w:t>
      </w:r>
    </w:p>
    <w:p w14:paraId="1F72113B" w14:textId="77777777" w:rsidR="009D4BFA" w:rsidRPr="00E47714" w:rsidRDefault="009D4BFA" w:rsidP="009D4BFA">
      <w:pPr>
        <w:pStyle w:val="ListParagraph"/>
        <w:numPr>
          <w:ilvl w:val="0"/>
          <w:numId w:val="12"/>
        </w:numPr>
        <w:spacing w:before="90" w:after="0" w:line="240" w:lineRule="auto"/>
        <w:ind w:left="357" w:hanging="357"/>
        <w:contextualSpacing w:val="0"/>
        <w:rPr>
          <w:rFonts w:cs="Segoe UI"/>
        </w:rPr>
      </w:pPr>
      <w:r>
        <w:rPr>
          <w:rFonts w:cs="Segoe UI"/>
        </w:rPr>
        <w:t>p</w:t>
      </w:r>
      <w:r w:rsidRPr="00E47714">
        <w:rPr>
          <w:rFonts w:cs="Segoe UI"/>
        </w:rPr>
        <w:t>neumonia, with 3,204 admissions.</w:t>
      </w:r>
    </w:p>
    <w:p w14:paraId="3F60E05A" w14:textId="77777777" w:rsidR="009D4BFA" w:rsidRPr="00E47714" w:rsidRDefault="009D4BFA" w:rsidP="009D4BFA">
      <w:pPr>
        <w:pStyle w:val="Heading4"/>
      </w:pPr>
      <w:r w:rsidRPr="00E47714">
        <w:t xml:space="preserve">Planned </w:t>
      </w:r>
      <w:proofErr w:type="gramStart"/>
      <w:r w:rsidRPr="00E47714">
        <w:t>care</w:t>
      </w:r>
      <w:proofErr w:type="gramEnd"/>
    </w:p>
    <w:p w14:paraId="028BC36D" w14:textId="77777777" w:rsidR="009D4BFA" w:rsidRDefault="009D4BFA" w:rsidP="009D4BFA">
      <w:r w:rsidRPr="00E47714">
        <w:t xml:space="preserve">Planned </w:t>
      </w:r>
      <w:r>
        <w:t>c</w:t>
      </w:r>
      <w:r w:rsidRPr="00E47714">
        <w:t>are</w:t>
      </w:r>
      <w:r>
        <w:t xml:space="preserve"> involves</w:t>
      </w:r>
      <w:r w:rsidRPr="00E47714">
        <w:t xml:space="preserve"> medical and surgical care (traditionally known as </w:t>
      </w:r>
      <w:r>
        <w:t>e</w:t>
      </w:r>
      <w:r w:rsidRPr="00E47714">
        <w:t xml:space="preserve">lective or </w:t>
      </w:r>
      <w:r>
        <w:t>a</w:t>
      </w:r>
      <w:r w:rsidRPr="00E47714">
        <w:t xml:space="preserve">rranged services) that </w:t>
      </w:r>
      <w:r>
        <w:t>is</w:t>
      </w:r>
      <w:r w:rsidRPr="00E47714">
        <w:t xml:space="preserve"> delivered in hospitals for people who do not need to be treated right away </w:t>
      </w:r>
      <w:r>
        <w:fldChar w:fldCharType="begin"/>
      </w:r>
      <w:r>
        <w:instrText xml:space="preserve"> ADDIN EN.CITE &lt;EndNote&gt;&lt;Cite&gt;&lt;Author&gt;Health NZ&lt;/Author&gt;&lt;Year&gt;2024&lt;/Year&gt;&lt;RecNum&gt;508&lt;/RecNum&gt;&lt;DisplayText&gt;(Health NZ 2024n)&lt;/DisplayText&gt;&lt;record&gt;&lt;rec-number&gt;508&lt;/rec-number&gt;&lt;foreign-keys&gt;&lt;key app="EN" db-id="aaepvppzs5wtfse95vsp2wahsrtvva2vvdet" timestamp="1716766516"&gt;508&lt;/key&gt;&lt;/foreign-keys&gt;&lt;ref-type name="Web Page"&gt;12&lt;/ref-type&gt;&lt;contributors&gt;&lt;authors&gt;&lt;author&gt;Health NZ,&lt;/author&gt;&lt;/authors&gt;&lt;/contributors&gt;&lt;titles&gt;&lt;title&gt;Questions and answers – Planned care services&lt;/title&gt;&lt;/titles&gt;&lt;number&gt;27 May 2024&lt;/number&gt;&lt;dates&gt;&lt;year&gt;2024&lt;/year&gt;&lt;/dates&gt;&lt;urls&gt;&lt;related-urls&gt;&lt;url&gt;tewhatuora.govt.nz/health-services-and-programmes/planned-care-services/questions-and-answers-planned-care-services&lt;/url&gt;&lt;/related-urls&gt;&lt;/urls&gt;&lt;/record&gt;&lt;/Cite&gt;&lt;/EndNote&gt;</w:instrText>
      </w:r>
      <w:r>
        <w:fldChar w:fldCharType="separate"/>
      </w:r>
      <w:r>
        <w:rPr>
          <w:noProof/>
        </w:rPr>
        <w:t>(Health NZ 2024n)</w:t>
      </w:r>
      <w:r>
        <w:fldChar w:fldCharType="end"/>
      </w:r>
      <w:r w:rsidRPr="00E47714">
        <w:t xml:space="preserve">. </w:t>
      </w:r>
    </w:p>
    <w:p w14:paraId="1D8EC885" w14:textId="77777777" w:rsidR="00720461" w:rsidRPr="00E47714" w:rsidRDefault="00720461" w:rsidP="009D4BFA"/>
    <w:p w14:paraId="46D4E132" w14:textId="77777777" w:rsidR="009D4BFA" w:rsidRPr="00E47714" w:rsidRDefault="009D4BFA" w:rsidP="009D4BFA">
      <w:r>
        <w:t>On</w:t>
      </w:r>
      <w:r w:rsidRPr="00E47714">
        <w:t xml:space="preserve"> a person’s planned care journey</w:t>
      </w:r>
      <w:r>
        <w:t>, the usual steps are that</w:t>
      </w:r>
      <w:r w:rsidRPr="00E47714">
        <w:t>:</w:t>
      </w:r>
    </w:p>
    <w:p w14:paraId="6FD028A2" w14:textId="77777777" w:rsidR="009D4BFA" w:rsidRPr="00E47714" w:rsidRDefault="009D4BFA" w:rsidP="0095333A">
      <w:pPr>
        <w:pStyle w:val="Bullet"/>
      </w:pPr>
      <w:r w:rsidRPr="00E47714">
        <w:t xml:space="preserve">a general practitioner </w:t>
      </w:r>
      <w:r>
        <w:t>or</w:t>
      </w:r>
      <w:r w:rsidRPr="00E47714">
        <w:t xml:space="preserve"> primary care </w:t>
      </w:r>
      <w:r>
        <w:t xml:space="preserve">service refers them </w:t>
      </w:r>
      <w:r w:rsidRPr="00E47714">
        <w:t xml:space="preserve">for a specialist </w:t>
      </w:r>
      <w:proofErr w:type="gramStart"/>
      <w:r w:rsidRPr="00E47714">
        <w:t>assessment</w:t>
      </w:r>
      <w:proofErr w:type="gramEnd"/>
    </w:p>
    <w:p w14:paraId="1FB3CE28" w14:textId="77777777" w:rsidR="009D4BFA" w:rsidRPr="00E47714" w:rsidRDefault="009D4BFA" w:rsidP="0095333A">
      <w:pPr>
        <w:pStyle w:val="Bullet"/>
      </w:pPr>
      <w:r>
        <w:t>they receive a f</w:t>
      </w:r>
      <w:r w:rsidRPr="00E47714">
        <w:t xml:space="preserve">irst specialist assessment (FSA) and diagnostic </w:t>
      </w:r>
      <w:proofErr w:type="gramStart"/>
      <w:r w:rsidRPr="00E47714">
        <w:t>tests</w:t>
      </w:r>
      <w:proofErr w:type="gramEnd"/>
    </w:p>
    <w:p w14:paraId="4FF89F62" w14:textId="77777777" w:rsidR="009D4BFA" w:rsidRPr="00E47714" w:rsidRDefault="009D4BFA" w:rsidP="0095333A">
      <w:pPr>
        <w:pStyle w:val="Bullet"/>
      </w:pPr>
      <w:r>
        <w:t xml:space="preserve">they receive </w:t>
      </w:r>
      <w:proofErr w:type="gramStart"/>
      <w:r>
        <w:t>t</w:t>
      </w:r>
      <w:r w:rsidRPr="00E47714">
        <w:t>reatment</w:t>
      </w:r>
      <w:proofErr w:type="gramEnd"/>
    </w:p>
    <w:p w14:paraId="10075E0D" w14:textId="77777777" w:rsidR="009D4BFA" w:rsidRPr="00E47714" w:rsidRDefault="009D4BFA" w:rsidP="0095333A">
      <w:pPr>
        <w:pStyle w:val="Bullet"/>
      </w:pPr>
      <w:r>
        <w:t>they receive s</w:t>
      </w:r>
      <w:r w:rsidRPr="00E47714">
        <w:t>pecialist follow-up</w:t>
      </w:r>
      <w:r w:rsidRPr="00E47714" w:rsidDel="00ED538A">
        <w:t xml:space="preserve"> </w:t>
      </w:r>
      <w:r w:rsidRPr="00E47714">
        <w:t>and/or return to the care of the</w:t>
      </w:r>
      <w:r>
        <w:t>ir</w:t>
      </w:r>
      <w:r w:rsidRPr="00E47714">
        <w:t xml:space="preserve"> general practice.</w:t>
      </w:r>
    </w:p>
    <w:p w14:paraId="2D4F48AE" w14:textId="77777777" w:rsidR="0095333A" w:rsidRDefault="0095333A" w:rsidP="009D4BFA"/>
    <w:p w14:paraId="05AFDE56" w14:textId="0422276E" w:rsidR="009D4BFA" w:rsidRDefault="009D4BFA" w:rsidP="009D4BFA">
      <w:r w:rsidRPr="00E47714">
        <w:t>The following health targets are being implemented in 2024 for planned care</w:t>
      </w:r>
      <w:r>
        <w:t xml:space="preserve">. </w:t>
      </w:r>
    </w:p>
    <w:p w14:paraId="46F132E7" w14:textId="77005007" w:rsidR="009D4BFA" w:rsidRDefault="009D4BFA" w:rsidP="0095333A">
      <w:pPr>
        <w:pStyle w:val="Bullet"/>
        <w:rPr>
          <w:lang w:eastAsia="en-NZ"/>
        </w:rPr>
      </w:pPr>
      <w:r>
        <w:t xml:space="preserve">For </w:t>
      </w:r>
      <w:r w:rsidR="00720461">
        <w:rPr>
          <w:b/>
          <w:bCs/>
          <w:lang w:eastAsia="en-NZ"/>
        </w:rPr>
        <w:t>f</w:t>
      </w:r>
      <w:r w:rsidRPr="00E47714">
        <w:rPr>
          <w:b/>
          <w:bCs/>
          <w:lang w:eastAsia="en-NZ"/>
        </w:rPr>
        <w:t>irst specialist assessment:</w:t>
      </w:r>
      <w:r w:rsidRPr="00E47714">
        <w:rPr>
          <w:lang w:eastAsia="en-NZ"/>
        </w:rPr>
        <w:t xml:space="preserve"> </w:t>
      </w:r>
      <w:r>
        <w:rPr>
          <w:lang w:eastAsia="en-NZ"/>
        </w:rPr>
        <w:t>th</w:t>
      </w:r>
      <w:r w:rsidR="00F337B0">
        <w:rPr>
          <w:lang w:eastAsia="en-NZ"/>
        </w:rPr>
        <w:t>at</w:t>
      </w:r>
      <w:r>
        <w:rPr>
          <w:lang w:eastAsia="en-NZ"/>
        </w:rPr>
        <w:t xml:space="preserve"> </w:t>
      </w:r>
      <w:r w:rsidRPr="00E47714">
        <w:rPr>
          <w:lang w:eastAsia="en-NZ"/>
        </w:rPr>
        <w:t xml:space="preserve">95% of patients wait less than </w:t>
      </w:r>
      <w:r>
        <w:rPr>
          <w:lang w:eastAsia="en-NZ"/>
        </w:rPr>
        <w:t>four</w:t>
      </w:r>
      <w:r w:rsidRPr="00E47714">
        <w:rPr>
          <w:lang w:eastAsia="en-NZ"/>
        </w:rPr>
        <w:t xml:space="preserve"> months for an FSA.</w:t>
      </w:r>
      <w:r>
        <w:rPr>
          <w:lang w:eastAsia="en-NZ"/>
        </w:rPr>
        <w:t xml:space="preserve"> </w:t>
      </w:r>
    </w:p>
    <w:p w14:paraId="2E3AA175" w14:textId="65F3BC7D" w:rsidR="009D4BFA" w:rsidRDefault="009D4BFA" w:rsidP="0095333A">
      <w:pPr>
        <w:pStyle w:val="Bullet"/>
        <w:rPr>
          <w:lang w:eastAsia="en-NZ"/>
        </w:rPr>
      </w:pPr>
      <w:r>
        <w:rPr>
          <w:lang w:eastAsia="en-NZ"/>
        </w:rPr>
        <w:t xml:space="preserve">For </w:t>
      </w:r>
      <w:r w:rsidR="00720461">
        <w:rPr>
          <w:b/>
          <w:bCs/>
          <w:lang w:eastAsia="en-NZ"/>
        </w:rPr>
        <w:t>t</w:t>
      </w:r>
      <w:r w:rsidRPr="00E47714">
        <w:rPr>
          <w:b/>
          <w:bCs/>
          <w:lang w:eastAsia="en-NZ"/>
        </w:rPr>
        <w:t xml:space="preserve">reatment: </w:t>
      </w:r>
      <w:r w:rsidRPr="00E47714">
        <w:rPr>
          <w:lang w:eastAsia="en-NZ"/>
        </w:rPr>
        <w:t xml:space="preserve">that 95% of patients wait less than </w:t>
      </w:r>
      <w:r>
        <w:rPr>
          <w:lang w:eastAsia="en-NZ"/>
        </w:rPr>
        <w:t>four</w:t>
      </w:r>
      <w:r w:rsidRPr="00E47714">
        <w:rPr>
          <w:lang w:eastAsia="en-NZ"/>
        </w:rPr>
        <w:t xml:space="preserve"> months for elective treatment after the FSA. </w:t>
      </w:r>
    </w:p>
    <w:p w14:paraId="4A5C4685" w14:textId="77777777" w:rsidR="0095333A" w:rsidRDefault="0095333A" w:rsidP="009D4BFA">
      <w:pPr>
        <w:pStyle w:val="ListBullet"/>
        <w:numPr>
          <w:ilvl w:val="0"/>
          <w:numId w:val="0"/>
        </w:numPr>
        <w:ind w:left="360" w:hanging="360"/>
        <w:rPr>
          <w:lang w:eastAsia="en-NZ"/>
        </w:rPr>
      </w:pPr>
    </w:p>
    <w:p w14:paraId="1A50E1AB" w14:textId="2665ACC8" w:rsidR="009D4BFA" w:rsidRDefault="009D4BFA" w:rsidP="009D4BFA">
      <w:pPr>
        <w:pStyle w:val="ListBullet"/>
        <w:numPr>
          <w:ilvl w:val="0"/>
          <w:numId w:val="0"/>
        </w:numPr>
        <w:ind w:left="360" w:hanging="360"/>
        <w:rPr>
          <w:lang w:eastAsia="en-NZ"/>
        </w:rPr>
      </w:pPr>
      <w:r w:rsidRPr="00E47714">
        <w:rPr>
          <w:lang w:eastAsia="en-NZ"/>
        </w:rPr>
        <w:t>At the end of December 2023</w:t>
      </w:r>
      <w:r w:rsidR="004A76FD">
        <w:rPr>
          <w:lang w:eastAsia="en-NZ"/>
        </w:rPr>
        <w:t>:</w:t>
      </w:r>
    </w:p>
    <w:p w14:paraId="2BEE20A2" w14:textId="77777777" w:rsidR="009D4BFA" w:rsidRDefault="009D4BFA" w:rsidP="0095333A">
      <w:pPr>
        <w:pStyle w:val="Bullet"/>
      </w:pPr>
      <w:r w:rsidRPr="00E47714">
        <w:t xml:space="preserve">36.5% of patients had waited longer than </w:t>
      </w:r>
      <w:r>
        <w:t>four</w:t>
      </w:r>
      <w:r w:rsidRPr="00E47714">
        <w:t xml:space="preserve"> months for their FSA. </w:t>
      </w:r>
    </w:p>
    <w:p w14:paraId="6966B393" w14:textId="77777777" w:rsidR="009D4BFA" w:rsidRDefault="009D4BFA" w:rsidP="0095333A">
      <w:pPr>
        <w:pStyle w:val="Bullet"/>
      </w:pPr>
      <w:r>
        <w:t>O</w:t>
      </w:r>
      <w:r w:rsidRPr="00E47714">
        <w:t xml:space="preserve">f the patients who had been given a commitment to treatment, 39.7% </w:t>
      </w:r>
      <w:r>
        <w:t>had</w:t>
      </w:r>
      <w:r w:rsidRPr="00E47714">
        <w:t xml:space="preserve"> wait</w:t>
      </w:r>
      <w:r>
        <w:t>ed</w:t>
      </w:r>
      <w:r w:rsidRPr="00E47714">
        <w:t xml:space="preserve"> longer than </w:t>
      </w:r>
      <w:r>
        <w:t>four</w:t>
      </w:r>
      <w:r w:rsidRPr="00E47714">
        <w:t xml:space="preserve"> months for that treatment.</w:t>
      </w:r>
      <w:r w:rsidRPr="006F0575">
        <w:t xml:space="preserve"> </w:t>
      </w:r>
    </w:p>
    <w:p w14:paraId="0E275131" w14:textId="77777777" w:rsidR="0095333A" w:rsidRDefault="0095333A" w:rsidP="009D4BFA"/>
    <w:p w14:paraId="24040E9B" w14:textId="20032F5E" w:rsidR="009D4BFA" w:rsidRPr="00E47714" w:rsidRDefault="009D4BFA" w:rsidP="009D4BFA">
      <w:pPr>
        <w:rPr>
          <w:rFonts w:cs="Segoe UI"/>
        </w:rPr>
      </w:pPr>
      <w:r w:rsidRPr="00E47714">
        <w:fldChar w:fldCharType="begin"/>
      </w:r>
      <w:r w:rsidRPr="00E47714">
        <w:instrText xml:space="preserve"> REF _Ref167621404 \h  \* MERGEFORMAT </w:instrText>
      </w:r>
      <w:r w:rsidRPr="00E47714">
        <w:fldChar w:fldCharType="separate"/>
      </w:r>
      <w:r w:rsidR="009A6F87" w:rsidRPr="00E47714">
        <w:t xml:space="preserve">Figure </w:t>
      </w:r>
      <w:r w:rsidR="009A6F87">
        <w:t>41</w:t>
      </w:r>
      <w:r w:rsidRPr="00E47714">
        <w:fldChar w:fldCharType="end"/>
      </w:r>
      <w:r w:rsidRPr="00E47714">
        <w:t xml:space="preserve"> shows the proportion of patients who waited longer than </w:t>
      </w:r>
      <w:r>
        <w:t>four</w:t>
      </w:r>
      <w:r w:rsidRPr="00E47714">
        <w:t xml:space="preserve"> months for specialist assessment or treatment between January 2020 to January 2024. Wait times for specialist assessment have generally increased during this time. Wait times for treatment show a pattern of increase to January 2023 before stabilising somewhat, then increasing again at the end of 2023.</w:t>
      </w:r>
    </w:p>
    <w:p w14:paraId="4AB121FB" w14:textId="2B0013A5" w:rsidR="009D4BFA" w:rsidRPr="00E47714" w:rsidRDefault="009D4BFA" w:rsidP="0095333A">
      <w:pPr>
        <w:pStyle w:val="Figure"/>
      </w:pPr>
      <w:bookmarkStart w:id="245" w:name="_Ref167621404"/>
      <w:bookmarkStart w:id="246" w:name="_Toc171330688"/>
      <w:bookmarkStart w:id="247" w:name="_Toc172104724"/>
      <w:r w:rsidRPr="00E47714">
        <w:lastRenderedPageBreak/>
        <w:t xml:space="preserve">Figure </w:t>
      </w:r>
      <w:fldSimple w:instr=" SEQ Figure \* ARABIC ">
        <w:r w:rsidR="009A6F87">
          <w:rPr>
            <w:noProof/>
          </w:rPr>
          <w:t>41</w:t>
        </w:r>
      </w:fldSimple>
      <w:bookmarkEnd w:id="245"/>
      <w:r w:rsidRPr="00E47714">
        <w:t xml:space="preserve">: Proportion of people who waited longer than </w:t>
      </w:r>
      <w:r>
        <w:t>four</w:t>
      </w:r>
      <w:r w:rsidRPr="00E47714">
        <w:t xml:space="preserve"> months for assessment, or planned treatment</w:t>
      </w:r>
      <w:r>
        <w:t>,</w:t>
      </w:r>
      <w:r w:rsidRPr="00E47714">
        <w:t xml:space="preserve"> January 2020</w:t>
      </w:r>
      <w:r>
        <w:t xml:space="preserve"> </w:t>
      </w:r>
      <w:r w:rsidRPr="00E47714">
        <w:t>–</w:t>
      </w:r>
      <w:r>
        <w:t xml:space="preserve"> </w:t>
      </w:r>
      <w:r w:rsidRPr="00E47714">
        <w:t>January 2024</w:t>
      </w:r>
      <w:bookmarkEnd w:id="246"/>
      <w:bookmarkEnd w:id="247"/>
    </w:p>
    <w:p w14:paraId="08717394" w14:textId="77777777" w:rsidR="009D4BFA" w:rsidRPr="00E47714" w:rsidRDefault="009D4BFA" w:rsidP="0095333A">
      <w:pPr>
        <w:pStyle w:val="NormalWeb"/>
        <w:keepNext/>
        <w:spacing w:before="0" w:beforeAutospacing="0" w:after="0" w:afterAutospacing="0"/>
      </w:pPr>
      <w:r w:rsidRPr="00E47714">
        <w:rPr>
          <w:noProof/>
        </w:rPr>
        <w:drawing>
          <wp:inline distT="0" distB="0" distL="0" distR="0" wp14:anchorId="00AC2443" wp14:editId="7DE01ADA">
            <wp:extent cx="5128260" cy="2393993"/>
            <wp:effectExtent l="0" t="0" r="0" b="6350"/>
            <wp:docPr id="18" name="Picture 18" descr="A timeseries lines chart showing the proportion of patients who waited longer than four months for assessment or elective treatment/surgery, between January 2020 and January 2024. The chart shows that the percentage of those ‘given a commitment to treatment but not treated within 4 months’ and ‘waiting longer than 4 months for their first specialist assessment’ have both generally increas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imeseries lines chart showing the proportion of patients who waited longer than four months for assessment or elective treatment/surgery, between January 2020 and January 2024. The chart shows that the percentage of those ‘given a commitment to treatment but not treated within 4 months’ and ‘waiting longer than 4 months for their first specialist assessment’ have both generally increased over time."/>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5144551" cy="2401598"/>
                    </a:xfrm>
                    <a:prstGeom prst="rect">
                      <a:avLst/>
                    </a:prstGeom>
                    <a:noFill/>
                    <a:ln>
                      <a:noFill/>
                    </a:ln>
                  </pic:spPr>
                </pic:pic>
              </a:graphicData>
            </a:graphic>
          </wp:inline>
        </w:drawing>
      </w:r>
    </w:p>
    <w:p w14:paraId="036B9CA2" w14:textId="77777777" w:rsidR="009D4BFA" w:rsidRPr="00E47714" w:rsidRDefault="009D4BFA" w:rsidP="009D4BFA">
      <w:pPr>
        <w:pStyle w:val="Source"/>
      </w:pPr>
      <w:r w:rsidRPr="00E47714">
        <w:rPr>
          <w:b/>
          <w:bCs/>
        </w:rPr>
        <w:t>Source:</w:t>
      </w:r>
      <w:r w:rsidRPr="00E47714">
        <w:t xml:space="preserve"> </w:t>
      </w:r>
      <w:r>
        <w:fldChar w:fldCharType="begin"/>
      </w:r>
      <w:r>
        <w:instrText xml:space="preserve"> ADDIN EN.CITE &lt;EndNote&gt;&lt;Cite AuthorYear="1"&gt;&lt;Author&gt;Ministry of Health &lt;/Author&gt;&lt;Year&gt;2024&lt;/Year&gt;&lt;RecNum&gt;524&lt;/RecNum&gt;&lt;DisplayText&gt;Ministry of Health (2024b)&lt;/DisplayText&gt;&lt;record&gt;&lt;rec-number&gt;524&lt;/rec-number&gt;&lt;foreign-keys&gt;&lt;key app="EN" db-id="aaepvppzs5wtfse95vsp2wahsrtvva2vvdet" timestamp="1717474991"&gt;524&lt;/key&gt;&lt;/foreign-keys&gt;&lt;ref-type name="Web Page"&gt;12&lt;/ref-type&gt;&lt;contributors&gt;&lt;authors&gt;&lt;author&gt;Ministry of Health ,&lt;/author&gt;&lt;/authors&gt;&lt;/contributors&gt;&lt;titles&gt;&lt;title&gt;Elective Services Patient Flow Indicators Web Tool&lt;/title&gt;&lt;/titles&gt;&lt;number&gt;16 April 2024&lt;/number&gt;&lt;dates&gt;&lt;year&gt;2024&lt;/year&gt;&lt;/dates&gt;&lt;urls&gt;&lt;related-urls&gt;&lt;url&gt;tewhatuora.shinyapps.io/ESPI_app&lt;/url&gt;&lt;/related-urls&gt;&lt;/urls&gt;&lt;/record&gt;&lt;/Cite&gt;&lt;/EndNote&gt;</w:instrText>
      </w:r>
      <w:r>
        <w:fldChar w:fldCharType="separate"/>
      </w:r>
      <w:r>
        <w:rPr>
          <w:noProof/>
        </w:rPr>
        <w:t>Ministry of Health (2024b)</w:t>
      </w:r>
      <w:r>
        <w:fldChar w:fldCharType="end"/>
      </w:r>
    </w:p>
    <w:p w14:paraId="7BDF049F" w14:textId="77777777" w:rsidR="0095333A" w:rsidRDefault="0095333A" w:rsidP="00183828">
      <w:pPr>
        <w:sectPr w:rsidR="0095333A" w:rsidSect="001C7EEF">
          <w:pgSz w:w="11907" w:h="16834" w:code="9"/>
          <w:pgMar w:top="1418" w:right="1701" w:bottom="1134" w:left="1843" w:header="284" w:footer="425" w:gutter="284"/>
          <w:cols w:space="720"/>
        </w:sectPr>
      </w:pPr>
    </w:p>
    <w:p w14:paraId="368E7D04" w14:textId="77777777" w:rsidR="0095333A" w:rsidRPr="00E47714" w:rsidRDefault="0095333A" w:rsidP="0095333A">
      <w:pPr>
        <w:pStyle w:val="Heading1"/>
      </w:pPr>
      <w:bookmarkStart w:id="248" w:name="_Ref170025816"/>
      <w:bookmarkStart w:id="249" w:name="_Toc171603282"/>
      <w:bookmarkStart w:id="250" w:name="_Toc171944542"/>
      <w:bookmarkStart w:id="251" w:name="_Toc172104682"/>
      <w:r w:rsidRPr="00E47714">
        <w:lastRenderedPageBreak/>
        <w:t>Technical notes</w:t>
      </w:r>
      <w:bookmarkEnd w:id="248"/>
      <w:r>
        <w:t xml:space="preserve"> - </w:t>
      </w:r>
      <w:proofErr w:type="spellStart"/>
      <w:r>
        <w:rPr>
          <w:rStyle w:val="ui-provider"/>
          <w:rFonts w:eastAsia="Arial Unicode MS"/>
        </w:rPr>
        <w:t>Ngā</w:t>
      </w:r>
      <w:proofErr w:type="spellEnd"/>
      <w:r>
        <w:rPr>
          <w:rStyle w:val="ui-provider"/>
          <w:rFonts w:eastAsia="Arial Unicode MS"/>
        </w:rPr>
        <w:t xml:space="preserve"> </w:t>
      </w:r>
      <w:proofErr w:type="spellStart"/>
      <w:r>
        <w:rPr>
          <w:rStyle w:val="ui-provider"/>
          <w:rFonts w:eastAsia="Arial Unicode MS"/>
        </w:rPr>
        <w:t>puna</w:t>
      </w:r>
      <w:proofErr w:type="spellEnd"/>
      <w:r>
        <w:rPr>
          <w:rStyle w:val="ui-provider"/>
          <w:rFonts w:eastAsia="Arial Unicode MS"/>
        </w:rPr>
        <w:t xml:space="preserve"> </w:t>
      </w:r>
      <w:proofErr w:type="spellStart"/>
      <w:r>
        <w:rPr>
          <w:rStyle w:val="ui-provider"/>
          <w:rFonts w:eastAsia="Arial Unicode MS"/>
        </w:rPr>
        <w:t>raraunga</w:t>
      </w:r>
      <w:bookmarkEnd w:id="249"/>
      <w:bookmarkEnd w:id="250"/>
      <w:bookmarkEnd w:id="251"/>
      <w:proofErr w:type="spellEnd"/>
    </w:p>
    <w:p w14:paraId="135ECFB5" w14:textId="5B0BA4F5" w:rsidR="0095333A" w:rsidRDefault="0095333A" w:rsidP="0095333A">
      <w:r w:rsidRPr="00E47714">
        <w:t xml:space="preserve">This report contains data from a range of sources, some of them outside </w:t>
      </w:r>
      <w:r>
        <w:t xml:space="preserve">the Ministry of Health - </w:t>
      </w:r>
      <w:r w:rsidRPr="00E47714">
        <w:t>Manatū Hauora</w:t>
      </w:r>
      <w:r>
        <w:t>.</w:t>
      </w:r>
      <w:r w:rsidRPr="00E47714">
        <w:t xml:space="preserve"> </w:t>
      </w:r>
      <w:r>
        <w:t>This d</w:t>
      </w:r>
      <w:r w:rsidRPr="00E47714">
        <w:t xml:space="preserve">ata is </w:t>
      </w:r>
      <w:r>
        <w:t>accessible</w:t>
      </w:r>
      <w:r w:rsidRPr="00E47714">
        <w:t xml:space="preserve"> through hyperlinks to sources, where available, or in the accompanying Excel file. The Health and Independence Report aims to include</w:t>
      </w:r>
      <w:r w:rsidRPr="004844D8">
        <w:t xml:space="preserve"> </w:t>
      </w:r>
      <w:r w:rsidRPr="00E47714">
        <w:t xml:space="preserve">only data </w:t>
      </w:r>
      <w:r>
        <w:t>from sources with robust</w:t>
      </w:r>
      <w:r w:rsidRPr="00E47714">
        <w:t xml:space="preserve"> data collection and analytical processes. </w:t>
      </w:r>
      <w:r>
        <w:t>I</w:t>
      </w:r>
      <w:r w:rsidRPr="00E47714">
        <w:t xml:space="preserve">f </w:t>
      </w:r>
      <w:r>
        <w:t xml:space="preserve">the </w:t>
      </w:r>
      <w:r w:rsidRPr="00E47714">
        <w:t>methodolog</w:t>
      </w:r>
      <w:r>
        <w:t>y of a source</w:t>
      </w:r>
      <w:r w:rsidRPr="00E47714">
        <w:t xml:space="preserve"> affects the interpretation of the data</w:t>
      </w:r>
      <w:r>
        <w:t>, we alert readers to this with a note</w:t>
      </w:r>
      <w:r w:rsidRPr="00E47714">
        <w:t xml:space="preserve">. We encourage readers to refer to the original data source for further details. </w:t>
      </w:r>
    </w:p>
    <w:p w14:paraId="68C44117" w14:textId="77777777" w:rsidR="0095333A" w:rsidRPr="00E47714" w:rsidRDefault="0095333A" w:rsidP="0095333A"/>
    <w:p w14:paraId="375310A5" w14:textId="4C01F362" w:rsidR="0095333A" w:rsidRDefault="0095333A" w:rsidP="0095333A">
      <w:pPr>
        <w:rPr>
          <w:rFonts w:cs="Segoe UI"/>
        </w:rPr>
      </w:pPr>
      <w:r w:rsidRPr="00E47714">
        <w:rPr>
          <w:rFonts w:cs="Segoe UI"/>
        </w:rPr>
        <w:t xml:space="preserve">Alongside this report, we have published data appendices containing otherwise unpublished health data that informed this report. All data presented here is the latest available at the time of developing this report from January to May 2024. The time lag between the most recent data and the present day can be substantial. For example, it can involve up to a </w:t>
      </w:r>
      <w:r>
        <w:rPr>
          <w:rFonts w:cs="Segoe UI"/>
        </w:rPr>
        <w:t>three</w:t>
      </w:r>
      <w:r w:rsidRPr="00E47714">
        <w:rPr>
          <w:rFonts w:cs="Segoe UI"/>
        </w:rPr>
        <w:t xml:space="preserve">-year delay for mortality data. In such cases, the report may use provisional data. </w:t>
      </w:r>
    </w:p>
    <w:p w14:paraId="01E2E340" w14:textId="77777777" w:rsidR="0095333A" w:rsidRPr="00E47714" w:rsidRDefault="0095333A" w:rsidP="0095333A">
      <w:pPr>
        <w:rPr>
          <w:rFonts w:cs="Segoe UI"/>
        </w:rPr>
      </w:pPr>
    </w:p>
    <w:p w14:paraId="08B26522" w14:textId="7834D042" w:rsidR="0095333A" w:rsidRDefault="0095333A" w:rsidP="0095333A">
      <w:pPr>
        <w:rPr>
          <w:rFonts w:cs="Segoe UI"/>
        </w:rPr>
      </w:pPr>
      <w:bookmarkStart w:id="252" w:name="_Hlk167800132"/>
      <w:r w:rsidRPr="00E47714">
        <w:rPr>
          <w:rFonts w:cs="Segoe UI"/>
        </w:rPr>
        <w:t xml:space="preserve">COVID-19 data was extracted on 22 May 2024. Case, hospitalisation and death figures are subject to change due to the addition of historical cases, updated data sources, methodology changes and updates to population denominators. As a result, the figures included in this report may differ from those previously published. COVID-19 deaths are defined as people who died where the cause of death was attributable to COVID-19 (that is, </w:t>
      </w:r>
      <w:r>
        <w:rPr>
          <w:rFonts w:cs="Segoe UI"/>
        </w:rPr>
        <w:t>COVID-19</w:t>
      </w:r>
      <w:r w:rsidRPr="00E47714">
        <w:rPr>
          <w:rFonts w:cs="Segoe UI"/>
        </w:rPr>
        <w:t xml:space="preserve"> was coded as an underlying or contributory cause). More recent trends should be interpreted with caution to account for delays in death coding. </w:t>
      </w:r>
    </w:p>
    <w:p w14:paraId="1D267528" w14:textId="77777777" w:rsidR="0095333A" w:rsidRPr="00E47714" w:rsidRDefault="0095333A" w:rsidP="0095333A">
      <w:pPr>
        <w:rPr>
          <w:rFonts w:cs="Segoe UI"/>
        </w:rPr>
      </w:pPr>
    </w:p>
    <w:p w14:paraId="3EDE7F00" w14:textId="77777777" w:rsidR="0095333A" w:rsidRPr="00E47714" w:rsidRDefault="0095333A" w:rsidP="0095333A">
      <w:pPr>
        <w:rPr>
          <w:rFonts w:cs="Segoe UI"/>
        </w:rPr>
      </w:pPr>
      <w:r w:rsidRPr="00E47714">
        <w:rPr>
          <w:rFonts w:cs="Segoe UI"/>
        </w:rPr>
        <w:t xml:space="preserve">The Ministry reports COVID-19 hospitalisations using </w:t>
      </w:r>
      <w:r>
        <w:rPr>
          <w:rFonts w:cs="Segoe UI"/>
        </w:rPr>
        <w:t>two</w:t>
      </w:r>
      <w:r w:rsidRPr="00E47714">
        <w:rPr>
          <w:rFonts w:cs="Segoe UI"/>
        </w:rPr>
        <w:t xml:space="preserve"> data sets: </w:t>
      </w:r>
    </w:p>
    <w:p w14:paraId="78BAFEEF" w14:textId="75B4DEC0" w:rsidR="0095333A" w:rsidRPr="00E47714" w:rsidRDefault="0095333A" w:rsidP="0095333A">
      <w:pPr>
        <w:pStyle w:val="ListNumber"/>
        <w:spacing w:before="90" w:after="0"/>
        <w:ind w:left="357" w:hanging="357"/>
        <w:contextualSpacing w:val="0"/>
      </w:pPr>
      <w:r w:rsidRPr="00E47714">
        <w:t>the Inpatient Admission (IP) data set</w:t>
      </w:r>
    </w:p>
    <w:p w14:paraId="38D31228" w14:textId="510E2336" w:rsidR="0095333A" w:rsidRPr="00E47714" w:rsidRDefault="0095333A" w:rsidP="0095333A">
      <w:pPr>
        <w:pStyle w:val="ListNumber"/>
        <w:spacing w:before="90" w:after="0"/>
        <w:ind w:left="357" w:hanging="357"/>
        <w:contextualSpacing w:val="0"/>
      </w:pPr>
      <w:r w:rsidRPr="00E47714">
        <w:t>the National Minimum Dataset (NMDS).</w:t>
      </w:r>
    </w:p>
    <w:p w14:paraId="1713E71D" w14:textId="77777777" w:rsidR="0095333A" w:rsidRDefault="0095333A" w:rsidP="0095333A">
      <w:pPr>
        <w:rPr>
          <w:rFonts w:cs="Segoe UI"/>
        </w:rPr>
      </w:pPr>
    </w:p>
    <w:p w14:paraId="146C61C6" w14:textId="7195F835" w:rsidR="0095333A" w:rsidRDefault="0095333A" w:rsidP="0095333A">
      <w:pPr>
        <w:rPr>
          <w:rFonts w:cs="Segoe UI"/>
        </w:rPr>
      </w:pPr>
      <w:r w:rsidRPr="00E47714">
        <w:rPr>
          <w:rFonts w:cs="Segoe UI"/>
        </w:rPr>
        <w:t>The NMDS provides more accurate and comprehensive data that covers the whole country, but this data is only available after a significant time lag, usually around 60 days. Over time</w:t>
      </w:r>
      <w:r>
        <w:rPr>
          <w:rFonts w:cs="Segoe UI"/>
        </w:rPr>
        <w:t>,</w:t>
      </w:r>
      <w:r w:rsidRPr="00E47714">
        <w:rPr>
          <w:rFonts w:cs="Segoe UI"/>
        </w:rPr>
        <w:t xml:space="preserve"> the hospitalisation data may change, as updated NMDS data becomes available.</w:t>
      </w:r>
    </w:p>
    <w:p w14:paraId="215FFDB2" w14:textId="77777777" w:rsidR="0095333A" w:rsidRPr="00E47714" w:rsidRDefault="0095333A" w:rsidP="0095333A">
      <w:pPr>
        <w:rPr>
          <w:rFonts w:cs="Segoe UI"/>
        </w:rPr>
      </w:pPr>
    </w:p>
    <w:bookmarkEnd w:id="252"/>
    <w:p w14:paraId="1CEFA938" w14:textId="5AA4656E" w:rsidR="0095333A" w:rsidRDefault="0095333A" w:rsidP="0095333A">
      <w:pPr>
        <w:rPr>
          <w:rFonts w:cs="Segoe UI"/>
        </w:rPr>
      </w:pPr>
      <w:r w:rsidRPr="00E47714">
        <w:rPr>
          <w:rFonts w:cs="Segoe UI"/>
        </w:rPr>
        <w:t xml:space="preserve">The Health Survey provides data on a variety of topics. This report does not cover all of them. </w:t>
      </w:r>
    </w:p>
    <w:p w14:paraId="6FD41C87" w14:textId="77777777" w:rsidR="0095333A" w:rsidRPr="00E47714" w:rsidRDefault="0095333A" w:rsidP="0095333A">
      <w:pPr>
        <w:rPr>
          <w:rFonts w:cs="Segoe UI"/>
        </w:rPr>
      </w:pPr>
    </w:p>
    <w:p w14:paraId="313B9D57" w14:textId="20BA8B72" w:rsidR="0095333A" w:rsidRPr="00E47714" w:rsidRDefault="0095333A" w:rsidP="0095333A">
      <w:pPr>
        <w:rPr>
          <w:rFonts w:cs="Segoe UI"/>
        </w:rPr>
      </w:pPr>
      <w:r w:rsidRPr="00E47714">
        <w:rPr>
          <w:rFonts w:cs="Segoe UI"/>
        </w:rPr>
        <w:t xml:space="preserve">Within the </w:t>
      </w:r>
      <w:hyperlink w:anchor="_Health_measures_|" w:history="1">
        <w:r w:rsidRPr="006664A2">
          <w:rPr>
            <w:rStyle w:val="Hyperlink"/>
          </w:rPr>
          <w:t xml:space="preserve">Health measures </w:t>
        </w:r>
        <w:r w:rsidR="004A76FD">
          <w:rPr>
            <w:rStyle w:val="Hyperlink"/>
          </w:rPr>
          <w:t xml:space="preserve">– </w:t>
        </w:r>
        <w:proofErr w:type="spellStart"/>
        <w:r w:rsidR="004A76FD">
          <w:rPr>
            <w:rStyle w:val="Hyperlink"/>
          </w:rPr>
          <w:t>Ngā</w:t>
        </w:r>
        <w:proofErr w:type="spellEnd"/>
        <w:r w:rsidRPr="00C77EEE">
          <w:rPr>
            <w:rStyle w:val="Hyperlink"/>
          </w:rPr>
          <w:t xml:space="preserve"> </w:t>
        </w:r>
        <w:proofErr w:type="spellStart"/>
        <w:r w:rsidRPr="00C77EEE">
          <w:rPr>
            <w:rStyle w:val="Hyperlink"/>
          </w:rPr>
          <w:t>inenga</w:t>
        </w:r>
        <w:proofErr w:type="spellEnd"/>
        <w:r w:rsidRPr="00C77EEE">
          <w:rPr>
            <w:rStyle w:val="Hyperlink"/>
          </w:rPr>
          <w:t xml:space="preserve"> </w:t>
        </w:r>
        <w:proofErr w:type="spellStart"/>
        <w:r w:rsidR="004E5F73">
          <w:rPr>
            <w:rStyle w:val="Hyperlink"/>
          </w:rPr>
          <w:t>h</w:t>
        </w:r>
        <w:r w:rsidRPr="00C77EEE">
          <w:rPr>
            <w:rStyle w:val="Hyperlink"/>
          </w:rPr>
          <w:t>auora</w:t>
        </w:r>
        <w:proofErr w:type="spellEnd"/>
      </w:hyperlink>
      <w:r w:rsidRPr="00E47714">
        <w:rPr>
          <w:rFonts w:cs="Segoe UI"/>
        </w:rPr>
        <w:t xml:space="preserve"> section, population health measures are produced using data from the Health Survey. Most Health Survey data is presented as a </w:t>
      </w:r>
      <w:r>
        <w:rPr>
          <w:rFonts w:cs="Segoe UI"/>
        </w:rPr>
        <w:t>three</w:t>
      </w:r>
      <w:r w:rsidRPr="00E47714">
        <w:rPr>
          <w:rFonts w:cs="Segoe UI"/>
        </w:rPr>
        <w:t xml:space="preserve">-year rolling average. This means that each statistic is averaged across </w:t>
      </w:r>
      <w:r>
        <w:rPr>
          <w:rFonts w:cs="Segoe UI"/>
        </w:rPr>
        <w:t>three</w:t>
      </w:r>
      <w:r w:rsidRPr="00E47714">
        <w:rPr>
          <w:rFonts w:cs="Segoe UI"/>
        </w:rPr>
        <w:t xml:space="preserve"> consecutive years of survey data from </w:t>
      </w:r>
      <w:r>
        <w:rPr>
          <w:rFonts w:cs="Segoe UI"/>
        </w:rPr>
        <w:t>three</w:t>
      </w:r>
      <w:r w:rsidRPr="00E47714">
        <w:rPr>
          <w:rFonts w:cs="Segoe UI"/>
        </w:rPr>
        <w:t xml:space="preserve"> Health Survey cycles. For example, data representing the </w:t>
      </w:r>
      <w:r>
        <w:rPr>
          <w:rFonts w:cs="Segoe UI"/>
        </w:rPr>
        <w:t>three</w:t>
      </w:r>
      <w:r w:rsidRPr="00E47714">
        <w:rPr>
          <w:rFonts w:cs="Segoe UI"/>
        </w:rPr>
        <w:t xml:space="preserve">-year pooled period ending 2022/23 contains data from the survey years 2020/21, 2021/22 and 2022/23 (data collected from mid-2020 to mid-2023). </w:t>
      </w:r>
    </w:p>
    <w:p w14:paraId="570FDDD5" w14:textId="375752A4" w:rsidR="0095333A" w:rsidRDefault="0095333A" w:rsidP="0095333A">
      <w:pPr>
        <w:rPr>
          <w:rFonts w:cs="Segoe UI"/>
        </w:rPr>
      </w:pPr>
      <w:r w:rsidRPr="00E47714">
        <w:rPr>
          <w:rFonts w:cs="Segoe UI"/>
        </w:rPr>
        <w:lastRenderedPageBreak/>
        <w:t xml:space="preserve">Due to this pooling methodology, Health Survey numbers in this </w:t>
      </w:r>
      <w:r>
        <w:rPr>
          <w:rFonts w:cs="Segoe UI"/>
        </w:rPr>
        <w:t>report</w:t>
      </w:r>
      <w:r w:rsidRPr="00E47714">
        <w:rPr>
          <w:rFonts w:cs="Segoe UI"/>
        </w:rPr>
        <w:t xml:space="preserve"> will be different to numbers published elsewhere. For Health Survey data that is not collected every year, data is presented by survey year rather than </w:t>
      </w:r>
      <w:r>
        <w:rPr>
          <w:rFonts w:cs="Segoe UI"/>
        </w:rPr>
        <w:t>three</w:t>
      </w:r>
      <w:r w:rsidRPr="00E47714">
        <w:rPr>
          <w:rFonts w:cs="Segoe UI"/>
        </w:rPr>
        <w:t xml:space="preserve">-year pooled periods and marked accordingly. </w:t>
      </w:r>
      <w:r>
        <w:rPr>
          <w:rFonts w:cs="Segoe UI"/>
        </w:rPr>
        <w:t>For a</w:t>
      </w:r>
      <w:r w:rsidRPr="00E47714">
        <w:rPr>
          <w:rFonts w:cs="Segoe UI"/>
        </w:rPr>
        <w:t xml:space="preserve"> complete description of the impact of using pooled years</w:t>
      </w:r>
      <w:r>
        <w:rPr>
          <w:rFonts w:cs="Segoe UI"/>
        </w:rPr>
        <w:t>, see</w:t>
      </w:r>
      <w:r w:rsidRPr="00E47714">
        <w:rPr>
          <w:rFonts w:cs="Segoe UI"/>
        </w:rPr>
        <w:t xml:space="preserve"> the </w:t>
      </w:r>
      <w:r>
        <w:rPr>
          <w:rFonts w:cs="Segoe UI"/>
        </w:rPr>
        <w:t>‘</w:t>
      </w:r>
      <w:r w:rsidRPr="00E47714">
        <w:rPr>
          <w:rFonts w:cs="Segoe UI"/>
        </w:rPr>
        <w:t>Technical notes</w:t>
      </w:r>
      <w:r>
        <w:rPr>
          <w:rFonts w:cs="Segoe UI"/>
        </w:rPr>
        <w:t>’ section</w:t>
      </w:r>
      <w:r w:rsidRPr="00E47714">
        <w:rPr>
          <w:rFonts w:cs="Segoe UI"/>
        </w:rPr>
        <w:t xml:space="preserve"> of the </w:t>
      </w:r>
      <w:hyperlink r:id="rId86" w:history="1">
        <w:r w:rsidRPr="006664A2">
          <w:rPr>
            <w:rStyle w:val="Hyperlink"/>
            <w:rFonts w:cs="Segoe UI"/>
          </w:rPr>
          <w:t>Health and Independence Report 2022</w:t>
        </w:r>
      </w:hyperlink>
      <w:r w:rsidRPr="00E47714">
        <w:rPr>
          <w:rFonts w:cs="Segoe UI"/>
        </w:rPr>
        <w:t>.</w:t>
      </w:r>
    </w:p>
    <w:p w14:paraId="2C0A3120" w14:textId="77777777" w:rsidR="0095333A" w:rsidRPr="00E47714" w:rsidRDefault="0095333A" w:rsidP="0095333A">
      <w:pPr>
        <w:rPr>
          <w:rFonts w:cs="Segoe UI"/>
        </w:rPr>
      </w:pPr>
    </w:p>
    <w:p w14:paraId="16BE1C4F" w14:textId="1E0B6069" w:rsidR="0095333A" w:rsidRDefault="0095333A" w:rsidP="0095333A">
      <w:pPr>
        <w:rPr>
          <w:rFonts w:cs="Segoe UI"/>
        </w:rPr>
      </w:pPr>
      <w:r w:rsidRPr="00E47714">
        <w:rPr>
          <w:rFonts w:cs="Segoe UI"/>
        </w:rPr>
        <w:t>Ethnic group comparisons are based on either prioritised ethnicity or total response ethnicity. With prioritised ethnicity, ethnic groups are mutually exclusive. That is, a person can appear in only one ethnic group</w:t>
      </w:r>
      <w:r>
        <w:rPr>
          <w:rFonts w:cs="Segoe UI"/>
        </w:rPr>
        <w:t>. If they identify with more than one group</w:t>
      </w:r>
      <w:r w:rsidRPr="00E47714">
        <w:rPr>
          <w:rFonts w:cs="Segoe UI"/>
        </w:rPr>
        <w:t xml:space="preserve">, </w:t>
      </w:r>
      <w:r>
        <w:rPr>
          <w:rFonts w:cs="Segoe UI"/>
        </w:rPr>
        <w:t>the group chosen for analysis</w:t>
      </w:r>
      <w:r w:rsidRPr="00E47714">
        <w:rPr>
          <w:rFonts w:cs="Segoe UI"/>
        </w:rPr>
        <w:t xml:space="preserve"> is generally prioritised in the following order: Māori, Pacific peoples, Asian, other. With total response ethnicity, a person is classified in all of the ethnic groups they identify with. This means that a person can appear in more than one ethnic group. Prioritised ethnicity is often used for analysis based on administrative data (data collected for purposes other than statistics), such as mortality data, while total response ethnicity is shown for Health Survey data. </w:t>
      </w:r>
    </w:p>
    <w:p w14:paraId="357E5012" w14:textId="77777777" w:rsidR="0095333A" w:rsidRPr="00E47714" w:rsidRDefault="0095333A" w:rsidP="0095333A">
      <w:pPr>
        <w:rPr>
          <w:rFonts w:cs="Segoe UI"/>
        </w:rPr>
      </w:pPr>
    </w:p>
    <w:p w14:paraId="1650B3B5" w14:textId="49D297A8" w:rsidR="0095333A" w:rsidRDefault="0095333A" w:rsidP="0095333A">
      <w:pPr>
        <w:rPr>
          <w:rFonts w:cs="Segoe UI"/>
        </w:rPr>
      </w:pPr>
      <w:r w:rsidRPr="00E47714">
        <w:rPr>
          <w:rFonts w:cs="Segoe UI"/>
        </w:rPr>
        <w:t>Selected results are presented by neighbourhood deprivation, as measured by the New Zealand Index of Deprivation (NZDep2018). This area-based measure of socioeconomic deprivation combin</w:t>
      </w:r>
      <w:r>
        <w:rPr>
          <w:rFonts w:cs="Segoe UI"/>
        </w:rPr>
        <w:t>es</w:t>
      </w:r>
      <w:r w:rsidRPr="00E47714">
        <w:rPr>
          <w:rFonts w:cs="Segoe UI"/>
        </w:rPr>
        <w:t xml:space="preserve"> the following 2018 Census data: household income, receiving a benefit, household crowding, home ownership, employment status, qualifications, support (sole-parent families), living condition (dampness or mould) and household access to the internet. In this report, ‘quintile 5’ means the 20% of small areas in Aotearoa New Zealand that are most socioeconomically deprived. Conversely, ‘quintile 1’ means the 20% of small areas that are least deprived.</w:t>
      </w:r>
    </w:p>
    <w:p w14:paraId="2F10EF0F" w14:textId="77777777" w:rsidR="0095333A" w:rsidRPr="00E47714" w:rsidRDefault="0095333A" w:rsidP="0095333A">
      <w:pPr>
        <w:rPr>
          <w:rFonts w:cs="Segoe UI"/>
        </w:rPr>
      </w:pPr>
    </w:p>
    <w:p w14:paraId="310AD24A" w14:textId="37AFE2EC" w:rsidR="0095333A" w:rsidRDefault="0095333A" w:rsidP="0095333A">
      <w:pPr>
        <w:rPr>
          <w:rFonts w:cs="Segoe UI"/>
        </w:rPr>
      </w:pPr>
      <w:r w:rsidRPr="00E47714">
        <w:rPr>
          <w:rFonts w:cs="Segoe UI"/>
        </w:rPr>
        <w:t>The report contains population data from Stats NZ population estimates and projections, as well as the Health Service User (HSU) population. These data sources have some important differences. Stats NZ population estimates are estimates of the resident population based on the census and information on births, deaths and migration, and exclude short-term visitors to Aotearoa New Zealand. The HSU measures people who received health services in Aotearoa New Zealand in a given year, including short-term visitors. The HSU does not include people living in Aotearoa New Zealand if they have not interacted with the health system and were not enrolled with a GP during the year. As a result of uptake of the COVID-19 vaccination programme starting in 2021, many more people used health services in Aotearoa New Zealand</w:t>
      </w:r>
      <w:r>
        <w:rPr>
          <w:rFonts w:cs="Segoe UI"/>
        </w:rPr>
        <w:t xml:space="preserve"> in that year</w:t>
      </w:r>
      <w:r w:rsidRPr="00E47714">
        <w:rPr>
          <w:rFonts w:cs="Segoe UI"/>
        </w:rPr>
        <w:t>, including non-residents. At a population level, the HSU for 2021 is about 2% higher than Stats NZ’s population estimate for 2021</w:t>
      </w:r>
      <w:r>
        <w:rPr>
          <w:rFonts w:cs="Segoe UI"/>
        </w:rPr>
        <w:t xml:space="preserve"> </w:t>
      </w:r>
      <w:r>
        <w:rPr>
          <w:rFonts w:cs="Segoe UI"/>
        </w:rPr>
        <w:fldChar w:fldCharType="begin"/>
      </w:r>
      <w:r>
        <w:rPr>
          <w:rFonts w:cs="Segoe UI"/>
        </w:rPr>
        <w:instrText xml:space="preserve"> ADDIN EN.CITE &lt;EndNote&gt;&lt;Cite&gt;&lt;Author&gt;Ministry of Health &lt;/Author&gt;&lt;Year&gt;2022&lt;/Year&gt;&lt;RecNum&gt;512&lt;/RecNum&gt;&lt;DisplayText&gt;(Ministry of Health 2022b)&lt;/DisplayText&gt;&lt;record&gt;&lt;rec-number&gt;512&lt;/rec-number&gt;&lt;foreign-keys&gt;&lt;key app="EN" db-id="aaepvppzs5wtfse95vsp2wahsrtvva2vvdet" timestamp="1716850469"&gt;512&lt;/key&gt;&lt;/foreign-keys&gt;&lt;ref-type name="Web Page"&gt;12&lt;/ref-type&gt;&lt;contributors&gt;&lt;authors&gt;&lt;author&gt;Ministry of Health ,&lt;/author&gt;&lt;/authors&gt;&lt;/contributors&gt;&lt;titles&gt;&lt;title&gt;Further information about the HSU dataset and review &lt;/title&gt;&lt;/titles&gt;&lt;number&gt;28 May 2024&lt;/number&gt;&lt;dates&gt;&lt;year&gt;2022&lt;/year&gt;&lt;/dates&gt;&lt;urls&gt;&lt;related-urls&gt;&lt;url&gt;health.govt.nz/system/files/documents/publications/further-information-about-the-hsu-dataset-and-review-4aug22.pdf&lt;/url&gt;&lt;/related-urls&gt;&lt;/urls&gt;&lt;/record&gt;&lt;/Cite&gt;&lt;/EndNote&gt;</w:instrText>
      </w:r>
      <w:r>
        <w:rPr>
          <w:rFonts w:cs="Segoe UI"/>
        </w:rPr>
        <w:fldChar w:fldCharType="separate"/>
      </w:r>
      <w:r>
        <w:rPr>
          <w:rFonts w:cs="Segoe UI"/>
          <w:noProof/>
        </w:rPr>
        <w:t>(Ministry of Health 2022b)</w:t>
      </w:r>
      <w:r>
        <w:rPr>
          <w:rFonts w:cs="Segoe UI"/>
        </w:rPr>
        <w:fldChar w:fldCharType="end"/>
      </w:r>
      <w:r w:rsidRPr="00E47714">
        <w:rPr>
          <w:rFonts w:cs="Segoe UI"/>
        </w:rPr>
        <w:t xml:space="preserve">. Stats NZ data and </w:t>
      </w:r>
      <w:r>
        <w:t xml:space="preserve">Ministry of Health </w:t>
      </w:r>
      <w:r w:rsidRPr="00E47714">
        <w:rPr>
          <w:rFonts w:cs="Segoe UI"/>
        </w:rPr>
        <w:t>also differ in the way they record ethnicity, with the result that HSU totals by ethnic group differ from totals in Stats NZ population estimates and projections.</w:t>
      </w:r>
    </w:p>
    <w:p w14:paraId="71A154B8" w14:textId="77777777" w:rsidR="0095333A" w:rsidRPr="00E47714" w:rsidRDefault="0095333A" w:rsidP="0095333A">
      <w:pPr>
        <w:rPr>
          <w:rFonts w:cs="Segoe UI"/>
        </w:rPr>
      </w:pPr>
    </w:p>
    <w:p w14:paraId="073228D1" w14:textId="553C00A4" w:rsidR="0095333A" w:rsidRDefault="0095333A" w:rsidP="0095333A">
      <w:pPr>
        <w:rPr>
          <w:rFonts w:cs="Segoe UI"/>
        </w:rPr>
      </w:pPr>
      <w:r w:rsidRPr="00E47714">
        <w:rPr>
          <w:rFonts w:cs="Segoe UI"/>
        </w:rPr>
        <w:t>Health NZ and the Ministry of Health</w:t>
      </w:r>
      <w:r>
        <w:t xml:space="preserve"> </w:t>
      </w:r>
      <w:r w:rsidRPr="00E47714">
        <w:rPr>
          <w:rFonts w:cs="Segoe UI"/>
        </w:rPr>
        <w:t xml:space="preserve">use the HSU as the denominator for COVID-19 vaccine uptake rates. In an independent review of the HSU data, Stats NZ found that it is an appropriate way to measure COVID-19 vaccine coverage </w:t>
      </w:r>
      <w:r>
        <w:rPr>
          <w:rFonts w:cs="Segoe UI"/>
        </w:rPr>
        <w:fldChar w:fldCharType="begin"/>
      </w:r>
      <w:r>
        <w:rPr>
          <w:rFonts w:cs="Segoe UI"/>
        </w:rPr>
        <w:instrText xml:space="preserve"> ADDIN EN.CITE &lt;EndNote&gt;&lt;Cite&gt;&lt;Author&gt;Stats NZ&lt;/Author&gt;&lt;Year&gt;2022&lt;/Year&gt;&lt;RecNum&gt;186&lt;/RecNum&gt;&lt;DisplayText&gt;(Stats NZ 2022b)&lt;/DisplayText&gt;&lt;record&gt;&lt;rec-number&gt;186&lt;/rec-number&gt;&lt;foreign-keys&gt;&lt;key app="EN" db-id="aaepvppzs5wtfse95vsp2wahsrtvva2vvdet" timestamp="1663730051"&gt;186&lt;/key&gt;&lt;/foreign-keys&gt;&lt;ref-type name="Web Page"&gt;12&lt;/ref-type&gt;&lt;contributors&gt;&lt;authors&gt;&lt;author&gt;Stats NZ,&lt;/author&gt;&lt;/authors&gt;&lt;/contributors&gt;&lt;titles&gt;&lt;title&gt;Review of Health Service User population methodology&lt;/title&gt;&lt;/titles&gt;&lt;number&gt;28 October 2022&lt;/number&gt;&lt;dates&gt;&lt;year&gt;2022&lt;/year&gt;&lt;/dates&gt;&lt;urls&gt;&lt;related-urls&gt;&lt;url&gt;stats.govt.nz/reports/review-of-health-service-user-population-methodology&lt;/url&gt;&lt;/related-urls&gt;&lt;/urls&gt;&lt;/record&gt;&lt;/Cite&gt;&lt;/EndNote&gt;</w:instrText>
      </w:r>
      <w:r>
        <w:rPr>
          <w:rFonts w:cs="Segoe UI"/>
        </w:rPr>
        <w:fldChar w:fldCharType="separate"/>
      </w:r>
      <w:r>
        <w:rPr>
          <w:rFonts w:cs="Segoe UI"/>
          <w:noProof/>
        </w:rPr>
        <w:t>(Stats NZ 2022b)</w:t>
      </w:r>
      <w:r>
        <w:rPr>
          <w:rFonts w:cs="Segoe UI"/>
        </w:rPr>
        <w:fldChar w:fldCharType="end"/>
      </w:r>
      <w:r w:rsidRPr="00E47714">
        <w:rPr>
          <w:rFonts w:cs="Segoe UI"/>
        </w:rPr>
        <w:t xml:space="preserve">. The </w:t>
      </w:r>
      <w:r>
        <w:t xml:space="preserve">Ministry of Health </w:t>
      </w:r>
      <w:r w:rsidRPr="00E47714">
        <w:rPr>
          <w:rFonts w:cs="Segoe UI"/>
        </w:rPr>
        <w:t xml:space="preserve">response to the Stats NZ recommendations is available on its website </w:t>
      </w:r>
      <w:r>
        <w:rPr>
          <w:rFonts w:cs="Segoe UI"/>
        </w:rPr>
        <w:fldChar w:fldCharType="begin"/>
      </w:r>
      <w:r>
        <w:rPr>
          <w:rFonts w:cs="Segoe UI"/>
        </w:rPr>
        <w:instrText xml:space="preserve"> ADDIN EN.CITE &lt;EndNote&gt;&lt;Cite&gt;&lt;Author&gt;Ministry of Health &lt;/Author&gt;&lt;Year&gt;2022&lt;/Year&gt;&lt;RecNum&gt;536&lt;/RecNum&gt;&lt;DisplayText&gt;(Ministry of Health 2022c)&lt;/DisplayText&gt;&lt;record&gt;&lt;rec-number&gt;536&lt;/rec-number&gt;&lt;foreign-keys&gt;&lt;key app="EN" db-id="aaepvppzs5wtfse95vsp2wahsrtvva2vvdet" timestamp="1717558097"&gt;536&lt;/key&gt;&lt;/foreign-keys&gt;&lt;ref-type name="Web Page"&gt;12&lt;/ref-type&gt;&lt;contributors&gt;&lt;authors&gt;&lt;author&gt;Ministry of Health ,&lt;/author&gt;&lt;/authors&gt;&lt;/contributors&gt;&lt;titles&gt;&lt;title&gt;Response to Stats NZ recommendations for the Health Service User dataset&lt;/title&gt;&lt;/titles&gt;&lt;number&gt;5 June 2024&lt;/number&gt;&lt;dates&gt;&lt;year&gt;2022&lt;/year&gt;&lt;/dates&gt;&lt;urls&gt;&lt;related-urls&gt;&lt;url&gt;health.govt.nz/publication/response-stats-nz-recommendations-health-service-user-dataset&lt;/url&gt;&lt;/related-urls&gt;&lt;/urls&gt;&lt;/record&gt;&lt;/Cite&gt;&lt;/EndNote&gt;</w:instrText>
      </w:r>
      <w:r>
        <w:rPr>
          <w:rFonts w:cs="Segoe UI"/>
        </w:rPr>
        <w:fldChar w:fldCharType="separate"/>
      </w:r>
      <w:r>
        <w:rPr>
          <w:rFonts w:cs="Segoe UI"/>
          <w:noProof/>
        </w:rPr>
        <w:t>(Ministry of Health 2022c)</w:t>
      </w:r>
      <w:r>
        <w:rPr>
          <w:rFonts w:cs="Segoe UI"/>
        </w:rPr>
        <w:fldChar w:fldCharType="end"/>
      </w:r>
      <w:r w:rsidRPr="00E47714">
        <w:rPr>
          <w:rFonts w:cs="Segoe UI"/>
        </w:rPr>
        <w:t xml:space="preserve">. The main rationale for using the HSU as a population denominator for health statistics, rather than data from Stats NZ, is to combat numerator-denominator bias. This happens when the demographics about a person in the numerator are different from those in the denominator. For example, numerator-denominator bias would occur by calculating vaccination coverage for Māori with COVID-19 vaccination data as the numerator and Stats NZ population </w:t>
      </w:r>
      <w:r w:rsidRPr="00E47714">
        <w:rPr>
          <w:rFonts w:cs="Segoe UI"/>
        </w:rPr>
        <w:lastRenderedPageBreak/>
        <w:t>estimates as the denominator. Bias occurs because the ethnic groups with which someone identifies can differ</w:t>
      </w:r>
      <w:r>
        <w:rPr>
          <w:rFonts w:cs="Segoe UI"/>
        </w:rPr>
        <w:t xml:space="preserve"> between</w:t>
      </w:r>
      <w:r w:rsidRPr="00E47714">
        <w:rPr>
          <w:rFonts w:cs="Segoe UI"/>
        </w:rPr>
        <w:t xml:space="preserve"> health data </w:t>
      </w:r>
      <w:r>
        <w:rPr>
          <w:rFonts w:cs="Segoe UI"/>
        </w:rPr>
        <w:t>sources –</w:t>
      </w:r>
      <w:r w:rsidRPr="00E47714">
        <w:rPr>
          <w:rFonts w:cs="Segoe UI"/>
        </w:rPr>
        <w:t xml:space="preserve"> in this case, </w:t>
      </w:r>
      <w:r>
        <w:rPr>
          <w:rFonts w:cs="Segoe UI"/>
        </w:rPr>
        <w:t>between</w:t>
      </w:r>
      <w:r w:rsidRPr="00E47714">
        <w:rPr>
          <w:rFonts w:cs="Segoe UI"/>
        </w:rPr>
        <w:t xml:space="preserve"> the COVID-19 Immunisation Register and Stats NZ population estimates.</w:t>
      </w:r>
    </w:p>
    <w:p w14:paraId="79F17FB2" w14:textId="77777777" w:rsidR="0095333A" w:rsidRPr="00E47714" w:rsidRDefault="0095333A" w:rsidP="0095333A">
      <w:pPr>
        <w:rPr>
          <w:rFonts w:cs="Segoe UI"/>
        </w:rPr>
      </w:pPr>
    </w:p>
    <w:p w14:paraId="2A549BCA" w14:textId="3A315533" w:rsidR="0095333A" w:rsidRDefault="0095333A" w:rsidP="0095333A">
      <w:pPr>
        <w:rPr>
          <w:rFonts w:cs="Segoe UI"/>
        </w:rPr>
      </w:pPr>
      <w:r w:rsidRPr="00E47714">
        <w:rPr>
          <w:rFonts w:cs="Segoe UI"/>
        </w:rPr>
        <w:t xml:space="preserve">There are multiple methods for calculating life expectancy, </w:t>
      </w:r>
      <w:r>
        <w:rPr>
          <w:rFonts w:cs="Segoe UI"/>
        </w:rPr>
        <w:t>which</w:t>
      </w:r>
      <w:r w:rsidRPr="00E47714">
        <w:rPr>
          <w:rFonts w:cs="Segoe UI"/>
        </w:rPr>
        <w:t xml:space="preserve"> can lead to variations in estimates. Slight differences in population estimates, such as those derived from different census data or demographic models, can influence the results. </w:t>
      </w:r>
      <w:r>
        <w:rPr>
          <w:rFonts w:cs="Segoe UI"/>
        </w:rPr>
        <w:t>As noted above, the way of</w:t>
      </w:r>
      <w:r w:rsidRPr="00E47714">
        <w:rPr>
          <w:rFonts w:cs="Segoe UI"/>
        </w:rPr>
        <w:t xml:space="preserve"> handling ethnicity also varies</w:t>
      </w:r>
      <w:r>
        <w:rPr>
          <w:rFonts w:cs="Segoe UI"/>
        </w:rPr>
        <w:t>:</w:t>
      </w:r>
      <w:r w:rsidRPr="00E47714">
        <w:rPr>
          <w:rFonts w:cs="Segoe UI"/>
        </w:rPr>
        <w:t xml:space="preserve"> some calculations may use total response ethnicity, while others use prioritised ethnicity. These methodological differences mean that the life expectancy estimates in this report </w:t>
      </w:r>
      <w:r>
        <w:rPr>
          <w:rFonts w:cs="Segoe UI"/>
        </w:rPr>
        <w:t>may</w:t>
      </w:r>
      <w:r w:rsidRPr="00E47714">
        <w:rPr>
          <w:rFonts w:cs="Segoe UI"/>
        </w:rPr>
        <w:t xml:space="preserve"> differ from those reported elsewhere.</w:t>
      </w:r>
    </w:p>
    <w:p w14:paraId="119E5508" w14:textId="77777777" w:rsidR="0095333A" w:rsidRPr="00E47714" w:rsidRDefault="0095333A" w:rsidP="0095333A">
      <w:pPr>
        <w:rPr>
          <w:rFonts w:cs="Segoe UI"/>
        </w:rPr>
      </w:pPr>
    </w:p>
    <w:p w14:paraId="0AE96143" w14:textId="77777777" w:rsidR="0095333A" w:rsidRPr="00E47714" w:rsidRDefault="0095333A" w:rsidP="0095333A">
      <w:pPr>
        <w:rPr>
          <w:rFonts w:cs="Segoe UI"/>
        </w:rPr>
      </w:pPr>
      <w:r w:rsidRPr="00E47714">
        <w:rPr>
          <w:rFonts w:cs="Segoe UI"/>
        </w:rPr>
        <w:t>Whe</w:t>
      </w:r>
      <w:r>
        <w:rPr>
          <w:rFonts w:cs="Segoe UI"/>
        </w:rPr>
        <w:t>re</w:t>
      </w:r>
      <w:r w:rsidRPr="00E47714">
        <w:rPr>
          <w:rFonts w:cs="Segoe UI"/>
        </w:rPr>
        <w:t xml:space="preserve"> possible, this Health and Independence Report includes statistically significant differences between population groups and</w:t>
      </w:r>
      <w:r>
        <w:rPr>
          <w:rFonts w:cs="Segoe UI"/>
        </w:rPr>
        <w:t xml:space="preserve"> any</w:t>
      </w:r>
      <w:r w:rsidRPr="00E47714">
        <w:rPr>
          <w:rFonts w:cs="Segoe UI"/>
        </w:rPr>
        <w:t xml:space="preserve"> relevant trends over time. In many comparisons, the results have been adjusted or standardised for factors that may influence (confound) the comparison, such as age and gender. This report often uses age standardisation to account for differences in age structure between population groups and over time </w:t>
      </w:r>
      <w:r>
        <w:rPr>
          <w:rFonts w:cs="Segoe UI"/>
        </w:rPr>
        <w:fldChar w:fldCharType="begin"/>
      </w:r>
      <w:r>
        <w:rPr>
          <w:rFonts w:cs="Segoe UI"/>
        </w:rPr>
        <w:instrText xml:space="preserve"> ADDIN EN.CITE &lt;EndNote&gt;&lt;Cite&gt;&lt;Author&gt;Ministry of Health &lt;/Author&gt;&lt;Year&gt;2023&lt;/Year&gt;&lt;RecNum&gt;444&lt;/RecNum&gt;&lt;DisplayText&gt;(Ministry of Health 2023f)&lt;/DisplayText&gt;&lt;record&gt;&lt;rec-number&gt;444&lt;/rec-number&gt;&lt;foreign-keys&gt;&lt;key app="EN" db-id="aaepvppzs5wtfse95vsp2wahsrtvva2vvdet" timestamp="1716435061"&gt;444&lt;/key&gt;&lt;/foreign-keys&gt;&lt;ref-type name="Government Document"&gt;46&lt;/ref-type&gt;&lt;contributors&gt;&lt;authors&gt;&lt;author&gt;Ministry of Health ,&lt;/author&gt;&lt;/authors&gt;&lt;/contributors&gt;&lt;titles&gt;&lt;title&gt;Methodology Report 2022/23: New Zealand Health Survey&lt;/title&gt;&lt;/titles&gt;&lt;dates&gt;&lt;year&gt;2023&lt;/year&gt;&lt;/dates&gt;&lt;pub-location&gt;Wellington&lt;/pub-location&gt;&lt;publisher&gt;Ministry of Health&lt;/publisher&gt;&lt;urls&gt;&lt;related-urls&gt;&lt;url&gt;https://www.health.govt.nz/system/files/documents/publications/methodology-report-2022-23-new-zealand-health-survey-dec23.pdf&lt;/url&gt;&lt;/related-urls&gt;&lt;/urls&gt;&lt;/record&gt;&lt;/Cite&gt;&lt;/EndNote&gt;</w:instrText>
      </w:r>
      <w:r>
        <w:rPr>
          <w:rFonts w:cs="Segoe UI"/>
        </w:rPr>
        <w:fldChar w:fldCharType="separate"/>
      </w:r>
      <w:r>
        <w:rPr>
          <w:rFonts w:cs="Segoe UI"/>
          <w:noProof/>
        </w:rPr>
        <w:t>(Ministry of Health 2023f)</w:t>
      </w:r>
      <w:r>
        <w:rPr>
          <w:rFonts w:cs="Segoe UI"/>
        </w:rPr>
        <w:fldChar w:fldCharType="end"/>
      </w:r>
      <w:r w:rsidRPr="00E47714">
        <w:rPr>
          <w:rFonts w:cs="Segoe UI"/>
        </w:rPr>
        <w:t>.</w:t>
      </w:r>
    </w:p>
    <w:p w14:paraId="4FA0B62A" w14:textId="712A3924" w:rsidR="00183828" w:rsidRPr="00C87FEA" w:rsidRDefault="00183828" w:rsidP="00183828"/>
    <w:p w14:paraId="68E69448" w14:textId="77777777" w:rsidR="0095333A" w:rsidRDefault="0095333A" w:rsidP="00183828">
      <w:pPr>
        <w:sectPr w:rsidR="0095333A" w:rsidSect="001C7EEF">
          <w:pgSz w:w="11907" w:h="16834" w:code="9"/>
          <w:pgMar w:top="1418" w:right="1701" w:bottom="1134" w:left="1843" w:header="284" w:footer="425" w:gutter="284"/>
          <w:cols w:space="720"/>
        </w:sectPr>
      </w:pPr>
    </w:p>
    <w:p w14:paraId="70D38657" w14:textId="77777777" w:rsidR="0095333A" w:rsidRPr="00E47714" w:rsidRDefault="0095333A" w:rsidP="0095333A">
      <w:pPr>
        <w:pStyle w:val="Heading1"/>
      </w:pPr>
      <w:bookmarkStart w:id="253" w:name="_Toc171603283"/>
      <w:bookmarkStart w:id="254" w:name="_Toc171944543"/>
      <w:bookmarkStart w:id="255" w:name="_Toc172104683"/>
      <w:r>
        <w:lastRenderedPageBreak/>
        <w:t xml:space="preserve">References - </w:t>
      </w:r>
      <w:proofErr w:type="spellStart"/>
      <w:r w:rsidRPr="00E47714">
        <w:t>Ngā</w:t>
      </w:r>
      <w:proofErr w:type="spellEnd"/>
      <w:r w:rsidRPr="00E47714">
        <w:t xml:space="preserve"> </w:t>
      </w:r>
      <w:proofErr w:type="spellStart"/>
      <w:r w:rsidRPr="00E47714">
        <w:t>tohutoro</w:t>
      </w:r>
      <w:bookmarkEnd w:id="253"/>
      <w:bookmarkEnd w:id="254"/>
      <w:bookmarkEnd w:id="255"/>
      <w:proofErr w:type="spellEnd"/>
    </w:p>
    <w:p w14:paraId="7DD59EEE" w14:textId="77777777" w:rsidR="0095333A" w:rsidRPr="00024879" w:rsidRDefault="0095333A" w:rsidP="0095333A">
      <w:pPr>
        <w:pStyle w:val="References"/>
      </w:pPr>
      <w:r>
        <w:fldChar w:fldCharType="begin"/>
      </w:r>
      <w:r>
        <w:instrText xml:space="preserve"> ADDIN EN.REFLIST </w:instrText>
      </w:r>
      <w:r>
        <w:fldChar w:fldCharType="separate"/>
      </w:r>
      <w:r w:rsidRPr="00024879">
        <w:t>Accident Compensation Corporation. 2023. ACC Annual Report 2023. Wellington: Accident Compensation Corporation.</w:t>
      </w:r>
    </w:p>
    <w:p w14:paraId="16783DA6" w14:textId="77777777" w:rsidR="0095333A" w:rsidRPr="00024879" w:rsidRDefault="0095333A" w:rsidP="0095333A">
      <w:pPr>
        <w:pStyle w:val="References"/>
      </w:pPr>
      <w:r w:rsidRPr="00024879">
        <w:t xml:space="preserve">Action for Smokefree 2025. 2024. </w:t>
      </w:r>
      <w:r w:rsidRPr="00024879">
        <w:rPr>
          <w:i/>
        </w:rPr>
        <w:t>ASH Year 10 Snapshot Survey</w:t>
      </w:r>
      <w:r w:rsidRPr="00024879">
        <w:t>. URL: ash.org.nz/ash_year_10 (accessed 24 May 2024).</w:t>
      </w:r>
    </w:p>
    <w:p w14:paraId="7B1F1347" w14:textId="77777777" w:rsidR="0095333A" w:rsidRPr="00024879" w:rsidRDefault="0095333A" w:rsidP="0095333A">
      <w:pPr>
        <w:pStyle w:val="References"/>
      </w:pPr>
      <w:r w:rsidRPr="00024879">
        <w:t>Allen + Clarke</w:t>
      </w:r>
      <w:r w:rsidRPr="00705DD8">
        <w:t xml:space="preserve">. </w:t>
      </w:r>
      <w:r w:rsidRPr="00722362">
        <w:t>2021. Evaluation of the Mobility Action Programme (MAP): Cycle 2 Final Report. Wellington: Ministry of Health.</w:t>
      </w:r>
    </w:p>
    <w:p w14:paraId="3DB31275" w14:textId="77777777" w:rsidR="0095333A" w:rsidRPr="00024879" w:rsidRDefault="0095333A" w:rsidP="0095333A">
      <w:pPr>
        <w:pStyle w:val="References"/>
      </w:pPr>
      <w:r w:rsidRPr="00722362">
        <w:t>beehive.govt.nz.</w:t>
      </w:r>
      <w:r w:rsidRPr="00024879">
        <w:t xml:space="preserve"> 2023. </w:t>
      </w:r>
      <w:r w:rsidRPr="00024879">
        <w:rPr>
          <w:i/>
        </w:rPr>
        <w:t>All COVID-19 requirements removed</w:t>
      </w:r>
      <w:r w:rsidRPr="00024879">
        <w:t>. URL: beehive.govt.nz/release/all-covid-19-requirements-removed (accessed 24 May 2024).</w:t>
      </w:r>
    </w:p>
    <w:p w14:paraId="0A2E4DAE" w14:textId="77777777" w:rsidR="0095333A" w:rsidRPr="00024879" w:rsidRDefault="0095333A" w:rsidP="0095333A">
      <w:pPr>
        <w:pStyle w:val="References"/>
      </w:pPr>
      <w:r w:rsidRPr="00024879">
        <w:t xml:space="preserve">Environmental Health Intelligence New Zealand. 2023. </w:t>
      </w:r>
      <w:r w:rsidRPr="00FF5099">
        <w:rPr>
          <w:i/>
          <w:iCs/>
        </w:rPr>
        <w:t>Faecal indictor bacteria at recreational bathing sites</w:t>
      </w:r>
      <w:r w:rsidRPr="00024879">
        <w:t>. Wellington: Environmental Health Intelligence NZ, Massey University.</w:t>
      </w:r>
    </w:p>
    <w:p w14:paraId="5B9AC02D" w14:textId="77777777" w:rsidR="0095333A" w:rsidRPr="00024879" w:rsidRDefault="0095333A" w:rsidP="0095333A">
      <w:pPr>
        <w:pStyle w:val="References"/>
      </w:pPr>
      <w:r w:rsidRPr="00024879">
        <w:t xml:space="preserve">Environmental Health Intelligence New Zealand. 2024. </w:t>
      </w:r>
      <w:r w:rsidRPr="00024879">
        <w:rPr>
          <w:i/>
        </w:rPr>
        <w:t>Aotearoa New Zealand's environmental health: 2023</w:t>
      </w:r>
      <w:r w:rsidRPr="00024879">
        <w:t xml:space="preserve">. </w:t>
      </w:r>
      <w:r w:rsidRPr="00722362">
        <w:t>URL: ehinz.ac.nz/indicators/overview/key-findings</w:t>
      </w:r>
      <w:r w:rsidRPr="00705DD8">
        <w:t xml:space="preserve"> (accessed 24 May 2024).</w:t>
      </w:r>
    </w:p>
    <w:p w14:paraId="4619FA13" w14:textId="77777777" w:rsidR="0095333A" w:rsidRPr="00722362" w:rsidRDefault="0095333A" w:rsidP="0095333A">
      <w:pPr>
        <w:pStyle w:val="References"/>
      </w:pPr>
      <w:r w:rsidRPr="00722362">
        <w:t xml:space="preserve">Environmental Health Intelligence New Zealand. (nd). </w:t>
      </w:r>
      <w:r w:rsidRPr="00722362">
        <w:rPr>
          <w:i/>
        </w:rPr>
        <w:t>Socioeconomic deprivation profile</w:t>
      </w:r>
      <w:r w:rsidRPr="00722362">
        <w:t>. URL: ehinz.ac.nz/indicators/population-vulnerability/socioeconomic-deprivation-profile (accessed 24 May 2024).</w:t>
      </w:r>
    </w:p>
    <w:p w14:paraId="02FDF62A" w14:textId="77777777" w:rsidR="0095333A" w:rsidRPr="00075542" w:rsidRDefault="0095333A" w:rsidP="0095333A">
      <w:pPr>
        <w:pStyle w:val="References"/>
      </w:pPr>
      <w:r w:rsidRPr="00075542">
        <w:t>Foote J, Hepi M, Nicholas G. 2014. An evaluation of the reorientation of child and adolescent oral health service. Institute of Environmental Science and Research Limited.</w:t>
      </w:r>
    </w:p>
    <w:p w14:paraId="2431F0B3" w14:textId="77777777" w:rsidR="0095333A" w:rsidRPr="00AB0392" w:rsidRDefault="0095333A" w:rsidP="0095333A">
      <w:pPr>
        <w:pStyle w:val="References"/>
      </w:pPr>
      <w:r w:rsidRPr="00AB0392">
        <w:t>GBD 2021 Demographics Collaborators</w:t>
      </w:r>
      <w:r w:rsidRPr="00225A3E">
        <w:t>.</w:t>
      </w:r>
      <w:r w:rsidRPr="00AB0392">
        <w:t xml:space="preserve"> 2024. Global age-sex-specific mortality, life expectancy, and population estimates in 204 countries and territories and 811 subnational locations, 1950-2021, and the impact of the COVID-19 pandemic: a comprehensive demographic analysis for the Global Burden of Disease Study 2021. </w:t>
      </w:r>
      <w:r w:rsidRPr="00AB0392">
        <w:rPr>
          <w:i/>
        </w:rPr>
        <w:t>The Lancet 403(10440):1989–2056</w:t>
      </w:r>
      <w:r w:rsidRPr="00AB0392">
        <w:t>: .</w:t>
      </w:r>
    </w:p>
    <w:p w14:paraId="30C51907" w14:textId="77777777" w:rsidR="0095333A" w:rsidRPr="00705DD8" w:rsidRDefault="0095333A" w:rsidP="0095333A">
      <w:pPr>
        <w:pStyle w:val="References"/>
      </w:pPr>
      <w:r w:rsidRPr="00705DD8">
        <w:t>Health NZ</w:t>
      </w:r>
      <w:r w:rsidRPr="00722362">
        <w:t>.</w:t>
      </w:r>
      <w:r w:rsidRPr="00705DD8">
        <w:t xml:space="preserve"> 2023a. </w:t>
      </w:r>
      <w:r w:rsidRPr="00705DD8">
        <w:rPr>
          <w:i/>
        </w:rPr>
        <w:t>Cancer web tool</w:t>
      </w:r>
      <w:r w:rsidRPr="00705DD8">
        <w:t>. URL: tewhatuora.shinyapps.io/cancer-web-tool (accessed 23 May 2024).</w:t>
      </w:r>
    </w:p>
    <w:p w14:paraId="7137762A" w14:textId="77777777" w:rsidR="0095333A" w:rsidRPr="00705DD8" w:rsidRDefault="0095333A" w:rsidP="0095333A">
      <w:pPr>
        <w:pStyle w:val="References"/>
      </w:pPr>
      <w:r w:rsidRPr="00705DD8">
        <w:t>Health NZ</w:t>
      </w:r>
      <w:r w:rsidRPr="00722362">
        <w:t>.</w:t>
      </w:r>
      <w:r w:rsidRPr="00705DD8">
        <w:t xml:space="preserve"> 2023b. </w:t>
      </w:r>
      <w:r w:rsidRPr="00705DD8">
        <w:rPr>
          <w:i/>
        </w:rPr>
        <w:t>Fetal and infant deaths web tool</w:t>
      </w:r>
      <w:r w:rsidRPr="00705DD8">
        <w:t>. URL: tewhatuora.shinyapps.io/fetal-and-infant-deaths-web-tool (accessed 23 May 2024).</w:t>
      </w:r>
    </w:p>
    <w:p w14:paraId="2BD5E91B" w14:textId="77777777" w:rsidR="0095333A" w:rsidRPr="00705DD8" w:rsidRDefault="0095333A" w:rsidP="0095333A">
      <w:pPr>
        <w:pStyle w:val="References"/>
      </w:pPr>
      <w:r w:rsidRPr="00705DD8">
        <w:t>Health NZ</w:t>
      </w:r>
      <w:r w:rsidRPr="00722362">
        <w:t>.</w:t>
      </w:r>
      <w:r w:rsidRPr="00705DD8">
        <w:t xml:space="preserve"> 2023c. </w:t>
      </w:r>
      <w:r w:rsidRPr="00705DD8">
        <w:rPr>
          <w:i/>
        </w:rPr>
        <w:t>Mortality web tool</w:t>
      </w:r>
      <w:r w:rsidRPr="00705DD8">
        <w:t>. URL: tewhatuora.shinyapps.io/mortality-web-tool (accessed 23 May 2024).</w:t>
      </w:r>
    </w:p>
    <w:p w14:paraId="1E8DF304" w14:textId="77777777" w:rsidR="0095333A" w:rsidRPr="00705DD8" w:rsidRDefault="0095333A" w:rsidP="0095333A">
      <w:pPr>
        <w:pStyle w:val="References"/>
      </w:pPr>
      <w:r w:rsidRPr="00705DD8">
        <w:t>Health NZ</w:t>
      </w:r>
      <w:r w:rsidRPr="00722362">
        <w:t>.</w:t>
      </w:r>
      <w:r w:rsidRPr="00705DD8">
        <w:t xml:space="preserve"> 2023d. </w:t>
      </w:r>
      <w:r w:rsidRPr="00705DD8">
        <w:rPr>
          <w:i/>
        </w:rPr>
        <w:t>National Cervical Screening Programme Coverage Report</w:t>
      </w:r>
      <w:r w:rsidRPr="00705DD8">
        <w:t>. URL: tewhatuora.shinyapps.io/nsu-ncsp-coverage (accessed 23 May 2024).</w:t>
      </w:r>
    </w:p>
    <w:p w14:paraId="0394702F" w14:textId="77777777" w:rsidR="0095333A" w:rsidRPr="00705DD8" w:rsidRDefault="0095333A" w:rsidP="0095333A">
      <w:pPr>
        <w:pStyle w:val="References"/>
      </w:pPr>
      <w:r w:rsidRPr="00705DD8">
        <w:t>Health NZ</w:t>
      </w:r>
      <w:r w:rsidRPr="00722362">
        <w:t>.</w:t>
      </w:r>
      <w:r w:rsidRPr="00705DD8">
        <w:t xml:space="preserve"> 2023e. </w:t>
      </w:r>
      <w:r w:rsidRPr="00705DD8">
        <w:rPr>
          <w:i/>
        </w:rPr>
        <w:t>Report on Maternity web tool</w:t>
      </w:r>
      <w:r w:rsidRPr="00705DD8">
        <w:t>. URL: tewhatuora.shinyapps.io/report-on-maternity-web-tool (accessed 26 March 2024).</w:t>
      </w:r>
    </w:p>
    <w:p w14:paraId="53CF7F23" w14:textId="77777777" w:rsidR="0095333A" w:rsidRPr="00705DD8" w:rsidRDefault="0095333A" w:rsidP="0095333A">
      <w:pPr>
        <w:pStyle w:val="References"/>
      </w:pPr>
      <w:r w:rsidRPr="00705DD8">
        <w:t>Health NZ</w:t>
      </w:r>
      <w:r w:rsidRPr="00722362">
        <w:t>.</w:t>
      </w:r>
      <w:r w:rsidRPr="00705DD8">
        <w:t xml:space="preserve"> 2023f. </w:t>
      </w:r>
      <w:r w:rsidRPr="00705DD8">
        <w:rPr>
          <w:i/>
        </w:rPr>
        <w:t>Virtual Diabetes Register web tool</w:t>
      </w:r>
      <w:r w:rsidRPr="00705DD8">
        <w:t>. URL: tewhatuora.shinyapps.io/virtual-diabetes-register-web-tool (accessed 23 May 2024).</w:t>
      </w:r>
    </w:p>
    <w:p w14:paraId="62A46938" w14:textId="77777777" w:rsidR="0095333A" w:rsidRPr="00705DD8" w:rsidRDefault="0095333A" w:rsidP="0095333A">
      <w:pPr>
        <w:pStyle w:val="References"/>
      </w:pPr>
      <w:r w:rsidRPr="00705DD8">
        <w:lastRenderedPageBreak/>
        <w:t>Health NZ</w:t>
      </w:r>
      <w:r w:rsidRPr="00722362">
        <w:t>.</w:t>
      </w:r>
      <w:r w:rsidRPr="00705DD8">
        <w:t xml:space="preserve"> 2024a. </w:t>
      </w:r>
      <w:r w:rsidRPr="00075542">
        <w:t xml:space="preserve">Aotearoa New Zealand Health Status Report 2023 </w:t>
      </w:r>
      <w:r w:rsidRPr="00705DD8">
        <w:t>Wellington: Health New Zealand.</w:t>
      </w:r>
    </w:p>
    <w:p w14:paraId="45CB860A" w14:textId="77777777" w:rsidR="0095333A" w:rsidRPr="00705DD8" w:rsidRDefault="0095333A" w:rsidP="0095333A">
      <w:pPr>
        <w:pStyle w:val="References"/>
      </w:pPr>
      <w:r w:rsidRPr="00705DD8">
        <w:t>Health NZ</w:t>
      </w:r>
      <w:r w:rsidRPr="00722362">
        <w:t>.</w:t>
      </w:r>
      <w:r w:rsidRPr="00705DD8">
        <w:t xml:space="preserve"> 2024b. </w:t>
      </w:r>
      <w:r w:rsidRPr="00705DD8">
        <w:rPr>
          <w:i/>
        </w:rPr>
        <w:t>BreastScreen Aotearoa Coverage Report</w:t>
      </w:r>
      <w:r w:rsidRPr="00705DD8">
        <w:t>. URL: tewhatuora.shinyapps.io/nsu-bsa-coverage (accessed 21 May 2024).</w:t>
      </w:r>
    </w:p>
    <w:p w14:paraId="16FB1904" w14:textId="77777777" w:rsidR="0095333A" w:rsidRPr="00024879" w:rsidRDefault="0095333A" w:rsidP="0095333A">
      <w:pPr>
        <w:pStyle w:val="References"/>
      </w:pPr>
      <w:r w:rsidRPr="00024879">
        <w:t>Health NZ</w:t>
      </w:r>
      <w:r w:rsidRPr="00722362">
        <w:t>.</w:t>
      </w:r>
      <w:r w:rsidRPr="00024879">
        <w:t xml:space="preserve"> </w:t>
      </w:r>
      <w:r w:rsidRPr="00075542">
        <w:t>2024c.</w:t>
      </w:r>
      <w:r w:rsidRPr="00024879">
        <w:t xml:space="preserve"> </w:t>
      </w:r>
      <w:r w:rsidRPr="00024879">
        <w:rPr>
          <w:i/>
        </w:rPr>
        <w:t>Chronic kidney disease</w:t>
      </w:r>
      <w:r w:rsidRPr="00024879">
        <w:t xml:space="preserve">. </w:t>
      </w:r>
      <w:r w:rsidRPr="00705DD8">
        <w:t xml:space="preserve">URL: </w:t>
      </w:r>
      <w:r w:rsidRPr="00024879">
        <w:t>info.health.nz/conditions-treatments/bladder-kidney-and-urinary-system/chronic-kidney-disease (accessed 23 May 2024).</w:t>
      </w:r>
    </w:p>
    <w:p w14:paraId="7B58FF99" w14:textId="77777777" w:rsidR="0095333A" w:rsidRPr="00024879" w:rsidRDefault="0095333A" w:rsidP="0095333A">
      <w:pPr>
        <w:pStyle w:val="References"/>
      </w:pPr>
      <w:r w:rsidRPr="00024879">
        <w:t>Health NZ</w:t>
      </w:r>
      <w:r w:rsidRPr="007013CC">
        <w:t xml:space="preserve">. </w:t>
      </w:r>
      <w:r w:rsidRPr="00075542">
        <w:t>2024d.</w:t>
      </w:r>
      <w:r w:rsidRPr="007013CC">
        <w:t xml:space="preserve"> </w:t>
      </w:r>
      <w:r w:rsidRPr="007013CC">
        <w:rPr>
          <w:i/>
        </w:rPr>
        <w:t>Dental care</w:t>
      </w:r>
      <w:r w:rsidRPr="007013CC">
        <w:t>. URL: info.health.nz/keeping-healthy/teeth-and-gums/dental-care</w:t>
      </w:r>
      <w:r w:rsidRPr="00705DD8">
        <w:t xml:space="preserve"> (accessed 24 May 2024).</w:t>
      </w:r>
    </w:p>
    <w:p w14:paraId="16DA6B30" w14:textId="77777777" w:rsidR="0095333A" w:rsidRPr="007013CC" w:rsidRDefault="0095333A" w:rsidP="0095333A">
      <w:pPr>
        <w:pStyle w:val="References"/>
      </w:pPr>
      <w:r w:rsidRPr="007013CC">
        <w:t>Health NZ</w:t>
      </w:r>
      <w:r w:rsidRPr="00722362">
        <w:t>.</w:t>
      </w:r>
      <w:r w:rsidRPr="007013CC">
        <w:t xml:space="preserve"> </w:t>
      </w:r>
      <w:r w:rsidRPr="00075542">
        <w:t>2024e.</w:t>
      </w:r>
      <w:r w:rsidRPr="007013CC">
        <w:t xml:space="preserve"> </w:t>
      </w:r>
      <w:r w:rsidRPr="007013CC">
        <w:rPr>
          <w:i/>
        </w:rPr>
        <w:t>Eating and activity guidelines</w:t>
      </w:r>
      <w:r w:rsidRPr="007013CC">
        <w:t>. URL: tewhatuora.govt.nz/health-services-and-programmes/nutrition/eating-and-activity-guidelines (accessed 24 May 2024).</w:t>
      </w:r>
    </w:p>
    <w:p w14:paraId="6F11BEE8" w14:textId="77777777" w:rsidR="0095333A" w:rsidRPr="007013CC" w:rsidRDefault="0095333A" w:rsidP="0095333A">
      <w:pPr>
        <w:pStyle w:val="References"/>
      </w:pPr>
      <w:r w:rsidRPr="007013CC">
        <w:t>Health NZ</w:t>
      </w:r>
      <w:r w:rsidRPr="00722362">
        <w:t>.</w:t>
      </w:r>
      <w:r w:rsidRPr="007013CC">
        <w:t xml:space="preserve"> </w:t>
      </w:r>
      <w:r w:rsidRPr="00075542">
        <w:t>2024f.</w:t>
      </w:r>
      <w:r w:rsidRPr="007013CC">
        <w:t xml:space="preserve"> </w:t>
      </w:r>
      <w:r w:rsidRPr="007013CC">
        <w:rPr>
          <w:i/>
        </w:rPr>
        <w:t>Enrolment with a general practice and primary health organisation</w:t>
      </w:r>
      <w:r w:rsidRPr="007013CC">
        <w:t>. URL: tewhatuora.govt.nz/for-health-providers/primary-care-sector/primary-health-organisations/enrolment-with-a-general-practice-and-primary-health-organisation (accessed 5 June 2024).</w:t>
      </w:r>
    </w:p>
    <w:p w14:paraId="2158B925" w14:textId="77777777" w:rsidR="0095333A" w:rsidRPr="00705DD8" w:rsidRDefault="0095333A" w:rsidP="0095333A">
      <w:pPr>
        <w:pStyle w:val="References"/>
      </w:pPr>
      <w:r w:rsidRPr="007013CC">
        <w:t>Health NZ</w:t>
      </w:r>
      <w:r w:rsidRPr="00722362">
        <w:t>.</w:t>
      </w:r>
      <w:r w:rsidRPr="007013CC">
        <w:t xml:space="preserve"> </w:t>
      </w:r>
      <w:r w:rsidRPr="00075542">
        <w:t xml:space="preserve">2024g. </w:t>
      </w:r>
      <w:r w:rsidRPr="00075542">
        <w:rPr>
          <w:i/>
        </w:rPr>
        <w:t>HPV immunisation programme</w:t>
      </w:r>
      <w:r w:rsidRPr="00075542">
        <w:t>. URL: tewhatuora.govt.nz/health-services-and-programmes/vaccine-information/hpv-immunisation-programme</w:t>
      </w:r>
      <w:r w:rsidRPr="00705DD8">
        <w:t xml:space="preserve"> (accessed 27 May 2024).</w:t>
      </w:r>
    </w:p>
    <w:p w14:paraId="5FE34645" w14:textId="77777777" w:rsidR="0095333A" w:rsidRPr="00075542" w:rsidRDefault="0095333A" w:rsidP="0095333A">
      <w:pPr>
        <w:pStyle w:val="References"/>
      </w:pPr>
      <w:r w:rsidRPr="00075542">
        <w:t xml:space="preserve">Health NZ. 2024h. </w:t>
      </w:r>
      <w:r w:rsidRPr="00075542">
        <w:rPr>
          <w:i/>
        </w:rPr>
        <w:t>Immunisation coverage</w:t>
      </w:r>
      <w:r w:rsidRPr="00075542">
        <w:t>. URL: tewhatuora.govt.nz/health-services-and-programmes/vaccine-information/immunisation-coverage (accessed 27 May 2024).</w:t>
      </w:r>
    </w:p>
    <w:p w14:paraId="338848AF" w14:textId="77777777" w:rsidR="0095333A" w:rsidRPr="00075542" w:rsidRDefault="0095333A" w:rsidP="0095333A">
      <w:pPr>
        <w:pStyle w:val="References"/>
      </w:pPr>
      <w:r w:rsidRPr="007013CC">
        <w:t>Health NZ</w:t>
      </w:r>
      <w:r w:rsidRPr="00722362">
        <w:t xml:space="preserve">. 2024i. </w:t>
      </w:r>
      <w:r w:rsidRPr="00075542">
        <w:t>Immunisation Handbook. Wellington: Health New Zealand.</w:t>
      </w:r>
    </w:p>
    <w:p w14:paraId="102F4459" w14:textId="77777777" w:rsidR="0095333A" w:rsidRPr="007013CC" w:rsidRDefault="0095333A" w:rsidP="0095333A">
      <w:pPr>
        <w:pStyle w:val="References"/>
      </w:pPr>
      <w:r w:rsidRPr="00075542">
        <w:t xml:space="preserve">Health NZ. 2024j. </w:t>
      </w:r>
      <w:r w:rsidRPr="00722362">
        <w:rPr>
          <w:i/>
        </w:rPr>
        <w:t>Measles (for heath professionals)</w:t>
      </w:r>
      <w:r w:rsidRPr="00722362">
        <w:t>. URL: tewhatuora.govt.nz/for-health-professionals/clinical-guidance/diseases-and-conditions/measles</w:t>
      </w:r>
      <w:r w:rsidRPr="007013CC">
        <w:t xml:space="preserve"> (accessed 27 May 2024).</w:t>
      </w:r>
    </w:p>
    <w:p w14:paraId="270562D9" w14:textId="77777777" w:rsidR="0095333A" w:rsidRPr="00722362" w:rsidRDefault="0095333A" w:rsidP="0095333A">
      <w:pPr>
        <w:pStyle w:val="References"/>
      </w:pPr>
      <w:r w:rsidRPr="00722362">
        <w:t xml:space="preserve">Health NZ. </w:t>
      </w:r>
      <w:r w:rsidRPr="00075542">
        <w:t>2024k.</w:t>
      </w:r>
      <w:r w:rsidRPr="00722362">
        <w:t xml:space="preserve"> </w:t>
      </w:r>
      <w:r w:rsidRPr="00722362">
        <w:rPr>
          <w:i/>
        </w:rPr>
        <w:t>Measles (health information and services)</w:t>
      </w:r>
      <w:r w:rsidRPr="00722362">
        <w:t>. URL: info.health.nz/conditions-treatments/infectious-diseases/measles (accessed 24 May 2024).</w:t>
      </w:r>
    </w:p>
    <w:p w14:paraId="6E0D825D" w14:textId="77777777" w:rsidR="0095333A" w:rsidRPr="00722362" w:rsidRDefault="0095333A" w:rsidP="0095333A">
      <w:pPr>
        <w:pStyle w:val="References"/>
      </w:pPr>
      <w:r w:rsidRPr="00722362">
        <w:t xml:space="preserve">Health NZ. </w:t>
      </w:r>
      <w:r w:rsidRPr="00075542">
        <w:t>2024l.</w:t>
      </w:r>
      <w:r w:rsidRPr="00722362">
        <w:t xml:space="preserve"> </w:t>
      </w:r>
      <w:r w:rsidRPr="00722362">
        <w:rPr>
          <w:i/>
        </w:rPr>
        <w:t>Meningococcal disease</w:t>
      </w:r>
      <w:r w:rsidRPr="00722362">
        <w:t>. URL: info.health.nz/conditions-treatments/infectious-diseases/meningococcal-disease (accessed 24 May 2024).</w:t>
      </w:r>
    </w:p>
    <w:p w14:paraId="50DA19CD" w14:textId="77777777" w:rsidR="0095333A" w:rsidRPr="00722362" w:rsidRDefault="0095333A" w:rsidP="0095333A">
      <w:pPr>
        <w:pStyle w:val="References"/>
      </w:pPr>
      <w:r w:rsidRPr="00722362">
        <w:t xml:space="preserve">Health NZ. </w:t>
      </w:r>
      <w:r w:rsidRPr="00075542">
        <w:t>2024m.</w:t>
      </w:r>
      <w:r w:rsidRPr="00722362">
        <w:t xml:space="preserve"> </w:t>
      </w:r>
      <w:r w:rsidRPr="00722362">
        <w:rPr>
          <w:i/>
        </w:rPr>
        <w:t>Populations web tool</w:t>
      </w:r>
      <w:r w:rsidRPr="00722362">
        <w:t>. URL: tewhatuora.shinyapps.io/populations-web-tool (accessed 23 May 2024).</w:t>
      </w:r>
    </w:p>
    <w:p w14:paraId="17EC9E01" w14:textId="77777777" w:rsidR="0095333A" w:rsidRPr="00722362" w:rsidRDefault="0095333A" w:rsidP="0095333A">
      <w:pPr>
        <w:pStyle w:val="References"/>
      </w:pPr>
      <w:r w:rsidRPr="00722362">
        <w:t xml:space="preserve">Health NZ. </w:t>
      </w:r>
      <w:r w:rsidRPr="00075542">
        <w:t>2024n.</w:t>
      </w:r>
      <w:r w:rsidRPr="00722362">
        <w:t xml:space="preserve"> </w:t>
      </w:r>
      <w:r w:rsidRPr="00722362">
        <w:rPr>
          <w:i/>
        </w:rPr>
        <w:t>Questions and answers – Planned care services</w:t>
      </w:r>
      <w:r w:rsidRPr="00722362">
        <w:t>. URL: tewhatuora.govt.nz/health-services-and-programmes/planned-care-services/questions-and-answers-planned-care-services (accessed 27 May 2024).</w:t>
      </w:r>
    </w:p>
    <w:p w14:paraId="358CA979" w14:textId="77777777" w:rsidR="0095333A" w:rsidRPr="00722362" w:rsidRDefault="0095333A" w:rsidP="0095333A">
      <w:pPr>
        <w:pStyle w:val="References"/>
      </w:pPr>
      <w:r w:rsidRPr="00722362">
        <w:t xml:space="preserve">Health NZ. </w:t>
      </w:r>
      <w:r w:rsidRPr="00075542">
        <w:t>2024o.</w:t>
      </w:r>
      <w:r w:rsidRPr="00722362">
        <w:t xml:space="preserve"> </w:t>
      </w:r>
      <w:r w:rsidRPr="00722362">
        <w:rPr>
          <w:i/>
        </w:rPr>
        <w:t>Reducing rheumatic fever</w:t>
      </w:r>
      <w:r w:rsidRPr="00722362">
        <w:t>. URL: tewhatuora.govt.nz/for-health-professionals/clinical-guidance/diseases-and-conditions/rheumatic-fever-guidance/reducing-rheumatic-fever (accessed 24 May 2024).</w:t>
      </w:r>
    </w:p>
    <w:p w14:paraId="07F5DA07" w14:textId="77777777" w:rsidR="0095333A" w:rsidRPr="00722362" w:rsidRDefault="0095333A" w:rsidP="0095333A">
      <w:pPr>
        <w:pStyle w:val="References"/>
      </w:pPr>
      <w:r w:rsidRPr="00722362">
        <w:t xml:space="preserve">Health NZ. </w:t>
      </w:r>
      <w:r w:rsidRPr="00075542">
        <w:t>2024p.</w:t>
      </w:r>
      <w:r w:rsidRPr="00722362">
        <w:t xml:space="preserve"> </w:t>
      </w:r>
      <w:r w:rsidRPr="00AB0392">
        <w:rPr>
          <w:i/>
        </w:rPr>
        <w:t>Suicide data web tool</w:t>
      </w:r>
      <w:r w:rsidRPr="00AB0392">
        <w:t>. URL: tewhatuora.shinyapps.io/suicide-web-tool (accessed 23</w:t>
      </w:r>
      <w:r w:rsidRPr="00722362">
        <w:t xml:space="preserve"> May 2024).</w:t>
      </w:r>
    </w:p>
    <w:p w14:paraId="64385C73" w14:textId="77777777" w:rsidR="0095333A" w:rsidRPr="00722362" w:rsidRDefault="0095333A" w:rsidP="0095333A">
      <w:pPr>
        <w:pStyle w:val="References"/>
      </w:pPr>
      <w:r w:rsidRPr="00AB0392">
        <w:lastRenderedPageBreak/>
        <w:t>Health NZ. 2024q.</w:t>
      </w:r>
      <w:r w:rsidRPr="00722362">
        <w:t xml:space="preserve"> </w:t>
      </w:r>
      <w:r w:rsidRPr="00722362">
        <w:rPr>
          <w:i/>
        </w:rPr>
        <w:t>Why immunise?</w:t>
      </w:r>
      <w:r w:rsidRPr="00722362">
        <w:t xml:space="preserve"> URL: tewhatuora.govt.nz/health-services-and-programmes/vaccine-information/about-immunisation-in-new-zealand/why-immunise (accessed 27 May 2024).</w:t>
      </w:r>
    </w:p>
    <w:p w14:paraId="5D92CE1A" w14:textId="77777777" w:rsidR="0095333A" w:rsidRPr="00705DD8" w:rsidRDefault="0095333A" w:rsidP="0095333A">
      <w:pPr>
        <w:pStyle w:val="References"/>
      </w:pPr>
      <w:r w:rsidRPr="00722362">
        <w:t>Health NZ. (nd).</w:t>
      </w:r>
      <w:r w:rsidRPr="00705DD8">
        <w:t xml:space="preserve"> </w:t>
      </w:r>
      <w:r w:rsidRPr="00705DD8">
        <w:rPr>
          <w:i/>
        </w:rPr>
        <w:t>COVID-19 vaccines</w:t>
      </w:r>
      <w:r w:rsidRPr="00705DD8">
        <w:t>. URL: info.health.nz/conditions-treatments/infectious-diseases/covid-19/covid-19-vaccines (accessed 27 May 2024).</w:t>
      </w:r>
    </w:p>
    <w:p w14:paraId="7B1A0995" w14:textId="77777777" w:rsidR="0095333A" w:rsidRPr="00705DD8" w:rsidRDefault="0095333A" w:rsidP="0095333A">
      <w:pPr>
        <w:pStyle w:val="References"/>
      </w:pPr>
      <w:r w:rsidRPr="00705DD8">
        <w:t xml:space="preserve">Howden-Chapman P, Fyfe C, Nathan K, et al. 2021. The effects of housing on health and well-being in Aotearoa New Zealand. </w:t>
      </w:r>
      <w:r w:rsidRPr="00705DD8">
        <w:rPr>
          <w:i/>
        </w:rPr>
        <w:t>New Zealand Population Review</w:t>
      </w:r>
      <w:r w:rsidRPr="00705DD8">
        <w:t xml:space="preserve"> 47: 16-32.</w:t>
      </w:r>
    </w:p>
    <w:p w14:paraId="4ADF3640" w14:textId="77777777" w:rsidR="0095333A" w:rsidRPr="00705DD8" w:rsidRDefault="0095333A" w:rsidP="0095333A">
      <w:pPr>
        <w:pStyle w:val="References"/>
      </w:pPr>
      <w:r w:rsidRPr="00705DD8">
        <w:t xml:space="preserve">HQSC. 2023a. </w:t>
      </w:r>
      <w:r w:rsidRPr="00705DD8">
        <w:rPr>
          <w:i/>
        </w:rPr>
        <w:t>About our patient experience surveys</w:t>
      </w:r>
      <w:r w:rsidRPr="00705DD8">
        <w:t>. URL: hqsc.govt.nz/our-data/patient-reported-measures/patient-experience/about-our-surveys (accessed 27 May 2024).</w:t>
      </w:r>
    </w:p>
    <w:p w14:paraId="2308EEF4" w14:textId="77777777" w:rsidR="0095333A" w:rsidRPr="00705DD8" w:rsidRDefault="0095333A" w:rsidP="0095333A">
      <w:pPr>
        <w:pStyle w:val="References"/>
      </w:pPr>
      <w:r w:rsidRPr="00705DD8">
        <w:t xml:space="preserve">HQSC. 2023b. </w:t>
      </w:r>
      <w:r w:rsidRPr="00705DD8">
        <w:rPr>
          <w:i/>
        </w:rPr>
        <w:t>Adverse events national quarterly dashboard</w:t>
      </w:r>
      <w:r w:rsidRPr="00705DD8">
        <w:t>. URL: reports.hqsc.govt.nz/AdverseEventsQuarterly (accessed 24 May 2024).</w:t>
      </w:r>
    </w:p>
    <w:p w14:paraId="7CBE6968" w14:textId="77777777" w:rsidR="0095333A" w:rsidRPr="00705DD8" w:rsidRDefault="0095333A" w:rsidP="0095333A">
      <w:pPr>
        <w:pStyle w:val="References"/>
      </w:pPr>
      <w:r w:rsidRPr="00705DD8">
        <w:t xml:space="preserve">HQSC. 2023c. </w:t>
      </w:r>
      <w:r w:rsidRPr="00705DD8">
        <w:rPr>
          <w:i/>
        </w:rPr>
        <w:t>Healing, Learning and Improving from Harm: National Adverse Events Reporting Policy 2023 | Te whakaora, te ako me to whakapai ake i te kino</w:t>
      </w:r>
      <w:r w:rsidRPr="00705DD8">
        <w:t>. URL: hqsc.govt.nz/our-work/system-safety/healing-learning-and-improving-from-harm-policy/national-adverse-events-reporting-policy (accessed 24 May 2024).</w:t>
      </w:r>
    </w:p>
    <w:p w14:paraId="0BE3C7E3" w14:textId="77777777" w:rsidR="0095333A" w:rsidRPr="00705DD8" w:rsidRDefault="0095333A" w:rsidP="0095333A">
      <w:pPr>
        <w:pStyle w:val="References"/>
      </w:pPr>
      <w:r w:rsidRPr="00705DD8">
        <w:t xml:space="preserve">HQSC. 2024a. </w:t>
      </w:r>
      <w:r w:rsidRPr="00705DD8">
        <w:rPr>
          <w:i/>
        </w:rPr>
        <w:t>Aotearoa New Zealand patient experience survey: Adult hospital inpatient experience explorer</w:t>
      </w:r>
      <w:r w:rsidRPr="00705DD8">
        <w:t>. URL: reports.hqsc.govt.nz/AHI-explorer/?_gl=1*1o0d9o3*_ga*MTAyMzM2NTIxMC4xNzEzMzA3ODQ3*_ga_TG4RCRSBWS*MTcxNzU1NjA4OS4xNC4xLjE3MTc1NTYyMTkuMC4wLjA.#! (accessed 5 June 2024).</w:t>
      </w:r>
    </w:p>
    <w:p w14:paraId="64773950" w14:textId="77777777" w:rsidR="0095333A" w:rsidRPr="00705DD8" w:rsidRDefault="0095333A" w:rsidP="0095333A">
      <w:pPr>
        <w:pStyle w:val="References"/>
      </w:pPr>
      <w:r w:rsidRPr="00705DD8">
        <w:t xml:space="preserve">HQSC. 2024b. </w:t>
      </w:r>
      <w:r w:rsidRPr="00705DD8">
        <w:rPr>
          <w:i/>
        </w:rPr>
        <w:t>Aotearoa New Zealand patient experience survey: Adult primary care patient experience explorer</w:t>
      </w:r>
      <w:r w:rsidRPr="00705DD8">
        <w:t>. URL: reports.hqsc.govt.nz/APC-explorer/?_gl=1*wny7hn*_ga*MTAyMzM2NTIxMC4xNzEzMzA3ODQ3*_ga_TG4RCRSBWS*MTcxNzU1NjA4OS4xNC4xLjE3MTc1NTYzMDMuMC4wLjA.#! (accessed 5 June 2024).</w:t>
      </w:r>
    </w:p>
    <w:p w14:paraId="151F1B40" w14:textId="77777777" w:rsidR="0095333A" w:rsidRPr="00024879" w:rsidRDefault="0095333A" w:rsidP="0095333A">
      <w:pPr>
        <w:pStyle w:val="References"/>
      </w:pPr>
      <w:r w:rsidRPr="00024879">
        <w:t>Immunisation Advisory Centre</w:t>
      </w:r>
      <w:r w:rsidRPr="00075542">
        <w:t>. 2024.</w:t>
      </w:r>
      <w:r w:rsidRPr="00024879">
        <w:t xml:space="preserve"> </w:t>
      </w:r>
      <w:r w:rsidRPr="00024879">
        <w:rPr>
          <w:i/>
        </w:rPr>
        <w:t>Influenza vaccine</w:t>
      </w:r>
      <w:r w:rsidRPr="00024879">
        <w:t xml:space="preserve">. </w:t>
      </w:r>
      <w:r w:rsidRPr="00705DD8">
        <w:t xml:space="preserve">URL: </w:t>
      </w:r>
      <w:r w:rsidRPr="00024879">
        <w:t>immune.org.nz/vaccine/influenza-vaccine (accessed 27 May 2024).</w:t>
      </w:r>
    </w:p>
    <w:p w14:paraId="748FCF9B" w14:textId="77777777" w:rsidR="0095333A" w:rsidRPr="00024879" w:rsidRDefault="0095333A" w:rsidP="0095333A">
      <w:pPr>
        <w:pStyle w:val="References"/>
      </w:pPr>
      <w:r w:rsidRPr="00024879">
        <w:t>Institute for Health Metrics and Evaluation</w:t>
      </w:r>
      <w:r w:rsidRPr="00075542">
        <w:t>.</w:t>
      </w:r>
      <w:r w:rsidRPr="00024879">
        <w:t xml:space="preserve"> 2024a. </w:t>
      </w:r>
      <w:r w:rsidRPr="00024879">
        <w:rPr>
          <w:i/>
        </w:rPr>
        <w:t>COVID-19 had greater impact on life expectancy than previously known, but child mortality rates continued to decline during the pandemic</w:t>
      </w:r>
      <w:r w:rsidRPr="00024879">
        <w:t xml:space="preserve">. </w:t>
      </w:r>
      <w:r w:rsidRPr="00705DD8">
        <w:t>URL: healthdata.org/news-events/newsroom/news-releases/covid-19-had-greater-impact-life-expectancy-previously-known (accessed 23 May 2024).</w:t>
      </w:r>
    </w:p>
    <w:p w14:paraId="7AB8DFB7" w14:textId="77777777" w:rsidR="0095333A" w:rsidRPr="00705DD8" w:rsidRDefault="0095333A" w:rsidP="0095333A">
      <w:pPr>
        <w:pStyle w:val="References"/>
      </w:pPr>
      <w:r w:rsidRPr="00705DD8">
        <w:t xml:space="preserve">Institute for Health Metrics and Evaluation. 2024b. </w:t>
      </w:r>
      <w:r w:rsidRPr="00705DD8">
        <w:rPr>
          <w:i/>
        </w:rPr>
        <w:t>GBD Results</w:t>
      </w:r>
      <w:r w:rsidRPr="00705DD8">
        <w:t>. URL: vizhub.healthdata.org/gbd-results (accessed 23 May 2024).</w:t>
      </w:r>
    </w:p>
    <w:p w14:paraId="2F2D1AFA" w14:textId="77777777" w:rsidR="0095333A" w:rsidRPr="00024879" w:rsidRDefault="0095333A" w:rsidP="0095333A">
      <w:pPr>
        <w:pStyle w:val="References"/>
      </w:pPr>
      <w:r w:rsidRPr="00024879">
        <w:t xml:space="preserve">Institute for Health Metrics and Evaluation. 2024c. </w:t>
      </w:r>
      <w:r w:rsidRPr="00024879">
        <w:rPr>
          <w:i/>
        </w:rPr>
        <w:t>The Lancet Neurology: Neurological conditions now leading cause of ill health and disability globally, affecting 3.4 billion people worldwide</w:t>
      </w:r>
      <w:r w:rsidRPr="00024879">
        <w:t xml:space="preserve">. </w:t>
      </w:r>
      <w:r w:rsidRPr="00705DD8">
        <w:t xml:space="preserve">URL: </w:t>
      </w:r>
      <w:r w:rsidRPr="00024879">
        <w:t>healthdata.org/news-events/newsroom/news-releases/lancet-neurology-neurological-conditions-now-leading-cause-ill (accessed 23 May 2024).</w:t>
      </w:r>
    </w:p>
    <w:p w14:paraId="316FB8FD" w14:textId="77777777" w:rsidR="0095333A" w:rsidRPr="00024879" w:rsidRDefault="0095333A" w:rsidP="0095333A">
      <w:pPr>
        <w:pStyle w:val="References"/>
      </w:pPr>
      <w:r w:rsidRPr="00024879">
        <w:t xml:space="preserve">Institute for Health Metrics and Evaluation. </w:t>
      </w:r>
      <w:r w:rsidRPr="00705DD8">
        <w:t>(nd).</w:t>
      </w:r>
      <w:r w:rsidRPr="00024879">
        <w:t xml:space="preserve"> </w:t>
      </w:r>
      <w:r w:rsidRPr="00024879">
        <w:rPr>
          <w:i/>
        </w:rPr>
        <w:t>The burden of antimicrobial resistance (AMR) in New Zealand</w:t>
      </w:r>
      <w:r w:rsidRPr="00024879">
        <w:t xml:space="preserve">. </w:t>
      </w:r>
      <w:r w:rsidRPr="00705DD8">
        <w:t xml:space="preserve">URL: </w:t>
      </w:r>
      <w:r w:rsidRPr="00024879">
        <w:t>healthdata.org/sites/default/files/files/Projects/GRAM/New_Zealand_0.pdf (accessed 5 June 2024).</w:t>
      </w:r>
    </w:p>
    <w:p w14:paraId="18C5AA4E" w14:textId="77777777" w:rsidR="0095333A" w:rsidRPr="00024879" w:rsidRDefault="0095333A" w:rsidP="0095333A">
      <w:pPr>
        <w:pStyle w:val="References"/>
      </w:pPr>
      <w:r w:rsidRPr="00024879">
        <w:t>Institute of Environmental Science and Research</w:t>
      </w:r>
      <w:r w:rsidRPr="00722362">
        <w:t xml:space="preserve">. </w:t>
      </w:r>
      <w:r w:rsidRPr="00AB0392">
        <w:t>2024a.</w:t>
      </w:r>
      <w:r w:rsidRPr="00024879">
        <w:t xml:space="preserve"> </w:t>
      </w:r>
      <w:r w:rsidRPr="00024879">
        <w:rPr>
          <w:i/>
        </w:rPr>
        <w:t>Antimicrobial resistance</w:t>
      </w:r>
      <w:r w:rsidRPr="00024879">
        <w:t xml:space="preserve">. </w:t>
      </w:r>
      <w:r w:rsidRPr="00705DD8">
        <w:t xml:space="preserve">URL: </w:t>
      </w:r>
      <w:r w:rsidRPr="00024879">
        <w:t>esr.cri.nz/expertise/public-health/antimicrobial-resistance (accessed 5 June 2024).</w:t>
      </w:r>
    </w:p>
    <w:p w14:paraId="4AA4E044" w14:textId="77777777" w:rsidR="0095333A" w:rsidRPr="00AB0392" w:rsidRDefault="0095333A" w:rsidP="0095333A">
      <w:pPr>
        <w:pStyle w:val="References"/>
      </w:pPr>
      <w:r w:rsidRPr="00AB0392">
        <w:lastRenderedPageBreak/>
        <w:t xml:space="preserve">Institute of Environmental Science and Research. 2024b. </w:t>
      </w:r>
      <w:r w:rsidRPr="00B86498">
        <w:rPr>
          <w:i/>
          <w:iCs/>
        </w:rPr>
        <w:t>Invasive Meningococcal Disease Monthly Report January–December 2023</w:t>
      </w:r>
      <w:r w:rsidRPr="00AB0392">
        <w:t>: Environmental Science and Research.</w:t>
      </w:r>
    </w:p>
    <w:p w14:paraId="550F0E4D" w14:textId="77777777" w:rsidR="0095333A" w:rsidRPr="00AB0392" w:rsidRDefault="0095333A" w:rsidP="0095333A">
      <w:pPr>
        <w:pStyle w:val="References"/>
      </w:pPr>
      <w:r w:rsidRPr="00AB0392">
        <w:t xml:space="preserve">Institute of Environmental Science and Research. 2024c. </w:t>
      </w:r>
      <w:r w:rsidRPr="00AB0392">
        <w:rPr>
          <w:i/>
        </w:rPr>
        <w:t xml:space="preserve">New Zealand Sexually Transmitted Infection (STI) Surveillance Dashboard </w:t>
      </w:r>
      <w:r w:rsidRPr="00AB0392">
        <w:t>URL: esr.cri.nz/digital-library/sti-quarterly-dashboard (accessed 24 May 2024).</w:t>
      </w:r>
    </w:p>
    <w:p w14:paraId="6CC790DE" w14:textId="77777777" w:rsidR="0095333A" w:rsidRPr="00F25D79" w:rsidRDefault="0095333A" w:rsidP="0095333A">
      <w:pPr>
        <w:pStyle w:val="References"/>
      </w:pPr>
      <w:r w:rsidRPr="00F25D79">
        <w:t>Kalin N H. 2020. The critical relationship between anxiety and depression. pp. 365-7: American Journal of Psychiatry.</w:t>
      </w:r>
    </w:p>
    <w:p w14:paraId="02E6F10E" w14:textId="77777777" w:rsidR="0095333A" w:rsidRPr="00024879" w:rsidRDefault="0095333A" w:rsidP="0095333A">
      <w:pPr>
        <w:pStyle w:val="References"/>
      </w:pPr>
      <w:r w:rsidRPr="00705DD8">
        <w:t>Massey University</w:t>
      </w:r>
      <w:r w:rsidRPr="00075542">
        <w:t>.</w:t>
      </w:r>
      <w:r w:rsidRPr="00705DD8">
        <w:t xml:space="preserve"> (nd). </w:t>
      </w:r>
      <w:r w:rsidRPr="00705DD8">
        <w:rPr>
          <w:i/>
        </w:rPr>
        <w:t>Socioeconomic deprivation profile</w:t>
      </w:r>
      <w:r w:rsidRPr="00705DD8">
        <w:t xml:space="preserve">. URL: </w:t>
      </w:r>
      <w:r w:rsidRPr="00024879">
        <w:t>ehinz.ac.nz/indicators/population-vulnerability/socioeconomic-deprivation-profile (accessed 23 May 2024).</w:t>
      </w:r>
    </w:p>
    <w:p w14:paraId="38CB5253" w14:textId="77777777" w:rsidR="0095333A" w:rsidRPr="00024879" w:rsidRDefault="0095333A" w:rsidP="0095333A">
      <w:pPr>
        <w:pStyle w:val="References"/>
      </w:pPr>
      <w:r w:rsidRPr="00024879">
        <w:t xml:space="preserve">Mensah GA, Wei GS, Sorlie PD, et al. 2017. Decline in cardiovascular mortality: possible causes and implications. </w:t>
      </w:r>
      <w:r w:rsidRPr="00705DD8">
        <w:rPr>
          <w:i/>
        </w:rPr>
        <w:t>Circulation Research</w:t>
      </w:r>
      <w:r w:rsidRPr="00705DD8">
        <w:t xml:space="preserve"> 120(2): 366–80.</w:t>
      </w:r>
    </w:p>
    <w:p w14:paraId="11E4F14C" w14:textId="77777777" w:rsidR="0095333A" w:rsidRPr="00075542" w:rsidRDefault="0095333A" w:rsidP="0095333A">
      <w:pPr>
        <w:pStyle w:val="References"/>
      </w:pPr>
      <w:r w:rsidRPr="00075542">
        <w:t xml:space="preserve">Mental Health and Addiction Inquiry. 2018. </w:t>
      </w:r>
      <w:r w:rsidRPr="00B86498">
        <w:rPr>
          <w:i/>
          <w:iCs/>
        </w:rPr>
        <w:t>He Ara Oranga: Report of the Government Inquiry into Mental Health and Addiction</w:t>
      </w:r>
      <w:r w:rsidRPr="00075542">
        <w:t>. Mental Health and Addiction Inquiry.</w:t>
      </w:r>
    </w:p>
    <w:p w14:paraId="6AD41009" w14:textId="77777777" w:rsidR="0095333A" w:rsidRPr="00075542" w:rsidRDefault="0095333A" w:rsidP="0095333A">
      <w:pPr>
        <w:pStyle w:val="References"/>
      </w:pPr>
      <w:r w:rsidRPr="00075542">
        <w:t xml:space="preserve">Minister of Health. 2023a. </w:t>
      </w:r>
      <w:r w:rsidRPr="00B86498">
        <w:rPr>
          <w:i/>
          <w:iCs/>
        </w:rPr>
        <w:t>New Zealand Health Strategy 2023</w:t>
      </w:r>
      <w:r w:rsidRPr="00075542">
        <w:t>. Wellington: Ministry of Health.</w:t>
      </w:r>
    </w:p>
    <w:p w14:paraId="713214D2" w14:textId="77777777" w:rsidR="0095333A" w:rsidRPr="00391DD5" w:rsidRDefault="0095333A" w:rsidP="0095333A">
      <w:pPr>
        <w:pStyle w:val="References"/>
      </w:pPr>
      <w:r w:rsidRPr="00391DD5">
        <w:t>Minister of Health</w:t>
      </w:r>
      <w:r w:rsidRPr="00075542">
        <w:t>.</w:t>
      </w:r>
      <w:r w:rsidRPr="00391DD5">
        <w:t xml:space="preserve"> 2023b. </w:t>
      </w:r>
      <w:r w:rsidRPr="00B86498">
        <w:rPr>
          <w:i/>
          <w:iCs/>
        </w:rPr>
        <w:t>Rural Health Strategy 2023</w:t>
      </w:r>
      <w:r w:rsidRPr="00391DD5">
        <w:t xml:space="preserve">. </w:t>
      </w:r>
      <w:r w:rsidRPr="00705DD8">
        <w:t>Wellington: Ministry of Health.</w:t>
      </w:r>
    </w:p>
    <w:p w14:paraId="58DF62F0" w14:textId="77777777" w:rsidR="0095333A" w:rsidRPr="00AB0392" w:rsidRDefault="0095333A" w:rsidP="0095333A">
      <w:pPr>
        <w:pStyle w:val="References"/>
      </w:pPr>
      <w:r w:rsidRPr="00AB0392">
        <w:t xml:space="preserve">Minister of Health. 2024. </w:t>
      </w:r>
      <w:r w:rsidRPr="00B86498">
        <w:rPr>
          <w:i/>
          <w:iCs/>
        </w:rPr>
        <w:t>Government Policy Statement on Health 2024 – 2027</w:t>
      </w:r>
      <w:r w:rsidRPr="00AB0392">
        <w:t>. Wellington: Ministry of Health.</w:t>
      </w:r>
    </w:p>
    <w:p w14:paraId="0AE9E497" w14:textId="77777777" w:rsidR="0095333A" w:rsidRPr="00AB0392" w:rsidRDefault="0095333A" w:rsidP="0095333A">
      <w:pPr>
        <w:pStyle w:val="References"/>
      </w:pPr>
      <w:r w:rsidRPr="00AB0392">
        <w:t xml:space="preserve">Ministry for the Environment and Stats NZ. 2020. </w:t>
      </w:r>
      <w:r w:rsidRPr="00B86498">
        <w:rPr>
          <w:i/>
          <w:iCs/>
        </w:rPr>
        <w:t>New Zealand’s Environmental Reporting Series: Our atmosphere and climate 2020</w:t>
      </w:r>
      <w:r w:rsidRPr="00AB0392">
        <w:t>. Wellington: Ministry for the Environment and Stats NZ.</w:t>
      </w:r>
    </w:p>
    <w:p w14:paraId="1102EF2F" w14:textId="77777777" w:rsidR="0095333A" w:rsidRPr="00705DD8" w:rsidRDefault="0095333A" w:rsidP="0095333A">
      <w:pPr>
        <w:pStyle w:val="References"/>
      </w:pPr>
      <w:r w:rsidRPr="00705DD8">
        <w:t>Ministry of Foreign Affairs and Trade</w:t>
      </w:r>
      <w:r w:rsidRPr="00075542">
        <w:t>. 2023.</w:t>
      </w:r>
      <w:r w:rsidRPr="00705DD8">
        <w:t xml:space="preserve"> </w:t>
      </w:r>
      <w:r w:rsidRPr="00B86498">
        <w:rPr>
          <w:i/>
          <w:iCs/>
        </w:rPr>
        <w:t>Cyclone Gabrielle’s impact on the New Zealand economy and exports - March 2023</w:t>
      </w:r>
      <w:r w:rsidRPr="00705DD8">
        <w:t>. Wellington: Ministry of Foreign Affairs and Trade.</w:t>
      </w:r>
    </w:p>
    <w:p w14:paraId="357C48D2" w14:textId="77777777" w:rsidR="0095333A" w:rsidRPr="00391DD5" w:rsidRDefault="0095333A" w:rsidP="0095333A">
      <w:pPr>
        <w:pStyle w:val="References"/>
      </w:pPr>
      <w:r w:rsidRPr="00075542">
        <w:t>Ministry of Health.</w:t>
      </w:r>
      <w:r w:rsidRPr="00391DD5">
        <w:t xml:space="preserve"> 2020. </w:t>
      </w:r>
      <w:r w:rsidRPr="00B86498">
        <w:rPr>
          <w:i/>
          <w:iCs/>
        </w:rPr>
        <w:t>Longer, Healthier Lives: New Zealand’s health 1990–2017</w:t>
      </w:r>
      <w:r w:rsidRPr="00705DD8">
        <w:t>.</w:t>
      </w:r>
      <w:r w:rsidRPr="00391DD5">
        <w:t xml:space="preserve"> Wellington: Ministry of Health.</w:t>
      </w:r>
    </w:p>
    <w:p w14:paraId="02A19D5E" w14:textId="77777777" w:rsidR="0095333A" w:rsidRPr="00391DD5" w:rsidRDefault="0095333A" w:rsidP="0095333A">
      <w:pPr>
        <w:pStyle w:val="References"/>
      </w:pPr>
      <w:r w:rsidRPr="00391DD5">
        <w:t>Ministry of Health</w:t>
      </w:r>
      <w:r w:rsidRPr="00075542">
        <w:t>.</w:t>
      </w:r>
      <w:r w:rsidRPr="00391DD5">
        <w:t xml:space="preserve"> </w:t>
      </w:r>
      <w:r w:rsidRPr="00024879">
        <w:t xml:space="preserve">2022a. </w:t>
      </w:r>
      <w:r w:rsidRPr="00B86498">
        <w:rPr>
          <w:i/>
          <w:iCs/>
        </w:rPr>
        <w:t>Annual Report on Drinking-water Quality 2020–2021</w:t>
      </w:r>
      <w:r w:rsidRPr="00024879">
        <w:t>. Wellington: Ministry of Health.</w:t>
      </w:r>
    </w:p>
    <w:p w14:paraId="725517DE" w14:textId="77777777" w:rsidR="0095333A" w:rsidRPr="00024879" w:rsidRDefault="0095333A" w:rsidP="0095333A">
      <w:pPr>
        <w:pStyle w:val="References"/>
      </w:pPr>
      <w:r w:rsidRPr="00705DD8">
        <w:t>Ministry of Health</w:t>
      </w:r>
      <w:r w:rsidRPr="00075542">
        <w:t>.</w:t>
      </w:r>
      <w:r w:rsidRPr="00705DD8">
        <w:t xml:space="preserve"> 2022b. </w:t>
      </w:r>
      <w:r w:rsidRPr="00024879">
        <w:rPr>
          <w:i/>
        </w:rPr>
        <w:t xml:space="preserve">Further information about the HSU dataset and review </w:t>
      </w:r>
      <w:r w:rsidRPr="00024879">
        <w:t>URL: health.govt.nz/system/files/documents/publications/further-information-about-the-hsu-dataset-and-review-4aug22.pdf (accessed 28 May 2024).</w:t>
      </w:r>
    </w:p>
    <w:p w14:paraId="14E171EB" w14:textId="77777777" w:rsidR="0095333A" w:rsidRPr="00024879" w:rsidRDefault="0095333A" w:rsidP="0095333A">
      <w:pPr>
        <w:pStyle w:val="References"/>
      </w:pPr>
      <w:r w:rsidRPr="00024879">
        <w:t>Ministry of Health</w:t>
      </w:r>
      <w:r w:rsidRPr="00075542">
        <w:t>.</w:t>
      </w:r>
      <w:r w:rsidRPr="00024879">
        <w:t xml:space="preserve"> 2022c. </w:t>
      </w:r>
      <w:r w:rsidRPr="00024879">
        <w:rPr>
          <w:i/>
        </w:rPr>
        <w:t>Response to Stats NZ recommendations for the Health Service User dataset</w:t>
      </w:r>
      <w:r w:rsidRPr="00024879">
        <w:t xml:space="preserve">. </w:t>
      </w:r>
      <w:r w:rsidRPr="00705DD8">
        <w:t>URL: health.govt.nz/publication/response-stats-nz-recommendations-health-service-user-dataset (accessed 5 June 2024).</w:t>
      </w:r>
    </w:p>
    <w:p w14:paraId="3F3B54EC" w14:textId="77777777" w:rsidR="0095333A" w:rsidRPr="00024879" w:rsidRDefault="0095333A" w:rsidP="0095333A">
      <w:pPr>
        <w:pStyle w:val="References"/>
      </w:pPr>
      <w:r w:rsidRPr="00705DD8">
        <w:t>Ministry of Health</w:t>
      </w:r>
      <w:r w:rsidRPr="00075542">
        <w:t>.</w:t>
      </w:r>
      <w:r w:rsidRPr="00705DD8">
        <w:t xml:space="preserve"> 2023a. </w:t>
      </w:r>
      <w:r w:rsidRPr="00705DD8">
        <w:rPr>
          <w:i/>
        </w:rPr>
        <w:t>Achieving equity</w:t>
      </w:r>
      <w:r w:rsidRPr="00705DD8">
        <w:t xml:space="preserve">. URL: </w:t>
      </w:r>
      <w:r w:rsidRPr="00024879">
        <w:t>health.govt.nz/about-ministry/what-we-do/achieving-equity (accessed 23 May 2024).</w:t>
      </w:r>
    </w:p>
    <w:p w14:paraId="43D6D7A6" w14:textId="77777777" w:rsidR="0095333A" w:rsidRPr="00024879" w:rsidRDefault="0095333A" w:rsidP="0095333A">
      <w:pPr>
        <w:pStyle w:val="References"/>
      </w:pPr>
      <w:r w:rsidRPr="00024879">
        <w:t>Ministry of Health</w:t>
      </w:r>
      <w:r w:rsidRPr="00075542">
        <w:t>.</w:t>
      </w:r>
      <w:r w:rsidRPr="00024879">
        <w:t xml:space="preserve"> 2023b. </w:t>
      </w:r>
      <w:r w:rsidRPr="00024879">
        <w:rPr>
          <w:i/>
        </w:rPr>
        <w:t>Age 5 and year 8 oral health data from the Community Oral Health Service</w:t>
      </w:r>
      <w:r w:rsidRPr="00024879">
        <w:t xml:space="preserve">. </w:t>
      </w:r>
      <w:r w:rsidRPr="00705DD8">
        <w:t xml:space="preserve">URL: </w:t>
      </w:r>
      <w:r w:rsidRPr="00024879">
        <w:t>health.govt.nz/nz-health-statistics/health-statistics-and-data-</w:t>
      </w:r>
      <w:r w:rsidRPr="00024879">
        <w:lastRenderedPageBreak/>
        <w:t>sets/oral-health-data-and-stats/age-5-and-year-8-oral-health-data-community-oral-health-service (accessed 21 March 2024).</w:t>
      </w:r>
    </w:p>
    <w:p w14:paraId="5CC98739" w14:textId="77777777" w:rsidR="0095333A" w:rsidRPr="00024879" w:rsidRDefault="0095333A" w:rsidP="0095333A">
      <w:pPr>
        <w:pStyle w:val="References"/>
      </w:pPr>
      <w:r w:rsidRPr="00024879">
        <w:t>Ministry of Health</w:t>
      </w:r>
      <w:r w:rsidRPr="00075542">
        <w:t>.</w:t>
      </w:r>
      <w:r w:rsidRPr="00024879">
        <w:t xml:space="preserve"> 2023c. </w:t>
      </w:r>
      <w:r w:rsidRPr="00024879">
        <w:rPr>
          <w:i/>
        </w:rPr>
        <w:t>Ambulatory Sensitive Hospitalisation (ASH)</w:t>
      </w:r>
      <w:r w:rsidRPr="00024879">
        <w:t xml:space="preserve">. </w:t>
      </w:r>
      <w:r w:rsidRPr="00705DD8">
        <w:t>URL: minhealthnz.shinyapps.io/ASH_district_dom (accessed 24 May 2024).</w:t>
      </w:r>
    </w:p>
    <w:p w14:paraId="7A7FC136" w14:textId="77777777" w:rsidR="0095333A" w:rsidRPr="00705DD8" w:rsidRDefault="0095333A" w:rsidP="0095333A">
      <w:pPr>
        <w:pStyle w:val="References"/>
      </w:pPr>
      <w:r w:rsidRPr="00705DD8">
        <w:t>Ministry of Health</w:t>
      </w:r>
      <w:r w:rsidRPr="00075542">
        <w:t>.</w:t>
      </w:r>
      <w:r w:rsidRPr="00705DD8">
        <w:t xml:space="preserve"> 2023d. </w:t>
      </w:r>
      <w:r w:rsidRPr="00705DD8">
        <w:rPr>
          <w:i/>
        </w:rPr>
        <w:t>Annual Data Explorer 2022/23: New Zealand Health Survey [Data File]New Zealand Health Survey Annual Data Explorer</w:t>
      </w:r>
      <w:r w:rsidRPr="00705DD8">
        <w:t>. URL: minhealthnz.shinyapps.io/nz-health-survey-2022-23-annual-data-explorer (accessed 13 May 2024).</w:t>
      </w:r>
    </w:p>
    <w:p w14:paraId="0E81B6B4" w14:textId="77777777" w:rsidR="0095333A" w:rsidRPr="00705DD8" w:rsidRDefault="0095333A" w:rsidP="0095333A">
      <w:pPr>
        <w:pStyle w:val="References"/>
      </w:pPr>
      <w:r w:rsidRPr="00705DD8">
        <w:t>Ministry of Health</w:t>
      </w:r>
      <w:r w:rsidRPr="00075542">
        <w:t>.</w:t>
      </w:r>
      <w:r w:rsidRPr="00705DD8">
        <w:t xml:space="preserve"> 2023e. </w:t>
      </w:r>
      <w:r w:rsidRPr="00B86498">
        <w:rPr>
          <w:i/>
          <w:iCs/>
        </w:rPr>
        <w:t>Content Guide 2022/23: New Zealand Health Survey</w:t>
      </w:r>
      <w:r w:rsidRPr="00705DD8">
        <w:t>. Wellington: Ministry of Health.</w:t>
      </w:r>
    </w:p>
    <w:p w14:paraId="4C55A3D4" w14:textId="77777777" w:rsidR="0095333A" w:rsidRPr="00024879" w:rsidRDefault="0095333A" w:rsidP="0095333A">
      <w:pPr>
        <w:pStyle w:val="References"/>
      </w:pPr>
      <w:r w:rsidRPr="00024879">
        <w:t>Ministry of Health</w:t>
      </w:r>
      <w:r w:rsidRPr="00075542">
        <w:t>.</w:t>
      </w:r>
      <w:r w:rsidRPr="00024879">
        <w:t xml:space="preserve"> 2023f. </w:t>
      </w:r>
      <w:r w:rsidRPr="00B86498">
        <w:rPr>
          <w:i/>
          <w:iCs/>
        </w:rPr>
        <w:t xml:space="preserve">Methodology Report 2022/23: New Zealand Health Survey. </w:t>
      </w:r>
      <w:r w:rsidRPr="00024879">
        <w:t>Wellington: Ministry of Health.</w:t>
      </w:r>
    </w:p>
    <w:p w14:paraId="6292BFE3" w14:textId="77777777" w:rsidR="0095333A" w:rsidRPr="00024879" w:rsidRDefault="0095333A" w:rsidP="0095333A">
      <w:pPr>
        <w:pStyle w:val="References"/>
      </w:pPr>
      <w:r w:rsidRPr="00024879">
        <w:t>Ministry of Health</w:t>
      </w:r>
      <w:r w:rsidRPr="00075542">
        <w:t>.</w:t>
      </w:r>
      <w:r w:rsidRPr="00024879">
        <w:t xml:space="preserve"> 2023g. </w:t>
      </w:r>
      <w:r w:rsidRPr="00B86498">
        <w:rPr>
          <w:i/>
          <w:iCs/>
        </w:rPr>
        <w:t>Ngā Pokenga Paipai Me Ngā Pokenga Huaketo Mā Te Toto: Te Rautaki o Aotearoa 2023–2030 | Aotearoa New Zealand Sexually Transmitted and Blood Borne Infection Strategy 2023–2030</w:t>
      </w:r>
      <w:r w:rsidRPr="00024879">
        <w:t>. Wellington: Ministry of Health.</w:t>
      </w:r>
    </w:p>
    <w:p w14:paraId="31EB89DB" w14:textId="77777777" w:rsidR="0095333A" w:rsidRPr="00024879" w:rsidRDefault="0095333A" w:rsidP="0095333A">
      <w:pPr>
        <w:pStyle w:val="References"/>
      </w:pPr>
      <w:r w:rsidRPr="00024879">
        <w:t>Ministry of Health</w:t>
      </w:r>
      <w:r w:rsidRPr="00075542">
        <w:t>.</w:t>
      </w:r>
      <w:r w:rsidRPr="00024879">
        <w:t xml:space="preserve"> 2023h. </w:t>
      </w:r>
      <w:r w:rsidRPr="00B86498">
        <w:rPr>
          <w:i/>
          <w:iCs/>
        </w:rPr>
        <w:t>Racial Discrimination 2011/12, 2016/17 and 2020/21: New Zealand Health Survey</w:t>
      </w:r>
      <w:r w:rsidRPr="00024879">
        <w:t>. Wellington: Ministry of Health.</w:t>
      </w:r>
    </w:p>
    <w:p w14:paraId="0E3A3577" w14:textId="77777777" w:rsidR="0095333A" w:rsidRPr="00024879" w:rsidRDefault="0095333A" w:rsidP="0095333A">
      <w:pPr>
        <w:pStyle w:val="References"/>
      </w:pPr>
      <w:r w:rsidRPr="00024879">
        <w:t xml:space="preserve">Ministry of Health. 2023i. </w:t>
      </w:r>
      <w:r w:rsidRPr="00024879">
        <w:rPr>
          <w:i/>
        </w:rPr>
        <w:t>Setting the direction for our new health system</w:t>
      </w:r>
      <w:r w:rsidRPr="00024879">
        <w:t xml:space="preserve">. </w:t>
      </w:r>
      <w:r w:rsidRPr="00705DD8">
        <w:t>URL: health.govt.nz/new-zealand-health-system/setting-direction-our-new-health-system (accessed 12 May 2024).</w:t>
      </w:r>
    </w:p>
    <w:p w14:paraId="2CB71CC4" w14:textId="77777777" w:rsidR="0095333A" w:rsidRPr="00705DD8" w:rsidRDefault="0095333A" w:rsidP="0095333A">
      <w:pPr>
        <w:pStyle w:val="References"/>
      </w:pPr>
      <w:r w:rsidRPr="00705DD8">
        <w:t>Ministry of Health</w:t>
      </w:r>
      <w:r w:rsidRPr="00075542">
        <w:t xml:space="preserve">. 2024a. </w:t>
      </w:r>
      <w:r w:rsidRPr="00075542">
        <w:rPr>
          <w:i/>
        </w:rPr>
        <w:t>Ambulatory sensitive (avoidable) hospital admissions</w:t>
      </w:r>
      <w:r w:rsidRPr="00075542">
        <w:t>. URL: health.govt.nz/new-zealand-health-system/accountability-and-funding/planning-and-performance-data/ambulatory-sensitive-avoidable-hospital-admissions</w:t>
      </w:r>
      <w:r w:rsidRPr="00705DD8">
        <w:t xml:space="preserve"> (accessed 5 June 2024).</w:t>
      </w:r>
    </w:p>
    <w:p w14:paraId="68FF3A33" w14:textId="77777777" w:rsidR="0095333A" w:rsidRPr="00705DD8" w:rsidRDefault="0095333A" w:rsidP="0095333A">
      <w:pPr>
        <w:pStyle w:val="References"/>
      </w:pPr>
      <w:r w:rsidRPr="00705DD8">
        <w:t>Ministry of Health</w:t>
      </w:r>
      <w:r w:rsidRPr="00075542">
        <w:t>.</w:t>
      </w:r>
      <w:r w:rsidRPr="00705DD8">
        <w:t xml:space="preserve"> 2024b. </w:t>
      </w:r>
      <w:r w:rsidRPr="00705DD8">
        <w:rPr>
          <w:i/>
        </w:rPr>
        <w:t>Elective Services Patient Flow Indicators Web Tool</w:t>
      </w:r>
      <w:r w:rsidRPr="00705DD8">
        <w:t>. URL: tewhatuora.shinyapps.io/ESPI_app (accessed 16 April 2024).</w:t>
      </w:r>
    </w:p>
    <w:p w14:paraId="2137CF28" w14:textId="77777777" w:rsidR="0095333A" w:rsidRPr="00024879" w:rsidRDefault="0095333A" w:rsidP="0095333A">
      <w:pPr>
        <w:pStyle w:val="References"/>
      </w:pPr>
      <w:r w:rsidRPr="00024879">
        <w:t>Ministry of Health</w:t>
      </w:r>
      <w:r w:rsidRPr="00225A3E">
        <w:t>.</w:t>
      </w:r>
      <w:r w:rsidRPr="00024879">
        <w:t xml:space="preserve"> 2024c. </w:t>
      </w:r>
      <w:r w:rsidRPr="00024879">
        <w:rPr>
          <w:i/>
        </w:rPr>
        <w:t>Long COVID Programme</w:t>
      </w:r>
      <w:r w:rsidRPr="00024879">
        <w:t xml:space="preserve">. </w:t>
      </w:r>
      <w:r w:rsidRPr="00705DD8">
        <w:t xml:space="preserve">URL: </w:t>
      </w:r>
      <w:r w:rsidRPr="00024879">
        <w:t>health.govt.nz/our-work/diseases-and-conditions/covid-19-novel-coronavirus/covid-19-response-planning/long-covid-programme (accessed 24 May 2024).</w:t>
      </w:r>
    </w:p>
    <w:p w14:paraId="75747B05" w14:textId="77777777" w:rsidR="0095333A" w:rsidRPr="00024879" w:rsidRDefault="0095333A" w:rsidP="0095333A">
      <w:pPr>
        <w:pStyle w:val="References"/>
      </w:pPr>
      <w:r w:rsidRPr="00024879">
        <w:t>Ministry of Health</w:t>
      </w:r>
      <w:r w:rsidRPr="00075542">
        <w:t>.</w:t>
      </w:r>
      <w:r w:rsidRPr="00024879">
        <w:t xml:space="preserve"> 2024d. </w:t>
      </w:r>
      <w:r w:rsidRPr="00024879">
        <w:rPr>
          <w:i/>
        </w:rPr>
        <w:t>Mental Health and Problematic Substance Use Data Explorer</w:t>
      </w:r>
      <w:r w:rsidRPr="00024879">
        <w:t xml:space="preserve">. </w:t>
      </w:r>
      <w:r w:rsidRPr="00705DD8">
        <w:t>URL: minhealthnz.shinyapps.io/nz-health-survey-2022-23-mental-health-data-explorer (accessed 10 June 2024).</w:t>
      </w:r>
    </w:p>
    <w:p w14:paraId="72D906B4" w14:textId="77777777" w:rsidR="0095333A" w:rsidRPr="00705DD8" w:rsidRDefault="0095333A" w:rsidP="0095333A">
      <w:pPr>
        <w:pStyle w:val="References"/>
      </w:pPr>
      <w:r w:rsidRPr="00705DD8">
        <w:t>Ministry of Health</w:t>
      </w:r>
      <w:r w:rsidRPr="00075542">
        <w:t>.</w:t>
      </w:r>
      <w:r w:rsidRPr="00705DD8">
        <w:t xml:space="preserve"> 2024e. </w:t>
      </w:r>
      <w:r w:rsidRPr="00B86498">
        <w:rPr>
          <w:i/>
          <w:iCs/>
        </w:rPr>
        <w:t>Mental Health and Problematic Substance Use Report 2021-23</w:t>
      </w:r>
      <w:r w:rsidRPr="00705DD8">
        <w:t>: New Zealand Health Survey. Wellington: Ministry of Health.</w:t>
      </w:r>
    </w:p>
    <w:p w14:paraId="44BE0335" w14:textId="77777777" w:rsidR="0095333A" w:rsidRPr="00024879" w:rsidRDefault="0095333A" w:rsidP="0095333A">
      <w:pPr>
        <w:pStyle w:val="References"/>
      </w:pPr>
      <w:r w:rsidRPr="00024879">
        <w:t>Ministry of Health</w:t>
      </w:r>
      <w:r w:rsidRPr="00075542">
        <w:t>.</w:t>
      </w:r>
      <w:r w:rsidRPr="00024879">
        <w:t xml:space="preserve"> 2024f. </w:t>
      </w:r>
      <w:r w:rsidRPr="00024879">
        <w:rPr>
          <w:i/>
        </w:rPr>
        <w:t>New Zealand COVID-19 Data</w:t>
      </w:r>
      <w:r w:rsidRPr="00024879">
        <w:t xml:space="preserve">. </w:t>
      </w:r>
      <w:r w:rsidRPr="00705DD8">
        <w:t xml:space="preserve">URL: </w:t>
      </w:r>
      <w:r w:rsidRPr="00024879">
        <w:t>github.com/minhealthnz/nz-covid-data (accessed 24 May 2024).</w:t>
      </w:r>
    </w:p>
    <w:p w14:paraId="0789147D" w14:textId="77777777" w:rsidR="0095333A" w:rsidRPr="00024879" w:rsidRDefault="0095333A" w:rsidP="0095333A">
      <w:pPr>
        <w:pStyle w:val="References"/>
      </w:pPr>
      <w:r w:rsidRPr="00024879">
        <w:t>Ministry of Health</w:t>
      </w:r>
      <w:r w:rsidRPr="00075542">
        <w:t xml:space="preserve">. 2024g. </w:t>
      </w:r>
      <w:r w:rsidRPr="00075542">
        <w:rPr>
          <w:i/>
        </w:rPr>
        <w:t>Primary and community healthcare</w:t>
      </w:r>
      <w:r w:rsidRPr="00075542">
        <w:t>. URL: health.govt.nz/our-work/primary-and-community-healthcare</w:t>
      </w:r>
      <w:r w:rsidRPr="00705DD8">
        <w:t xml:space="preserve"> (accessed 27 May 2024).</w:t>
      </w:r>
    </w:p>
    <w:p w14:paraId="2907EF03" w14:textId="77777777" w:rsidR="0095333A" w:rsidRPr="00024879" w:rsidRDefault="0095333A" w:rsidP="0095333A">
      <w:pPr>
        <w:pStyle w:val="References"/>
      </w:pPr>
      <w:r w:rsidRPr="00024879">
        <w:t>Ministry of Health and Ministry for Primary Industries</w:t>
      </w:r>
      <w:r w:rsidRPr="00075542">
        <w:t>.</w:t>
      </w:r>
      <w:r w:rsidRPr="00024879">
        <w:t xml:space="preserve"> 2017. </w:t>
      </w:r>
      <w:r w:rsidRPr="00B86498">
        <w:rPr>
          <w:i/>
          <w:iCs/>
        </w:rPr>
        <w:t>New Zealand Antimicrobial Resistance Action Plan</w:t>
      </w:r>
      <w:r w:rsidRPr="00024879">
        <w:t>. Wellington: Ministry of Health.</w:t>
      </w:r>
    </w:p>
    <w:p w14:paraId="48320AB7" w14:textId="77777777" w:rsidR="0095333A" w:rsidRPr="00391DD5" w:rsidRDefault="0095333A" w:rsidP="0095333A">
      <w:pPr>
        <w:pStyle w:val="References"/>
      </w:pPr>
      <w:r w:rsidRPr="00391DD5">
        <w:lastRenderedPageBreak/>
        <w:t xml:space="preserve">National Screening Unit. 2022. </w:t>
      </w:r>
      <w:r w:rsidRPr="00B86498">
        <w:rPr>
          <w:i/>
          <w:iCs/>
        </w:rPr>
        <w:t>Quality Improvement Review of Clinical Quality and Safety for Breast Screening Aotearoa</w:t>
      </w:r>
      <w:r w:rsidRPr="00391DD5">
        <w:t xml:space="preserve">. </w:t>
      </w:r>
      <w:r w:rsidRPr="00705DD8">
        <w:t>Wellington: National Screening Unit</w:t>
      </w:r>
      <w:r w:rsidRPr="00391DD5">
        <w:t>.</w:t>
      </w:r>
    </w:p>
    <w:p w14:paraId="0AE136EB" w14:textId="77777777" w:rsidR="0095333A" w:rsidRPr="00705DD8" w:rsidRDefault="0095333A" w:rsidP="0095333A">
      <w:pPr>
        <w:pStyle w:val="References"/>
      </w:pPr>
      <w:r w:rsidRPr="00705DD8">
        <w:t>Stats NZ</w:t>
      </w:r>
      <w:r w:rsidRPr="00075542">
        <w:t>.</w:t>
      </w:r>
      <w:r w:rsidRPr="00705DD8">
        <w:t xml:space="preserve"> 2014. </w:t>
      </w:r>
      <w:r w:rsidRPr="00705DD8">
        <w:rPr>
          <w:i/>
        </w:rPr>
        <w:t>Disability Survey: 2013</w:t>
      </w:r>
      <w:r w:rsidRPr="00705DD8">
        <w:t>. URL: stats.govt.nz/information-releases/disability-survey-2013 (accessed 27 May 2024).</w:t>
      </w:r>
    </w:p>
    <w:p w14:paraId="354738DF" w14:textId="77777777" w:rsidR="0095333A" w:rsidRPr="00705DD8" w:rsidRDefault="0095333A" w:rsidP="0095333A">
      <w:pPr>
        <w:pStyle w:val="References"/>
      </w:pPr>
      <w:r w:rsidRPr="00705DD8">
        <w:t>Stats NZ</w:t>
      </w:r>
      <w:r w:rsidRPr="00075542">
        <w:t>.</w:t>
      </w:r>
      <w:r w:rsidRPr="00705DD8">
        <w:t xml:space="preserve"> 2020a. </w:t>
      </w:r>
      <w:r w:rsidRPr="00705DD8">
        <w:rPr>
          <w:i/>
        </w:rPr>
        <w:t>Disabled people fare worse in their home, economic, and social lives</w:t>
      </w:r>
      <w:r w:rsidRPr="00705DD8">
        <w:t>. URL: stats.govt.nz/news/disabled-people-fare-worse-in-their-home-economic-and-social-lives (accessed 28 May 2024).</w:t>
      </w:r>
    </w:p>
    <w:p w14:paraId="08CA7AB8" w14:textId="77777777" w:rsidR="0095333A" w:rsidRPr="00705DD8" w:rsidRDefault="0095333A" w:rsidP="0095333A">
      <w:pPr>
        <w:pStyle w:val="References"/>
      </w:pPr>
      <w:r w:rsidRPr="00705DD8">
        <w:t>Stats NZ</w:t>
      </w:r>
      <w:r w:rsidRPr="00075542">
        <w:t>.</w:t>
      </w:r>
      <w:r w:rsidRPr="00705DD8">
        <w:t xml:space="preserve"> 2020b. </w:t>
      </w:r>
      <w:r w:rsidRPr="00705DD8">
        <w:rPr>
          <w:i/>
        </w:rPr>
        <w:t>Ethnic group summaries reveal New Zealand’s multicultural make-up</w:t>
      </w:r>
      <w:r w:rsidRPr="00705DD8">
        <w:t>. URL: stats.govt.nz/news/ethnic-group-summaries-reveal-new-zealands-multicultural-make-up (accessed 22 May 2024).</w:t>
      </w:r>
    </w:p>
    <w:p w14:paraId="5B165FE0" w14:textId="77777777" w:rsidR="0095333A" w:rsidRPr="00705DD8" w:rsidRDefault="0095333A" w:rsidP="0095333A">
      <w:pPr>
        <w:pStyle w:val="References"/>
      </w:pPr>
      <w:r w:rsidRPr="00705DD8">
        <w:t>Stats NZ</w:t>
      </w:r>
      <w:r w:rsidRPr="00075542">
        <w:t>.</w:t>
      </w:r>
      <w:r w:rsidRPr="00705DD8">
        <w:t xml:space="preserve"> 2020c. </w:t>
      </w:r>
      <w:r w:rsidRPr="00705DD8">
        <w:rPr>
          <w:i/>
        </w:rPr>
        <w:t>Homeownership rate lowest in almost 70 years</w:t>
      </w:r>
      <w:r w:rsidRPr="00705DD8">
        <w:t>. URL: stats.govt.nz/news/homeownership-rate-lowest-in-almost-70-years (accessed 24 May 2024).</w:t>
      </w:r>
    </w:p>
    <w:p w14:paraId="4A4231BC" w14:textId="77777777" w:rsidR="0095333A" w:rsidRPr="00705DD8" w:rsidRDefault="0095333A" w:rsidP="0095333A">
      <w:pPr>
        <w:pStyle w:val="References"/>
      </w:pPr>
      <w:r w:rsidRPr="00705DD8">
        <w:t>Stats NZ</w:t>
      </w:r>
      <w:r w:rsidRPr="00075542">
        <w:t>.</w:t>
      </w:r>
      <w:r w:rsidRPr="00705DD8">
        <w:t xml:space="preserve"> 2021a. </w:t>
      </w:r>
      <w:r w:rsidRPr="00705DD8">
        <w:rPr>
          <w:i/>
        </w:rPr>
        <w:t>Growth in life expectancy slows</w:t>
      </w:r>
      <w:r w:rsidRPr="00705DD8">
        <w:t>. URL: stats.govt.nz/news/growth-in-life-expectancy-slows (accessed 23 May 2024).</w:t>
      </w:r>
    </w:p>
    <w:p w14:paraId="4D9219E6" w14:textId="77777777" w:rsidR="0095333A" w:rsidRPr="00705DD8" w:rsidRDefault="0095333A" w:rsidP="0095333A">
      <w:pPr>
        <w:pStyle w:val="References"/>
      </w:pPr>
      <w:r w:rsidRPr="00705DD8">
        <w:t>Stats NZ</w:t>
      </w:r>
      <w:r w:rsidRPr="00075542">
        <w:t>.</w:t>
      </w:r>
      <w:r w:rsidRPr="00705DD8">
        <w:t xml:space="preserve"> 2021b. </w:t>
      </w:r>
      <w:r w:rsidRPr="00705DD8">
        <w:rPr>
          <w:i/>
        </w:rPr>
        <w:t>National and subnational period life tables: 2017–2019</w:t>
      </w:r>
      <w:r w:rsidRPr="00705DD8">
        <w:t>. URL: stats.govt.nz/information-releases/national-and-subnational-period-life-tables-2017-2019 (accessed 23 May 2024).</w:t>
      </w:r>
    </w:p>
    <w:p w14:paraId="6F572183" w14:textId="77777777" w:rsidR="0095333A" w:rsidRPr="00705DD8" w:rsidRDefault="0095333A" w:rsidP="0095333A">
      <w:pPr>
        <w:pStyle w:val="References"/>
      </w:pPr>
      <w:r w:rsidRPr="00705DD8">
        <w:t>Stats NZ</w:t>
      </w:r>
      <w:r w:rsidRPr="00075542">
        <w:t>.</w:t>
      </w:r>
      <w:r w:rsidRPr="00705DD8">
        <w:t xml:space="preserve"> 2022a. </w:t>
      </w:r>
      <w:r w:rsidRPr="00705DD8">
        <w:rPr>
          <w:i/>
        </w:rPr>
        <w:t>One million people aged 65+ by 2028</w:t>
      </w:r>
      <w:r w:rsidRPr="00705DD8">
        <w:t>. URL: stats.govt.nz/news/one-million-people-aged-65-by-2028 (accessed 22 May 2024).</w:t>
      </w:r>
    </w:p>
    <w:p w14:paraId="29FCB727" w14:textId="77777777" w:rsidR="0095333A" w:rsidRPr="00705DD8" w:rsidRDefault="0095333A" w:rsidP="0095333A">
      <w:pPr>
        <w:pStyle w:val="References"/>
      </w:pPr>
      <w:r w:rsidRPr="00705DD8">
        <w:t xml:space="preserve">Stats NZ. 2022b. </w:t>
      </w:r>
      <w:r w:rsidRPr="00705DD8">
        <w:rPr>
          <w:i/>
        </w:rPr>
        <w:t>Review of Health Service User population methodology</w:t>
      </w:r>
      <w:r w:rsidRPr="00705DD8">
        <w:t>. URL: stats.govt.nz/reports/review-of-health-service-user-population-methodology (accessed 28 October 2022).</w:t>
      </w:r>
    </w:p>
    <w:p w14:paraId="47EA9881" w14:textId="77777777" w:rsidR="0095333A" w:rsidRPr="00705DD8" w:rsidRDefault="0095333A" w:rsidP="0095333A">
      <w:pPr>
        <w:pStyle w:val="References"/>
      </w:pPr>
      <w:r w:rsidRPr="00705DD8">
        <w:t>Stats NZ</w:t>
      </w:r>
      <w:r w:rsidRPr="00075542">
        <w:t>.</w:t>
      </w:r>
      <w:r w:rsidRPr="00705DD8">
        <w:t xml:space="preserve"> 2023a. </w:t>
      </w:r>
      <w:r w:rsidRPr="00705DD8">
        <w:rPr>
          <w:i/>
        </w:rPr>
        <w:t>Adverse weather conditions in early 2023 to be reflected in economic statistics</w:t>
      </w:r>
      <w:r w:rsidRPr="00705DD8">
        <w:t>. URL: stats.govt.nz/news/adverse-weather-conditions-in-early-2023-to-be-reflected-in-economic-statistics (accessed 24 May 2024).</w:t>
      </w:r>
    </w:p>
    <w:p w14:paraId="50E478BB" w14:textId="77777777" w:rsidR="0095333A" w:rsidRPr="00705DD8" w:rsidRDefault="0095333A" w:rsidP="0095333A">
      <w:pPr>
        <w:pStyle w:val="References"/>
      </w:pPr>
      <w:r w:rsidRPr="00705DD8">
        <w:t>Stats NZ</w:t>
      </w:r>
      <w:r w:rsidRPr="00075542">
        <w:t>.</w:t>
      </w:r>
      <w:r w:rsidRPr="00705DD8">
        <w:t xml:space="preserve"> 2023b. </w:t>
      </w:r>
      <w:r w:rsidRPr="00705DD8">
        <w:rPr>
          <w:i/>
        </w:rPr>
        <w:t>Health impacts of exposure to human-made air pollution</w:t>
      </w:r>
      <w:r w:rsidRPr="00705DD8">
        <w:t>. URL: stats.govt.nz/news/health-impacts-of-exposure-to-human-made-air-pollution (accessed 24 May 2024).</w:t>
      </w:r>
    </w:p>
    <w:p w14:paraId="42DB2FCF" w14:textId="77777777" w:rsidR="0095333A" w:rsidRPr="00705DD8" w:rsidRDefault="0095333A" w:rsidP="0095333A">
      <w:pPr>
        <w:pStyle w:val="References"/>
      </w:pPr>
      <w:r w:rsidRPr="00705DD8">
        <w:t>Stats NZ</w:t>
      </w:r>
      <w:r w:rsidRPr="00075542">
        <w:t>.</w:t>
      </w:r>
      <w:r w:rsidRPr="00705DD8">
        <w:t xml:space="preserve"> 2023c. </w:t>
      </w:r>
      <w:r w:rsidRPr="00705DD8">
        <w:rPr>
          <w:i/>
        </w:rPr>
        <w:t>New report highlights pressures on Aotearoa New Zealand’s climate</w:t>
      </w:r>
      <w:r w:rsidRPr="00705DD8">
        <w:t>. URL: stats.govt.nz/news/new-report-highlights-pressures-on-aotearoa-new-zealands-climate (accessed 24 May 2024).</w:t>
      </w:r>
    </w:p>
    <w:p w14:paraId="5C119041" w14:textId="77777777" w:rsidR="0095333A" w:rsidRPr="00705DD8" w:rsidRDefault="0095333A" w:rsidP="0095333A">
      <w:pPr>
        <w:pStyle w:val="References"/>
      </w:pPr>
      <w:r w:rsidRPr="00705DD8">
        <w:t>Stats NZ</w:t>
      </w:r>
      <w:r w:rsidRPr="00075542">
        <w:t>.</w:t>
      </w:r>
      <w:r w:rsidRPr="00705DD8">
        <w:t xml:space="preserve"> 2024a. </w:t>
      </w:r>
      <w:r w:rsidRPr="00705DD8">
        <w:rPr>
          <w:i/>
        </w:rPr>
        <w:t>Births and deaths: Year ended December 2023 (including abridged period life table)</w:t>
      </w:r>
      <w:r w:rsidRPr="00705DD8">
        <w:t>. URL: stats.govt.nz/information-releases/births-and-deaths-year-ended-december-2023-including-abridged-period-life-table (accessed 22 May 2024).</w:t>
      </w:r>
    </w:p>
    <w:p w14:paraId="001604F4" w14:textId="77777777" w:rsidR="0095333A" w:rsidRPr="00705DD8" w:rsidRDefault="0095333A" w:rsidP="0095333A">
      <w:pPr>
        <w:pStyle w:val="References"/>
      </w:pPr>
      <w:r w:rsidRPr="00705DD8">
        <w:t xml:space="preserve">Stats NZ. 2024b. </w:t>
      </w:r>
      <w:r w:rsidRPr="00705DD8">
        <w:rPr>
          <w:i/>
        </w:rPr>
        <w:t>Child poverty statistics show increase in material hardship for the year ended June 2023</w:t>
      </w:r>
      <w:r w:rsidRPr="00705DD8">
        <w:t>. URL: stats.govt.nz/news/child-poverty-statistics-show-increase-in-material-hardship-for-the-year-ended-june-2023 (accessed 24 May 2024).</w:t>
      </w:r>
    </w:p>
    <w:p w14:paraId="1772096C" w14:textId="77777777" w:rsidR="0095333A" w:rsidRPr="00705DD8" w:rsidRDefault="0095333A" w:rsidP="0095333A">
      <w:pPr>
        <w:pStyle w:val="References"/>
      </w:pPr>
      <w:r w:rsidRPr="00705DD8">
        <w:t>Stats NZ</w:t>
      </w:r>
      <w:r w:rsidRPr="00075542">
        <w:t>.</w:t>
      </w:r>
      <w:r w:rsidRPr="00705DD8">
        <w:t xml:space="preserve"> 2024c. </w:t>
      </w:r>
      <w:r w:rsidRPr="00705DD8">
        <w:rPr>
          <w:i/>
        </w:rPr>
        <w:t>Costs of extreme weather events</w:t>
      </w:r>
      <w:r w:rsidRPr="00705DD8">
        <w:t>. URL: statisticsnz.shinyapps.io/wellbeingindicators/_w_4bee90e1/_w_d68f93ae/?page=indicators&amp;class=Environment&amp;type=Climate&amp;indicator=Costs%20of%20extreme%20weather%20events (accessed 24 May 2024).</w:t>
      </w:r>
    </w:p>
    <w:p w14:paraId="11FDD926" w14:textId="77777777" w:rsidR="0095333A" w:rsidRPr="00705DD8" w:rsidRDefault="0095333A" w:rsidP="0095333A">
      <w:pPr>
        <w:pStyle w:val="References"/>
      </w:pPr>
      <w:r w:rsidRPr="00705DD8">
        <w:lastRenderedPageBreak/>
        <w:t>Stats NZ</w:t>
      </w:r>
      <w:r w:rsidRPr="00075542">
        <w:t xml:space="preserve">. 2024d. </w:t>
      </w:r>
      <w:r w:rsidRPr="00075542">
        <w:rPr>
          <w:i/>
        </w:rPr>
        <w:t>Employment rate</w:t>
      </w:r>
      <w:r w:rsidRPr="00075542">
        <w:t>. URL: stats.govt.nz/indicators/employment-rate</w:t>
      </w:r>
      <w:r w:rsidRPr="00705DD8">
        <w:t xml:space="preserve"> (accessed 24 May 2024).</w:t>
      </w:r>
    </w:p>
    <w:p w14:paraId="1E931373" w14:textId="77777777" w:rsidR="0095333A" w:rsidRPr="00705DD8" w:rsidRDefault="0095333A" w:rsidP="0095333A">
      <w:pPr>
        <w:pStyle w:val="References"/>
      </w:pPr>
      <w:r w:rsidRPr="00705DD8">
        <w:t>Stats NZ</w:t>
      </w:r>
      <w:r w:rsidRPr="00075542">
        <w:t>.</w:t>
      </w:r>
      <w:r w:rsidRPr="00705DD8">
        <w:t xml:space="preserve"> 2024e. </w:t>
      </w:r>
      <w:r w:rsidRPr="00705DD8">
        <w:rPr>
          <w:i/>
        </w:rPr>
        <w:t>Estimated Resident Population by Age and Sex (1991+) (Annual-Dec)</w:t>
      </w:r>
      <w:r w:rsidRPr="00705DD8">
        <w:t>. URL: infoshare.stats.govt.nz/Default.aspx (accessed 9 May 2024).</w:t>
      </w:r>
    </w:p>
    <w:p w14:paraId="2A5E885F" w14:textId="77777777" w:rsidR="0095333A" w:rsidRPr="00705DD8" w:rsidRDefault="0095333A" w:rsidP="0095333A">
      <w:pPr>
        <w:pStyle w:val="References"/>
      </w:pPr>
      <w:r w:rsidRPr="00705DD8">
        <w:t>Stats NZ</w:t>
      </w:r>
      <w:r w:rsidRPr="00075542">
        <w:t>.</w:t>
      </w:r>
      <w:r w:rsidRPr="00705DD8">
        <w:t xml:space="preserve"> 2024f. </w:t>
      </w:r>
      <w:r w:rsidRPr="00705DD8">
        <w:rPr>
          <w:i/>
        </w:rPr>
        <w:t>Household income and housing-cost statistics: Year ended June 2023</w:t>
      </w:r>
      <w:r w:rsidRPr="00705DD8">
        <w:t>. URL: stats.govt.nz/information-releases/household-income-and-housing-cost-statistics-year-ended-june-2023 (accessed 24 May 2024).</w:t>
      </w:r>
    </w:p>
    <w:p w14:paraId="7F4C1A92" w14:textId="77777777" w:rsidR="0095333A" w:rsidRPr="00705DD8" w:rsidRDefault="0095333A" w:rsidP="0095333A">
      <w:pPr>
        <w:pStyle w:val="References"/>
      </w:pPr>
      <w:r w:rsidRPr="00705DD8">
        <w:t>Stats NZ</w:t>
      </w:r>
      <w:r w:rsidRPr="00075542">
        <w:t>.</w:t>
      </w:r>
      <w:r w:rsidRPr="00705DD8">
        <w:t xml:space="preserve"> 2024g. </w:t>
      </w:r>
      <w:r w:rsidRPr="00705DD8">
        <w:rPr>
          <w:i/>
        </w:rPr>
        <w:t>How we measure child poverty</w:t>
      </w:r>
      <w:r w:rsidRPr="00705DD8">
        <w:t>. URL: stats.govt.nz/infographics/how-we-measure-child-poverty (accessed 24 May 2024).</w:t>
      </w:r>
    </w:p>
    <w:p w14:paraId="2CEEF9B4" w14:textId="77777777" w:rsidR="0095333A" w:rsidRPr="00705DD8" w:rsidRDefault="0095333A" w:rsidP="0095333A">
      <w:pPr>
        <w:pStyle w:val="References"/>
      </w:pPr>
      <w:r w:rsidRPr="00705DD8">
        <w:t>Stats NZ</w:t>
      </w:r>
      <w:r w:rsidRPr="00075542">
        <w:t xml:space="preserve">. 2024h. </w:t>
      </w:r>
      <w:r w:rsidRPr="00075542">
        <w:rPr>
          <w:i/>
        </w:rPr>
        <w:t>Indicators Aotearoa New Zealand</w:t>
      </w:r>
      <w:r w:rsidRPr="00075542">
        <w:t>. URL: statisticsnz.shinyapps.io/wellbeingindicators</w:t>
      </w:r>
      <w:r w:rsidRPr="00705DD8">
        <w:t xml:space="preserve"> (accessed 24 May 2024).</w:t>
      </w:r>
    </w:p>
    <w:p w14:paraId="59DAE4B5" w14:textId="77777777" w:rsidR="0095333A" w:rsidRPr="00705DD8" w:rsidRDefault="0095333A" w:rsidP="0095333A">
      <w:pPr>
        <w:pStyle w:val="References"/>
      </w:pPr>
      <w:r w:rsidRPr="00705DD8">
        <w:t>Stats NZ</w:t>
      </w:r>
      <w:r w:rsidRPr="00075542">
        <w:t>.</w:t>
      </w:r>
      <w:r w:rsidRPr="00705DD8">
        <w:t xml:space="preserve"> 2024i. </w:t>
      </w:r>
      <w:r w:rsidRPr="00705DD8">
        <w:rPr>
          <w:i/>
        </w:rPr>
        <w:t>Lowest natural increase in 80 years</w:t>
      </w:r>
      <w:r w:rsidRPr="00705DD8">
        <w:t>. URL: stats.govt.nz/news/lowest-natural-increase-in-80-years (accessed 22 May 2024).</w:t>
      </w:r>
    </w:p>
    <w:p w14:paraId="29F2BBDA" w14:textId="77777777" w:rsidR="0095333A" w:rsidRPr="00705DD8" w:rsidRDefault="0095333A" w:rsidP="0095333A">
      <w:pPr>
        <w:pStyle w:val="References"/>
      </w:pPr>
      <w:r w:rsidRPr="00705DD8">
        <w:t>Stats NZ</w:t>
      </w:r>
      <w:r w:rsidRPr="00075542">
        <w:t>.</w:t>
      </w:r>
      <w:r w:rsidRPr="00705DD8">
        <w:t xml:space="preserve"> 2024j. </w:t>
      </w:r>
      <w:r w:rsidRPr="00705DD8">
        <w:rPr>
          <w:i/>
        </w:rPr>
        <w:t>Migration</w:t>
      </w:r>
      <w:r w:rsidRPr="00705DD8">
        <w:t>. URL: stats.govt.nz/topics/migration (accessed 7 March 2024).</w:t>
      </w:r>
    </w:p>
    <w:p w14:paraId="60B7DFF4" w14:textId="77777777" w:rsidR="0095333A" w:rsidRPr="00705DD8" w:rsidRDefault="0095333A" w:rsidP="0095333A">
      <w:pPr>
        <w:pStyle w:val="References"/>
      </w:pPr>
      <w:r w:rsidRPr="00705DD8">
        <w:t>Stats NZ</w:t>
      </w:r>
      <w:r w:rsidRPr="00075542">
        <w:t>.</w:t>
      </w:r>
      <w:r w:rsidRPr="00705DD8">
        <w:t xml:space="preserve"> 2024k. </w:t>
      </w:r>
      <w:r w:rsidRPr="00705DD8">
        <w:rPr>
          <w:i/>
        </w:rPr>
        <w:t>National ethnic population projections, by age and sex, 2018(base)–2043</w:t>
      </w:r>
      <w:r w:rsidRPr="00705DD8">
        <w:t>. URL: nzdotstat.stats.govt.nz/wbos/Index.aspx (accessed 5 June 2024).</w:t>
      </w:r>
    </w:p>
    <w:p w14:paraId="66D7CAED" w14:textId="77777777" w:rsidR="0095333A" w:rsidRPr="00705DD8" w:rsidRDefault="0095333A" w:rsidP="0095333A">
      <w:pPr>
        <w:pStyle w:val="References"/>
      </w:pPr>
      <w:r w:rsidRPr="00705DD8">
        <w:t>Stats NZ</w:t>
      </w:r>
      <w:r w:rsidRPr="00075542">
        <w:t>.</w:t>
      </w:r>
      <w:r w:rsidRPr="00705DD8">
        <w:t xml:space="preserve"> 2024l. </w:t>
      </w:r>
      <w:r w:rsidRPr="00705DD8">
        <w:rPr>
          <w:i/>
        </w:rPr>
        <w:t>Unemployment rate</w:t>
      </w:r>
      <w:r w:rsidRPr="00705DD8">
        <w:t>. URL: stats.govt.nz/indicators/unemployment-rate (accessed 6 June 2024).</w:t>
      </w:r>
    </w:p>
    <w:p w14:paraId="718FEFCB" w14:textId="77777777" w:rsidR="0095333A" w:rsidRPr="00AB0392" w:rsidRDefault="0095333A" w:rsidP="0095333A">
      <w:pPr>
        <w:pStyle w:val="References"/>
      </w:pPr>
      <w:r w:rsidRPr="00705DD8">
        <w:t>Stats NZ</w:t>
      </w:r>
      <w:r w:rsidRPr="00075542">
        <w:t>.</w:t>
      </w:r>
      <w:r w:rsidRPr="00705DD8">
        <w:t xml:space="preserve"> </w:t>
      </w:r>
      <w:r w:rsidRPr="00AB0392">
        <w:t xml:space="preserve">2024m. </w:t>
      </w:r>
      <w:r w:rsidRPr="00AB0392">
        <w:rPr>
          <w:i/>
        </w:rPr>
        <w:t>Weekly mortgage payments up from 2022</w:t>
      </w:r>
      <w:r w:rsidRPr="00AB0392">
        <w:t>. URL: stats.govt.nz/news/weekly-mortgage-payments-up-from-2022 (accessed 1 July 2024).</w:t>
      </w:r>
    </w:p>
    <w:p w14:paraId="2877573C" w14:textId="77777777" w:rsidR="0095333A" w:rsidRPr="00705DD8" w:rsidRDefault="0095333A" w:rsidP="0095333A">
      <w:pPr>
        <w:pStyle w:val="References"/>
      </w:pPr>
      <w:r w:rsidRPr="00AB0392">
        <w:t xml:space="preserve">Stats NZ. </w:t>
      </w:r>
      <w:r w:rsidRPr="00705DD8">
        <w:t xml:space="preserve">(nd)-a. </w:t>
      </w:r>
      <w:r w:rsidRPr="00705DD8">
        <w:rPr>
          <w:i/>
        </w:rPr>
        <w:t>About the 2023 Disability Survey</w:t>
      </w:r>
      <w:r w:rsidRPr="00705DD8">
        <w:t>. URL: stats.govt.nz/help-with-surveys/list-of-stats-nz-surveys/about-the-2023-disability-survey/#purpose (accessed 27 May 2024).</w:t>
      </w:r>
    </w:p>
    <w:p w14:paraId="78B356FB" w14:textId="77777777" w:rsidR="0095333A" w:rsidRPr="00705DD8" w:rsidRDefault="0095333A" w:rsidP="0095333A">
      <w:pPr>
        <w:pStyle w:val="References"/>
      </w:pPr>
      <w:r w:rsidRPr="00705DD8">
        <w:t>Stats NZ</w:t>
      </w:r>
      <w:r w:rsidRPr="00075542">
        <w:t>.</w:t>
      </w:r>
      <w:r w:rsidRPr="00705DD8">
        <w:t xml:space="preserve"> (nd)-b. </w:t>
      </w:r>
      <w:r w:rsidRPr="00705DD8">
        <w:rPr>
          <w:i/>
        </w:rPr>
        <w:t>Life expectancy</w:t>
      </w:r>
      <w:r w:rsidRPr="00705DD8">
        <w:t>. URL: stats.govt.nz/topics/life-expectancy (accessed 23 May 2024).</w:t>
      </w:r>
    </w:p>
    <w:p w14:paraId="535BAAAE" w14:textId="77777777" w:rsidR="0095333A" w:rsidRPr="00705DD8" w:rsidRDefault="0095333A" w:rsidP="0095333A">
      <w:pPr>
        <w:pStyle w:val="References"/>
      </w:pPr>
      <w:r w:rsidRPr="00705DD8">
        <w:t>Te Aho o Te Kahu</w:t>
      </w:r>
      <w:r w:rsidRPr="00075542">
        <w:t>.</w:t>
      </w:r>
      <w:r w:rsidRPr="00705DD8">
        <w:t xml:space="preserve"> 2021. </w:t>
      </w:r>
      <w:r w:rsidRPr="00B86498">
        <w:rPr>
          <w:i/>
          <w:iCs/>
        </w:rPr>
        <w:t>He Pūrongo Mate Pukupuku o Aotearoa 2020: The State of Cancer in New Zealand 2020</w:t>
      </w:r>
      <w:r w:rsidRPr="00705DD8">
        <w:t>. Wellington: Te Aho o Te Kahu – Cancer Control Agency.</w:t>
      </w:r>
    </w:p>
    <w:p w14:paraId="38874D1B" w14:textId="77777777" w:rsidR="0095333A" w:rsidRPr="00705DD8" w:rsidRDefault="0095333A" w:rsidP="0095333A">
      <w:pPr>
        <w:pStyle w:val="References"/>
      </w:pPr>
      <w:r w:rsidRPr="00705DD8">
        <w:t>Te Aho o Te Kahu</w:t>
      </w:r>
      <w:r w:rsidRPr="00075542">
        <w:t>.</w:t>
      </w:r>
      <w:r w:rsidRPr="00705DD8">
        <w:t xml:space="preserve"> 2022a. </w:t>
      </w:r>
      <w:r w:rsidRPr="00B86498">
        <w:rPr>
          <w:i/>
          <w:iCs/>
        </w:rPr>
        <w:t>Pūrongo Ārai Mate Pukupuku: Cancer Prevention Report</w:t>
      </w:r>
      <w:r w:rsidRPr="00705DD8">
        <w:t xml:space="preserve"> Wellington: Te Aho o Te Kahu – Cancer Control Agency.</w:t>
      </w:r>
    </w:p>
    <w:p w14:paraId="2A922108" w14:textId="77777777" w:rsidR="0095333A" w:rsidRPr="00705DD8" w:rsidRDefault="0095333A" w:rsidP="0095333A">
      <w:pPr>
        <w:pStyle w:val="References"/>
      </w:pPr>
      <w:r w:rsidRPr="00705DD8">
        <w:t>Te Aho o Te Kahu</w:t>
      </w:r>
      <w:r w:rsidRPr="00075542">
        <w:t xml:space="preserve">. 2022b. </w:t>
      </w:r>
      <w:r w:rsidRPr="00075542">
        <w:rPr>
          <w:i/>
        </w:rPr>
        <w:t>Spotllight on radiation oncology collection</w:t>
      </w:r>
      <w:r w:rsidRPr="00075542">
        <w:t>. URL: hcmsitesstorage.blob.core.windows.net/cca/assets/DRAFT_ROC_Infographic_20220921_AD_RS_cc19f9cd58.pdf</w:t>
      </w:r>
      <w:r w:rsidRPr="00705DD8">
        <w:t xml:space="preserve"> (accessed 23 May 2024).</w:t>
      </w:r>
    </w:p>
    <w:p w14:paraId="705056A5" w14:textId="77777777" w:rsidR="0095333A" w:rsidRPr="00705DD8" w:rsidRDefault="0095333A" w:rsidP="0095333A">
      <w:pPr>
        <w:pStyle w:val="References"/>
      </w:pPr>
      <w:r w:rsidRPr="00705DD8">
        <w:t>Te Aho o Te Kahu</w:t>
      </w:r>
      <w:r w:rsidRPr="00075542">
        <w:t>. 2024.</w:t>
      </w:r>
      <w:r w:rsidRPr="00705DD8">
        <w:t xml:space="preserve"> </w:t>
      </w:r>
      <w:r w:rsidRPr="00B86498">
        <w:rPr>
          <w:i/>
          <w:iCs/>
        </w:rPr>
        <w:t>Quality Improvement Monitoring Report – Route to diagnosis: People diagnosed with cancer within 30 days of an emergency or acute (unplanned) hospital admission</w:t>
      </w:r>
      <w:r w:rsidRPr="00705DD8">
        <w:t>. Wellington: Te Aho o Te Kahu – Cancer Control Agency.</w:t>
      </w:r>
    </w:p>
    <w:p w14:paraId="3A4AB14F" w14:textId="77777777" w:rsidR="0095333A" w:rsidRPr="00705DD8" w:rsidRDefault="0095333A" w:rsidP="0095333A">
      <w:pPr>
        <w:pStyle w:val="References"/>
      </w:pPr>
      <w:r w:rsidRPr="00705DD8">
        <w:t>Te Aho o Te Kahu</w:t>
      </w:r>
      <w:r w:rsidRPr="00075542">
        <w:t>.</w:t>
      </w:r>
      <w:r w:rsidRPr="00705DD8">
        <w:t xml:space="preserve"> (nd). </w:t>
      </w:r>
      <w:r w:rsidRPr="00705DD8">
        <w:rPr>
          <w:i/>
        </w:rPr>
        <w:t>Cancer in Numbers in Aotearoa New Zealand</w:t>
      </w:r>
      <w:r w:rsidRPr="00705DD8">
        <w:t>. URL: teaho.govt.nz/cancer-numbers (accessed 23 May 2024).</w:t>
      </w:r>
    </w:p>
    <w:p w14:paraId="153DCC4D" w14:textId="77777777" w:rsidR="0095333A" w:rsidRPr="00705DD8" w:rsidRDefault="0095333A" w:rsidP="0095333A">
      <w:pPr>
        <w:pStyle w:val="References"/>
      </w:pPr>
      <w:r w:rsidRPr="00705DD8">
        <w:t xml:space="preserve">Time to screen. (nd). </w:t>
      </w:r>
      <w:r w:rsidRPr="00705DD8">
        <w:rPr>
          <w:i/>
        </w:rPr>
        <w:t>About bowel screening</w:t>
      </w:r>
      <w:r w:rsidRPr="00705DD8">
        <w:t>. URL: timetoscreen.nz/bowel-screening/about-the-national-bowel-screening-programme (accessed 23 May 2024).</w:t>
      </w:r>
    </w:p>
    <w:p w14:paraId="0C7789D3" w14:textId="77777777" w:rsidR="0095333A" w:rsidRPr="00705DD8" w:rsidRDefault="0095333A" w:rsidP="0095333A">
      <w:pPr>
        <w:pStyle w:val="References"/>
      </w:pPr>
      <w:r w:rsidRPr="00705DD8">
        <w:lastRenderedPageBreak/>
        <w:t xml:space="preserve">University of Otago. 2023. AIDS diagnoses. </w:t>
      </w:r>
      <w:r w:rsidRPr="00075542">
        <w:rPr>
          <w:i/>
        </w:rPr>
        <w:t>AIDS – New Zealand</w:t>
      </w:r>
      <w:r w:rsidRPr="00075542">
        <w:t xml:space="preserve"> (82): 3</w:t>
      </w:r>
      <w:r w:rsidRPr="00705DD8">
        <w:t>.</w:t>
      </w:r>
    </w:p>
    <w:p w14:paraId="4FFDD729" w14:textId="77777777" w:rsidR="0095333A" w:rsidRPr="00705DD8" w:rsidRDefault="0095333A" w:rsidP="0095333A">
      <w:pPr>
        <w:pStyle w:val="References"/>
      </w:pPr>
      <w:r w:rsidRPr="00705DD8">
        <w:t xml:space="preserve">WHO. 2017. </w:t>
      </w:r>
      <w:r w:rsidRPr="00705DD8">
        <w:rPr>
          <w:i/>
        </w:rPr>
        <w:t>Determinants of health</w:t>
      </w:r>
      <w:r w:rsidRPr="00705DD8">
        <w:t>. URL: who.int/news-room/questions-and-answers/item/determinants-of-health (accessed 24 May 2024).</w:t>
      </w:r>
    </w:p>
    <w:p w14:paraId="6067A301" w14:textId="77777777" w:rsidR="0095333A" w:rsidRPr="00705DD8" w:rsidRDefault="0095333A" w:rsidP="0095333A">
      <w:pPr>
        <w:pStyle w:val="References"/>
      </w:pPr>
      <w:r w:rsidRPr="00705DD8">
        <w:t xml:space="preserve">WHO. 2021. </w:t>
      </w:r>
      <w:r w:rsidRPr="00705DD8">
        <w:rPr>
          <w:i/>
        </w:rPr>
        <w:t>Cardiovascular diseases (CVDs)</w:t>
      </w:r>
      <w:r w:rsidRPr="00705DD8">
        <w:t>. URL: who.int/news-room/fact-sheets/detail/cardiovascular-diseases-(cvds) (accessed 23 May 2024).</w:t>
      </w:r>
    </w:p>
    <w:p w14:paraId="3049C321" w14:textId="77777777" w:rsidR="0095333A" w:rsidRPr="00705DD8" w:rsidRDefault="0095333A" w:rsidP="0095333A">
      <w:pPr>
        <w:pStyle w:val="References"/>
      </w:pPr>
      <w:r w:rsidRPr="00705DD8">
        <w:t xml:space="preserve">WHO. 2022a. </w:t>
      </w:r>
      <w:r w:rsidRPr="00705DD8">
        <w:rPr>
          <w:i/>
        </w:rPr>
        <w:t>Ageing and health</w:t>
      </w:r>
      <w:r w:rsidRPr="00705DD8">
        <w:t>. URL: who.int/news-room/fact-sheets/detail/ageing-and-health (accessed 22 May 2024).</w:t>
      </w:r>
    </w:p>
    <w:p w14:paraId="70BD86A7" w14:textId="77777777" w:rsidR="0095333A" w:rsidRPr="00705DD8" w:rsidRDefault="0095333A" w:rsidP="0095333A">
      <w:pPr>
        <w:pStyle w:val="References"/>
      </w:pPr>
      <w:r w:rsidRPr="00705DD8">
        <w:t xml:space="preserve">WHO. 2022b. </w:t>
      </w:r>
      <w:r w:rsidRPr="00705DD8">
        <w:rPr>
          <w:i/>
        </w:rPr>
        <w:t>Mental health</w:t>
      </w:r>
      <w:r w:rsidRPr="00705DD8">
        <w:t>. URL: who.int/news-room/fact-sheets/detail/mental-health-strengthening-our-response (accessed 23 May 2024).</w:t>
      </w:r>
    </w:p>
    <w:p w14:paraId="070087CD" w14:textId="77777777" w:rsidR="0095333A" w:rsidRPr="00705DD8" w:rsidRDefault="0095333A" w:rsidP="0095333A">
      <w:pPr>
        <w:pStyle w:val="References"/>
      </w:pPr>
      <w:r w:rsidRPr="00705DD8">
        <w:t xml:space="preserve">WHO. 2022c. </w:t>
      </w:r>
      <w:r w:rsidRPr="00705DD8">
        <w:rPr>
          <w:i/>
        </w:rPr>
        <w:t>Musculoskeletal health</w:t>
      </w:r>
      <w:r w:rsidRPr="00705DD8">
        <w:t>. URL: who.int/news-room/fact-sheets/detail/musculoskeletal-conditions (accessed 23 May 2024).</w:t>
      </w:r>
    </w:p>
    <w:p w14:paraId="0755C0CF" w14:textId="77777777" w:rsidR="0095333A" w:rsidRPr="00705DD8" w:rsidRDefault="0095333A" w:rsidP="0095333A">
      <w:pPr>
        <w:pStyle w:val="References"/>
      </w:pPr>
      <w:r w:rsidRPr="00705DD8">
        <w:t xml:space="preserve">WHO. 2022d. </w:t>
      </w:r>
      <w:r w:rsidRPr="00705DD8">
        <w:rPr>
          <w:i/>
        </w:rPr>
        <w:t>Post COVID-19 condition (Long COVID)</w:t>
      </w:r>
      <w:r w:rsidRPr="00705DD8">
        <w:t>. URL: who.int/europe/news-room/fact-sheets/item/post-covid-19-condition (accessed 24 May 2024).</w:t>
      </w:r>
    </w:p>
    <w:p w14:paraId="4697CB99" w14:textId="77777777" w:rsidR="0095333A" w:rsidRPr="00705DD8" w:rsidRDefault="0095333A" w:rsidP="0095333A">
      <w:pPr>
        <w:pStyle w:val="References"/>
      </w:pPr>
      <w:r w:rsidRPr="00705DD8">
        <w:t xml:space="preserve">WHO. 2023a. </w:t>
      </w:r>
      <w:r w:rsidRPr="00705DD8">
        <w:rPr>
          <w:i/>
        </w:rPr>
        <w:t>Commercial determinants of health</w:t>
      </w:r>
      <w:r w:rsidRPr="00705DD8">
        <w:t>. URL: who.int/news-room/fact-sheets/detail/commercial-determinants-of-health (accessed 24 May 2024).</w:t>
      </w:r>
    </w:p>
    <w:p w14:paraId="3C938DCD" w14:textId="77777777" w:rsidR="0095333A" w:rsidRPr="00705DD8" w:rsidRDefault="0095333A" w:rsidP="0095333A">
      <w:pPr>
        <w:pStyle w:val="References"/>
      </w:pPr>
      <w:r w:rsidRPr="00705DD8">
        <w:t xml:space="preserve">WHO. 2023b. </w:t>
      </w:r>
      <w:r w:rsidRPr="00705DD8">
        <w:rPr>
          <w:i/>
        </w:rPr>
        <w:t>Statement on the fifteenth meeting of the IHR (2005) Emergency Committee on the COVID-19 pandemic</w:t>
      </w:r>
      <w:r w:rsidRPr="00705DD8">
        <w:t>. URL: who.int/news/item/05-05-2023-statement-on-the-fifteenth-meeting-of-the-international-health-regulations-(2005)-emergency-committee-regarding-the-coronavirus-disease-(covid-19)-pandemic (accessed 24 May 2024).</w:t>
      </w:r>
    </w:p>
    <w:p w14:paraId="209A6F9F" w14:textId="77777777" w:rsidR="0095333A" w:rsidRPr="00705DD8" w:rsidRDefault="0095333A" w:rsidP="0095333A">
      <w:pPr>
        <w:pStyle w:val="References"/>
      </w:pPr>
      <w:r w:rsidRPr="00705DD8">
        <w:t xml:space="preserve">WHO. 2024. </w:t>
      </w:r>
      <w:r w:rsidRPr="00B86498">
        <w:rPr>
          <w:i/>
          <w:iCs/>
        </w:rPr>
        <w:t>Operational framework for monitoring social determinants of health equity</w:t>
      </w:r>
      <w:r w:rsidRPr="00705DD8">
        <w:t>. Geneva: World Health Organization.</w:t>
      </w:r>
    </w:p>
    <w:p w14:paraId="525C9F09" w14:textId="77777777" w:rsidR="0095333A" w:rsidRPr="00705DD8" w:rsidRDefault="0095333A" w:rsidP="0095333A">
      <w:pPr>
        <w:pStyle w:val="References"/>
      </w:pPr>
      <w:r w:rsidRPr="00705DD8">
        <w:t xml:space="preserve">WHO. (nd)-a. </w:t>
      </w:r>
      <w:r w:rsidRPr="00705DD8">
        <w:rPr>
          <w:i/>
        </w:rPr>
        <w:t>Cervical Cancer Elimination Initiative</w:t>
      </w:r>
      <w:r w:rsidRPr="00705DD8">
        <w:t>. URL: who.int/initiatives/cervical-cancer-elimination-initiative#cms (accessed 23 May 2024).</w:t>
      </w:r>
    </w:p>
    <w:p w14:paraId="3BD57495" w14:textId="77777777" w:rsidR="0095333A" w:rsidRPr="00705DD8" w:rsidRDefault="0095333A" w:rsidP="0095333A">
      <w:pPr>
        <w:pStyle w:val="References"/>
      </w:pPr>
      <w:r w:rsidRPr="00705DD8">
        <w:t xml:space="preserve">WHO. (nd)-b. </w:t>
      </w:r>
      <w:r w:rsidRPr="00705DD8">
        <w:rPr>
          <w:i/>
        </w:rPr>
        <w:t>Chronic respiratory diseases</w:t>
      </w:r>
      <w:r w:rsidRPr="00705DD8">
        <w:t>. URL: who.int/health-topics/chronic-respiratory-diseases (accessed 23 May 2024).</w:t>
      </w:r>
    </w:p>
    <w:p w14:paraId="4962911D" w14:textId="77777777" w:rsidR="0095333A" w:rsidRPr="00705DD8" w:rsidRDefault="0095333A" w:rsidP="0095333A">
      <w:pPr>
        <w:pStyle w:val="References"/>
      </w:pPr>
      <w:r w:rsidRPr="00705DD8">
        <w:t xml:space="preserve">WHO. (nd)-c. </w:t>
      </w:r>
      <w:r w:rsidRPr="00705DD8">
        <w:rPr>
          <w:i/>
        </w:rPr>
        <w:t>Infectious diseases</w:t>
      </w:r>
      <w:r w:rsidRPr="00705DD8">
        <w:t>. URL: emro.who.int/health-topics/infectious-diseases/index.html (accessed 24 May 2024).</w:t>
      </w:r>
    </w:p>
    <w:p w14:paraId="131CD62F" w14:textId="77777777" w:rsidR="0095333A" w:rsidRPr="00705DD8" w:rsidRDefault="0095333A" w:rsidP="0095333A">
      <w:pPr>
        <w:pStyle w:val="References"/>
      </w:pPr>
      <w:r w:rsidRPr="00705DD8">
        <w:t xml:space="preserve">WHO. (nd)-d. </w:t>
      </w:r>
      <w:r w:rsidRPr="00705DD8">
        <w:rPr>
          <w:i/>
        </w:rPr>
        <w:t>Oral health</w:t>
      </w:r>
      <w:r w:rsidRPr="00705DD8">
        <w:t>. URL: who.int/health-topics/oral-health (accessed 24 May 2024).</w:t>
      </w:r>
    </w:p>
    <w:p w14:paraId="56B66CCA" w14:textId="77777777" w:rsidR="0095333A" w:rsidRPr="00705DD8" w:rsidRDefault="0095333A" w:rsidP="0095333A">
      <w:pPr>
        <w:pStyle w:val="References"/>
      </w:pPr>
      <w:r w:rsidRPr="00705DD8">
        <w:t xml:space="preserve">WHO. (nd)-e. </w:t>
      </w:r>
      <w:r w:rsidRPr="00705DD8">
        <w:rPr>
          <w:i/>
        </w:rPr>
        <w:t>Social determinants of health</w:t>
      </w:r>
      <w:r w:rsidRPr="00705DD8">
        <w:t>. URL: who.int/health-topics/social-determinants-of-health (accessed 24 May 2024).</w:t>
      </w:r>
    </w:p>
    <w:p w14:paraId="3705AEBE" w14:textId="77777777" w:rsidR="0095333A" w:rsidRPr="00705DD8" w:rsidRDefault="0095333A" w:rsidP="0095333A">
      <w:pPr>
        <w:pStyle w:val="References"/>
      </w:pPr>
      <w:r w:rsidRPr="00705DD8">
        <w:t>World Bank</w:t>
      </w:r>
      <w:r w:rsidRPr="00BB3FC9">
        <w:t>.</w:t>
      </w:r>
      <w:r w:rsidRPr="00705DD8">
        <w:t xml:space="preserve"> 2014. </w:t>
      </w:r>
      <w:r w:rsidRPr="00705DD8">
        <w:rPr>
          <w:i/>
        </w:rPr>
        <w:t>Poverty and Health</w:t>
      </w:r>
      <w:r w:rsidRPr="00705DD8">
        <w:t>. URL: worldbank.org/en/topic/health/brief/poverty-health (accessed 24 May 2024).</w:t>
      </w:r>
    </w:p>
    <w:p w14:paraId="51066671" w14:textId="77777777" w:rsidR="0095333A" w:rsidRPr="00705DD8" w:rsidRDefault="0095333A" w:rsidP="0095333A">
      <w:pPr>
        <w:pStyle w:val="References"/>
      </w:pPr>
      <w:r w:rsidRPr="00705DD8">
        <w:t>World Bank</w:t>
      </w:r>
      <w:r w:rsidRPr="00AB0392">
        <w:t xml:space="preserve">. (nd). </w:t>
      </w:r>
      <w:r w:rsidRPr="00AB0392">
        <w:rPr>
          <w:i/>
        </w:rPr>
        <w:t>Life expectancy at birth, total (years)</w:t>
      </w:r>
      <w:r w:rsidRPr="00AB0392">
        <w:t>. URL: data.worldbank.org/indicator/SP.DYN.LE00.IN (accessed 12 March 2024).</w:t>
      </w:r>
    </w:p>
    <w:p w14:paraId="67724E3A" w14:textId="77777777" w:rsidR="00154CC6" w:rsidRDefault="0095333A" w:rsidP="0095333A">
      <w:pPr>
        <w:pStyle w:val="References"/>
        <w:sectPr w:rsidR="00154CC6" w:rsidSect="00EC4094">
          <w:pgSz w:w="11907" w:h="16834" w:code="9"/>
          <w:pgMar w:top="1418" w:right="1701" w:bottom="1134" w:left="1843" w:header="284" w:footer="425" w:gutter="284"/>
          <w:cols w:space="720"/>
        </w:sectPr>
      </w:pPr>
      <w:r>
        <w:fldChar w:fldCharType="end"/>
      </w:r>
    </w:p>
    <w:p w14:paraId="78829AE0" w14:textId="77777777" w:rsidR="00154CC6" w:rsidRDefault="00154CC6" w:rsidP="0095333A">
      <w:pPr>
        <w:pStyle w:val="References"/>
        <w:sectPr w:rsidR="00154CC6" w:rsidSect="00EC4094">
          <w:pgSz w:w="11907" w:h="16834" w:code="9"/>
          <w:pgMar w:top="1418" w:right="1701" w:bottom="1134" w:left="1843" w:header="284" w:footer="425" w:gutter="284"/>
          <w:cols w:space="720"/>
        </w:sectPr>
      </w:pPr>
    </w:p>
    <w:p w14:paraId="52B42ED3" w14:textId="77777777" w:rsidR="00154CC6" w:rsidRDefault="00154CC6" w:rsidP="0095333A">
      <w:pPr>
        <w:pStyle w:val="References"/>
        <w:sectPr w:rsidR="00154CC6" w:rsidSect="00EC4094">
          <w:pgSz w:w="11907" w:h="16834" w:code="9"/>
          <w:pgMar w:top="1418" w:right="1701" w:bottom="1134" w:left="1843" w:header="284" w:footer="425" w:gutter="284"/>
          <w:cols w:space="720"/>
        </w:sectPr>
      </w:pPr>
    </w:p>
    <w:p w14:paraId="72812CCA" w14:textId="77777777" w:rsidR="00887447" w:rsidRDefault="00887447" w:rsidP="0095333A">
      <w:pPr>
        <w:pStyle w:val="References"/>
        <w:sectPr w:rsidR="00887447" w:rsidSect="00EC4094">
          <w:pgSz w:w="11907" w:h="16834" w:code="9"/>
          <w:pgMar w:top="1418" w:right="1701" w:bottom="1134" w:left="1843" w:header="284" w:footer="425" w:gutter="284"/>
          <w:cols w:space="720"/>
        </w:sectPr>
      </w:pPr>
    </w:p>
    <w:p w14:paraId="7FCFDFED" w14:textId="77777777" w:rsidR="00887447" w:rsidRDefault="00887447" w:rsidP="0095333A">
      <w:pPr>
        <w:pStyle w:val="References"/>
        <w:sectPr w:rsidR="00887447" w:rsidSect="00EC4094">
          <w:pgSz w:w="11907" w:h="16834" w:code="9"/>
          <w:pgMar w:top="1418" w:right="1701" w:bottom="1134" w:left="1843" w:header="284" w:footer="425" w:gutter="284"/>
          <w:cols w:space="720"/>
        </w:sectPr>
      </w:pPr>
    </w:p>
    <w:p w14:paraId="28235804" w14:textId="60A046FA" w:rsidR="009A42D5" w:rsidRDefault="009A42D5" w:rsidP="0095333A">
      <w:pPr>
        <w:pStyle w:val="References"/>
      </w:pPr>
    </w:p>
    <w:sectPr w:rsidR="009A42D5" w:rsidSect="00EC4094">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4879D" w14:textId="77777777" w:rsidR="00761707" w:rsidRDefault="00761707">
      <w:r>
        <w:separator/>
      </w:r>
    </w:p>
    <w:p w14:paraId="6173705E" w14:textId="77777777" w:rsidR="00761707" w:rsidRDefault="00761707"/>
  </w:endnote>
  <w:endnote w:type="continuationSeparator" w:id="0">
    <w:p w14:paraId="44B97130" w14:textId="77777777" w:rsidR="00761707" w:rsidRDefault="00761707">
      <w:r>
        <w:continuationSeparator/>
      </w:r>
    </w:p>
    <w:p w14:paraId="19382325" w14:textId="77777777" w:rsidR="00761707" w:rsidRDefault="00761707"/>
  </w:endnote>
  <w:endnote w:type="continuationNotice" w:id="1">
    <w:p w14:paraId="02A701C5" w14:textId="77777777" w:rsidR="00761707" w:rsidRDefault="00761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6CF74DB3" w:rsidR="00FE7A8A" w:rsidRPr="00581136" w:rsidRDefault="00FE7A8A" w:rsidP="005A79E5">
    <w:pPr>
      <w:pStyle w:val="Footer"/>
      <w:pBdr>
        <w:bottom w:val="single" w:sz="4" w:space="1" w:color="auto"/>
      </w:pBdr>
      <w:tabs>
        <w:tab w:val="right" w:pos="9639"/>
      </w:tabs>
      <w:rPr>
        <w:b/>
      </w:rPr>
    </w:pPr>
    <w:r w:rsidRPr="00581136">
      <w:rPr>
        <w:b/>
      </w:rPr>
      <w:t>Released 20</w:t>
    </w:r>
    <w:r>
      <w:rPr>
        <w:b/>
      </w:rPr>
      <w:t>2</w:t>
    </w:r>
    <w:r w:rsidR="00207454">
      <w:rPr>
        <w:b/>
      </w:rPr>
      <w:t>4</w:t>
    </w:r>
    <w:r w:rsidRPr="00581136">
      <w:rPr>
        <w:b/>
      </w:rPr>
      <w:tab/>
      <w:t>health.govt.nz</w:t>
    </w:r>
  </w:p>
  <w:p w14:paraId="524869F6" w14:textId="77777777" w:rsidR="00FE7A8A" w:rsidRPr="005A79E5" w:rsidRDefault="00FE7A8A">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E7A8A" w14:paraId="47337729" w14:textId="77777777" w:rsidTr="00D662F8">
      <w:trPr>
        <w:cantSplit/>
      </w:trPr>
      <w:tc>
        <w:tcPr>
          <w:tcW w:w="8080" w:type="dxa"/>
          <w:vAlign w:val="center"/>
        </w:tcPr>
        <w:p w14:paraId="4C5B6EEE" w14:textId="77777777" w:rsidR="00FE7A8A" w:rsidRDefault="00FE7A8A" w:rsidP="00EC4094">
          <w:pPr>
            <w:pStyle w:val="RectoFooter"/>
          </w:pPr>
          <w:r>
            <w:t xml:space="preserve">Health and Independence Report 2023 - </w:t>
          </w:r>
        </w:p>
        <w:p w14:paraId="1A33CBD1" w14:textId="3829CCCC" w:rsidR="00FE7A8A" w:rsidRDefault="00FE7A8A" w:rsidP="00EC4094">
          <w:pPr>
            <w:pStyle w:val="RectoFooter"/>
          </w:pPr>
          <w:r>
            <w:t>Te Pūrongo mō te Hauora me te Tū Motuhake 2023</w:t>
          </w:r>
        </w:p>
      </w:tc>
      <w:tc>
        <w:tcPr>
          <w:tcW w:w="709" w:type="dxa"/>
          <w:vAlign w:val="center"/>
        </w:tcPr>
        <w:p w14:paraId="501EC334" w14:textId="77777777" w:rsidR="00FE7A8A" w:rsidRPr="00931466" w:rsidRDefault="00FE7A8A"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FE7A8A" w:rsidRPr="00581EB8" w:rsidRDefault="00FE7A8A"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FE7A8A" w:rsidRDefault="00FE7A8A"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FE7A8A" w:rsidRDefault="00FE7A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FE7A8A" w14:paraId="1C2A0E9B" w14:textId="77777777" w:rsidTr="00C66A54">
      <w:trPr>
        <w:cantSplit/>
      </w:trPr>
      <w:tc>
        <w:tcPr>
          <w:tcW w:w="709" w:type="dxa"/>
          <w:vAlign w:val="center"/>
        </w:tcPr>
        <w:p w14:paraId="30C2B171" w14:textId="77777777" w:rsidR="00FE7A8A" w:rsidRPr="00931466" w:rsidRDefault="00FE7A8A" w:rsidP="00EC4094">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381E09C1" w14:textId="77777777" w:rsidR="00FE7A8A" w:rsidRDefault="00FE7A8A" w:rsidP="00EC4094">
          <w:pPr>
            <w:pStyle w:val="RectoFooter"/>
            <w:jc w:val="left"/>
          </w:pPr>
          <w:r>
            <w:t xml:space="preserve">Health and Independence Report 2023 - </w:t>
          </w:r>
        </w:p>
        <w:p w14:paraId="7368F273" w14:textId="77777777" w:rsidR="00FE7A8A" w:rsidRDefault="00FE7A8A" w:rsidP="00EC4094">
          <w:pPr>
            <w:pStyle w:val="RectoFooter"/>
            <w:jc w:val="left"/>
          </w:pPr>
          <w:r>
            <w:t>Te Pūrongo mō te Hauora me te Tū Motuhake 2023</w:t>
          </w:r>
        </w:p>
      </w:tc>
    </w:tr>
  </w:tbl>
  <w:p w14:paraId="172F2DDB" w14:textId="77777777" w:rsidR="00FE7A8A" w:rsidRPr="00571223" w:rsidRDefault="00FE7A8A"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E7A8A" w14:paraId="71F3685B" w14:textId="77777777" w:rsidTr="00D662F8">
      <w:trPr>
        <w:cantSplit/>
      </w:trPr>
      <w:tc>
        <w:tcPr>
          <w:tcW w:w="8080" w:type="dxa"/>
          <w:vAlign w:val="center"/>
        </w:tcPr>
        <w:p w14:paraId="45600ED3" w14:textId="77777777" w:rsidR="00FE7A8A" w:rsidRDefault="00FE7A8A" w:rsidP="00EC4094">
          <w:pPr>
            <w:pStyle w:val="RectoFooter"/>
          </w:pPr>
          <w:r>
            <w:t xml:space="preserve">Health and Independence Report 2023 - </w:t>
          </w:r>
        </w:p>
        <w:p w14:paraId="5784B1D8" w14:textId="667404FD" w:rsidR="00FE7A8A" w:rsidRDefault="00FE7A8A" w:rsidP="00EC4094">
          <w:pPr>
            <w:pStyle w:val="RectoFooter"/>
          </w:pPr>
          <w:r>
            <w:t>Te Pūrongo mō te Hauora me te Tū Motuhake 2023</w:t>
          </w:r>
        </w:p>
      </w:tc>
      <w:tc>
        <w:tcPr>
          <w:tcW w:w="709" w:type="dxa"/>
          <w:vAlign w:val="center"/>
        </w:tcPr>
        <w:p w14:paraId="18A7A1B5" w14:textId="77777777" w:rsidR="00FE7A8A" w:rsidRPr="00931466" w:rsidRDefault="00FE7A8A"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FE7A8A" w:rsidRPr="00581EB8" w:rsidRDefault="00FE7A8A"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FE7A8A" w14:paraId="638CE4BF" w14:textId="77777777" w:rsidTr="00C66A54">
      <w:trPr>
        <w:cantSplit/>
      </w:trPr>
      <w:tc>
        <w:tcPr>
          <w:tcW w:w="709" w:type="dxa"/>
          <w:vAlign w:val="center"/>
        </w:tcPr>
        <w:p w14:paraId="69E9A820" w14:textId="77777777" w:rsidR="00FE7A8A" w:rsidRPr="00931466" w:rsidRDefault="00FE7A8A" w:rsidP="00EC4094">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43E3B6C1" w14:textId="77777777" w:rsidR="00FE7A8A" w:rsidRDefault="00FE7A8A" w:rsidP="00EC4094">
          <w:pPr>
            <w:pStyle w:val="RectoFooter"/>
            <w:jc w:val="left"/>
          </w:pPr>
          <w:r>
            <w:t xml:space="preserve">Health and Independence Report 2023 - </w:t>
          </w:r>
        </w:p>
        <w:p w14:paraId="11E6EFDE" w14:textId="77777777" w:rsidR="00FE7A8A" w:rsidRDefault="00FE7A8A" w:rsidP="00EC4094">
          <w:pPr>
            <w:pStyle w:val="RectoFooter"/>
            <w:jc w:val="left"/>
          </w:pPr>
          <w:r>
            <w:t>Te Pūrongo mō te Hauora me te Tū Motuhake 2023</w:t>
          </w:r>
        </w:p>
      </w:tc>
    </w:tr>
  </w:tbl>
  <w:p w14:paraId="3139C60B" w14:textId="77777777" w:rsidR="00FE7A8A" w:rsidRPr="00571223" w:rsidRDefault="00FE7A8A"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FE7A8A" w14:paraId="1F1EA555" w14:textId="77777777" w:rsidTr="00C66A54">
      <w:trPr>
        <w:cantSplit/>
      </w:trPr>
      <w:tc>
        <w:tcPr>
          <w:tcW w:w="8080" w:type="dxa"/>
          <w:vAlign w:val="center"/>
        </w:tcPr>
        <w:p w14:paraId="410E8D81" w14:textId="77777777" w:rsidR="00FE7A8A" w:rsidRDefault="00FE7A8A" w:rsidP="00EC4094">
          <w:pPr>
            <w:pStyle w:val="RectoFooter"/>
          </w:pPr>
          <w:r>
            <w:t xml:space="preserve">Health and Independence Report 2023 - </w:t>
          </w:r>
        </w:p>
        <w:p w14:paraId="66576D18" w14:textId="77777777" w:rsidR="00FE7A8A" w:rsidRDefault="00FE7A8A" w:rsidP="00EC4094">
          <w:pPr>
            <w:pStyle w:val="RectoFooter"/>
          </w:pPr>
          <w:r>
            <w:t>Te Pūrongo mō te Hauora me te Tū Motuhake 2023</w:t>
          </w:r>
        </w:p>
      </w:tc>
      <w:tc>
        <w:tcPr>
          <w:tcW w:w="709" w:type="dxa"/>
          <w:vAlign w:val="center"/>
        </w:tcPr>
        <w:p w14:paraId="43012CC0" w14:textId="77777777" w:rsidR="00FE7A8A" w:rsidRPr="00931466" w:rsidRDefault="00FE7A8A" w:rsidP="00EC4094">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5CFC608" w14:textId="77777777" w:rsidR="00FE7A8A" w:rsidRPr="00581EB8" w:rsidRDefault="00FE7A8A"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FE7A8A" w14:paraId="5ADFBC2B" w14:textId="77777777" w:rsidTr="00C66A54">
      <w:trPr>
        <w:cantSplit/>
      </w:trPr>
      <w:tc>
        <w:tcPr>
          <w:tcW w:w="709" w:type="dxa"/>
          <w:vAlign w:val="center"/>
        </w:tcPr>
        <w:p w14:paraId="2F307012" w14:textId="77777777" w:rsidR="00FE7A8A" w:rsidRPr="00931466" w:rsidRDefault="00FE7A8A" w:rsidP="00EC4094">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70481F9A" w14:textId="77777777" w:rsidR="00FE7A8A" w:rsidRDefault="00FE7A8A" w:rsidP="00EC4094">
          <w:pPr>
            <w:pStyle w:val="RectoFooter"/>
            <w:jc w:val="left"/>
          </w:pPr>
          <w:r>
            <w:t xml:space="preserve">Health and Independence Report 2023 - </w:t>
          </w:r>
        </w:p>
        <w:p w14:paraId="19F15893" w14:textId="77777777" w:rsidR="00FE7A8A" w:rsidRDefault="00FE7A8A" w:rsidP="00EC4094">
          <w:pPr>
            <w:pStyle w:val="RectoFooter"/>
            <w:jc w:val="left"/>
          </w:pPr>
          <w:r>
            <w:t>Te Pūrongo mō te Hauora me te Tū Motuhake 2023</w:t>
          </w:r>
        </w:p>
      </w:tc>
    </w:tr>
  </w:tbl>
  <w:p w14:paraId="7CA52C00" w14:textId="77777777" w:rsidR="00FE7A8A" w:rsidRPr="00EC4094" w:rsidRDefault="00FE7A8A" w:rsidP="00571223">
    <w:pPr>
      <w:pStyle w:val="VersoFooter"/>
      <w:rPr>
        <w:b/>
        <w:bCs/>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FE7A8A" w14:paraId="7E34FA6B" w14:textId="77777777" w:rsidTr="00D662F8">
      <w:trPr>
        <w:cantSplit/>
      </w:trPr>
      <w:tc>
        <w:tcPr>
          <w:tcW w:w="675" w:type="dxa"/>
          <w:vAlign w:val="center"/>
        </w:tcPr>
        <w:p w14:paraId="6281C317" w14:textId="77777777" w:rsidR="00FE7A8A" w:rsidRPr="00931466" w:rsidRDefault="00FE7A8A"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65B310CC" w14:textId="77777777" w:rsidR="00FE7A8A" w:rsidRDefault="00FE7A8A" w:rsidP="00EC4094">
          <w:pPr>
            <w:pStyle w:val="RectoFooter"/>
            <w:jc w:val="left"/>
          </w:pPr>
          <w:r>
            <w:t xml:space="preserve">Health and Independence Report 2023 - </w:t>
          </w:r>
        </w:p>
        <w:p w14:paraId="27262A64" w14:textId="6D70AF33" w:rsidR="00FE7A8A" w:rsidRDefault="00FE7A8A" w:rsidP="00EC4094">
          <w:pPr>
            <w:pStyle w:val="RectoFooter"/>
            <w:jc w:val="left"/>
          </w:pPr>
          <w:r>
            <w:t>Te Pūrongo mō te Hauora me te Tū Motuhake 2023</w:t>
          </w:r>
        </w:p>
      </w:tc>
    </w:tr>
  </w:tbl>
  <w:p w14:paraId="5177CEA2" w14:textId="77777777" w:rsidR="00FE7A8A" w:rsidRPr="00571223" w:rsidRDefault="00FE7A8A"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976F7" w14:textId="77777777" w:rsidR="00761707" w:rsidRPr="00A26E6B" w:rsidRDefault="00761707" w:rsidP="00A26E6B"/>
  </w:footnote>
  <w:footnote w:type="continuationSeparator" w:id="0">
    <w:p w14:paraId="5CC92B7B" w14:textId="77777777" w:rsidR="00761707" w:rsidRDefault="00761707">
      <w:r>
        <w:continuationSeparator/>
      </w:r>
    </w:p>
    <w:p w14:paraId="2C9601D3" w14:textId="77777777" w:rsidR="00761707" w:rsidRDefault="00761707"/>
  </w:footnote>
  <w:footnote w:type="continuationNotice" w:id="1">
    <w:p w14:paraId="10FA72B6" w14:textId="77777777" w:rsidR="00761707" w:rsidRDefault="00761707"/>
  </w:footnote>
  <w:footnote w:id="2">
    <w:p w14:paraId="235636EC" w14:textId="77777777" w:rsidR="00FE7A8A" w:rsidRPr="006D44A0" w:rsidRDefault="00FE7A8A" w:rsidP="001C7EEF">
      <w:pPr>
        <w:pStyle w:val="FootnoteText"/>
      </w:pPr>
      <w:r w:rsidRPr="006D44A0">
        <w:rPr>
          <w:rStyle w:val="FootnoteReference"/>
        </w:rPr>
        <w:footnoteRef/>
      </w:r>
      <w:r>
        <w:t xml:space="preserve"> R</w:t>
      </w:r>
      <w:r w:rsidRPr="0074013C">
        <w:t xml:space="preserve">ates are for the </w:t>
      </w:r>
      <w:r>
        <w:t>three</w:t>
      </w:r>
      <w:r w:rsidRPr="0074013C">
        <w:t>-year pooled period ending 2022/23.</w:t>
      </w:r>
    </w:p>
  </w:footnote>
  <w:footnote w:id="3">
    <w:p w14:paraId="405049FC" w14:textId="77777777" w:rsidR="00FE7A8A" w:rsidRPr="00A815DA" w:rsidRDefault="00FE7A8A" w:rsidP="001C7EEF">
      <w:pPr>
        <w:pStyle w:val="FootnoteText"/>
        <w:rPr>
          <w:lang w:val="mi-NZ"/>
        </w:rPr>
      </w:pPr>
      <w:r>
        <w:rPr>
          <w:rStyle w:val="FootnoteReference"/>
        </w:rPr>
        <w:footnoteRef/>
      </w:r>
      <w:r>
        <w:t xml:space="preserve"> </w:t>
      </w:r>
      <w:r w:rsidRPr="00FE7A8A">
        <w:t>Total fertility rate is the average number of live births that a woman would have during her life if she experienced the age-specific fertility rates of a given period (Stats NZ).</w:t>
      </w:r>
    </w:p>
  </w:footnote>
  <w:footnote w:id="4">
    <w:p w14:paraId="3B4526F1" w14:textId="77B0A480" w:rsidR="00FE7A8A" w:rsidRPr="00FE7A8A" w:rsidRDefault="00FE7A8A" w:rsidP="00FE7A8A">
      <w:pPr>
        <w:rPr>
          <w:rFonts w:cs="Segoe UI"/>
          <w:color w:val="0B0C0C"/>
          <w:sz w:val="18"/>
          <w:szCs w:val="18"/>
          <w:shd w:val="clear" w:color="auto" w:fill="FFFFFF"/>
        </w:rPr>
      </w:pPr>
      <w:r w:rsidRPr="001C7EEF">
        <w:rPr>
          <w:rFonts w:cs="Segoe UI"/>
          <w:color w:val="0B0C0C"/>
          <w:sz w:val="17"/>
          <w:szCs w:val="17"/>
          <w:shd w:val="clear" w:color="auto" w:fill="FFFFFF"/>
          <w:vertAlign w:val="superscript"/>
        </w:rPr>
        <w:footnoteRef/>
      </w:r>
      <w:r w:rsidRPr="00311EC7">
        <w:rPr>
          <w:rFonts w:cs="Segoe UI"/>
          <w:color w:val="0B0C0C"/>
          <w:sz w:val="18"/>
          <w:szCs w:val="18"/>
          <w:shd w:val="clear" w:color="auto" w:fill="FFFFFF"/>
        </w:rPr>
        <w:t xml:space="preserve"> </w:t>
      </w:r>
      <w:r w:rsidRPr="00FE7A8A">
        <w:rPr>
          <w:rStyle w:val="FootnoteTextChar"/>
        </w:rPr>
        <w:t>A confidence interval of 95% applies to provisional estimates.</w:t>
      </w:r>
    </w:p>
  </w:footnote>
  <w:footnote w:id="5">
    <w:p w14:paraId="0F85BEA6" w14:textId="77777777" w:rsidR="00FE7A8A" w:rsidRPr="004E00CD" w:rsidRDefault="00FE7A8A" w:rsidP="001C7EEF">
      <w:pPr>
        <w:pStyle w:val="FootnoteText"/>
        <w:rPr>
          <w:lang w:val="en-US"/>
        </w:rPr>
      </w:pPr>
      <w:r>
        <w:rPr>
          <w:rStyle w:val="FootnoteReference"/>
        </w:rPr>
        <w:footnoteRef/>
      </w:r>
      <w:r>
        <w:t xml:space="preserve"> </w:t>
      </w:r>
      <w:r w:rsidRPr="004E00CD">
        <w:t>This is for ‘total response’ ethnic group.</w:t>
      </w:r>
    </w:p>
  </w:footnote>
  <w:footnote w:id="6">
    <w:p w14:paraId="18EF9E94" w14:textId="77777777" w:rsidR="00FE7A8A" w:rsidRPr="00E9063F" w:rsidRDefault="00FE7A8A" w:rsidP="001C7EEF">
      <w:pPr>
        <w:pStyle w:val="FootnoteText"/>
        <w:rPr>
          <w:lang w:val="mi-NZ"/>
        </w:rPr>
      </w:pPr>
      <w:r w:rsidRPr="00E9063F">
        <w:rPr>
          <w:rStyle w:val="FootnoteReference"/>
        </w:rPr>
        <w:footnoteRef/>
      </w:r>
      <w:r>
        <w:t xml:space="preserve"> The general understanding of d</w:t>
      </w:r>
      <w:r w:rsidRPr="00E9063F">
        <w:t xml:space="preserve">isability is </w:t>
      </w:r>
      <w:r>
        <w:t xml:space="preserve">that it is </w:t>
      </w:r>
      <w:r w:rsidRPr="00E9063F">
        <w:t>an impairment that may be cognitive, developmental, intellectual, mental, physical,</w:t>
      </w:r>
      <w:r>
        <w:t xml:space="preserve"> or</w:t>
      </w:r>
      <w:r w:rsidRPr="00E9063F">
        <w:t xml:space="preserve"> sensory, or some combination of these. It substantially affects a person's life activities and may be present from birth or </w:t>
      </w:r>
      <w:r>
        <w:t>begin later in</w:t>
      </w:r>
      <w:r w:rsidRPr="00E9063F">
        <w:t xml:space="preserve"> a person's lifetime. </w:t>
      </w:r>
    </w:p>
  </w:footnote>
  <w:footnote w:id="7">
    <w:p w14:paraId="1092115D" w14:textId="07A60603" w:rsidR="00FE7A8A" w:rsidRDefault="00FE7A8A" w:rsidP="00183828">
      <w:pPr>
        <w:pStyle w:val="FootnoteText"/>
      </w:pPr>
      <w:r>
        <w:rPr>
          <w:rStyle w:val="FootnoteReference"/>
        </w:rPr>
        <w:footnoteRef/>
      </w:r>
      <w:r>
        <w:t xml:space="preserve"> There are multiple methods for calculating life expectancy, and these can lead to variations in life expectancy measures between sources. See the ‘</w:t>
      </w:r>
      <w:r>
        <w:fldChar w:fldCharType="begin"/>
      </w:r>
      <w:r>
        <w:instrText xml:space="preserve"> REF _Ref170025816 \h </w:instrText>
      </w:r>
      <w:r>
        <w:fldChar w:fldCharType="separate"/>
      </w:r>
      <w:r w:rsidR="009A6F87" w:rsidRPr="00E47714">
        <w:t>Technical notes</w:t>
      </w:r>
      <w:r>
        <w:fldChar w:fldCharType="end"/>
      </w:r>
      <w:r>
        <w:t>’ section for further details.</w:t>
      </w:r>
    </w:p>
  </w:footnote>
  <w:footnote w:id="8">
    <w:p w14:paraId="4EB0E40B" w14:textId="77777777" w:rsidR="00FE7A8A" w:rsidRPr="00EC526E" w:rsidRDefault="00FE7A8A" w:rsidP="00183828">
      <w:pPr>
        <w:pStyle w:val="FootnoteText"/>
        <w:rPr>
          <w:lang w:val="mi-NZ"/>
        </w:rPr>
      </w:pPr>
      <w:r>
        <w:rPr>
          <w:rStyle w:val="FootnoteReference"/>
        </w:rPr>
        <w:footnoteRef/>
      </w:r>
      <w:r>
        <w:t xml:space="preserve"> </w:t>
      </w:r>
      <w:r w:rsidRPr="00EC526E">
        <w:rPr>
          <w:rFonts w:cs="Segoe UI"/>
          <w:color w:val="000000" w:themeColor="text1"/>
          <w:shd w:val="clear" w:color="auto" w:fill="FFFFFF"/>
        </w:rPr>
        <w:t>Age-standardised rates measure the frequency of deaths in a group and are adjusted to account for any differences in age distribution of the population over time or between groups.</w:t>
      </w:r>
    </w:p>
  </w:footnote>
  <w:footnote w:id="9">
    <w:p w14:paraId="732949DE" w14:textId="77777777" w:rsidR="00FE7A8A" w:rsidRPr="00842BB8" w:rsidRDefault="00FE7A8A" w:rsidP="00183828">
      <w:pPr>
        <w:pStyle w:val="FootnoteText"/>
        <w:rPr>
          <w:lang w:val="mi-NZ"/>
        </w:rPr>
      </w:pPr>
      <w:r>
        <w:rPr>
          <w:rStyle w:val="FootnoteReference"/>
        </w:rPr>
        <w:footnoteRef/>
      </w:r>
      <w:r>
        <w:t xml:space="preserve"> </w:t>
      </w:r>
      <w:r w:rsidRPr="006D725C">
        <w:t>Aged between 15 and 44 years</w:t>
      </w:r>
      <w:r>
        <w:t>.</w:t>
      </w:r>
    </w:p>
  </w:footnote>
  <w:footnote w:id="10">
    <w:p w14:paraId="7A19A491" w14:textId="77777777" w:rsidR="00FE7A8A" w:rsidRPr="00130921" w:rsidRDefault="00FE7A8A" w:rsidP="00C66A54">
      <w:pPr>
        <w:pStyle w:val="FootnoteText"/>
        <w:rPr>
          <w:lang w:val="mi-NZ"/>
        </w:rPr>
      </w:pPr>
      <w:r>
        <w:rPr>
          <w:rStyle w:val="FootnoteReference"/>
        </w:rPr>
        <w:footnoteRef/>
      </w:r>
      <w:r>
        <w:t xml:space="preserve"> </w:t>
      </w:r>
      <w:r w:rsidRPr="00CD2B95">
        <w:t>In the GBD</w:t>
      </w:r>
      <w:r>
        <w:t xml:space="preserve"> study</w:t>
      </w:r>
      <w:r w:rsidRPr="00CD2B95">
        <w:t xml:space="preserve">, the term </w:t>
      </w:r>
      <w:r>
        <w:t>‘</w:t>
      </w:r>
      <w:r w:rsidRPr="00CD2B95">
        <w:t>disability</w:t>
      </w:r>
      <w:r>
        <w:t>’</w:t>
      </w:r>
      <w:r w:rsidRPr="00CD2B95">
        <w:t xml:space="preserve"> refers to all non-fatal morbidity from disease and injuries. It is a wider concept than disability as defined in disability surveys or services</w:t>
      </w:r>
      <w:r>
        <w:t>.</w:t>
      </w:r>
    </w:p>
  </w:footnote>
  <w:footnote w:id="11">
    <w:p w14:paraId="44CB5552" w14:textId="77777777" w:rsidR="00FE7A8A" w:rsidRPr="00F54B89" w:rsidRDefault="00FE7A8A" w:rsidP="00C66A54">
      <w:pPr>
        <w:ind w:left="284" w:hanging="284"/>
        <w:rPr>
          <w:lang w:val="mi-NZ"/>
        </w:rPr>
      </w:pPr>
      <w:r>
        <w:rPr>
          <w:rStyle w:val="FootnoteReference"/>
        </w:rPr>
        <w:footnoteRef/>
      </w:r>
      <w:r>
        <w:t xml:space="preserve"> </w:t>
      </w:r>
      <w:r w:rsidRPr="00C66A54">
        <w:rPr>
          <w:rStyle w:val="FootnoteTextChar"/>
        </w:rPr>
        <w:t>The GBD study organises causes of health loss into categories. Level 1 is the broadest category with three classifications: communicable, maternal, neonatal and nutritional diseases; injuries; and non-communicable diseases. Level 2 breaks these classifications down to more specific diseases, and then level 3 breaks the subcategories down to even more detail.</w:t>
      </w:r>
      <w:r>
        <w:t xml:space="preserve"> </w:t>
      </w:r>
    </w:p>
  </w:footnote>
  <w:footnote w:id="12">
    <w:p w14:paraId="4795145D" w14:textId="77777777" w:rsidR="00FE7A8A" w:rsidRPr="00EC47E6" w:rsidRDefault="00FE7A8A" w:rsidP="00C66A54">
      <w:pPr>
        <w:pStyle w:val="FootnoteText"/>
        <w:rPr>
          <w:lang w:val="mi-NZ"/>
        </w:rPr>
      </w:pPr>
      <w:r>
        <w:rPr>
          <w:rStyle w:val="FootnoteReference"/>
        </w:rPr>
        <w:footnoteRef/>
      </w:r>
      <w:r>
        <w:t xml:space="preserve"> Excludes b</w:t>
      </w:r>
      <w:r w:rsidRPr="00EC47E6">
        <w:t>asal and squamous cancers arising in the skin, except for those of the genitalia.</w:t>
      </w:r>
    </w:p>
  </w:footnote>
  <w:footnote w:id="13">
    <w:p w14:paraId="3D3B0B01" w14:textId="77777777" w:rsidR="00FE7A8A" w:rsidRPr="00554DC1" w:rsidRDefault="00FE7A8A" w:rsidP="00C66A54">
      <w:pPr>
        <w:pStyle w:val="FootnoteText"/>
        <w:rPr>
          <w:lang w:val="mi-NZ"/>
        </w:rPr>
      </w:pPr>
      <w:r>
        <w:rPr>
          <w:rStyle w:val="FootnoteReference"/>
        </w:rPr>
        <w:footnoteRef/>
      </w:r>
      <w:r>
        <w:t xml:space="preserve"> Peer countries in this comparison are </w:t>
      </w:r>
      <w:r w:rsidRPr="00D37703">
        <w:rPr>
          <w:rFonts w:cs="Segoe UI"/>
        </w:rPr>
        <w:t>Australia, Canada, Denmark, Norway and United Kingdom</w:t>
      </w:r>
      <w:r>
        <w:rPr>
          <w:rFonts w:cs="Segoe UI"/>
        </w:rPr>
        <w:t>.</w:t>
      </w:r>
    </w:p>
  </w:footnote>
  <w:footnote w:id="14">
    <w:p w14:paraId="1D21E953" w14:textId="77777777" w:rsidR="00FE7A8A" w:rsidRPr="00D8695B" w:rsidRDefault="00FE7A8A" w:rsidP="00C66A54">
      <w:pPr>
        <w:pStyle w:val="FootnoteText"/>
        <w:rPr>
          <w:lang w:val="mi-NZ"/>
        </w:rPr>
      </w:pPr>
      <w:r>
        <w:rPr>
          <w:rStyle w:val="FootnoteReference"/>
        </w:rPr>
        <w:footnoteRef/>
      </w:r>
      <w:r>
        <w:t xml:space="preserve"> </w:t>
      </w:r>
      <w:r w:rsidRPr="00A470A3">
        <w:t>Mortality data for 2021 is preliminary and may change as updated data becomes available</w:t>
      </w:r>
      <w:r>
        <w:t>.</w:t>
      </w:r>
    </w:p>
  </w:footnote>
  <w:footnote w:id="15">
    <w:p w14:paraId="3900E554" w14:textId="77777777" w:rsidR="00FE7A8A" w:rsidRPr="00A41B40" w:rsidRDefault="00FE7A8A" w:rsidP="00C66A54">
      <w:pPr>
        <w:pStyle w:val="FootnoteText"/>
        <w:rPr>
          <w:lang w:val="mi-NZ"/>
        </w:rPr>
      </w:pPr>
      <w:r>
        <w:rPr>
          <w:rStyle w:val="FootnoteReference"/>
        </w:rPr>
        <w:footnoteRef/>
      </w:r>
      <w:r>
        <w:t xml:space="preserve"> </w:t>
      </w:r>
      <w:r w:rsidRPr="00A41B40">
        <w:rPr>
          <w:shd w:val="clear" w:color="auto" w:fill="FFFFFF"/>
          <w:lang w:eastAsia="en-NZ"/>
        </w:rPr>
        <w:t>The calculation of coverage considers when the participant</w:t>
      </w:r>
      <w:r>
        <w:rPr>
          <w:shd w:val="clear" w:color="auto" w:fill="FFFFFF"/>
          <w:lang w:eastAsia="en-NZ"/>
        </w:rPr>
        <w:t>’</w:t>
      </w:r>
      <w:r w:rsidRPr="00A41B40">
        <w:rPr>
          <w:shd w:val="clear" w:color="auto" w:fill="FFFFFF"/>
          <w:lang w:eastAsia="en-NZ"/>
        </w:rPr>
        <w:t xml:space="preserve">s most recent test was in relation to the implementation of HPV primary screening to account for the change to the screening interval. This </w:t>
      </w:r>
      <w:r>
        <w:rPr>
          <w:shd w:val="clear" w:color="auto" w:fill="FFFFFF"/>
          <w:lang w:eastAsia="en-NZ"/>
        </w:rPr>
        <w:t xml:space="preserve">approach </w:t>
      </w:r>
      <w:r w:rsidRPr="00A41B40">
        <w:rPr>
          <w:shd w:val="clear" w:color="auto" w:fill="FFFFFF"/>
          <w:lang w:eastAsia="en-NZ"/>
        </w:rPr>
        <w:t xml:space="preserve">allows </w:t>
      </w:r>
      <w:r>
        <w:rPr>
          <w:shd w:val="clear" w:color="auto" w:fill="FFFFFF"/>
          <w:lang w:eastAsia="en-NZ"/>
        </w:rPr>
        <w:t xml:space="preserve">monitoring of </w:t>
      </w:r>
      <w:r w:rsidRPr="00A41B40">
        <w:rPr>
          <w:shd w:val="clear" w:color="auto" w:fill="FFFFFF"/>
          <w:lang w:eastAsia="en-NZ"/>
        </w:rPr>
        <w:t xml:space="preserve">coverage to continue during the transition period. For example, a participant whose most recent test was </w:t>
      </w:r>
      <w:r>
        <w:rPr>
          <w:shd w:val="clear" w:color="auto" w:fill="FFFFFF"/>
          <w:lang w:eastAsia="en-NZ"/>
        </w:rPr>
        <w:t xml:space="preserve">before </w:t>
      </w:r>
      <w:r w:rsidRPr="00A41B40">
        <w:rPr>
          <w:shd w:val="clear" w:color="auto" w:fill="FFFFFF"/>
          <w:lang w:eastAsia="en-NZ"/>
        </w:rPr>
        <w:t xml:space="preserve">12 September 2023 would be considered up to date for a period of </w:t>
      </w:r>
      <w:r>
        <w:rPr>
          <w:shd w:val="clear" w:color="auto" w:fill="FFFFFF"/>
          <w:lang w:eastAsia="en-NZ"/>
        </w:rPr>
        <w:t>three</w:t>
      </w:r>
      <w:r w:rsidRPr="00A41B40">
        <w:rPr>
          <w:shd w:val="clear" w:color="auto" w:fill="FFFFFF"/>
          <w:lang w:eastAsia="en-NZ"/>
        </w:rPr>
        <w:t xml:space="preserve"> years following a test. A participant whose most recent test was after 12 September 2023 would be considered up to date for a period of </w:t>
      </w:r>
      <w:r>
        <w:rPr>
          <w:shd w:val="clear" w:color="auto" w:fill="FFFFFF"/>
          <w:lang w:eastAsia="en-NZ"/>
        </w:rPr>
        <w:t>five</w:t>
      </w:r>
      <w:r w:rsidRPr="00A41B40">
        <w:rPr>
          <w:shd w:val="clear" w:color="auto" w:fill="FFFFFF"/>
          <w:lang w:eastAsia="en-NZ"/>
        </w:rPr>
        <w:t xml:space="preserve"> years following that test. Not</w:t>
      </w:r>
      <w:r>
        <w:rPr>
          <w:shd w:val="clear" w:color="auto" w:fill="FFFFFF"/>
          <w:lang w:eastAsia="en-NZ"/>
        </w:rPr>
        <w:t>e</w:t>
      </w:r>
      <w:r w:rsidRPr="00A41B40">
        <w:rPr>
          <w:shd w:val="clear" w:color="auto" w:fill="FFFFFF"/>
          <w:lang w:eastAsia="en-NZ"/>
        </w:rPr>
        <w:t xml:space="preserve"> that test intervals apply for those with no abnormalities detected. </w:t>
      </w:r>
    </w:p>
  </w:footnote>
  <w:footnote w:id="16">
    <w:p w14:paraId="726A88A0" w14:textId="77777777" w:rsidR="00FE7A8A" w:rsidRPr="00CA3F0C" w:rsidRDefault="00FE7A8A" w:rsidP="00C66A54">
      <w:pPr>
        <w:pStyle w:val="FootnoteText"/>
        <w:rPr>
          <w:lang w:val="mi-NZ"/>
        </w:rPr>
      </w:pPr>
      <w:r>
        <w:rPr>
          <w:rStyle w:val="FootnoteReference"/>
        </w:rPr>
        <w:footnoteRef/>
      </w:r>
      <w:r>
        <w:t xml:space="preserve"> </w:t>
      </w:r>
      <w:r>
        <w:rPr>
          <w:rFonts w:cs="Segoe UI"/>
        </w:rPr>
        <w:t xml:space="preserve">SAC1 and SAC2 events are adverse events that result in death or permanent or temporary severe loss of function. </w:t>
      </w:r>
    </w:p>
  </w:footnote>
  <w:footnote w:id="17">
    <w:p w14:paraId="7C085C68" w14:textId="77777777" w:rsidR="00FE7A8A" w:rsidRPr="00634970" w:rsidRDefault="00FE7A8A" w:rsidP="00C66A54">
      <w:pPr>
        <w:pStyle w:val="FootnoteText"/>
        <w:rPr>
          <w:lang w:val="mi-NZ"/>
        </w:rPr>
      </w:pPr>
      <w:r>
        <w:rPr>
          <w:rStyle w:val="FootnoteReference"/>
        </w:rPr>
        <w:footnoteRef/>
      </w:r>
      <w:r>
        <w:t xml:space="preserve"> </w:t>
      </w:r>
      <w:r w:rsidRPr="009D4BFA">
        <w:t xml:space="preserve">Data reported here may differ from numbers reported elsewhere </w:t>
      </w:r>
      <w:r w:rsidRPr="009D4BFA">
        <w:rPr>
          <w:rFonts w:eastAsiaTheme="majorEastAsia"/>
        </w:rPr>
        <w:t>due to differences in the definition of ‘hospitalisation for COVID-19’ and time lags before complete data sets are available.</w:t>
      </w:r>
    </w:p>
  </w:footnote>
  <w:footnote w:id="18">
    <w:p w14:paraId="67CDEC67" w14:textId="77777777" w:rsidR="00FE7A8A" w:rsidRPr="00FE23B7" w:rsidRDefault="00FE7A8A" w:rsidP="00C66A54">
      <w:pPr>
        <w:pStyle w:val="FootnoteText"/>
      </w:pPr>
      <w:r>
        <w:rPr>
          <w:rStyle w:val="FootnoteReference"/>
        </w:rPr>
        <w:footnoteRef/>
      </w:r>
      <w:r>
        <w:t xml:space="preserve"> This coding applies to a</w:t>
      </w:r>
      <w:r w:rsidRPr="00FE23B7">
        <w:t>ll deaths where someone has died within 28 days of having a positive COVID-19 test result.</w:t>
      </w:r>
    </w:p>
  </w:footnote>
  <w:footnote w:id="19">
    <w:p w14:paraId="61F3178A" w14:textId="0EC91249" w:rsidR="00FE7A8A" w:rsidRPr="000F6575" w:rsidRDefault="00FE7A8A" w:rsidP="00C66A54">
      <w:pPr>
        <w:rPr>
          <w:rFonts w:cs="Segoe UI"/>
          <w:sz w:val="20"/>
        </w:rPr>
      </w:pPr>
      <w:r>
        <w:rPr>
          <w:rStyle w:val="FootnoteReference"/>
        </w:rPr>
        <w:footnoteRef/>
      </w:r>
      <w:r>
        <w:rPr>
          <w:rFonts w:cs="Segoe UI"/>
          <w:sz w:val="20"/>
        </w:rPr>
        <w:t xml:space="preserve"> </w:t>
      </w:r>
      <w:r w:rsidRPr="009D4BFA">
        <w:rPr>
          <w:rStyle w:val="FootnoteTextChar"/>
        </w:rPr>
        <w:t>Because the numbers for each year are small, they should</w:t>
      </w:r>
      <w:r w:rsidR="00F9219A">
        <w:rPr>
          <w:rStyle w:val="FootnoteTextChar"/>
        </w:rPr>
        <w:t xml:space="preserve"> be</w:t>
      </w:r>
      <w:r w:rsidRPr="009D4BFA">
        <w:rPr>
          <w:rStyle w:val="FootnoteTextChar"/>
        </w:rPr>
        <w:t xml:space="preserve"> interpreted with caution.</w:t>
      </w:r>
    </w:p>
  </w:footnote>
  <w:footnote w:id="20">
    <w:p w14:paraId="45DAE718" w14:textId="77777777" w:rsidR="00FE7A8A" w:rsidRPr="0043239D" w:rsidRDefault="00FE7A8A" w:rsidP="00C66A54">
      <w:pPr>
        <w:pStyle w:val="FootnoteText"/>
        <w:rPr>
          <w:lang w:val="mi-NZ"/>
        </w:rPr>
      </w:pPr>
      <w:r>
        <w:rPr>
          <w:rStyle w:val="FootnoteReference"/>
        </w:rPr>
        <w:footnoteRef/>
      </w:r>
      <w:r>
        <w:t xml:space="preserve"> F</w:t>
      </w:r>
      <w:r w:rsidRPr="002E4D30">
        <w:rPr>
          <w:rFonts w:cs="Segoe UI"/>
        </w:rPr>
        <w:t xml:space="preserve">or children born </w:t>
      </w:r>
      <w:r>
        <w:rPr>
          <w:rFonts w:cs="Segoe UI"/>
        </w:rPr>
        <w:t xml:space="preserve">very </w:t>
      </w:r>
      <w:r w:rsidRPr="002E4D30">
        <w:rPr>
          <w:rFonts w:cs="Segoe UI"/>
        </w:rPr>
        <w:t xml:space="preserve">recently, acquired HIV cannot be definitively ruled out until </w:t>
      </w:r>
      <w:r>
        <w:rPr>
          <w:rFonts w:cs="Segoe UI"/>
        </w:rPr>
        <w:t>they are</w:t>
      </w:r>
      <w:r w:rsidRPr="002E4D30">
        <w:rPr>
          <w:rFonts w:cs="Segoe UI"/>
        </w:rPr>
        <w:t xml:space="preserve"> over one year old.</w:t>
      </w:r>
    </w:p>
  </w:footnote>
  <w:footnote w:id="21">
    <w:p w14:paraId="4DF69C8E" w14:textId="77777777" w:rsidR="00FE7A8A" w:rsidRPr="00B37F5C" w:rsidRDefault="00FE7A8A" w:rsidP="009D4BFA">
      <w:pPr>
        <w:pStyle w:val="FootnoteText"/>
        <w:rPr>
          <w:lang w:val="mi-NZ"/>
        </w:rPr>
      </w:pPr>
      <w:r>
        <w:rPr>
          <w:rStyle w:val="FootnoteReference"/>
        </w:rPr>
        <w:footnoteRef/>
      </w:r>
      <w:r>
        <w:t xml:space="preserve"> </w:t>
      </w:r>
      <w:r w:rsidRPr="00E47714">
        <w:t xml:space="preserve">Note: </w:t>
      </w:r>
      <w:r>
        <w:t>T</w:t>
      </w:r>
      <w:r w:rsidRPr="00E47714">
        <w:t>he collection of objective health measurements in the Health Survey resumed in 2022/23 after being paused in 2021/22 during the COVID-19 pandemic.</w:t>
      </w:r>
    </w:p>
  </w:footnote>
  <w:footnote w:id="22">
    <w:p w14:paraId="08E0BF7E" w14:textId="77777777" w:rsidR="00FE7A8A" w:rsidRPr="00C92796" w:rsidDel="0020191C" w:rsidRDefault="00FE7A8A" w:rsidP="009D4BFA">
      <w:pPr>
        <w:pStyle w:val="FootnoteText"/>
        <w:rPr>
          <w:lang w:val="mi-NZ"/>
        </w:rPr>
      </w:pPr>
      <w:r>
        <w:rPr>
          <w:rStyle w:val="FootnoteReference"/>
        </w:rPr>
        <w:footnoteRef/>
      </w:r>
      <w:r>
        <w:t xml:space="preserve"> Regular use is defined as participants that report smoking or vaping either daily, weekly, or monthly.</w:t>
      </w:r>
    </w:p>
  </w:footnote>
  <w:footnote w:id="23">
    <w:p w14:paraId="311EF853" w14:textId="77777777" w:rsidR="00FE7A8A" w:rsidRPr="0061134C" w:rsidRDefault="00FE7A8A" w:rsidP="009D4BFA">
      <w:pPr>
        <w:pStyle w:val="FootnoteText"/>
        <w:rPr>
          <w:lang w:val="mi-NZ"/>
        </w:rPr>
      </w:pPr>
      <w:r>
        <w:rPr>
          <w:rStyle w:val="FootnoteReference"/>
        </w:rPr>
        <w:footnoteRef/>
      </w:r>
      <w:r>
        <w:t xml:space="preserve"> </w:t>
      </w:r>
      <w:r w:rsidRPr="009365E0">
        <w:t>The estimated coverage for a population is sometimes slightly more than 100% as the underlying population comes from Stats NZ population projections and the enrolment number comes from the primary care data collection.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FE7A8A" w14:paraId="11530A0D" w14:textId="77777777" w:rsidTr="008F2B72">
      <w:trPr>
        <w:cantSplit/>
      </w:trPr>
      <w:tc>
        <w:tcPr>
          <w:tcW w:w="5210" w:type="dxa"/>
          <w:vAlign w:val="center"/>
        </w:tcPr>
        <w:p w14:paraId="2BDE3162" w14:textId="4E67EED4" w:rsidR="00FE7A8A" w:rsidRDefault="00FE7A8A" w:rsidP="00B26F0F">
          <w:pPr>
            <w:pStyle w:val="Header"/>
          </w:pPr>
          <w:bookmarkStart w:id="0" w:name="_Hlk110933925"/>
          <w:r>
            <w:rPr>
              <w:noProof/>
              <w:lang w:eastAsia="en-NZ"/>
            </w:rPr>
            <w:drawing>
              <wp:inline distT="0" distB="0" distL="0" distR="0" wp14:anchorId="04421456" wp14:editId="0CADA598">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FE7A8A" w:rsidRDefault="00FE7A8A" w:rsidP="00C66A54">
          <w:pPr>
            <w:pStyle w:val="Header"/>
            <w:jc w:val="right"/>
          </w:pPr>
          <w:r>
            <w:rPr>
              <w:noProof/>
            </w:rPr>
            <w:drawing>
              <wp:anchor distT="0" distB="0" distL="114300" distR="114300" simplePos="0" relativeHeight="251658240" behindDoc="0" locked="0" layoutInCell="1" allowOverlap="1" wp14:anchorId="1D75C094" wp14:editId="5F9DFC49">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FE7A8A" w:rsidRDefault="00FE7A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FE7A8A" w:rsidRDefault="00FE7A8A"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FE7A8A" w:rsidRDefault="00FE7A8A"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FE7A8A" w:rsidRDefault="00FE7A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8F4B92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C0A55B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10D4381B"/>
    <w:multiLevelType w:val="hybridMultilevel"/>
    <w:tmpl w:val="22D6E9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3001055"/>
    <w:multiLevelType w:val="hybridMultilevel"/>
    <w:tmpl w:val="F7F87220"/>
    <w:lvl w:ilvl="0" w:tplc="9432EF62">
      <w:start w:val="1"/>
      <w:numFmt w:val="decimal"/>
      <w:lvlText w:val="%1."/>
      <w:lvlJc w:val="left"/>
      <w:pPr>
        <w:ind w:left="360" w:hanging="360"/>
      </w:pPr>
      <w:rPr>
        <w:rFonts w:ascii="Segoe UI" w:eastAsiaTheme="minorHAnsi" w:hAnsi="Segoe UI" w:cs="Segoe UI"/>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74597C"/>
    <w:multiLevelType w:val="multilevel"/>
    <w:tmpl w:val="D6B20A50"/>
    <w:lvl w:ilvl="0">
      <w:start w:val="1"/>
      <w:numFmt w:val="decimal"/>
      <w:pStyle w:val="ReportBody-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 w15:restartNumberingAfterBreak="0">
    <w:nsid w:val="389B50C2"/>
    <w:multiLevelType w:val="hybridMultilevel"/>
    <w:tmpl w:val="BB6486C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C95E25"/>
    <w:multiLevelType w:val="hybridMultilevel"/>
    <w:tmpl w:val="F7F87220"/>
    <w:lvl w:ilvl="0" w:tplc="FFFFFFFF">
      <w:start w:val="1"/>
      <w:numFmt w:val="decimal"/>
      <w:lvlText w:val="%1."/>
      <w:lvlJc w:val="left"/>
      <w:pPr>
        <w:ind w:left="360" w:hanging="360"/>
      </w:pPr>
      <w:rPr>
        <w:rFonts w:ascii="Segoe UI" w:eastAsiaTheme="minorHAnsi" w:hAnsi="Segoe UI" w:cs="Segoe U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52197942">
    <w:abstractNumId w:val="11"/>
  </w:num>
  <w:num w:numId="2" w16cid:durableId="801461052">
    <w:abstractNumId w:val="8"/>
  </w:num>
  <w:num w:numId="3" w16cid:durableId="2024628027">
    <w:abstractNumId w:val="9"/>
  </w:num>
  <w:num w:numId="4" w16cid:durableId="1483355470">
    <w:abstractNumId w:val="2"/>
  </w:num>
  <w:num w:numId="5" w16cid:durableId="2068869539">
    <w:abstractNumId w:val="5"/>
  </w:num>
  <w:num w:numId="6" w16cid:durableId="1934899720">
    <w:abstractNumId w:val="7"/>
  </w:num>
  <w:num w:numId="7" w16cid:durableId="1487624828">
    <w:abstractNumId w:val="1"/>
  </w:num>
  <w:num w:numId="8" w16cid:durableId="1596789783">
    <w:abstractNumId w:val="6"/>
    <w:lvlOverride w:ilvl="0">
      <w:lvl w:ilvl="0">
        <w:start w:val="1"/>
        <w:numFmt w:val="decimal"/>
        <w:pStyle w:val="ReportBody-MOH"/>
        <w:lvlText w:val="%1."/>
        <w:lvlJc w:val="left"/>
        <w:pPr>
          <w:ind w:left="851" w:hanging="851"/>
        </w:pPr>
        <w:rPr>
          <w:rFonts w:hint="default"/>
          <w:b w:val="0"/>
          <w:bCs w:val="0"/>
          <w:i w:val="0"/>
          <w:color w:val="auto"/>
        </w:rPr>
      </w:lvl>
    </w:lvlOverride>
    <w:lvlOverride w:ilvl="1">
      <w:lvl w:ilvl="1">
        <w:start w:val="1"/>
        <w:numFmt w:val="lowerLetter"/>
        <w:pStyle w:val="ReportBody2-MOH"/>
        <w:lvlText w:val="%2."/>
        <w:lvlJc w:val="left"/>
        <w:pPr>
          <w:ind w:left="1276" w:hanging="425"/>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9" w16cid:durableId="1485507936">
    <w:abstractNumId w:val="0"/>
  </w:num>
  <w:num w:numId="10" w16cid:durableId="1491482399">
    <w:abstractNumId w:val="4"/>
  </w:num>
  <w:num w:numId="11" w16cid:durableId="660039473">
    <w:abstractNumId w:val="3"/>
  </w:num>
  <w:num w:numId="12" w16cid:durableId="128465677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6228D"/>
    <w:rsid w:val="00072BD6"/>
    <w:rsid w:val="00075B78"/>
    <w:rsid w:val="000763E9"/>
    <w:rsid w:val="00082CD6"/>
    <w:rsid w:val="0008437D"/>
    <w:rsid w:val="00085AFE"/>
    <w:rsid w:val="00085B2B"/>
    <w:rsid w:val="00094800"/>
    <w:rsid w:val="000A1CA7"/>
    <w:rsid w:val="000A41ED"/>
    <w:rsid w:val="000B0730"/>
    <w:rsid w:val="000D19F4"/>
    <w:rsid w:val="000D58DD"/>
    <w:rsid w:val="000F2AE2"/>
    <w:rsid w:val="000F2BFF"/>
    <w:rsid w:val="000F2DEB"/>
    <w:rsid w:val="00102063"/>
    <w:rsid w:val="0010404D"/>
    <w:rsid w:val="0010541C"/>
    <w:rsid w:val="00106F93"/>
    <w:rsid w:val="00111D50"/>
    <w:rsid w:val="00113B8E"/>
    <w:rsid w:val="0012053C"/>
    <w:rsid w:val="00122363"/>
    <w:rsid w:val="0012650C"/>
    <w:rsid w:val="001342C7"/>
    <w:rsid w:val="0013585C"/>
    <w:rsid w:val="00142261"/>
    <w:rsid w:val="00142954"/>
    <w:rsid w:val="001460E0"/>
    <w:rsid w:val="001472F0"/>
    <w:rsid w:val="00147F71"/>
    <w:rsid w:val="00150A6E"/>
    <w:rsid w:val="00152E3D"/>
    <w:rsid w:val="00154CC6"/>
    <w:rsid w:val="0016304B"/>
    <w:rsid w:val="0016468A"/>
    <w:rsid w:val="00183828"/>
    <w:rsid w:val="0018662D"/>
    <w:rsid w:val="00186F8D"/>
    <w:rsid w:val="00197427"/>
    <w:rsid w:val="001A1923"/>
    <w:rsid w:val="001A21B4"/>
    <w:rsid w:val="001A5CF5"/>
    <w:rsid w:val="001B39D2"/>
    <w:rsid w:val="001B4BF8"/>
    <w:rsid w:val="001C4326"/>
    <w:rsid w:val="001C665E"/>
    <w:rsid w:val="001C7EEF"/>
    <w:rsid w:val="001D3541"/>
    <w:rsid w:val="001D3E4E"/>
    <w:rsid w:val="001E254A"/>
    <w:rsid w:val="001E7386"/>
    <w:rsid w:val="001F45A7"/>
    <w:rsid w:val="001F5A7C"/>
    <w:rsid w:val="00201A01"/>
    <w:rsid w:val="00207454"/>
    <w:rsid w:val="0020754B"/>
    <w:rsid w:val="002104D3"/>
    <w:rsid w:val="00213A33"/>
    <w:rsid w:val="0021763B"/>
    <w:rsid w:val="002212A3"/>
    <w:rsid w:val="00246DB1"/>
    <w:rsid w:val="002476B5"/>
    <w:rsid w:val="002520CC"/>
    <w:rsid w:val="00253ECF"/>
    <w:rsid w:val="002546A1"/>
    <w:rsid w:val="002628F4"/>
    <w:rsid w:val="00275D08"/>
    <w:rsid w:val="002858E3"/>
    <w:rsid w:val="00286A2A"/>
    <w:rsid w:val="0029190A"/>
    <w:rsid w:val="00292C5A"/>
    <w:rsid w:val="00295241"/>
    <w:rsid w:val="002A4DFC"/>
    <w:rsid w:val="002A63AF"/>
    <w:rsid w:val="002B047D"/>
    <w:rsid w:val="002B1C76"/>
    <w:rsid w:val="002B389E"/>
    <w:rsid w:val="002B732B"/>
    <w:rsid w:val="002B76A7"/>
    <w:rsid w:val="002C2219"/>
    <w:rsid w:val="002C2552"/>
    <w:rsid w:val="002C366C"/>
    <w:rsid w:val="002C380A"/>
    <w:rsid w:val="002D0DF2"/>
    <w:rsid w:val="002D23BD"/>
    <w:rsid w:val="002E0B47"/>
    <w:rsid w:val="002F1054"/>
    <w:rsid w:val="002F1EC3"/>
    <w:rsid w:val="002F4685"/>
    <w:rsid w:val="002F6DB1"/>
    <w:rsid w:val="002F7213"/>
    <w:rsid w:val="0030382F"/>
    <w:rsid w:val="0030408D"/>
    <w:rsid w:val="003060E4"/>
    <w:rsid w:val="003160E7"/>
    <w:rsid w:val="0031739E"/>
    <w:rsid w:val="00320629"/>
    <w:rsid w:val="00324C4A"/>
    <w:rsid w:val="003309CA"/>
    <w:rsid w:val="003325AB"/>
    <w:rsid w:val="003332D1"/>
    <w:rsid w:val="0033412B"/>
    <w:rsid w:val="00341161"/>
    <w:rsid w:val="00343365"/>
    <w:rsid w:val="003445F4"/>
    <w:rsid w:val="00353501"/>
    <w:rsid w:val="00353734"/>
    <w:rsid w:val="00354552"/>
    <w:rsid w:val="0035511C"/>
    <w:rsid w:val="00355F9A"/>
    <w:rsid w:val="003606F8"/>
    <w:rsid w:val="003648EF"/>
    <w:rsid w:val="00366A3F"/>
    <w:rsid w:val="003673E6"/>
    <w:rsid w:val="00374C42"/>
    <w:rsid w:val="00377264"/>
    <w:rsid w:val="003779D2"/>
    <w:rsid w:val="00385E38"/>
    <w:rsid w:val="00393829"/>
    <w:rsid w:val="003A0DFF"/>
    <w:rsid w:val="003A26A5"/>
    <w:rsid w:val="003A3761"/>
    <w:rsid w:val="003A512D"/>
    <w:rsid w:val="003A5FEA"/>
    <w:rsid w:val="003B1D10"/>
    <w:rsid w:val="003C76D4"/>
    <w:rsid w:val="003D137D"/>
    <w:rsid w:val="003D2CBD"/>
    <w:rsid w:val="003D2CC5"/>
    <w:rsid w:val="003E04C1"/>
    <w:rsid w:val="003E0887"/>
    <w:rsid w:val="003E74C8"/>
    <w:rsid w:val="003E7C46"/>
    <w:rsid w:val="003F2106"/>
    <w:rsid w:val="003F52A7"/>
    <w:rsid w:val="003F7013"/>
    <w:rsid w:val="0040240C"/>
    <w:rsid w:val="00402EEC"/>
    <w:rsid w:val="004124F1"/>
    <w:rsid w:val="00413021"/>
    <w:rsid w:val="004301C6"/>
    <w:rsid w:val="0043478F"/>
    <w:rsid w:val="0043602B"/>
    <w:rsid w:val="00440BE0"/>
    <w:rsid w:val="00442C1C"/>
    <w:rsid w:val="0044584B"/>
    <w:rsid w:val="00447CB7"/>
    <w:rsid w:val="00455CC9"/>
    <w:rsid w:val="00457E98"/>
    <w:rsid w:val="00460826"/>
    <w:rsid w:val="00460EA7"/>
    <w:rsid w:val="0046195B"/>
    <w:rsid w:val="0046362D"/>
    <w:rsid w:val="00464006"/>
    <w:rsid w:val="004652ED"/>
    <w:rsid w:val="0046596D"/>
    <w:rsid w:val="00487C04"/>
    <w:rsid w:val="004907E1"/>
    <w:rsid w:val="004A035B"/>
    <w:rsid w:val="004A2108"/>
    <w:rsid w:val="004A38D7"/>
    <w:rsid w:val="004A76FD"/>
    <w:rsid w:val="004A778C"/>
    <w:rsid w:val="004B48C7"/>
    <w:rsid w:val="004B6EF3"/>
    <w:rsid w:val="004C2E6A"/>
    <w:rsid w:val="004C5695"/>
    <w:rsid w:val="004C64B8"/>
    <w:rsid w:val="004D2A2D"/>
    <w:rsid w:val="004D479F"/>
    <w:rsid w:val="004D6689"/>
    <w:rsid w:val="004E1D1D"/>
    <w:rsid w:val="004E2EC6"/>
    <w:rsid w:val="004E3849"/>
    <w:rsid w:val="004E5E31"/>
    <w:rsid w:val="004E5F73"/>
    <w:rsid w:val="004E7AC8"/>
    <w:rsid w:val="004F0C94"/>
    <w:rsid w:val="004F36F9"/>
    <w:rsid w:val="005019AE"/>
    <w:rsid w:val="00503749"/>
    <w:rsid w:val="00504CF4"/>
    <w:rsid w:val="0050635B"/>
    <w:rsid w:val="005151C2"/>
    <w:rsid w:val="0053199F"/>
    <w:rsid w:val="00531E12"/>
    <w:rsid w:val="00533B90"/>
    <w:rsid w:val="00540AE3"/>
    <w:rsid w:val="005410F8"/>
    <w:rsid w:val="00544239"/>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862EA"/>
    <w:rsid w:val="005A27CA"/>
    <w:rsid w:val="005A43BD"/>
    <w:rsid w:val="005A79E5"/>
    <w:rsid w:val="005B127B"/>
    <w:rsid w:val="005D034C"/>
    <w:rsid w:val="005D0EEB"/>
    <w:rsid w:val="005E226E"/>
    <w:rsid w:val="005E2636"/>
    <w:rsid w:val="005F76BA"/>
    <w:rsid w:val="005F77FC"/>
    <w:rsid w:val="006015D7"/>
    <w:rsid w:val="00601B21"/>
    <w:rsid w:val="006041F0"/>
    <w:rsid w:val="00605C6D"/>
    <w:rsid w:val="006120CA"/>
    <w:rsid w:val="00617145"/>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0AD"/>
    <w:rsid w:val="0067720E"/>
    <w:rsid w:val="00680A04"/>
    <w:rsid w:val="00686D80"/>
    <w:rsid w:val="00694895"/>
    <w:rsid w:val="00697E2E"/>
    <w:rsid w:val="006A25A2"/>
    <w:rsid w:val="006A3B87"/>
    <w:rsid w:val="006B0E73"/>
    <w:rsid w:val="006B1E3D"/>
    <w:rsid w:val="006B4A4D"/>
    <w:rsid w:val="006B5695"/>
    <w:rsid w:val="006B7B2E"/>
    <w:rsid w:val="006C00B8"/>
    <w:rsid w:val="006C78EB"/>
    <w:rsid w:val="006D1660"/>
    <w:rsid w:val="006D63E5"/>
    <w:rsid w:val="006E033F"/>
    <w:rsid w:val="006E1753"/>
    <w:rsid w:val="006E3911"/>
    <w:rsid w:val="006F1B67"/>
    <w:rsid w:val="006F4D9C"/>
    <w:rsid w:val="0070091D"/>
    <w:rsid w:val="00702854"/>
    <w:rsid w:val="0071741C"/>
    <w:rsid w:val="00720461"/>
    <w:rsid w:val="007232AC"/>
    <w:rsid w:val="00742B90"/>
    <w:rsid w:val="0074305A"/>
    <w:rsid w:val="0074434D"/>
    <w:rsid w:val="00756416"/>
    <w:rsid w:val="007570C4"/>
    <w:rsid w:val="007605B8"/>
    <w:rsid w:val="00761707"/>
    <w:rsid w:val="00771B1E"/>
    <w:rsid w:val="00773C95"/>
    <w:rsid w:val="00774A8D"/>
    <w:rsid w:val="0078171E"/>
    <w:rsid w:val="0078658E"/>
    <w:rsid w:val="007920E2"/>
    <w:rsid w:val="0079566E"/>
    <w:rsid w:val="00795B34"/>
    <w:rsid w:val="007A067F"/>
    <w:rsid w:val="007B1770"/>
    <w:rsid w:val="007B4D3E"/>
    <w:rsid w:val="007B7C70"/>
    <w:rsid w:val="007B7DEB"/>
    <w:rsid w:val="007C0449"/>
    <w:rsid w:val="007C188A"/>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27C04"/>
    <w:rsid w:val="008305E8"/>
    <w:rsid w:val="00836165"/>
    <w:rsid w:val="0084640C"/>
    <w:rsid w:val="0085362A"/>
    <w:rsid w:val="00856088"/>
    <w:rsid w:val="00860826"/>
    <w:rsid w:val="00860E21"/>
    <w:rsid w:val="00861002"/>
    <w:rsid w:val="00863117"/>
    <w:rsid w:val="0086388B"/>
    <w:rsid w:val="008642E5"/>
    <w:rsid w:val="00864488"/>
    <w:rsid w:val="008646F7"/>
    <w:rsid w:val="00870A36"/>
    <w:rsid w:val="00872D93"/>
    <w:rsid w:val="00876632"/>
    <w:rsid w:val="00880470"/>
    <w:rsid w:val="00880D94"/>
    <w:rsid w:val="00886F64"/>
    <w:rsid w:val="00887285"/>
    <w:rsid w:val="00887447"/>
    <w:rsid w:val="008924DE"/>
    <w:rsid w:val="008929C9"/>
    <w:rsid w:val="008A3755"/>
    <w:rsid w:val="008A591E"/>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17ABC"/>
    <w:rsid w:val="00920A27"/>
    <w:rsid w:val="00921216"/>
    <w:rsid w:val="009216CC"/>
    <w:rsid w:val="00926083"/>
    <w:rsid w:val="00930D08"/>
    <w:rsid w:val="00931466"/>
    <w:rsid w:val="00932D69"/>
    <w:rsid w:val="00935589"/>
    <w:rsid w:val="009365E0"/>
    <w:rsid w:val="00944647"/>
    <w:rsid w:val="0095333A"/>
    <w:rsid w:val="0095565C"/>
    <w:rsid w:val="00964AB6"/>
    <w:rsid w:val="00966F9A"/>
    <w:rsid w:val="00974B27"/>
    <w:rsid w:val="00977B8A"/>
    <w:rsid w:val="00982971"/>
    <w:rsid w:val="009845AD"/>
    <w:rsid w:val="00984835"/>
    <w:rsid w:val="0098639B"/>
    <w:rsid w:val="009927A7"/>
    <w:rsid w:val="009933EF"/>
    <w:rsid w:val="00995BA0"/>
    <w:rsid w:val="009A418B"/>
    <w:rsid w:val="009A426F"/>
    <w:rsid w:val="009A42D5"/>
    <w:rsid w:val="009A4473"/>
    <w:rsid w:val="009A6F87"/>
    <w:rsid w:val="009B05C9"/>
    <w:rsid w:val="009B286C"/>
    <w:rsid w:val="009B7C39"/>
    <w:rsid w:val="009C151C"/>
    <w:rsid w:val="009C440A"/>
    <w:rsid w:val="009D4BFA"/>
    <w:rsid w:val="009D5125"/>
    <w:rsid w:val="009D60B8"/>
    <w:rsid w:val="009D7D4B"/>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35FB2"/>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C101C"/>
    <w:rsid w:val="00AD4CF1"/>
    <w:rsid w:val="00AD5988"/>
    <w:rsid w:val="00AD6293"/>
    <w:rsid w:val="00AF1BA8"/>
    <w:rsid w:val="00AF1F3D"/>
    <w:rsid w:val="00AF7800"/>
    <w:rsid w:val="00B00CF5"/>
    <w:rsid w:val="00B072E0"/>
    <w:rsid w:val="00B1007E"/>
    <w:rsid w:val="00B135E8"/>
    <w:rsid w:val="00B1519E"/>
    <w:rsid w:val="00B247B1"/>
    <w:rsid w:val="00B253F6"/>
    <w:rsid w:val="00B26675"/>
    <w:rsid w:val="00B26F0F"/>
    <w:rsid w:val="00B305DB"/>
    <w:rsid w:val="00B332F8"/>
    <w:rsid w:val="00B3492B"/>
    <w:rsid w:val="00B4646F"/>
    <w:rsid w:val="00B55C7D"/>
    <w:rsid w:val="00B63038"/>
    <w:rsid w:val="00B64BD8"/>
    <w:rsid w:val="00B701D1"/>
    <w:rsid w:val="00B73AF2"/>
    <w:rsid w:val="00B7551A"/>
    <w:rsid w:val="00B773F1"/>
    <w:rsid w:val="00B86498"/>
    <w:rsid w:val="00B86AB1"/>
    <w:rsid w:val="00B9293E"/>
    <w:rsid w:val="00B97F07"/>
    <w:rsid w:val="00BA7EBA"/>
    <w:rsid w:val="00BB2A06"/>
    <w:rsid w:val="00BB2CBB"/>
    <w:rsid w:val="00BB37A9"/>
    <w:rsid w:val="00BB4198"/>
    <w:rsid w:val="00BC03EE"/>
    <w:rsid w:val="00BC59F1"/>
    <w:rsid w:val="00BE7545"/>
    <w:rsid w:val="00BF3DE1"/>
    <w:rsid w:val="00BF4843"/>
    <w:rsid w:val="00BF5205"/>
    <w:rsid w:val="00C05132"/>
    <w:rsid w:val="00C12508"/>
    <w:rsid w:val="00C23728"/>
    <w:rsid w:val="00C3026C"/>
    <w:rsid w:val="00C313A9"/>
    <w:rsid w:val="00C441CF"/>
    <w:rsid w:val="00C45AA2"/>
    <w:rsid w:val="00C4792C"/>
    <w:rsid w:val="00C55BEF"/>
    <w:rsid w:val="00C601AF"/>
    <w:rsid w:val="00C61A63"/>
    <w:rsid w:val="00C66296"/>
    <w:rsid w:val="00C66A54"/>
    <w:rsid w:val="00C66B73"/>
    <w:rsid w:val="00C7394D"/>
    <w:rsid w:val="00C77282"/>
    <w:rsid w:val="00C77518"/>
    <w:rsid w:val="00C84DE5"/>
    <w:rsid w:val="00C86248"/>
    <w:rsid w:val="00C86452"/>
    <w:rsid w:val="00C90B31"/>
    <w:rsid w:val="00CA0D6F"/>
    <w:rsid w:val="00CA3DBF"/>
    <w:rsid w:val="00CA4C33"/>
    <w:rsid w:val="00CA6F4A"/>
    <w:rsid w:val="00CB6427"/>
    <w:rsid w:val="00CC0FBE"/>
    <w:rsid w:val="00CC2C11"/>
    <w:rsid w:val="00CD2119"/>
    <w:rsid w:val="00CD237A"/>
    <w:rsid w:val="00CD36AC"/>
    <w:rsid w:val="00CE13A3"/>
    <w:rsid w:val="00CE36BC"/>
    <w:rsid w:val="00CF1747"/>
    <w:rsid w:val="00CF60ED"/>
    <w:rsid w:val="00D01E1A"/>
    <w:rsid w:val="00D047E6"/>
    <w:rsid w:val="00D05D74"/>
    <w:rsid w:val="00D20C59"/>
    <w:rsid w:val="00D23323"/>
    <w:rsid w:val="00D2392A"/>
    <w:rsid w:val="00D25FFE"/>
    <w:rsid w:val="00D30BBE"/>
    <w:rsid w:val="00D37D80"/>
    <w:rsid w:val="00D4476F"/>
    <w:rsid w:val="00D50573"/>
    <w:rsid w:val="00D54D50"/>
    <w:rsid w:val="00D560B4"/>
    <w:rsid w:val="00D662F8"/>
    <w:rsid w:val="00D66797"/>
    <w:rsid w:val="00D7074B"/>
    <w:rsid w:val="00D7087C"/>
    <w:rsid w:val="00D70C3C"/>
    <w:rsid w:val="00D71DF7"/>
    <w:rsid w:val="00D72BE5"/>
    <w:rsid w:val="00D81462"/>
    <w:rsid w:val="00D82F26"/>
    <w:rsid w:val="00D863D0"/>
    <w:rsid w:val="00D86B00"/>
    <w:rsid w:val="00D86FB9"/>
    <w:rsid w:val="00D876EE"/>
    <w:rsid w:val="00D87C87"/>
    <w:rsid w:val="00D90BB4"/>
    <w:rsid w:val="00D90E07"/>
    <w:rsid w:val="00D932C2"/>
    <w:rsid w:val="00D972B3"/>
    <w:rsid w:val="00D972D4"/>
    <w:rsid w:val="00DB0042"/>
    <w:rsid w:val="00DB39CF"/>
    <w:rsid w:val="00DB7256"/>
    <w:rsid w:val="00DC0401"/>
    <w:rsid w:val="00DC20BD"/>
    <w:rsid w:val="00DD0BCD"/>
    <w:rsid w:val="00DD447A"/>
    <w:rsid w:val="00DE3B20"/>
    <w:rsid w:val="00DE6C94"/>
    <w:rsid w:val="00DE6FD7"/>
    <w:rsid w:val="00E10091"/>
    <w:rsid w:val="00E23271"/>
    <w:rsid w:val="00E24F80"/>
    <w:rsid w:val="00E259F3"/>
    <w:rsid w:val="00E30985"/>
    <w:rsid w:val="00E33238"/>
    <w:rsid w:val="00E376B7"/>
    <w:rsid w:val="00E42F5D"/>
    <w:rsid w:val="00E4486C"/>
    <w:rsid w:val="00E460B6"/>
    <w:rsid w:val="00E511D5"/>
    <w:rsid w:val="00E53A9F"/>
    <w:rsid w:val="00E60249"/>
    <w:rsid w:val="00E65269"/>
    <w:rsid w:val="00E70336"/>
    <w:rsid w:val="00E73704"/>
    <w:rsid w:val="00E76D66"/>
    <w:rsid w:val="00E825B6"/>
    <w:rsid w:val="00EA425B"/>
    <w:rsid w:val="00EA796A"/>
    <w:rsid w:val="00EB1856"/>
    <w:rsid w:val="00EC4094"/>
    <w:rsid w:val="00EC4575"/>
    <w:rsid w:val="00EC50CE"/>
    <w:rsid w:val="00EC5B34"/>
    <w:rsid w:val="00ED021E"/>
    <w:rsid w:val="00ED323C"/>
    <w:rsid w:val="00ED76F6"/>
    <w:rsid w:val="00EE17A4"/>
    <w:rsid w:val="00EE2D5C"/>
    <w:rsid w:val="00EE4ADE"/>
    <w:rsid w:val="00EE4DE8"/>
    <w:rsid w:val="00EE5CB7"/>
    <w:rsid w:val="00F01C00"/>
    <w:rsid w:val="00F024FE"/>
    <w:rsid w:val="00F05352"/>
    <w:rsid w:val="00F05AD4"/>
    <w:rsid w:val="00F10EB6"/>
    <w:rsid w:val="00F13F07"/>
    <w:rsid w:val="00F140B2"/>
    <w:rsid w:val="00F21A6D"/>
    <w:rsid w:val="00F25970"/>
    <w:rsid w:val="00F311A9"/>
    <w:rsid w:val="00F337B0"/>
    <w:rsid w:val="00F35E80"/>
    <w:rsid w:val="00F41E18"/>
    <w:rsid w:val="00F5180D"/>
    <w:rsid w:val="00F63781"/>
    <w:rsid w:val="00F66A16"/>
    <w:rsid w:val="00F67496"/>
    <w:rsid w:val="00F801BA"/>
    <w:rsid w:val="00F9219A"/>
    <w:rsid w:val="00F9366A"/>
    <w:rsid w:val="00F946C9"/>
    <w:rsid w:val="00FA0EA5"/>
    <w:rsid w:val="00FA74EE"/>
    <w:rsid w:val="00FC05FA"/>
    <w:rsid w:val="00FC3711"/>
    <w:rsid w:val="00FC46E7"/>
    <w:rsid w:val="00FC4D81"/>
    <w:rsid w:val="00FC5D25"/>
    <w:rsid w:val="00FD0D7E"/>
    <w:rsid w:val="00FD3607"/>
    <w:rsid w:val="00FD4FFB"/>
    <w:rsid w:val="00FE6E13"/>
    <w:rsid w:val="00FE7A8A"/>
    <w:rsid w:val="00FF15F6"/>
    <w:rsid w:val="00FF5099"/>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EC4094"/>
    <w:pPr>
      <w:keepNext/>
      <w:spacing w:after="360"/>
      <w:outlineLvl w:val="0"/>
    </w:pPr>
    <w:rPr>
      <w:b/>
      <w:color w:val="23305D"/>
      <w:sz w:val="64"/>
      <w:szCs w:val="64"/>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link w:val="BulletChar"/>
    <w:uiPriority w:val="99"/>
    <w:qFormat/>
    <w:rsid w:val="00FA0EA5"/>
    <w:pPr>
      <w:numPr>
        <w:numId w:val="1"/>
      </w:numPr>
      <w:tabs>
        <w:tab w:val="clear" w:pos="284"/>
      </w:tabs>
      <w:spacing w:before="90"/>
    </w:pPr>
  </w:style>
  <w:style w:type="paragraph" w:styleId="Quote">
    <w:name w:val="Quote"/>
    <w:basedOn w:val="Normal"/>
    <w:next w:val="Normal"/>
    <w:link w:val="QuoteChar"/>
    <w:uiPriority w:val="29"/>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EC4094"/>
    <w:rPr>
      <w:rFonts w:ascii="Segoe UI" w:hAnsi="Segoe UI"/>
      <w:b/>
      <w:color w:val="23305D"/>
      <w:sz w:val="64"/>
      <w:szCs w:val="64"/>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QuoteChar">
    <w:name w:val="Quote Char"/>
    <w:link w:val="Quote"/>
    <w:uiPriority w:val="29"/>
    <w:rsid w:val="00122363"/>
    <w:rPr>
      <w:rFonts w:ascii="Georgia" w:hAnsi="Georgia"/>
      <w:sz w:val="22"/>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character" w:customStyle="1" w:styleId="ui-provider">
    <w:name w:val="ui-provider"/>
    <w:basedOn w:val="DefaultParagraphFont"/>
    <w:rsid w:val="00EC4094"/>
  </w:style>
  <w:style w:type="paragraph" w:styleId="ListParagraph">
    <w:name w:val="List Paragraph"/>
    <w:basedOn w:val="Normal"/>
    <w:uiPriority w:val="34"/>
    <w:qFormat/>
    <w:rsid w:val="001C7EEF"/>
    <w:pPr>
      <w:spacing w:after="160" w:line="259" w:lineRule="auto"/>
      <w:ind w:left="720"/>
      <w:contextualSpacing/>
    </w:pPr>
    <w:rPr>
      <w:rFonts w:eastAsiaTheme="minorHAnsi" w:cstheme="minorBidi"/>
      <w:kern w:val="2"/>
      <w:sz w:val="22"/>
      <w:szCs w:val="22"/>
      <w:lang w:eastAsia="en-US"/>
      <w14:ligatures w14:val="standardContextual"/>
    </w:rPr>
  </w:style>
  <w:style w:type="paragraph" w:styleId="NormalWeb">
    <w:name w:val="Normal (Web)"/>
    <w:basedOn w:val="Normal"/>
    <w:uiPriority w:val="99"/>
    <w:unhideWhenUsed/>
    <w:rsid w:val="001C7EEF"/>
    <w:pPr>
      <w:spacing w:before="100" w:beforeAutospacing="1" w:after="100" w:afterAutospacing="1"/>
    </w:pPr>
    <w:rPr>
      <w:rFonts w:ascii="Times New Roman" w:hAnsi="Times New Roman"/>
      <w:sz w:val="24"/>
      <w:szCs w:val="24"/>
      <w:lang w:eastAsia="en-NZ"/>
    </w:rPr>
  </w:style>
  <w:style w:type="paragraph" w:styleId="Caption">
    <w:name w:val="caption"/>
    <w:basedOn w:val="Normal"/>
    <w:next w:val="Normal"/>
    <w:uiPriority w:val="35"/>
    <w:unhideWhenUsed/>
    <w:qFormat/>
    <w:rsid w:val="001C7EEF"/>
    <w:pPr>
      <w:spacing w:after="200"/>
    </w:pPr>
    <w:rPr>
      <w:rFonts w:eastAsiaTheme="minorHAnsi" w:cstheme="minorBidi"/>
      <w:i/>
      <w:iCs/>
      <w:color w:val="1F497D" w:themeColor="text2"/>
      <w:kern w:val="2"/>
      <w:sz w:val="18"/>
      <w:szCs w:val="18"/>
      <w:lang w:eastAsia="en-US"/>
      <w14:ligatures w14:val="standardContextual"/>
    </w:rPr>
  </w:style>
  <w:style w:type="paragraph" w:styleId="ListBullet">
    <w:name w:val="List Bullet"/>
    <w:basedOn w:val="Normal"/>
    <w:uiPriority w:val="99"/>
    <w:unhideWhenUsed/>
    <w:rsid w:val="001C7EEF"/>
    <w:pPr>
      <w:numPr>
        <w:numId w:val="7"/>
      </w:numPr>
      <w:spacing w:after="160" w:line="259" w:lineRule="auto"/>
      <w:contextualSpacing/>
    </w:pPr>
    <w:rPr>
      <w:rFonts w:eastAsiaTheme="minorHAnsi" w:cstheme="minorBidi"/>
      <w:kern w:val="2"/>
      <w:sz w:val="22"/>
      <w:szCs w:val="22"/>
      <w:lang w:eastAsia="en-US"/>
      <w14:ligatures w14:val="standardContextual"/>
    </w:rPr>
  </w:style>
  <w:style w:type="paragraph" w:styleId="NormalIndent">
    <w:name w:val="Normal Indent"/>
    <w:basedOn w:val="Normal"/>
    <w:uiPriority w:val="99"/>
    <w:unhideWhenUsed/>
    <w:rsid w:val="001C7EEF"/>
    <w:pPr>
      <w:spacing w:after="160" w:line="259" w:lineRule="auto"/>
      <w:ind w:left="720"/>
    </w:pPr>
    <w:rPr>
      <w:rFonts w:eastAsiaTheme="minorHAnsi" w:cstheme="minorBidi"/>
      <w:kern w:val="2"/>
      <w:sz w:val="22"/>
      <w:szCs w:val="22"/>
      <w:lang w:eastAsia="en-US"/>
      <w14:ligatures w14:val="standardContextual"/>
    </w:rPr>
  </w:style>
  <w:style w:type="paragraph" w:styleId="Subtitle">
    <w:name w:val="Subtitle"/>
    <w:basedOn w:val="Normal"/>
    <w:next w:val="Normal"/>
    <w:link w:val="SubtitleChar"/>
    <w:uiPriority w:val="11"/>
    <w:qFormat/>
    <w:rsid w:val="00183828"/>
    <w:pPr>
      <w:numPr>
        <w:ilvl w:val="1"/>
      </w:numPr>
      <w:spacing w:after="160" w:line="259"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183828"/>
    <w:rPr>
      <w:rFonts w:ascii="Segoe UI" w:eastAsiaTheme="majorEastAsia" w:hAnsi="Segoe UI" w:cstheme="majorBidi"/>
      <w:color w:val="595959" w:themeColor="text1" w:themeTint="A6"/>
      <w:spacing w:val="15"/>
      <w:kern w:val="2"/>
      <w:sz w:val="28"/>
      <w:szCs w:val="28"/>
      <w:lang w:eastAsia="en-US"/>
      <w14:ligatures w14:val="standardContextual"/>
    </w:rPr>
  </w:style>
  <w:style w:type="character" w:styleId="IntenseEmphasis">
    <w:name w:val="Intense Emphasis"/>
    <w:basedOn w:val="DefaultParagraphFont"/>
    <w:uiPriority w:val="21"/>
    <w:qFormat/>
    <w:rsid w:val="00183828"/>
    <w:rPr>
      <w:i/>
      <w:iCs/>
      <w:color w:val="365F91" w:themeColor="accent1" w:themeShade="BF"/>
    </w:rPr>
  </w:style>
  <w:style w:type="paragraph" w:styleId="IntenseQuote">
    <w:name w:val="Intense Quote"/>
    <w:basedOn w:val="Normal"/>
    <w:next w:val="Normal"/>
    <w:link w:val="IntenseQuoteChar"/>
    <w:uiPriority w:val="30"/>
    <w:qFormat/>
    <w:rsid w:val="00183828"/>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cstheme="minorBidi"/>
      <w:i/>
      <w:iCs/>
      <w:color w:val="365F9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183828"/>
    <w:rPr>
      <w:rFonts w:ascii="Segoe UI" w:eastAsiaTheme="minorHAnsi" w:hAnsi="Segoe UI" w:cstheme="minorBidi"/>
      <w:i/>
      <w:iCs/>
      <w:color w:val="365F91" w:themeColor="accent1" w:themeShade="BF"/>
      <w:kern w:val="2"/>
      <w:sz w:val="22"/>
      <w:szCs w:val="22"/>
      <w:lang w:eastAsia="en-US"/>
      <w14:ligatures w14:val="standardContextual"/>
    </w:rPr>
  </w:style>
  <w:style w:type="character" w:styleId="IntenseReference">
    <w:name w:val="Intense Reference"/>
    <w:basedOn w:val="DefaultParagraphFont"/>
    <w:uiPriority w:val="32"/>
    <w:qFormat/>
    <w:rsid w:val="00183828"/>
    <w:rPr>
      <w:b/>
      <w:bCs/>
      <w:smallCaps/>
      <w:color w:val="365F91" w:themeColor="accent1" w:themeShade="BF"/>
      <w:spacing w:val="5"/>
    </w:rPr>
  </w:style>
  <w:style w:type="character" w:styleId="CommentReference">
    <w:name w:val="annotation reference"/>
    <w:basedOn w:val="DefaultParagraphFont"/>
    <w:uiPriority w:val="99"/>
    <w:semiHidden/>
    <w:unhideWhenUsed/>
    <w:rsid w:val="00183828"/>
    <w:rPr>
      <w:sz w:val="16"/>
      <w:szCs w:val="16"/>
    </w:rPr>
  </w:style>
  <w:style w:type="paragraph" w:styleId="CommentText">
    <w:name w:val="annotation text"/>
    <w:basedOn w:val="Normal"/>
    <w:link w:val="CommentTextChar"/>
    <w:uiPriority w:val="99"/>
    <w:unhideWhenUsed/>
    <w:rsid w:val="00183828"/>
    <w:pPr>
      <w:spacing w:after="160"/>
    </w:pPr>
    <w:rPr>
      <w:rFonts w:eastAsiaTheme="minorHAnsi" w:cstheme="minorBidi"/>
      <w:kern w:val="2"/>
      <w:sz w:val="20"/>
      <w:lang w:eastAsia="en-US"/>
      <w14:ligatures w14:val="standardContextual"/>
    </w:rPr>
  </w:style>
  <w:style w:type="character" w:customStyle="1" w:styleId="CommentTextChar">
    <w:name w:val="Comment Text Char"/>
    <w:basedOn w:val="DefaultParagraphFont"/>
    <w:link w:val="CommentText"/>
    <w:uiPriority w:val="99"/>
    <w:rsid w:val="00183828"/>
    <w:rPr>
      <w:rFonts w:ascii="Segoe UI" w:eastAsiaTheme="minorHAnsi" w:hAnsi="Segoe UI" w:cstheme="minorBidi"/>
      <w:kern w:val="2"/>
      <w:lang w:eastAsia="en-US"/>
      <w14:ligatures w14:val="standardContextual"/>
    </w:rPr>
  </w:style>
  <w:style w:type="paragraph" w:customStyle="1" w:styleId="li-key-points">
    <w:name w:val="li-key-points"/>
    <w:basedOn w:val="Normal"/>
    <w:rsid w:val="00183828"/>
    <w:pPr>
      <w:spacing w:before="100" w:beforeAutospacing="1" w:after="100" w:afterAutospacing="1"/>
    </w:pPr>
    <w:rPr>
      <w:rFonts w:ascii="Times New Roman" w:hAnsi="Times New Roman"/>
      <w:sz w:val="24"/>
      <w:szCs w:val="24"/>
      <w:lang w:eastAsia="en-NZ"/>
    </w:rPr>
  </w:style>
  <w:style w:type="character" w:customStyle="1" w:styleId="intro">
    <w:name w:val="intro"/>
    <w:basedOn w:val="DefaultParagraphFont"/>
    <w:rsid w:val="00183828"/>
  </w:style>
  <w:style w:type="character" w:styleId="UnresolvedMention">
    <w:name w:val="Unresolved Mention"/>
    <w:basedOn w:val="DefaultParagraphFont"/>
    <w:uiPriority w:val="99"/>
    <w:semiHidden/>
    <w:unhideWhenUsed/>
    <w:rsid w:val="0018382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83828"/>
    <w:rPr>
      <w:b/>
      <w:bCs/>
    </w:rPr>
  </w:style>
  <w:style w:type="character" w:customStyle="1" w:styleId="CommentSubjectChar">
    <w:name w:val="Comment Subject Char"/>
    <w:basedOn w:val="CommentTextChar"/>
    <w:link w:val="CommentSubject"/>
    <w:uiPriority w:val="99"/>
    <w:semiHidden/>
    <w:rsid w:val="00183828"/>
    <w:rPr>
      <w:rFonts w:ascii="Segoe UI" w:eastAsiaTheme="minorHAnsi" w:hAnsi="Segoe UI" w:cstheme="minorBidi"/>
      <w:b/>
      <w:bCs/>
      <w:kern w:val="2"/>
      <w:lang w:eastAsia="en-US"/>
      <w14:ligatures w14:val="standardContextual"/>
    </w:rPr>
  </w:style>
  <w:style w:type="paragraph" w:styleId="TOCHeading">
    <w:name w:val="TOC Heading"/>
    <w:basedOn w:val="Heading1"/>
    <w:next w:val="Normal"/>
    <w:uiPriority w:val="39"/>
    <w:unhideWhenUsed/>
    <w:qFormat/>
    <w:rsid w:val="00183828"/>
    <w:pPr>
      <w:spacing w:before="240" w:after="0"/>
      <w:outlineLvl w:val="9"/>
    </w:pPr>
    <w:rPr>
      <w:spacing w:val="-10"/>
      <w:sz w:val="32"/>
      <w:szCs w:val="32"/>
      <w:lang w:val="en-US"/>
    </w:rPr>
  </w:style>
  <w:style w:type="paragraph" w:styleId="TOC4">
    <w:name w:val="toc 4"/>
    <w:basedOn w:val="Normal"/>
    <w:next w:val="Normal"/>
    <w:autoRedefine/>
    <w:uiPriority w:val="39"/>
    <w:unhideWhenUsed/>
    <w:rsid w:val="00183828"/>
    <w:pPr>
      <w:spacing w:line="259" w:lineRule="auto"/>
      <w:ind w:left="660"/>
    </w:pPr>
    <w:rPr>
      <w:rFonts w:eastAsiaTheme="minorHAnsi" w:cstheme="minorBidi"/>
      <w:kern w:val="2"/>
      <w:sz w:val="18"/>
      <w:szCs w:val="18"/>
      <w:lang w:eastAsia="en-US"/>
      <w14:ligatures w14:val="standardContextual"/>
    </w:rPr>
  </w:style>
  <w:style w:type="paragraph" w:styleId="TOC5">
    <w:name w:val="toc 5"/>
    <w:basedOn w:val="Normal"/>
    <w:next w:val="Normal"/>
    <w:autoRedefine/>
    <w:uiPriority w:val="39"/>
    <w:unhideWhenUsed/>
    <w:rsid w:val="00183828"/>
    <w:pPr>
      <w:spacing w:line="259" w:lineRule="auto"/>
      <w:ind w:left="880"/>
    </w:pPr>
    <w:rPr>
      <w:rFonts w:eastAsiaTheme="minorHAnsi" w:cstheme="minorBidi"/>
      <w:kern w:val="2"/>
      <w:sz w:val="18"/>
      <w:szCs w:val="18"/>
      <w:lang w:eastAsia="en-US"/>
      <w14:ligatures w14:val="standardContextual"/>
    </w:rPr>
  </w:style>
  <w:style w:type="paragraph" w:styleId="TOC6">
    <w:name w:val="toc 6"/>
    <w:basedOn w:val="Normal"/>
    <w:next w:val="Normal"/>
    <w:autoRedefine/>
    <w:uiPriority w:val="39"/>
    <w:unhideWhenUsed/>
    <w:rsid w:val="00183828"/>
    <w:pPr>
      <w:spacing w:line="259" w:lineRule="auto"/>
      <w:ind w:left="1100"/>
    </w:pPr>
    <w:rPr>
      <w:rFonts w:eastAsiaTheme="minorHAnsi" w:cstheme="minorBidi"/>
      <w:kern w:val="2"/>
      <w:sz w:val="18"/>
      <w:szCs w:val="18"/>
      <w:lang w:eastAsia="en-US"/>
      <w14:ligatures w14:val="standardContextual"/>
    </w:rPr>
  </w:style>
  <w:style w:type="paragraph" w:styleId="TOC7">
    <w:name w:val="toc 7"/>
    <w:basedOn w:val="Normal"/>
    <w:next w:val="Normal"/>
    <w:autoRedefine/>
    <w:uiPriority w:val="39"/>
    <w:unhideWhenUsed/>
    <w:rsid w:val="00183828"/>
    <w:pPr>
      <w:spacing w:line="259" w:lineRule="auto"/>
      <w:ind w:left="1320"/>
    </w:pPr>
    <w:rPr>
      <w:rFonts w:eastAsiaTheme="minorHAnsi" w:cstheme="minorBidi"/>
      <w:kern w:val="2"/>
      <w:sz w:val="18"/>
      <w:szCs w:val="18"/>
      <w:lang w:eastAsia="en-US"/>
      <w14:ligatures w14:val="standardContextual"/>
    </w:rPr>
  </w:style>
  <w:style w:type="paragraph" w:styleId="TOC8">
    <w:name w:val="toc 8"/>
    <w:basedOn w:val="Normal"/>
    <w:next w:val="Normal"/>
    <w:autoRedefine/>
    <w:uiPriority w:val="39"/>
    <w:unhideWhenUsed/>
    <w:rsid w:val="00183828"/>
    <w:pPr>
      <w:spacing w:line="259" w:lineRule="auto"/>
      <w:ind w:left="1540"/>
    </w:pPr>
    <w:rPr>
      <w:rFonts w:eastAsiaTheme="minorHAnsi" w:cstheme="minorBidi"/>
      <w:kern w:val="2"/>
      <w:sz w:val="18"/>
      <w:szCs w:val="18"/>
      <w:lang w:eastAsia="en-US"/>
      <w14:ligatures w14:val="standardContextual"/>
    </w:rPr>
  </w:style>
  <w:style w:type="paragraph" w:styleId="TOC9">
    <w:name w:val="toc 9"/>
    <w:basedOn w:val="Normal"/>
    <w:next w:val="Normal"/>
    <w:autoRedefine/>
    <w:uiPriority w:val="39"/>
    <w:unhideWhenUsed/>
    <w:rsid w:val="00183828"/>
    <w:pPr>
      <w:spacing w:line="259" w:lineRule="auto"/>
      <w:ind w:left="1760"/>
    </w:pPr>
    <w:rPr>
      <w:rFonts w:eastAsiaTheme="minorHAnsi" w:cstheme="minorBidi"/>
      <w:kern w:val="2"/>
      <w:sz w:val="18"/>
      <w:szCs w:val="18"/>
      <w:lang w:eastAsia="en-US"/>
      <w14:ligatures w14:val="standardContextual"/>
    </w:rPr>
  </w:style>
  <w:style w:type="character" w:customStyle="1" w:styleId="BulletChar">
    <w:name w:val="Bullet Char"/>
    <w:link w:val="Bullet"/>
    <w:uiPriority w:val="99"/>
    <w:locked/>
    <w:rsid w:val="00183828"/>
    <w:rPr>
      <w:rFonts w:ascii="Segoe UI" w:hAnsi="Segoe UI"/>
      <w:sz w:val="21"/>
      <w:lang w:eastAsia="en-GB"/>
    </w:rPr>
  </w:style>
  <w:style w:type="character" w:styleId="Strong">
    <w:name w:val="Strong"/>
    <w:basedOn w:val="DefaultParagraphFont"/>
    <w:uiPriority w:val="22"/>
    <w:qFormat/>
    <w:rsid w:val="00183828"/>
    <w:rPr>
      <w:b/>
      <w:bCs/>
    </w:rPr>
  </w:style>
  <w:style w:type="character" w:styleId="Emphasis">
    <w:name w:val="Emphasis"/>
    <w:basedOn w:val="DefaultParagraphFont"/>
    <w:uiPriority w:val="20"/>
    <w:qFormat/>
    <w:rsid w:val="00183828"/>
    <w:rPr>
      <w:i/>
      <w:iCs/>
    </w:rPr>
  </w:style>
  <w:style w:type="paragraph" w:customStyle="1" w:styleId="def-p-margin">
    <w:name w:val="def-p-margin"/>
    <w:basedOn w:val="Normal"/>
    <w:rsid w:val="00183828"/>
    <w:pPr>
      <w:spacing w:before="100" w:beforeAutospacing="1" w:after="100" w:afterAutospacing="1"/>
    </w:pPr>
    <w:rPr>
      <w:rFonts w:ascii="Times New Roman" w:hAnsi="Times New Roman"/>
      <w:sz w:val="24"/>
      <w:szCs w:val="24"/>
      <w:lang w:eastAsia="en-NZ"/>
    </w:rPr>
  </w:style>
  <w:style w:type="paragraph" w:customStyle="1" w:styleId="def-ref-margin">
    <w:name w:val="def-ref-margin"/>
    <w:basedOn w:val="Normal"/>
    <w:rsid w:val="00183828"/>
    <w:pPr>
      <w:spacing w:before="100" w:beforeAutospacing="1" w:after="100" w:afterAutospacing="1"/>
    </w:pPr>
    <w:rPr>
      <w:rFonts w:ascii="Times New Roman" w:hAnsi="Times New Roman"/>
      <w:sz w:val="24"/>
      <w:szCs w:val="24"/>
      <w:lang w:eastAsia="en-NZ"/>
    </w:rPr>
  </w:style>
  <w:style w:type="character" w:customStyle="1" w:styleId="cf01">
    <w:name w:val="cf01"/>
    <w:basedOn w:val="DefaultParagraphFont"/>
    <w:rsid w:val="00183828"/>
    <w:rPr>
      <w:rFonts w:ascii="Segoe UI" w:hAnsi="Segoe UI" w:cs="Segoe UI" w:hint="default"/>
      <w:sz w:val="18"/>
      <w:szCs w:val="18"/>
    </w:rPr>
  </w:style>
  <w:style w:type="character" w:styleId="FollowedHyperlink">
    <w:name w:val="FollowedHyperlink"/>
    <w:basedOn w:val="DefaultParagraphFont"/>
    <w:uiPriority w:val="99"/>
    <w:semiHidden/>
    <w:unhideWhenUsed/>
    <w:rsid w:val="00183828"/>
    <w:rPr>
      <w:color w:val="800080" w:themeColor="followedHyperlink"/>
      <w:u w:val="single"/>
    </w:rPr>
  </w:style>
  <w:style w:type="character" w:customStyle="1" w:styleId="normaltextrun">
    <w:name w:val="normaltextrun"/>
    <w:basedOn w:val="DefaultParagraphFont"/>
    <w:rsid w:val="00183828"/>
  </w:style>
  <w:style w:type="character" w:styleId="Mention">
    <w:name w:val="Mention"/>
    <w:basedOn w:val="DefaultParagraphFont"/>
    <w:uiPriority w:val="99"/>
    <w:unhideWhenUsed/>
    <w:rsid w:val="00183828"/>
    <w:rPr>
      <w:color w:val="2B579A"/>
      <w:shd w:val="clear" w:color="auto" w:fill="E1DFDD"/>
    </w:rPr>
  </w:style>
  <w:style w:type="paragraph" w:customStyle="1" w:styleId="paragraph">
    <w:name w:val="paragraph"/>
    <w:basedOn w:val="Normal"/>
    <w:rsid w:val="00183828"/>
    <w:pPr>
      <w:spacing w:before="100" w:beforeAutospacing="1" w:after="100" w:afterAutospacing="1"/>
    </w:pPr>
    <w:rPr>
      <w:rFonts w:ascii="Times New Roman" w:hAnsi="Times New Roman"/>
      <w:sz w:val="24"/>
      <w:szCs w:val="24"/>
      <w:lang w:eastAsia="en-NZ"/>
    </w:rPr>
  </w:style>
  <w:style w:type="character" w:customStyle="1" w:styleId="eop">
    <w:name w:val="eop"/>
    <w:basedOn w:val="DefaultParagraphFont"/>
    <w:rsid w:val="00183828"/>
  </w:style>
  <w:style w:type="paragraph" w:styleId="TableofFigures">
    <w:name w:val="table of figures"/>
    <w:basedOn w:val="Normal"/>
    <w:next w:val="Normal"/>
    <w:uiPriority w:val="99"/>
    <w:unhideWhenUsed/>
    <w:rsid w:val="00183828"/>
    <w:pPr>
      <w:spacing w:line="259" w:lineRule="auto"/>
    </w:pPr>
    <w:rPr>
      <w:rFonts w:eastAsiaTheme="minorHAnsi" w:cstheme="minorBidi"/>
      <w:kern w:val="2"/>
      <w:sz w:val="22"/>
      <w:szCs w:val="22"/>
      <w:lang w:eastAsia="en-US"/>
      <w14:ligatures w14:val="standardContextual"/>
    </w:rPr>
  </w:style>
  <w:style w:type="paragraph" w:styleId="EndnoteText">
    <w:name w:val="endnote text"/>
    <w:basedOn w:val="Normal"/>
    <w:link w:val="EndnoteTextChar"/>
    <w:uiPriority w:val="99"/>
    <w:semiHidden/>
    <w:unhideWhenUsed/>
    <w:rsid w:val="00183828"/>
    <w:rPr>
      <w:rFonts w:eastAsiaTheme="minorHAnsi" w:cstheme="minorBidi"/>
      <w:kern w:val="2"/>
      <w:sz w:val="20"/>
      <w:lang w:eastAsia="en-US"/>
      <w14:ligatures w14:val="standardContextual"/>
    </w:rPr>
  </w:style>
  <w:style w:type="character" w:customStyle="1" w:styleId="EndnoteTextChar">
    <w:name w:val="Endnote Text Char"/>
    <w:basedOn w:val="DefaultParagraphFont"/>
    <w:link w:val="EndnoteText"/>
    <w:uiPriority w:val="99"/>
    <w:semiHidden/>
    <w:rsid w:val="00183828"/>
    <w:rPr>
      <w:rFonts w:ascii="Segoe UI" w:eastAsiaTheme="minorHAnsi" w:hAnsi="Segoe UI" w:cstheme="minorBidi"/>
      <w:kern w:val="2"/>
      <w:lang w:eastAsia="en-US"/>
      <w14:ligatures w14:val="standardContextual"/>
    </w:rPr>
  </w:style>
  <w:style w:type="character" w:styleId="EndnoteReference">
    <w:name w:val="endnote reference"/>
    <w:basedOn w:val="DefaultParagraphFont"/>
    <w:uiPriority w:val="99"/>
    <w:semiHidden/>
    <w:unhideWhenUsed/>
    <w:rsid w:val="00183828"/>
    <w:rPr>
      <w:vertAlign w:val="superscript"/>
    </w:rPr>
  </w:style>
  <w:style w:type="paragraph" w:customStyle="1" w:styleId="EndNoteBibliographyTitle">
    <w:name w:val="EndNote Bibliography Title"/>
    <w:basedOn w:val="Normal"/>
    <w:link w:val="EndNoteBibliographyTitleChar"/>
    <w:rsid w:val="00183828"/>
    <w:pPr>
      <w:spacing w:line="259" w:lineRule="auto"/>
      <w:jc w:val="center"/>
    </w:pPr>
    <w:rPr>
      <w:rFonts w:ascii="Aptos" w:eastAsiaTheme="minorHAnsi" w:hAnsi="Aptos" w:cstheme="minorBidi"/>
      <w:noProof/>
      <w:kern w:val="2"/>
      <w:sz w:val="22"/>
      <w:szCs w:val="22"/>
      <w:lang w:val="en-US" w:eastAsia="en-US"/>
      <w14:ligatures w14:val="standardContextual"/>
    </w:rPr>
  </w:style>
  <w:style w:type="character" w:customStyle="1" w:styleId="EndNoteBibliographyTitleChar">
    <w:name w:val="EndNote Bibliography Title Char"/>
    <w:basedOn w:val="DefaultParagraphFont"/>
    <w:link w:val="EndNoteBibliographyTitle"/>
    <w:rsid w:val="00183828"/>
    <w:rPr>
      <w:rFonts w:ascii="Aptos" w:eastAsiaTheme="minorHAnsi" w:hAnsi="Aptos" w:cstheme="minorBidi"/>
      <w:noProof/>
      <w:kern w:val="2"/>
      <w:sz w:val="22"/>
      <w:szCs w:val="22"/>
      <w:lang w:val="en-US" w:eastAsia="en-US"/>
      <w14:ligatures w14:val="standardContextual"/>
    </w:rPr>
  </w:style>
  <w:style w:type="paragraph" w:customStyle="1" w:styleId="EndNoteBibliography">
    <w:name w:val="EndNote Bibliography"/>
    <w:basedOn w:val="Normal"/>
    <w:link w:val="EndNoteBibliographyChar"/>
    <w:rsid w:val="00183828"/>
    <w:pPr>
      <w:spacing w:after="160"/>
    </w:pPr>
    <w:rPr>
      <w:rFonts w:ascii="Aptos" w:eastAsiaTheme="minorHAnsi" w:hAnsi="Aptos" w:cstheme="minorBidi"/>
      <w:noProof/>
      <w:kern w:val="2"/>
      <w:sz w:val="22"/>
      <w:szCs w:val="22"/>
      <w:lang w:val="en-US" w:eastAsia="en-US"/>
      <w14:ligatures w14:val="standardContextual"/>
    </w:rPr>
  </w:style>
  <w:style w:type="character" w:customStyle="1" w:styleId="EndNoteBibliographyChar">
    <w:name w:val="EndNote Bibliography Char"/>
    <w:basedOn w:val="DefaultParagraphFont"/>
    <w:link w:val="EndNoteBibliography"/>
    <w:rsid w:val="00183828"/>
    <w:rPr>
      <w:rFonts w:ascii="Aptos" w:eastAsiaTheme="minorHAnsi" w:hAnsi="Aptos" w:cstheme="minorBidi"/>
      <w:noProof/>
      <w:kern w:val="2"/>
      <w:sz w:val="22"/>
      <w:szCs w:val="22"/>
      <w:lang w:val="en-US" w:eastAsia="en-US"/>
      <w14:ligatures w14:val="standardContextual"/>
    </w:rPr>
  </w:style>
  <w:style w:type="paragraph" w:customStyle="1" w:styleId="ReportBody-MOH">
    <w:name w:val="Report Body - MOH"/>
    <w:basedOn w:val="Normal"/>
    <w:link w:val="ReportBody-MOHChar"/>
    <w:qFormat/>
    <w:rsid w:val="00183828"/>
    <w:pPr>
      <w:numPr>
        <w:numId w:val="8"/>
      </w:numPr>
      <w:spacing w:before="120" w:after="120"/>
      <w:ind w:right="284"/>
    </w:pPr>
    <w:rPr>
      <w:rFonts w:cs="Arial"/>
      <w:kern w:val="22"/>
      <w:sz w:val="22"/>
      <w:szCs w:val="22"/>
      <w:lang w:eastAsia="en-NZ"/>
    </w:rPr>
  </w:style>
  <w:style w:type="paragraph" w:customStyle="1" w:styleId="ReportBody2-MOH">
    <w:name w:val="Report Body 2 - MOH"/>
    <w:basedOn w:val="ReportBody-MOH"/>
    <w:qFormat/>
    <w:rsid w:val="00183828"/>
    <w:pPr>
      <w:numPr>
        <w:ilvl w:val="1"/>
      </w:numPr>
      <w:ind w:left="1080" w:hanging="360"/>
    </w:pPr>
  </w:style>
  <w:style w:type="character" w:customStyle="1" w:styleId="ReportBody-MOHChar">
    <w:name w:val="Report Body - MOH Char"/>
    <w:basedOn w:val="DefaultParagraphFont"/>
    <w:link w:val="ReportBody-MOH"/>
    <w:rsid w:val="00183828"/>
    <w:rPr>
      <w:rFonts w:ascii="Segoe UI" w:hAnsi="Segoe UI" w:cs="Arial"/>
      <w:kern w:val="22"/>
      <w:sz w:val="22"/>
      <w:szCs w:val="22"/>
    </w:rPr>
  </w:style>
  <w:style w:type="paragraph" w:customStyle="1" w:styleId="HAIR1">
    <w:name w:val="HAIR1"/>
    <w:basedOn w:val="Heading1"/>
    <w:link w:val="HAIR1Char"/>
    <w:qFormat/>
    <w:rsid w:val="00183828"/>
    <w:rPr>
      <w:rFonts w:cs="Segoe UI"/>
      <w:spacing w:val="-10"/>
      <w:sz w:val="72"/>
      <w:szCs w:val="72"/>
    </w:rPr>
  </w:style>
  <w:style w:type="paragraph" w:customStyle="1" w:styleId="HAIR2">
    <w:name w:val="HAIR2"/>
    <w:basedOn w:val="Heading2"/>
    <w:link w:val="HAIR2Char"/>
    <w:qFormat/>
    <w:rsid w:val="00183828"/>
    <w:pPr>
      <w:spacing w:before="440"/>
    </w:pPr>
    <w:rPr>
      <w:rFonts w:eastAsia="Arial Unicode MS" w:cs="Segoe UI"/>
      <w:b w:val="0"/>
      <w:bCs/>
      <w:szCs w:val="48"/>
    </w:rPr>
  </w:style>
  <w:style w:type="character" w:customStyle="1" w:styleId="HAIR1Char">
    <w:name w:val="HAIR1 Char"/>
    <w:basedOn w:val="Heading1Char"/>
    <w:link w:val="HAIR1"/>
    <w:rsid w:val="00183828"/>
    <w:rPr>
      <w:rFonts w:ascii="Segoe UI" w:hAnsi="Segoe UI" w:cs="Segoe UI"/>
      <w:b/>
      <w:color w:val="23305D"/>
      <w:spacing w:val="-10"/>
      <w:sz w:val="72"/>
      <w:szCs w:val="72"/>
      <w:lang w:eastAsia="en-GB"/>
    </w:rPr>
  </w:style>
  <w:style w:type="paragraph" w:customStyle="1" w:styleId="HAIR3">
    <w:name w:val="HAIR3"/>
    <w:basedOn w:val="Normal"/>
    <w:link w:val="HAIR3Char"/>
    <w:qFormat/>
    <w:rsid w:val="00183828"/>
    <w:rPr>
      <w:rFonts w:eastAsiaTheme="minorHAnsi" w:cs="Segoe UI"/>
      <w:color w:val="365F91" w:themeColor="accent1" w:themeShade="BF"/>
      <w:kern w:val="2"/>
      <w:sz w:val="36"/>
      <w:szCs w:val="36"/>
      <w:lang w:eastAsia="en-US"/>
      <w14:ligatures w14:val="standardContextual"/>
    </w:rPr>
  </w:style>
  <w:style w:type="character" w:customStyle="1" w:styleId="HAIR2Char">
    <w:name w:val="HAIR2 Char"/>
    <w:basedOn w:val="Heading2Char"/>
    <w:link w:val="HAIR2"/>
    <w:rsid w:val="00183828"/>
    <w:rPr>
      <w:rFonts w:ascii="Segoe UI" w:eastAsia="Arial Unicode MS" w:hAnsi="Segoe UI" w:cs="Segoe UI"/>
      <w:b w:val="0"/>
      <w:bCs/>
      <w:color w:val="0A6AB4"/>
      <w:spacing w:val="-5"/>
      <w:sz w:val="48"/>
      <w:szCs w:val="48"/>
      <w:lang w:eastAsia="en-GB"/>
    </w:rPr>
  </w:style>
  <w:style w:type="character" w:customStyle="1" w:styleId="HAIR3Char">
    <w:name w:val="HAIR3 Char"/>
    <w:basedOn w:val="DefaultParagraphFont"/>
    <w:link w:val="HAIR3"/>
    <w:rsid w:val="00183828"/>
    <w:rPr>
      <w:rFonts w:ascii="Segoe UI" w:eastAsiaTheme="minorHAnsi" w:hAnsi="Segoe UI" w:cs="Segoe UI"/>
      <w:color w:val="365F91" w:themeColor="accent1" w:themeShade="BF"/>
      <w:kern w:val="2"/>
      <w:sz w:val="36"/>
      <w:szCs w:val="36"/>
      <w:lang w:eastAsia="en-US"/>
      <w14:ligatures w14:val="standardContextual"/>
    </w:rPr>
  </w:style>
  <w:style w:type="table" w:styleId="ListTable3-Accent3">
    <w:name w:val="List Table 3 Accent 3"/>
    <w:basedOn w:val="TableNormal"/>
    <w:uiPriority w:val="48"/>
    <w:rsid w:val="00183828"/>
    <w:rPr>
      <w:rFonts w:asciiTheme="minorHAnsi" w:eastAsiaTheme="minorHAnsi"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Contentsheading">
    <w:name w:val="Contents heading"/>
    <w:basedOn w:val="Normal"/>
    <w:qFormat/>
    <w:rsid w:val="00183828"/>
    <w:pPr>
      <w:spacing w:after="160" w:line="259" w:lineRule="auto"/>
    </w:pPr>
    <w:rPr>
      <w:rFonts w:eastAsiaTheme="minorHAnsi" w:cstheme="minorBidi"/>
      <w:b/>
      <w:kern w:val="2"/>
      <w:sz w:val="72"/>
      <w:szCs w:val="22"/>
      <w:lang w:eastAsia="en-US"/>
      <w14:ligatures w14:val="standardContextual"/>
    </w:rPr>
  </w:style>
  <w:style w:type="paragraph" w:customStyle="1" w:styleId="Default">
    <w:name w:val="Default"/>
    <w:rsid w:val="00183828"/>
    <w:pPr>
      <w:autoSpaceDE w:val="0"/>
      <w:autoSpaceDN w:val="0"/>
      <w:adjustRightInd w:val="0"/>
    </w:pPr>
    <w:rPr>
      <w:rFonts w:ascii="Segoe UI" w:eastAsiaTheme="minorHAnsi" w:hAnsi="Segoe UI" w:cs="Segoe UI"/>
      <w:color w:val="000000"/>
      <w:sz w:val="24"/>
      <w:szCs w:val="24"/>
      <w:lang w:eastAsia="en-US"/>
      <w14:ligatures w14:val="standardContextual"/>
    </w:rPr>
  </w:style>
  <w:style w:type="paragraph" w:styleId="ListNumber">
    <w:name w:val="List Number"/>
    <w:basedOn w:val="Normal"/>
    <w:uiPriority w:val="99"/>
    <w:unhideWhenUsed/>
    <w:rsid w:val="00183828"/>
    <w:pPr>
      <w:numPr>
        <w:numId w:val="9"/>
      </w:numPr>
      <w:spacing w:after="160" w:line="259" w:lineRule="auto"/>
      <w:contextualSpacing/>
    </w:pPr>
    <w:rPr>
      <w:rFonts w:eastAsiaTheme="minorHAnsi" w:cstheme="minorBidi"/>
      <w:kern w:val="2"/>
      <w:sz w:val="22"/>
      <w:szCs w:val="22"/>
      <w:lang w:eastAsia="en-US"/>
      <w14:ligatures w14:val="standardContextual"/>
    </w:rPr>
  </w:style>
  <w:style w:type="paragraph" w:styleId="List">
    <w:name w:val="List"/>
    <w:basedOn w:val="Normal"/>
    <w:uiPriority w:val="99"/>
    <w:unhideWhenUsed/>
    <w:rsid w:val="00183828"/>
    <w:pPr>
      <w:spacing w:after="160" w:line="259" w:lineRule="auto"/>
      <w:ind w:left="283" w:hanging="283"/>
      <w:contextualSpacing/>
    </w:pPr>
    <w:rPr>
      <w:rFonts w:eastAsia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www.health.govt.nz/new-zealand-health-system/setting-direction-our-new-health-system/health-disabled-people-strategy" TargetMode="External"/><Relationship Id="rId39" Type="http://schemas.openxmlformats.org/officeDocument/2006/relationships/image" Target="media/image5.png"/><Relationship Id="rId21" Type="http://schemas.openxmlformats.org/officeDocument/2006/relationships/footer" Target="footer6.xml"/><Relationship Id="rId34" Type="http://schemas.openxmlformats.org/officeDocument/2006/relationships/hyperlink" Target="https://www.health.govt.nz/new-zealand-health-system/setting-direction-our-new-health-system/pae-tu-hauora-maori-strategy"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png"/><Relationship Id="rId68" Type="http://schemas.openxmlformats.org/officeDocument/2006/relationships/image" Target="media/image31.png"/><Relationship Id="rId76" Type="http://schemas.openxmlformats.org/officeDocument/2006/relationships/image" Target="media/image38.png"/><Relationship Id="rId84" Type="http://schemas.openxmlformats.org/officeDocument/2006/relationships/image" Target="media/image44.jpeg"/><Relationship Id="rId7" Type="http://schemas.openxmlformats.org/officeDocument/2006/relationships/settings" Target="settings.xml"/><Relationship Id="rId71"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8.xml"/><Relationship Id="rId11" Type="http://schemas.openxmlformats.org/officeDocument/2006/relationships/header" Target="header1.xml"/><Relationship Id="rId24" Type="http://schemas.openxmlformats.org/officeDocument/2006/relationships/hyperlink" Target="https://www.health.govt.nz/new-zealand-health-system/setting-direction-our-new-health-system/pae-tu-hauora-maori-strategy" TargetMode="External"/><Relationship Id="rId32" Type="http://schemas.openxmlformats.org/officeDocument/2006/relationships/footer" Target="footer10.xml"/><Relationship Id="rId37" Type="http://schemas.openxmlformats.org/officeDocument/2006/relationships/hyperlink" Target="https://www.health.govt.nz/publication/rural-health-strategy" TargetMode="External"/><Relationship Id="rId40" Type="http://schemas.openxmlformats.org/officeDocument/2006/relationships/image" Target="media/image6.jpe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jpeg"/><Relationship Id="rId66" Type="http://schemas.openxmlformats.org/officeDocument/2006/relationships/hyperlink" Target="https://minhealthnz.shinyapps.io/nz-health-survey-2022-23-mental-health-data-explorer/_w_ebc38205/" TargetMode="External"/><Relationship Id="rId74" Type="http://schemas.openxmlformats.org/officeDocument/2006/relationships/image" Target="media/image36.png"/><Relationship Id="rId79" Type="http://schemas.openxmlformats.org/officeDocument/2006/relationships/image" Target="media/image40.jpe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image" Target="media/image43.png"/><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7.xml"/><Relationship Id="rId27" Type="http://schemas.openxmlformats.org/officeDocument/2006/relationships/hyperlink" Target="https://www.health.govt.nz/publication/rural-health-strategy" TargetMode="External"/><Relationship Id="rId30" Type="http://schemas.openxmlformats.org/officeDocument/2006/relationships/header" Target="header4.xml"/><Relationship Id="rId35" Type="http://schemas.openxmlformats.org/officeDocument/2006/relationships/hyperlink" Target="https://www.health.govt.nz/publication/te-mana-ola-pacific-health-strategy"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hyperlink" Target="https://www.health.govt.nz/publication/mental-health-and-problematic-substance-use" TargetMode="External"/><Relationship Id="rId69" Type="http://schemas.openxmlformats.org/officeDocument/2006/relationships/image" Target="media/image32.png"/><Relationship Id="rId77" Type="http://schemas.openxmlformats.org/officeDocument/2006/relationships/hyperlink" Target="https://www.stats.govt.nz/indicators/human-health-impacts-of-pm2-5-and-no2/" TargetMode="Externa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image" Target="media/image35.png"/><Relationship Id="rId80" Type="http://schemas.openxmlformats.org/officeDocument/2006/relationships/image" Target="media/image41.png"/><Relationship Id="rId85"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www.health.govt.nz/publication/te-mana-ola-pacific-health-strategy" TargetMode="External"/><Relationship Id="rId33" Type="http://schemas.openxmlformats.org/officeDocument/2006/relationships/hyperlink" Target="https://www.health.govt.nz/publication/new-zealand-health-strategy" TargetMode="External"/><Relationship Id="rId38" Type="http://schemas.openxmlformats.org/officeDocument/2006/relationships/hyperlink" Target="https://www.health.govt.nz/publication/womens-health-strategy" TargetMode="External"/><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0.png"/><Relationship Id="rId20" Type="http://schemas.openxmlformats.org/officeDocument/2006/relationships/footer" Target="footer5.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3.png"/><Relationship Id="rId75" Type="http://schemas.openxmlformats.org/officeDocument/2006/relationships/image" Target="media/image37.png"/><Relationship Id="rId83" Type="http://schemas.openxmlformats.org/officeDocument/2006/relationships/hyperlink" Target="https://www.healthnz.govt.nz/corporate-information/our-health-system/eligibility-for-publicly-funded-health-service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health.govt.nz/publication/new-zealand-health-strategy" TargetMode="External"/><Relationship Id="rId28" Type="http://schemas.openxmlformats.org/officeDocument/2006/relationships/hyperlink" Target="https://www.health.govt.nz/publication/womens-health-strategy" TargetMode="External"/><Relationship Id="rId36" Type="http://schemas.openxmlformats.org/officeDocument/2006/relationships/hyperlink" Target="https://www.health.govt.nz/new-zealand-health-system/setting-direction-our-new-health-system/health-disabled-people-strategy" TargetMode="Externa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image" Target="media/image10.png"/><Relationship Id="rId52" Type="http://schemas.openxmlformats.org/officeDocument/2006/relationships/image" Target="media/image18.jpeg"/><Relationship Id="rId60" Type="http://schemas.openxmlformats.org/officeDocument/2006/relationships/image" Target="media/image26.png"/><Relationship Id="rId65" Type="http://schemas.openxmlformats.org/officeDocument/2006/relationships/hyperlink" Target="https://minhealthnz.shinyapps.io/nz-health-survey-2022-23-mental-health-data-explorer/_w_ebc38205/" TargetMode="External"/><Relationship Id="rId73" Type="http://schemas.openxmlformats.org/officeDocument/2006/relationships/hyperlink" Target="https://www.health.govt.nz/our-work/diseases-and-conditions/covid-19-novel-coronavirus/covid-19-response-planning/long-covid-programme" TargetMode="External"/><Relationship Id="rId78" Type="http://schemas.openxmlformats.org/officeDocument/2006/relationships/image" Target="media/image39.png"/><Relationship Id="rId81" Type="http://schemas.openxmlformats.org/officeDocument/2006/relationships/image" Target="media/image42.jpeg"/><Relationship Id="rId86" Type="http://schemas.openxmlformats.org/officeDocument/2006/relationships/hyperlink" Target="https://www.health.govt.nz/publication/health-and-independence-report-20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2.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7</TotalTime>
  <Pages>108</Pages>
  <Words>55898</Words>
  <Characters>318623</Characters>
  <Application>Microsoft Office Word</Application>
  <DocSecurity>0</DocSecurity>
  <Lines>2655</Lines>
  <Paragraphs>747</Paragraphs>
  <ScaleCrop>false</ScaleCrop>
  <HeadingPairs>
    <vt:vector size="2" baseType="variant">
      <vt:variant>
        <vt:lpstr>Title</vt:lpstr>
      </vt:variant>
      <vt:variant>
        <vt:i4>1</vt:i4>
      </vt:variant>
    </vt:vector>
  </HeadingPairs>
  <TitlesOfParts>
    <vt:vector size="1" baseType="lpstr">
      <vt:lpstr>Health and Independence Report 2023</vt:lpstr>
    </vt:vector>
  </TitlesOfParts>
  <Company>Microsoft</Company>
  <LinksUpToDate>false</LinksUpToDate>
  <CharactersWithSpaces>373774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Independence Report 2023</dc:title>
  <dc:creator>Ministry of Health</dc:creator>
  <cp:lastModifiedBy>Ministry of Health</cp:lastModifiedBy>
  <cp:revision>10</cp:revision>
  <cp:lastPrinted>2024-07-16T04:14:00Z</cp:lastPrinted>
  <dcterms:created xsi:type="dcterms:W3CDTF">2024-07-16T04:08:00Z</dcterms:created>
  <dcterms:modified xsi:type="dcterms:W3CDTF">2024-07-16T22:31:00Z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